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59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القرآن الکریم فی الفکر الاستشراقی المعاصر مقاربات نقدیة لموسوعة القرآن لیدن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5419_2870459653">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935421_2870459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35423_2870459653">
            <w:r>
              <w:rPr>
                <w:webHidden/>
                <w:rStyle w:val="IndexLink"/>
                <w:rtl w:val="true"/>
              </w:rPr>
              <w:t>فهرس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935425_2870459653">
            <w:r>
              <w:rPr>
                <w:webHidden/>
                <w:rStyle w:val="IndexLink"/>
                <w:rtl w:val="true"/>
              </w:rPr>
              <w:t>مقدمه المرکز</w:t>
            </w:r>
            <w:r>
              <w:rPr>
                <w:rStyle w:val="IndexLink"/>
                <w:rtl w:val="true"/>
              </w:rPr>
              <w:tab/>
            </w:r>
            <w:r>
              <w:rPr>
                <w:rStyle w:val="IndexLink"/>
              </w:rPr>
              <w:t>14</w:t>
            </w:r>
          </w:hyperlink>
        </w:p>
        <w:p>
          <w:pPr>
            <w:pStyle w:val="Contents2"/>
            <w:tabs>
              <w:tab w:val="clear" w:pos="8743"/>
              <w:tab w:val="right" w:pos="9026" w:leader="dot"/>
            </w:tabs>
            <w:rPr/>
          </w:pPr>
          <w:hyperlink w:anchor="__RefHeading___Toc935427_2870459653">
            <w:r>
              <w:rPr>
                <w:webHidden/>
                <w:rStyle w:val="IndexLink"/>
                <w:rtl w:val="true"/>
              </w:rPr>
              <w:t>المدخل القرآن والدّراسات القرآنية في الموسوعات الغربیه</w:t>
            </w:r>
            <w:r>
              <w:rPr>
                <w:rStyle w:val="IndexLink"/>
                <w:rtl w:val="true"/>
              </w:rPr>
              <w:tab/>
            </w:r>
            <w:r>
              <w:rPr>
                <w:rStyle w:val="IndexLink"/>
              </w:rPr>
              <w:t>18</w:t>
            </w:r>
          </w:hyperlink>
        </w:p>
        <w:p>
          <w:pPr>
            <w:pStyle w:val="Contents3"/>
            <w:tabs>
              <w:tab w:val="clear" w:pos="8459"/>
              <w:tab w:val="right" w:pos="9026" w:leader="dot"/>
            </w:tabs>
            <w:rPr/>
          </w:pPr>
          <w:hyperlink w:anchor="__RefHeading___Toc935429_2870459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935431_2870459653">
            <w:r>
              <w:rPr>
                <w:webHidden/>
                <w:rStyle w:val="IndexLink"/>
                <w:rtl w:val="true"/>
              </w:rPr>
              <w:t>القرآن في الموسوعات الغربيّة الحديثة</w:t>
            </w:r>
            <w:r>
              <w:rPr>
                <w:rStyle w:val="IndexLink"/>
                <w:rtl w:val="true"/>
              </w:rPr>
              <w:t>:</w:t>
              <w:tab/>
            </w:r>
            <w:r>
              <w:rPr>
                <w:rStyle w:val="IndexLink"/>
              </w:rPr>
              <w:t>23</w:t>
            </w:r>
          </w:hyperlink>
        </w:p>
        <w:p>
          <w:pPr>
            <w:pStyle w:val="Contents4"/>
            <w:tabs>
              <w:tab w:val="clear" w:pos="8176"/>
              <w:tab w:val="right" w:pos="9026" w:leader="dot"/>
            </w:tabs>
            <w:rPr/>
          </w:pPr>
          <w:hyperlink w:anchor="__RefHeading___Toc935433_2870459653">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935435_2870459653">
            <w:r>
              <w:rPr>
                <w:webHidden/>
                <w:rStyle w:val="IndexLink"/>
                <w:rtl w:val="true"/>
              </w:rPr>
              <w:t>أوّلاً</w:t>
            </w:r>
            <w:r>
              <w:rPr>
                <w:rStyle w:val="IndexLink"/>
                <w:rtl w:val="true"/>
              </w:rPr>
              <w:t xml:space="preserve">: </w:t>
            </w:r>
            <w:r>
              <w:rPr>
                <w:rStyle w:val="IndexLink"/>
                <w:rtl w:val="true"/>
              </w:rPr>
              <w:t>دائرة المعارف الإسلاميّة</w:t>
            </w:r>
            <w:r>
              <w:rPr>
                <w:rStyle w:val="IndexLink"/>
                <w:rtl w:val="true"/>
              </w:rPr>
              <w:t>:</w:t>
              <w:tab/>
            </w:r>
            <w:r>
              <w:rPr>
                <w:rStyle w:val="IndexLink"/>
              </w:rPr>
              <w:t>24</w:t>
            </w:r>
          </w:hyperlink>
        </w:p>
        <w:p>
          <w:pPr>
            <w:pStyle w:val="Contents4"/>
            <w:tabs>
              <w:tab w:val="clear" w:pos="8176"/>
              <w:tab w:val="right" w:pos="9026" w:leader="dot"/>
            </w:tabs>
            <w:rPr/>
          </w:pPr>
          <w:hyperlink w:anchor="__RefHeading___Toc935437_2870459653">
            <w:r>
              <w:rPr>
                <w:webHidden/>
                <w:rStyle w:val="IndexLink"/>
                <w:rtl w:val="true"/>
              </w:rPr>
              <w:t>ثانيًا</w:t>
            </w:r>
            <w:r>
              <w:rPr>
                <w:rStyle w:val="IndexLink"/>
                <w:rtl w:val="true"/>
              </w:rPr>
              <w:t xml:space="preserve">: </w:t>
            </w:r>
            <w:r>
              <w:rPr>
                <w:rStyle w:val="IndexLink"/>
                <w:rtl w:val="true"/>
              </w:rPr>
              <w:t>المعجم القرآني</w:t>
            </w:r>
            <w:r>
              <w:rPr>
                <w:rStyle w:val="IndexLink"/>
                <w:rtl w:val="true"/>
              </w:rPr>
              <w:t xml:space="preserve">: </w:t>
            </w:r>
            <w:r>
              <w:rPr>
                <w:rStyle w:val="IndexLink"/>
              </w:rPr>
              <w:t>Dictionnaire du Coran</w:t>
            </w:r>
            <w:r>
              <w:rPr>
                <w:rStyle w:val="IndexLink"/>
                <w:rtl w:val="true"/>
              </w:rPr>
              <w:tab/>
            </w:r>
            <w:r>
              <w:rPr>
                <w:rStyle w:val="IndexLink"/>
              </w:rPr>
              <w:t>27</w:t>
            </w:r>
          </w:hyperlink>
        </w:p>
        <w:p>
          <w:pPr>
            <w:pStyle w:val="Contents4"/>
            <w:tabs>
              <w:tab w:val="clear" w:pos="8176"/>
              <w:tab w:val="right" w:pos="9026" w:leader="dot"/>
            </w:tabs>
            <w:rPr/>
          </w:pPr>
          <w:hyperlink w:anchor="__RefHeading___Toc935439_2870459653">
            <w:r>
              <w:rPr>
                <w:webHidden/>
                <w:rStyle w:val="IndexLink"/>
                <w:rtl w:val="true"/>
              </w:rPr>
              <w:t>ثالثًا</w:t>
            </w:r>
            <w:r>
              <w:rPr>
                <w:rStyle w:val="IndexLink"/>
                <w:rtl w:val="true"/>
              </w:rPr>
              <w:t xml:space="preserve">: </w:t>
            </w:r>
            <w:r>
              <w:rPr>
                <w:rStyle w:val="IndexLink"/>
                <w:rtl w:val="true"/>
              </w:rPr>
              <w:t>دليل أكسفورد حول الدّراسات القرآنيّة</w:t>
            </w:r>
            <w:r>
              <w:rPr>
                <w:rStyle w:val="IndexLink"/>
                <w:rtl w:val="true"/>
              </w:rPr>
              <w:t>:</w:t>
              <w:tab/>
            </w:r>
            <w:r>
              <w:rPr>
                <w:rStyle w:val="IndexLink"/>
              </w:rPr>
              <w:t>28</w:t>
            </w:r>
          </w:hyperlink>
        </w:p>
        <w:p>
          <w:pPr>
            <w:pStyle w:val="Contents4"/>
            <w:tabs>
              <w:tab w:val="clear" w:pos="8176"/>
              <w:tab w:val="right" w:pos="9026" w:leader="dot"/>
            </w:tabs>
            <w:rPr/>
          </w:pPr>
          <w:hyperlink w:anchor="__RefHeading___Toc935441_2870459653">
            <w:r>
              <w:rPr>
                <w:webHidden/>
                <w:rStyle w:val="IndexLink"/>
                <w:rtl w:val="true"/>
              </w:rPr>
              <w:t>رابعًا</w:t>
            </w:r>
            <w:r>
              <w:rPr>
                <w:rStyle w:val="IndexLink"/>
                <w:rtl w:val="true"/>
              </w:rPr>
              <w:t xml:space="preserve">: </w:t>
            </w:r>
            <w:r>
              <w:rPr>
                <w:rStyle w:val="IndexLink"/>
                <w:rtl w:val="true"/>
              </w:rPr>
              <w:t>القرآن كموسوعة</w:t>
            </w:r>
            <w:r>
              <w:rPr>
                <w:rStyle w:val="IndexLink"/>
                <w:rtl w:val="true"/>
              </w:rPr>
              <w:t xml:space="preserve">: </w:t>
            </w:r>
            <w:r>
              <w:rPr>
                <w:rStyle w:val="IndexLink"/>
              </w:rPr>
              <w:t>The Quran - An encyclopedia</w:t>
            </w:r>
            <w:r>
              <w:rPr>
                <w:rStyle w:val="IndexLink"/>
                <w:rtl w:val="true"/>
              </w:rPr>
              <w:tab/>
            </w:r>
            <w:r>
              <w:rPr>
                <w:rStyle w:val="IndexLink"/>
              </w:rPr>
              <w:t>30</w:t>
            </w:r>
          </w:hyperlink>
        </w:p>
        <w:p>
          <w:pPr>
            <w:pStyle w:val="Contents4"/>
            <w:tabs>
              <w:tab w:val="clear" w:pos="8176"/>
              <w:tab w:val="right" w:pos="9026" w:leader="dot"/>
            </w:tabs>
            <w:rPr/>
          </w:pPr>
          <w:hyperlink w:anchor="__RefHeading___Toc935443_2870459653">
            <w:r>
              <w:rPr>
                <w:webHidden/>
                <w:rStyle w:val="IndexLink"/>
                <w:rtl w:val="true"/>
              </w:rPr>
              <w:t>خامسًا</w:t>
            </w:r>
            <w:r>
              <w:rPr>
                <w:rStyle w:val="IndexLink"/>
                <w:rtl w:val="true"/>
              </w:rPr>
              <w:t xml:space="preserve">: </w:t>
            </w:r>
            <w:r>
              <w:rPr>
                <w:rStyle w:val="IndexLink"/>
                <w:rtl w:val="true"/>
              </w:rPr>
              <w:t>الموسوعة التكامليّة للقرآن الكريم</w:t>
            </w:r>
            <w:r>
              <w:rPr>
                <w:rStyle w:val="IndexLink"/>
                <w:rtl w:val="true"/>
              </w:rPr>
              <w:t xml:space="preserve">: </w:t>
            </w:r>
            <w:r>
              <w:rPr>
                <w:rStyle w:val="IndexLink"/>
              </w:rPr>
              <w:t>Intergrated Encyclopedia of the Qur an</w:t>
            </w:r>
            <w:r>
              <w:rPr>
                <w:rStyle w:val="IndexLink"/>
                <w:rtl w:val="true"/>
              </w:rPr>
              <w:tab/>
            </w:r>
            <w:r>
              <w:rPr>
                <w:rStyle w:val="IndexLink"/>
              </w:rPr>
              <w:t>31</w:t>
            </w:r>
          </w:hyperlink>
        </w:p>
        <w:p>
          <w:pPr>
            <w:pStyle w:val="Contents4"/>
            <w:tabs>
              <w:tab w:val="clear" w:pos="8176"/>
              <w:tab w:val="right" w:pos="9026" w:leader="dot"/>
            </w:tabs>
            <w:rPr/>
          </w:pPr>
          <w:hyperlink w:anchor="__RefHeading___Toc935445_2870459653">
            <w:r>
              <w:rPr>
                <w:webHidden/>
                <w:rStyle w:val="IndexLink"/>
                <w:rtl w:val="true"/>
              </w:rPr>
              <w:t>سادسًا</w:t>
            </w:r>
            <w:r>
              <w:rPr>
                <w:rStyle w:val="IndexLink"/>
                <w:rtl w:val="true"/>
              </w:rPr>
              <w:t xml:space="preserve">: </w:t>
            </w:r>
            <w:r>
              <w:rPr>
                <w:rStyle w:val="IndexLink"/>
                <w:rtl w:val="true"/>
              </w:rPr>
              <w:t>قرآن المؤرخين</w:t>
            </w:r>
            <w:r>
              <w:rPr>
                <w:rStyle w:val="IndexLink"/>
                <w:rtl w:val="true"/>
              </w:rPr>
              <w:t xml:space="preserve">: </w:t>
            </w:r>
            <w:r>
              <w:rPr>
                <w:rStyle w:val="IndexLink"/>
              </w:rPr>
              <w:t>Le coran des historiens</w:t>
            </w:r>
            <w:r>
              <w:rPr>
                <w:rStyle w:val="IndexLink"/>
                <w:rtl w:val="true"/>
              </w:rPr>
              <w:tab/>
            </w:r>
            <w:r>
              <w:rPr>
                <w:rStyle w:val="IndexLink"/>
              </w:rPr>
              <w:t>32</w:t>
            </w:r>
          </w:hyperlink>
        </w:p>
        <w:p>
          <w:pPr>
            <w:pStyle w:val="Contents4"/>
            <w:tabs>
              <w:tab w:val="clear" w:pos="8176"/>
              <w:tab w:val="right" w:pos="9026" w:leader="dot"/>
            </w:tabs>
            <w:rPr/>
          </w:pPr>
          <w:hyperlink w:anchor="__RefHeading___Toc935447_2870459653">
            <w:r>
              <w:rPr>
                <w:webHidden/>
                <w:rStyle w:val="IndexLink"/>
                <w:rtl w:val="true"/>
              </w:rPr>
              <w:t>سابعًا</w:t>
            </w:r>
            <w:r>
              <w:rPr>
                <w:rStyle w:val="IndexLink"/>
                <w:rtl w:val="true"/>
              </w:rPr>
              <w:t xml:space="preserve">: </w:t>
            </w:r>
            <w:r>
              <w:rPr>
                <w:rStyle w:val="IndexLink"/>
                <w:rtl w:val="true"/>
              </w:rPr>
              <w:t xml:space="preserve">مشروع الموسوعة القرآنية برلين </w:t>
            </w:r>
            <w:r>
              <w:rPr>
                <w:rStyle w:val="IndexLink"/>
              </w:rPr>
              <w:t>corpus coranicum</w:t>
            </w:r>
            <w:r>
              <w:rPr>
                <w:rStyle w:val="IndexLink"/>
                <w:rtl w:val="true"/>
              </w:rPr>
              <w:tab/>
            </w:r>
            <w:r>
              <w:rPr>
                <w:rStyle w:val="IndexLink"/>
              </w:rPr>
              <w:t>33</w:t>
            </w:r>
          </w:hyperlink>
        </w:p>
        <w:p>
          <w:pPr>
            <w:pStyle w:val="Contents3"/>
            <w:tabs>
              <w:tab w:val="clear" w:pos="8459"/>
              <w:tab w:val="right" w:pos="9026" w:leader="dot"/>
            </w:tabs>
            <w:rPr/>
          </w:pPr>
          <w:hyperlink w:anchor="__RefHeading___Toc935449_2870459653">
            <w:r>
              <w:rPr>
                <w:webHidden/>
                <w:rStyle w:val="IndexLink"/>
                <w:rtl w:val="true"/>
              </w:rPr>
              <w:t>الاستشراق والتحقيق القرآنيّ</w:t>
            </w:r>
            <w:r>
              <w:rPr>
                <w:rStyle w:val="IndexLink"/>
                <w:rtl w:val="true"/>
              </w:rPr>
              <w:t>:</w:t>
              <w:tab/>
            </w:r>
            <w:r>
              <w:rPr>
                <w:rStyle w:val="IndexLink"/>
              </w:rPr>
              <w:t>35</w:t>
            </w:r>
          </w:hyperlink>
        </w:p>
        <w:p>
          <w:pPr>
            <w:pStyle w:val="Contents3"/>
            <w:tabs>
              <w:tab w:val="clear" w:pos="8459"/>
              <w:tab w:val="right" w:pos="9026" w:leader="dot"/>
            </w:tabs>
            <w:rPr/>
          </w:pPr>
          <w:hyperlink w:anchor="__RefHeading___Toc935451_2870459653">
            <w:r>
              <w:rPr>
                <w:webHidden/>
                <w:rStyle w:val="IndexLink"/>
                <w:rtl w:val="true"/>
              </w:rPr>
              <w:t>إطلالة على موسوعة ليدن</w:t>
            </w:r>
            <w:r>
              <w:rPr>
                <w:rStyle w:val="IndexLink"/>
                <w:rtl w:val="true"/>
              </w:rPr>
              <w:t xml:space="preserve">: </w:t>
            </w:r>
            <w:r>
              <w:rPr>
                <w:rStyle w:val="IndexLink"/>
                <w:rtl w:val="true"/>
              </w:rPr>
              <w:t>الهويّة والخصائص</w:t>
            </w:r>
            <w:r>
              <w:rPr>
                <w:rStyle w:val="IndexLink"/>
                <w:rtl w:val="true"/>
              </w:rPr>
              <w:tab/>
            </w:r>
            <w:r>
              <w:rPr>
                <w:rStyle w:val="IndexLink"/>
              </w:rPr>
              <w:t>39</w:t>
            </w:r>
          </w:hyperlink>
        </w:p>
        <w:p>
          <w:pPr>
            <w:pStyle w:val="Contents3"/>
            <w:tabs>
              <w:tab w:val="clear" w:pos="8459"/>
              <w:tab w:val="right" w:pos="9026" w:leader="dot"/>
            </w:tabs>
            <w:rPr/>
          </w:pPr>
          <w:hyperlink w:anchor="__RefHeading___Toc935453_2870459653">
            <w:r>
              <w:rPr>
                <w:webHidden/>
                <w:rStyle w:val="IndexLink"/>
                <w:rtl w:val="true"/>
              </w:rPr>
              <w:t>الاستفادة من التفاسير دون تحويل الموسوعة إلى موسوعةٍ تفسيريّةٍ</w:t>
            </w:r>
            <w:r>
              <w:rPr>
                <w:rStyle w:val="IndexLink"/>
                <w:rtl w:val="true"/>
              </w:rPr>
              <w:t>:</w:t>
              <w:tab/>
            </w:r>
            <w:r>
              <w:rPr>
                <w:rStyle w:val="IndexLink"/>
              </w:rPr>
              <w:t>42</w:t>
            </w:r>
          </w:hyperlink>
        </w:p>
        <w:p>
          <w:pPr>
            <w:pStyle w:val="Contents3"/>
            <w:tabs>
              <w:tab w:val="clear" w:pos="8459"/>
              <w:tab w:val="right" w:pos="9026" w:leader="dot"/>
            </w:tabs>
            <w:rPr/>
          </w:pPr>
          <w:hyperlink w:anchor="__RefHeading___Toc935455_2870459653">
            <w:r>
              <w:rPr>
                <w:webHidden/>
                <w:rStyle w:val="IndexLink"/>
                <w:rtl w:val="true"/>
              </w:rPr>
              <w:t>اعتماد اللّغة الأنجليزية في عنونة المداخل</w:t>
            </w:r>
            <w:r>
              <w:rPr>
                <w:rStyle w:val="IndexLink"/>
                <w:rtl w:val="true"/>
              </w:rPr>
              <w:t>:</w:t>
              <w:tab/>
            </w:r>
            <w:r>
              <w:rPr>
                <w:rStyle w:val="IndexLink"/>
              </w:rPr>
              <w:t>42</w:t>
            </w:r>
          </w:hyperlink>
        </w:p>
        <w:p>
          <w:pPr>
            <w:pStyle w:val="Contents3"/>
            <w:tabs>
              <w:tab w:val="clear" w:pos="8459"/>
              <w:tab w:val="right" w:pos="9026" w:leader="dot"/>
            </w:tabs>
            <w:rPr/>
          </w:pPr>
          <w:hyperlink w:anchor="__RefHeading___Toc935457_2870459653">
            <w:r>
              <w:rPr>
                <w:webHidden/>
                <w:rStyle w:val="IndexLink"/>
                <w:rtl w:val="true"/>
              </w:rPr>
              <w:t>اعتماد التخصّص إلى الحدّ الأقصى</w:t>
            </w:r>
            <w:r>
              <w:rPr>
                <w:rStyle w:val="IndexLink"/>
                <w:rtl w:val="true"/>
              </w:rPr>
              <w:t>:</w:t>
              <w:tab/>
            </w:r>
            <w:r>
              <w:rPr>
                <w:rStyle w:val="IndexLink"/>
              </w:rPr>
              <w:t>43</w:t>
            </w:r>
          </w:hyperlink>
        </w:p>
        <w:p>
          <w:pPr>
            <w:pStyle w:val="Contents3"/>
            <w:tabs>
              <w:tab w:val="clear" w:pos="8459"/>
              <w:tab w:val="right" w:pos="9026" w:leader="dot"/>
            </w:tabs>
            <w:rPr/>
          </w:pPr>
          <w:hyperlink w:anchor="__RefHeading___Toc935459_2870459653">
            <w:r>
              <w:rPr>
                <w:webHidden/>
                <w:rStyle w:val="IndexLink"/>
                <w:rtl w:val="true"/>
              </w:rPr>
              <w:t>الضوابط الشّكليّة</w:t>
            </w:r>
            <w:r>
              <w:rPr>
                <w:rStyle w:val="IndexLink"/>
                <w:rtl w:val="true"/>
              </w:rPr>
              <w:tab/>
            </w:r>
            <w:r>
              <w:rPr>
                <w:rStyle w:val="IndexLink"/>
              </w:rPr>
              <w:t>44</w:t>
            </w:r>
          </w:hyperlink>
        </w:p>
        <w:p>
          <w:pPr>
            <w:pStyle w:val="Contents3"/>
            <w:tabs>
              <w:tab w:val="clear" w:pos="8459"/>
              <w:tab w:val="right" w:pos="9026" w:leader="dot"/>
            </w:tabs>
            <w:rPr/>
          </w:pPr>
          <w:hyperlink w:anchor="__RefHeading___Toc935461_2870459653">
            <w:r>
              <w:rPr>
                <w:webHidden/>
                <w:rStyle w:val="IndexLink"/>
                <w:rtl w:val="true"/>
              </w:rPr>
              <w:t>الموسوعة بين الجدل المترقب والقابلية للتطوّر</w:t>
            </w:r>
            <w:r>
              <w:rPr>
                <w:rStyle w:val="IndexLink"/>
                <w:rtl w:val="true"/>
              </w:rPr>
              <w:t>:</w:t>
              <w:tab/>
            </w:r>
            <w:r>
              <w:rPr>
                <w:rStyle w:val="IndexLink"/>
              </w:rPr>
              <w:t>45</w:t>
            </w:r>
          </w:hyperlink>
        </w:p>
        <w:p>
          <w:pPr>
            <w:pStyle w:val="Contents3"/>
            <w:tabs>
              <w:tab w:val="clear" w:pos="8459"/>
              <w:tab w:val="right" w:pos="9026" w:leader="dot"/>
            </w:tabs>
            <w:rPr/>
          </w:pPr>
          <w:hyperlink w:anchor="__RefHeading___Toc935463_2870459653">
            <w:r>
              <w:rPr>
                <w:webHidden/>
                <w:rStyle w:val="IndexLink"/>
                <w:rtl w:val="true"/>
              </w:rPr>
              <w:t>ترجمات الموسوعة</w:t>
            </w:r>
            <w:r>
              <w:rPr>
                <w:rStyle w:val="IndexLink"/>
                <w:rtl w:val="true"/>
              </w:rPr>
              <w:t>:</w:t>
              <w:tab/>
            </w:r>
            <w:r>
              <w:rPr>
                <w:rStyle w:val="IndexLink"/>
              </w:rPr>
              <w:t>45</w:t>
            </w:r>
          </w:hyperlink>
        </w:p>
        <w:p>
          <w:pPr>
            <w:pStyle w:val="Contents3"/>
            <w:tabs>
              <w:tab w:val="clear" w:pos="8459"/>
              <w:tab w:val="right" w:pos="9026" w:leader="dot"/>
            </w:tabs>
            <w:rPr/>
          </w:pPr>
          <w:hyperlink w:anchor="__RefHeading___Toc935465_2870459653">
            <w:r>
              <w:rPr>
                <w:webHidden/>
                <w:rStyle w:val="IndexLink"/>
                <w:rtl w:val="true"/>
              </w:rPr>
              <w:t>حقائق وأرقام عن المقالات والمؤلفين</w:t>
            </w:r>
            <w:r>
              <w:rPr>
                <w:rStyle w:val="IndexLink"/>
                <w:rtl w:val="true"/>
              </w:rPr>
              <w:t>:</w:t>
              <w:tab/>
            </w:r>
            <w:r>
              <w:rPr>
                <w:rStyle w:val="IndexLink"/>
              </w:rPr>
              <w:t>45</w:t>
            </w:r>
          </w:hyperlink>
        </w:p>
        <w:p>
          <w:pPr>
            <w:pStyle w:val="Contents4"/>
            <w:tabs>
              <w:tab w:val="clear" w:pos="8176"/>
              <w:tab w:val="right" w:pos="9026" w:leader="dot"/>
            </w:tabs>
            <w:rPr/>
          </w:pPr>
          <w:hyperlink w:anchor="__RefHeading___Toc935467_2870459653">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935469_2870459653">
            <w:r>
              <w:rPr>
                <w:webHidden/>
                <w:rStyle w:val="IndexLink"/>
                <w:rtl w:val="true"/>
              </w:rPr>
              <w:t>ختامًا</w:t>
            </w:r>
            <w:r>
              <w:rPr>
                <w:rStyle w:val="IndexLink"/>
                <w:rtl w:val="true"/>
              </w:rPr>
              <w:tab/>
            </w:r>
            <w:r>
              <w:rPr>
                <w:rStyle w:val="IndexLink"/>
              </w:rPr>
              <w:t>46</w:t>
            </w:r>
          </w:hyperlink>
        </w:p>
        <w:p>
          <w:pPr>
            <w:pStyle w:val="Contents2"/>
            <w:tabs>
              <w:tab w:val="clear" w:pos="8743"/>
              <w:tab w:val="right" w:pos="9026" w:leader="dot"/>
            </w:tabs>
            <w:rPr/>
          </w:pPr>
          <w:hyperlink w:anchor="__RefHeading___Toc935471_2870459653">
            <w:r>
              <w:rPr>
                <w:webHidden/>
                <w:rStyle w:val="IndexLink"/>
                <w:rtl w:val="true"/>
              </w:rPr>
              <w:t xml:space="preserve">القرآن الكريم في الدراسات الاستشراقيّه المعاصره </w:t>
            </w:r>
            <w:r>
              <w:rPr>
                <w:rStyle w:val="IndexLink"/>
                <w:rtl w:val="true"/>
              </w:rPr>
              <w:t>-</w:t>
              <w:tab/>
            </w:r>
            <w:r>
              <w:rPr>
                <w:rStyle w:val="IndexLink"/>
              </w:rPr>
              <w:t>48</w:t>
            </w:r>
          </w:hyperlink>
        </w:p>
        <w:p>
          <w:pPr>
            <w:pStyle w:val="Contents3"/>
            <w:tabs>
              <w:tab w:val="clear" w:pos="8459"/>
              <w:tab w:val="right" w:pos="9026" w:leader="dot"/>
            </w:tabs>
            <w:rPr/>
          </w:pPr>
          <w:hyperlink w:anchor="__RefHeading___Toc935473_2870459653">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935475_2870459653">
            <w:r>
              <w:rPr>
                <w:webHidden/>
                <w:rStyle w:val="IndexLink"/>
                <w:rtl w:val="true"/>
              </w:rPr>
              <w:t>ملخص البحث</w:t>
            </w:r>
            <w:r>
              <w:rPr>
                <w:rStyle w:val="IndexLink"/>
                <w:rtl w:val="true"/>
              </w:rPr>
              <w:t>:</w:t>
              <w:tab/>
            </w:r>
            <w:r>
              <w:rPr>
                <w:rStyle w:val="IndexLink"/>
              </w:rPr>
              <w:t>48</w:t>
            </w:r>
          </w:hyperlink>
        </w:p>
        <w:p>
          <w:pPr>
            <w:pStyle w:val="Contents3"/>
            <w:tabs>
              <w:tab w:val="clear" w:pos="8459"/>
              <w:tab w:val="right" w:pos="9026" w:leader="dot"/>
            </w:tabs>
            <w:rPr/>
          </w:pPr>
          <w:hyperlink w:anchor="__RefHeading___Toc935477_2870459653">
            <w:r>
              <w:rPr>
                <w:webHidden/>
                <w:rStyle w:val="IndexLink"/>
                <w:rtl w:val="true"/>
              </w:rPr>
              <w:t>تصميم الدراسة</w:t>
            </w:r>
            <w:r>
              <w:rPr>
                <w:rStyle w:val="IndexLink"/>
                <w:rtl w:val="true"/>
              </w:rPr>
              <w:t>:</w:t>
              <w:tab/>
            </w:r>
            <w:r>
              <w:rPr>
                <w:rStyle w:val="IndexLink"/>
              </w:rPr>
              <w:t>49</w:t>
            </w:r>
          </w:hyperlink>
        </w:p>
        <w:p>
          <w:pPr>
            <w:pStyle w:val="Contents3"/>
            <w:tabs>
              <w:tab w:val="clear" w:pos="8459"/>
              <w:tab w:val="right" w:pos="9026" w:leader="dot"/>
            </w:tabs>
            <w:rPr/>
          </w:pPr>
          <w:hyperlink w:anchor="__RefHeading___Toc935479_2870459653">
            <w:r>
              <w:rPr>
                <w:webHidden/>
                <w:rStyle w:val="IndexLink"/>
                <w:rtl w:val="true"/>
              </w:rPr>
              <w:t>الفرضيّة والمنهج</w:t>
            </w:r>
            <w:r>
              <w:rPr>
                <w:rStyle w:val="IndexLink"/>
                <w:rtl w:val="true"/>
              </w:rPr>
              <w:tab/>
            </w:r>
            <w:r>
              <w:rPr>
                <w:rStyle w:val="IndexLink"/>
              </w:rPr>
              <w:t>49</w:t>
            </w:r>
          </w:hyperlink>
        </w:p>
        <w:p>
          <w:pPr>
            <w:pStyle w:val="Contents4"/>
            <w:tabs>
              <w:tab w:val="clear" w:pos="8176"/>
              <w:tab w:val="right" w:pos="9026" w:leader="dot"/>
            </w:tabs>
            <w:rPr/>
          </w:pPr>
          <w:hyperlink w:anchor="__RefHeading___Toc935481_2870459653">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935483_2870459653">
            <w:r>
              <w:rPr>
                <w:webHidden/>
                <w:rStyle w:val="IndexLink"/>
                <w:rtl w:val="true"/>
              </w:rPr>
              <w:t>أوّلًا</w:t>
            </w:r>
            <w:r>
              <w:rPr>
                <w:rStyle w:val="IndexLink"/>
                <w:rtl w:val="true"/>
              </w:rPr>
              <w:t xml:space="preserve">: </w:t>
            </w:r>
            <w:r>
              <w:rPr>
                <w:rStyle w:val="IndexLink"/>
                <w:rtl w:val="true"/>
              </w:rPr>
              <w:t>التّعريف بموسوعة ليدن القرآنيّة</w:t>
            </w:r>
            <w:r>
              <w:rPr>
                <w:rStyle w:val="IndexLink"/>
                <w:rtl w:val="true"/>
              </w:rPr>
              <w:tab/>
            </w:r>
            <w:r>
              <w:rPr>
                <w:rStyle w:val="IndexLink"/>
              </w:rPr>
              <w:t>51</w:t>
            </w:r>
          </w:hyperlink>
        </w:p>
        <w:p>
          <w:pPr>
            <w:pStyle w:val="Contents4"/>
            <w:tabs>
              <w:tab w:val="clear" w:pos="8176"/>
              <w:tab w:val="right" w:pos="9026" w:leader="dot"/>
            </w:tabs>
            <w:rPr/>
          </w:pPr>
          <w:hyperlink w:anchor="__RefHeading___Toc935485_2870459653">
            <w:r>
              <w:rPr>
                <w:webHidden/>
                <w:rStyle w:val="IndexLink"/>
                <w:rtl w:val="true"/>
              </w:rPr>
              <w:t>ثانيًا</w:t>
            </w:r>
            <w:r>
              <w:rPr>
                <w:rStyle w:val="IndexLink"/>
                <w:rtl w:val="true"/>
              </w:rPr>
              <w:t xml:space="preserve">: </w:t>
            </w:r>
            <w:r>
              <w:rPr>
                <w:rStyle w:val="IndexLink"/>
                <w:rtl w:val="true"/>
              </w:rPr>
              <w:t>منهجيّة تحليل المضمون</w:t>
            </w:r>
            <w:r>
              <w:rPr>
                <w:rStyle w:val="IndexLink"/>
                <w:rtl w:val="true"/>
              </w:rPr>
              <w:tab/>
            </w:r>
            <w:r>
              <w:rPr>
                <w:rStyle w:val="IndexLink"/>
              </w:rPr>
              <w:t>51</w:t>
            </w:r>
          </w:hyperlink>
        </w:p>
        <w:p>
          <w:pPr>
            <w:pStyle w:val="Contents5"/>
            <w:tabs>
              <w:tab w:val="clear" w:pos="7892"/>
              <w:tab w:val="right" w:pos="9026" w:leader="dot"/>
            </w:tabs>
            <w:rPr/>
          </w:pPr>
          <w:hyperlink w:anchor="__RefHeading___Toc935487_2870459653">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935489_2870459653">
            <w:r>
              <w:rPr>
                <w:webHidden/>
                <w:rStyle w:val="IndexLink"/>
                <w:rtl w:val="true"/>
              </w:rPr>
              <w:t>الفرع الأوّل</w:t>
            </w:r>
            <w:r>
              <w:rPr>
                <w:rStyle w:val="IndexLink"/>
                <w:rtl w:val="true"/>
              </w:rPr>
              <w:t xml:space="preserve">: </w:t>
            </w:r>
            <w:r>
              <w:rPr>
                <w:rStyle w:val="IndexLink"/>
                <w:rtl w:val="true"/>
              </w:rPr>
              <w:t>ترجمة القرآن الكريم</w:t>
            </w:r>
            <w:r>
              <w:rPr>
                <w:rStyle w:val="IndexLink"/>
                <w:rtl w:val="true"/>
              </w:rPr>
              <w:t>:</w:t>
              <w:tab/>
            </w:r>
            <w:r>
              <w:rPr>
                <w:rStyle w:val="IndexLink"/>
              </w:rPr>
              <w:t>56</w:t>
            </w:r>
          </w:hyperlink>
        </w:p>
        <w:p>
          <w:pPr>
            <w:pStyle w:val="Contents5"/>
            <w:tabs>
              <w:tab w:val="clear" w:pos="7892"/>
              <w:tab w:val="right" w:pos="9026" w:leader="dot"/>
            </w:tabs>
            <w:rPr/>
          </w:pPr>
          <w:hyperlink w:anchor="__RefHeading___Toc935491_2870459653">
            <w:r>
              <w:rPr>
                <w:webHidden/>
                <w:rStyle w:val="IndexLink"/>
                <w:rtl w:val="true"/>
              </w:rPr>
              <w:t>الفرع الثاني</w:t>
            </w:r>
            <w:r>
              <w:rPr>
                <w:rStyle w:val="IndexLink"/>
                <w:rtl w:val="true"/>
              </w:rPr>
              <w:t xml:space="preserve">: </w:t>
            </w:r>
            <w:r>
              <w:rPr>
                <w:rStyle w:val="IndexLink"/>
                <w:rtl w:val="true"/>
              </w:rPr>
              <w:t>الدّراسات القرآنيّة</w:t>
            </w:r>
            <w:r>
              <w:rPr>
                <w:rStyle w:val="IndexLink"/>
                <w:rtl w:val="true"/>
              </w:rPr>
              <w:t>:</w:t>
              <w:tab/>
            </w:r>
            <w:r>
              <w:rPr>
                <w:rStyle w:val="IndexLink"/>
              </w:rPr>
              <w:t>62</w:t>
            </w:r>
          </w:hyperlink>
        </w:p>
        <w:p>
          <w:pPr>
            <w:pStyle w:val="Contents4"/>
            <w:tabs>
              <w:tab w:val="clear" w:pos="8176"/>
              <w:tab w:val="right" w:pos="9026" w:leader="dot"/>
            </w:tabs>
            <w:rPr/>
          </w:pPr>
          <w:hyperlink w:anchor="__RefHeading___Toc935493_2870459653">
            <w:r>
              <w:rPr>
                <w:webHidden/>
                <w:rStyle w:val="IndexLink"/>
                <w:rtl w:val="true"/>
              </w:rPr>
              <w:t>ثالثًا</w:t>
            </w:r>
            <w:r>
              <w:rPr>
                <w:rStyle w:val="IndexLink"/>
                <w:rtl w:val="true"/>
              </w:rPr>
              <w:t xml:space="preserve">: </w:t>
            </w:r>
            <w:r>
              <w:rPr>
                <w:rStyle w:val="IndexLink"/>
                <w:rtl w:val="true"/>
              </w:rPr>
              <w:t>تفسير القرآن حسب مقدّمة موسوعة ليدن</w:t>
            </w:r>
            <w:r>
              <w:rPr>
                <w:rStyle w:val="IndexLink"/>
                <w:rtl w:val="true"/>
              </w:rPr>
              <w:tab/>
            </w:r>
            <w:r>
              <w:rPr>
                <w:rStyle w:val="IndexLink"/>
              </w:rPr>
              <w:t>70</w:t>
            </w:r>
          </w:hyperlink>
        </w:p>
        <w:p>
          <w:pPr>
            <w:pStyle w:val="Contents5"/>
            <w:tabs>
              <w:tab w:val="clear" w:pos="7892"/>
              <w:tab w:val="right" w:pos="9026" w:leader="dot"/>
            </w:tabs>
            <w:rPr/>
          </w:pPr>
          <w:hyperlink w:anchor="__RefHeading___Toc935495_2870459653">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935497_2870459653">
            <w:r>
              <w:rPr>
                <w:webHidden/>
                <w:rStyle w:val="IndexLink"/>
                <w:rtl w:val="true"/>
              </w:rPr>
              <w:t>الفرع الأوّل</w:t>
            </w:r>
            <w:r>
              <w:rPr>
                <w:rStyle w:val="IndexLink"/>
                <w:rtl w:val="true"/>
              </w:rPr>
              <w:t xml:space="preserve">: </w:t>
            </w:r>
            <w:r>
              <w:rPr>
                <w:rStyle w:val="IndexLink"/>
                <w:rtl w:val="true"/>
              </w:rPr>
              <w:t>مرحلة شرح الكلمات والمفردات</w:t>
            </w:r>
            <w:r>
              <w:rPr>
                <w:rStyle w:val="IndexLink"/>
                <w:rtl w:val="true"/>
              </w:rPr>
              <w:tab/>
            </w:r>
            <w:r>
              <w:rPr>
                <w:rStyle w:val="IndexLink"/>
              </w:rPr>
              <w:t>71</w:t>
            </w:r>
          </w:hyperlink>
        </w:p>
        <w:p>
          <w:pPr>
            <w:pStyle w:val="Contents5"/>
            <w:tabs>
              <w:tab w:val="clear" w:pos="7892"/>
              <w:tab w:val="right" w:pos="9026" w:leader="dot"/>
            </w:tabs>
            <w:rPr/>
          </w:pPr>
          <w:hyperlink w:anchor="__RefHeading___Toc935499_2870459653">
            <w:r>
              <w:rPr>
                <w:webHidden/>
                <w:rStyle w:val="IndexLink"/>
                <w:rtl w:val="true"/>
              </w:rPr>
              <w:t>الفرع الثاني</w:t>
            </w:r>
            <w:r>
              <w:rPr>
                <w:rStyle w:val="IndexLink"/>
                <w:rtl w:val="true"/>
              </w:rPr>
              <w:t xml:space="preserve">: </w:t>
            </w:r>
            <w:r>
              <w:rPr>
                <w:rStyle w:val="IndexLink"/>
                <w:rtl w:val="true"/>
              </w:rPr>
              <w:t>مرحلة التعليق على الآيات القرآنيّة</w:t>
            </w:r>
            <w:r>
              <w:rPr>
                <w:rStyle w:val="IndexLink"/>
                <w:rtl w:val="true"/>
              </w:rPr>
              <w:tab/>
            </w:r>
            <w:r>
              <w:rPr>
                <w:rStyle w:val="IndexLink"/>
              </w:rPr>
              <w:t>72</w:t>
            </w:r>
          </w:hyperlink>
        </w:p>
        <w:p>
          <w:pPr>
            <w:pStyle w:val="Contents5"/>
            <w:tabs>
              <w:tab w:val="clear" w:pos="7892"/>
              <w:tab w:val="right" w:pos="9026" w:leader="dot"/>
            </w:tabs>
            <w:rPr/>
          </w:pPr>
          <w:hyperlink w:anchor="__RefHeading___Toc935501_2870459653">
            <w:r>
              <w:rPr>
                <w:webHidden/>
                <w:rStyle w:val="IndexLink"/>
                <w:rtl w:val="true"/>
              </w:rPr>
              <w:t>الفرع الثالث</w:t>
            </w:r>
            <w:r>
              <w:rPr>
                <w:rStyle w:val="IndexLink"/>
                <w:rtl w:val="true"/>
              </w:rPr>
              <w:t xml:space="preserve">: </w:t>
            </w:r>
            <w:r>
              <w:rPr>
                <w:rStyle w:val="IndexLink"/>
                <w:rtl w:val="true"/>
              </w:rPr>
              <w:t>مرحلة التفسير العلمي</w:t>
            </w:r>
            <w:r>
              <w:rPr>
                <w:rStyle w:val="IndexLink"/>
                <w:rtl w:val="true"/>
              </w:rPr>
              <w:tab/>
            </w:r>
            <w:r>
              <w:rPr>
                <w:rStyle w:val="IndexLink"/>
              </w:rPr>
              <w:t>72</w:t>
            </w:r>
          </w:hyperlink>
        </w:p>
        <w:p>
          <w:pPr>
            <w:pStyle w:val="Contents4"/>
            <w:tabs>
              <w:tab w:val="clear" w:pos="8176"/>
              <w:tab w:val="right" w:pos="9026" w:leader="dot"/>
            </w:tabs>
            <w:rPr/>
          </w:pPr>
          <w:hyperlink w:anchor="__RefHeading___Toc935503_2870459653">
            <w:r>
              <w:rPr>
                <w:webHidden/>
                <w:rStyle w:val="IndexLink"/>
                <w:rtl w:val="true"/>
              </w:rPr>
              <w:t>رابعًا</w:t>
            </w:r>
            <w:r>
              <w:rPr>
                <w:rStyle w:val="IndexLink"/>
                <w:rtl w:val="true"/>
              </w:rPr>
              <w:t xml:space="preserve">: </w:t>
            </w:r>
            <w:r>
              <w:rPr>
                <w:rStyle w:val="IndexLink"/>
                <w:rtl w:val="true"/>
              </w:rPr>
              <w:t>شبهات موسوعة ليدن القرآنيّة</w:t>
            </w:r>
            <w:r>
              <w:rPr>
                <w:rStyle w:val="IndexLink"/>
                <w:rtl w:val="true"/>
              </w:rPr>
              <w:tab/>
            </w:r>
            <w:r>
              <w:rPr>
                <w:rStyle w:val="IndexLink"/>
              </w:rPr>
              <w:t>73</w:t>
            </w:r>
          </w:hyperlink>
        </w:p>
        <w:p>
          <w:pPr>
            <w:pStyle w:val="Contents3"/>
            <w:tabs>
              <w:tab w:val="clear" w:pos="8459"/>
              <w:tab w:val="right" w:pos="9026" w:leader="dot"/>
            </w:tabs>
            <w:rPr/>
          </w:pPr>
          <w:hyperlink w:anchor="__RefHeading___Toc935505_2870459653">
            <w:r>
              <w:rPr>
                <w:webHidden/>
                <w:rStyle w:val="IndexLink"/>
                <w:rtl w:val="true"/>
              </w:rPr>
              <w:t>الخاتمة</w:t>
            </w:r>
            <w:r>
              <w:rPr>
                <w:rStyle w:val="IndexLink"/>
                <w:rtl w:val="true"/>
              </w:rPr>
              <w:tab/>
            </w:r>
            <w:r>
              <w:rPr>
                <w:rStyle w:val="IndexLink"/>
              </w:rPr>
              <w:t>80</w:t>
            </w:r>
          </w:hyperlink>
        </w:p>
        <w:p>
          <w:pPr>
            <w:pStyle w:val="Contents3"/>
            <w:tabs>
              <w:tab w:val="clear" w:pos="8459"/>
              <w:tab w:val="right" w:pos="9026" w:leader="dot"/>
            </w:tabs>
            <w:rPr/>
          </w:pPr>
          <w:hyperlink w:anchor="__RefHeading___Toc935507_2870459653">
            <w:r>
              <w:rPr>
                <w:webHidden/>
                <w:rStyle w:val="IndexLink"/>
                <w:rtl w:val="true"/>
              </w:rPr>
              <w:t>المصادر والمراجع</w:t>
            </w:r>
            <w:r>
              <w:rPr>
                <w:rStyle w:val="IndexLink"/>
                <w:rtl w:val="true"/>
              </w:rPr>
              <w:tab/>
            </w:r>
            <w:r>
              <w:rPr>
                <w:rStyle w:val="IndexLink"/>
              </w:rPr>
              <w:t>82</w:t>
            </w:r>
          </w:hyperlink>
        </w:p>
        <w:p>
          <w:pPr>
            <w:pStyle w:val="Contents2"/>
            <w:tabs>
              <w:tab w:val="clear" w:pos="8743"/>
              <w:tab w:val="right" w:pos="9026" w:leader="dot"/>
            </w:tabs>
            <w:rPr/>
          </w:pPr>
          <w:hyperlink w:anchor="__RefHeading___Toc935509_2870459653">
            <w:r>
              <w:rPr>
                <w:webHidden/>
                <w:rStyle w:val="IndexLink"/>
                <w:rtl w:val="true"/>
              </w:rPr>
              <w:t xml:space="preserve">موسوعة القرآن </w:t>
            </w:r>
            <w:r>
              <w:rPr>
                <w:rStyle w:val="IndexLink"/>
                <w:rtl w:val="true"/>
              </w:rPr>
              <w:t xml:space="preserve">( </w:t>
            </w:r>
            <w:r>
              <w:rPr>
                <w:rStyle w:val="IndexLink"/>
                <w:rtl w:val="true"/>
              </w:rPr>
              <w:t>ليدن</w:t>
            </w:r>
            <w:r>
              <w:rPr>
                <w:rStyle w:val="IndexLink"/>
                <w:rtl w:val="true"/>
              </w:rPr>
              <w:t xml:space="preserve">) - </w:t>
            </w:r>
            <w:r>
              <w:rPr>
                <w:rStyle w:val="IndexLink"/>
                <w:rtl w:val="true"/>
              </w:rPr>
              <w:t xml:space="preserve">مقاربات نقديّة في منهجيّتها ومسارات تنفيذها </w:t>
            </w:r>
            <w:r>
              <w:rPr>
                <w:rStyle w:val="IndexLink"/>
                <w:rtl w:val="true"/>
              </w:rPr>
              <w:t>-</w:t>
              <w:tab/>
            </w:r>
            <w:r>
              <w:rPr>
                <w:rStyle w:val="IndexLink"/>
              </w:rPr>
              <w:t>84</w:t>
            </w:r>
          </w:hyperlink>
        </w:p>
        <w:p>
          <w:pPr>
            <w:pStyle w:val="Contents3"/>
            <w:tabs>
              <w:tab w:val="clear" w:pos="8459"/>
              <w:tab w:val="right" w:pos="9026" w:leader="dot"/>
            </w:tabs>
            <w:rPr/>
          </w:pPr>
          <w:hyperlink w:anchor="__RefHeading___Toc935511_2870459653">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935513_2870459653">
            <w:r>
              <w:rPr>
                <w:webHidden/>
                <w:rStyle w:val="IndexLink"/>
                <w:rtl w:val="true"/>
              </w:rPr>
              <w:t>مقدمة</w:t>
            </w:r>
            <w:r>
              <w:rPr>
                <w:rStyle w:val="IndexLink"/>
                <w:rtl w:val="true"/>
              </w:rPr>
              <w:tab/>
            </w:r>
            <w:r>
              <w:rPr>
                <w:rStyle w:val="IndexLink"/>
              </w:rPr>
              <w:t>84</w:t>
            </w:r>
          </w:hyperlink>
        </w:p>
        <w:p>
          <w:pPr>
            <w:pStyle w:val="Contents4"/>
            <w:tabs>
              <w:tab w:val="clear" w:pos="8176"/>
              <w:tab w:val="right" w:pos="9026" w:leader="dot"/>
            </w:tabs>
            <w:rPr/>
          </w:pPr>
          <w:hyperlink w:anchor="__RefHeading___Toc935515_2870459653">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935517_2870459653">
            <w:r>
              <w:rPr>
                <w:webHidden/>
                <w:rStyle w:val="IndexLink"/>
                <w:rtl w:val="true"/>
              </w:rPr>
              <w:t>أوّلاً</w:t>
            </w:r>
            <w:r>
              <w:rPr>
                <w:rStyle w:val="IndexLink"/>
                <w:rtl w:val="true"/>
              </w:rPr>
              <w:t xml:space="preserve">. </w:t>
            </w:r>
            <w:r>
              <w:rPr>
                <w:rStyle w:val="IndexLink"/>
                <w:rtl w:val="true"/>
              </w:rPr>
              <w:t>تعريف دائرة معارف ليدن القرآنيّة</w:t>
            </w:r>
            <w:r>
              <w:rPr>
                <w:rStyle w:val="IndexLink"/>
                <w:rtl w:val="true"/>
              </w:rPr>
              <w:t>:</w:t>
              <w:tab/>
            </w:r>
            <w:r>
              <w:rPr>
                <w:rStyle w:val="IndexLink"/>
              </w:rPr>
              <w:t>84</w:t>
            </w:r>
          </w:hyperlink>
        </w:p>
        <w:p>
          <w:pPr>
            <w:pStyle w:val="Contents5"/>
            <w:tabs>
              <w:tab w:val="clear" w:pos="7892"/>
              <w:tab w:val="right" w:pos="9026" w:leader="dot"/>
            </w:tabs>
            <w:rPr/>
          </w:pPr>
          <w:hyperlink w:anchor="__RefHeading___Toc935519_2870459653">
            <w:r>
              <w:rPr>
                <w:webHidden/>
                <w:rStyle w:val="IndexLink"/>
              </w:rPr>
              <w:t>1</w:t>
            </w:r>
            <w:r>
              <w:rPr>
                <w:rStyle w:val="IndexLink"/>
                <w:rtl w:val="true"/>
              </w:rPr>
              <w:t xml:space="preserve">. </w:t>
            </w:r>
            <w:r>
              <w:rPr>
                <w:rStyle w:val="IndexLink"/>
                <w:rtl w:val="true"/>
              </w:rPr>
              <w:t>الموسوعة عملٌ بحثيٌّ جديدٌ للمستشرقين</w:t>
            </w:r>
            <w:r>
              <w:rPr>
                <w:rStyle w:val="IndexLink"/>
                <w:rtl w:val="true"/>
              </w:rPr>
              <w:t>:</w:t>
              <w:tab/>
            </w:r>
            <w:r>
              <w:rPr>
                <w:rStyle w:val="IndexLink"/>
              </w:rPr>
              <w:t>84</w:t>
            </w:r>
          </w:hyperlink>
        </w:p>
        <w:p>
          <w:pPr>
            <w:pStyle w:val="Contents5"/>
            <w:tabs>
              <w:tab w:val="clear" w:pos="7892"/>
              <w:tab w:val="right" w:pos="9026" w:leader="dot"/>
            </w:tabs>
            <w:rPr/>
          </w:pPr>
          <w:hyperlink w:anchor="__RefHeading___Toc935521_2870459653">
            <w:r>
              <w:rPr>
                <w:webHidden/>
                <w:rStyle w:val="IndexLink"/>
              </w:rPr>
              <w:t>2</w:t>
            </w:r>
            <w:r>
              <w:rPr>
                <w:rStyle w:val="IndexLink"/>
                <w:rtl w:val="true"/>
              </w:rPr>
              <w:t xml:space="preserve">. </w:t>
            </w:r>
            <w:r>
              <w:rPr>
                <w:rStyle w:val="IndexLink"/>
                <w:rtl w:val="true"/>
              </w:rPr>
              <w:t>الكادر الإداريّ</w:t>
            </w:r>
            <w:r>
              <w:rPr>
                <w:rStyle w:val="IndexLink"/>
                <w:rtl w:val="true"/>
              </w:rPr>
              <w:t>:</w:t>
              <w:tab/>
            </w:r>
            <w:r>
              <w:rPr>
                <w:rStyle w:val="IndexLink"/>
              </w:rPr>
              <w:t>85</w:t>
            </w:r>
          </w:hyperlink>
        </w:p>
        <w:p>
          <w:pPr>
            <w:pStyle w:val="Contents5"/>
            <w:tabs>
              <w:tab w:val="clear" w:pos="7892"/>
              <w:tab w:val="right" w:pos="9026" w:leader="dot"/>
            </w:tabs>
            <w:rPr/>
          </w:pPr>
          <w:hyperlink w:anchor="__RefHeading___Toc935523_2870459653">
            <w:r>
              <w:rPr>
                <w:webHidden/>
                <w:rStyle w:val="IndexLink"/>
              </w:rPr>
              <w:t>3</w:t>
            </w:r>
            <w:r>
              <w:rPr>
                <w:rStyle w:val="IndexLink"/>
                <w:rtl w:val="true"/>
              </w:rPr>
              <w:t xml:space="preserve">. </w:t>
            </w:r>
            <w:r>
              <w:rPr>
                <w:rStyle w:val="IndexLink"/>
                <w:rtl w:val="true"/>
              </w:rPr>
              <w:t xml:space="preserve">مجالات موسوعة القرآن </w:t>
            </w:r>
            <w:r>
              <w:rPr>
                <w:rStyle w:val="IndexLink"/>
                <w:rtl w:val="true"/>
              </w:rPr>
              <w:t xml:space="preserve">- </w:t>
            </w:r>
            <w:r>
              <w:rPr>
                <w:rStyle w:val="IndexLink"/>
                <w:rtl w:val="true"/>
              </w:rPr>
              <w:t>لايدن وأهدافها</w:t>
            </w:r>
            <w:r>
              <w:rPr>
                <w:rStyle w:val="IndexLink"/>
                <w:rtl w:val="true"/>
              </w:rPr>
              <w:t>:</w:t>
              <w:tab/>
            </w:r>
            <w:r>
              <w:rPr>
                <w:rStyle w:val="IndexLink"/>
              </w:rPr>
              <w:t>87</w:t>
            </w:r>
          </w:hyperlink>
        </w:p>
        <w:p>
          <w:pPr>
            <w:pStyle w:val="Contents5"/>
            <w:tabs>
              <w:tab w:val="clear" w:pos="7892"/>
              <w:tab w:val="right" w:pos="9026" w:leader="dot"/>
            </w:tabs>
            <w:rPr/>
          </w:pPr>
          <w:hyperlink w:anchor="__RefHeading___Toc935525_2870459653">
            <w:r>
              <w:rPr>
                <w:webHidden/>
                <w:rStyle w:val="IndexLink"/>
              </w:rPr>
              <w:t>4</w:t>
            </w:r>
            <w:r>
              <w:rPr>
                <w:rStyle w:val="IndexLink"/>
                <w:rtl w:val="true"/>
              </w:rPr>
              <w:t xml:space="preserve">. </w:t>
            </w:r>
            <w:r>
              <w:rPr>
                <w:rStyle w:val="IndexLink"/>
                <w:rtl w:val="true"/>
              </w:rPr>
              <w:t>الأهداف والغايات</w:t>
            </w:r>
            <w:r>
              <w:rPr>
                <w:rStyle w:val="IndexLink"/>
                <w:rtl w:val="true"/>
              </w:rPr>
              <w:t>:</w:t>
              <w:tab/>
            </w:r>
            <w:r>
              <w:rPr>
                <w:rStyle w:val="IndexLink"/>
              </w:rPr>
              <w:t>88</w:t>
            </w:r>
          </w:hyperlink>
        </w:p>
        <w:p>
          <w:pPr>
            <w:pStyle w:val="Contents5"/>
            <w:tabs>
              <w:tab w:val="clear" w:pos="7892"/>
              <w:tab w:val="right" w:pos="9026" w:leader="dot"/>
            </w:tabs>
            <w:rPr/>
          </w:pPr>
          <w:hyperlink w:anchor="__RefHeading___Toc935527_2870459653">
            <w:r>
              <w:rPr>
                <w:webHidden/>
                <w:rStyle w:val="IndexLink"/>
                <w:rtl w:val="true"/>
              </w:rPr>
              <w:t>وخلاصة الأهداف المتوخاة</w:t>
            </w:r>
            <w:r>
              <w:rPr>
                <w:rStyle w:val="IndexLink"/>
                <w:rtl w:val="true"/>
              </w:rPr>
              <w:t>:</w:t>
              <w:tab/>
            </w:r>
            <w:r>
              <w:rPr>
                <w:rStyle w:val="IndexLink"/>
              </w:rPr>
              <w:t>88</w:t>
            </w:r>
          </w:hyperlink>
        </w:p>
        <w:p>
          <w:pPr>
            <w:pStyle w:val="Contents4"/>
            <w:tabs>
              <w:tab w:val="clear" w:pos="8176"/>
              <w:tab w:val="right" w:pos="9026" w:leader="dot"/>
            </w:tabs>
            <w:rPr/>
          </w:pPr>
          <w:hyperlink w:anchor="__RefHeading___Toc935529_2870459653">
            <w:r>
              <w:rPr>
                <w:webHidden/>
                <w:rStyle w:val="IndexLink"/>
                <w:rtl w:val="true"/>
              </w:rPr>
              <w:t>ثانيًا</w:t>
            </w:r>
            <w:r>
              <w:rPr>
                <w:rStyle w:val="IndexLink"/>
                <w:rtl w:val="true"/>
              </w:rPr>
              <w:t xml:space="preserve">: </w:t>
            </w:r>
            <w:r>
              <w:rPr>
                <w:rStyle w:val="IndexLink"/>
                <w:rtl w:val="true"/>
              </w:rPr>
              <w:t>وقفة مع مقدمة دائرة معارف ليدن</w:t>
            </w:r>
            <w:r>
              <w:rPr>
                <w:rStyle w:val="IndexLink"/>
                <w:rtl w:val="true"/>
              </w:rPr>
              <w:t>:</w:t>
              <w:tab/>
            </w:r>
            <w:r>
              <w:rPr>
                <w:rStyle w:val="IndexLink"/>
              </w:rPr>
              <w:t>89</w:t>
            </w:r>
          </w:hyperlink>
        </w:p>
        <w:p>
          <w:pPr>
            <w:pStyle w:val="Contents4"/>
            <w:tabs>
              <w:tab w:val="clear" w:pos="8176"/>
              <w:tab w:val="right" w:pos="9026" w:leader="dot"/>
            </w:tabs>
            <w:rPr/>
          </w:pPr>
          <w:hyperlink w:anchor="__RefHeading___Toc935531_2870459653">
            <w:r>
              <w:rPr>
                <w:webHidden/>
                <w:rStyle w:val="IndexLink"/>
                <w:rtl w:val="true"/>
              </w:rPr>
              <w:t>ثالثًا</w:t>
            </w:r>
            <w:r>
              <w:rPr>
                <w:rStyle w:val="IndexLink"/>
                <w:rtl w:val="true"/>
              </w:rPr>
              <w:t xml:space="preserve">: </w:t>
            </w:r>
            <w:r>
              <w:rPr>
                <w:rStyle w:val="IndexLink"/>
                <w:rtl w:val="true"/>
              </w:rPr>
              <w:t>تقييم ونقد وومناقشة</w:t>
            </w:r>
            <w:r>
              <w:rPr>
                <w:rStyle w:val="IndexLink"/>
                <w:rtl w:val="true"/>
              </w:rPr>
              <w:t>:</w:t>
              <w:tab/>
            </w:r>
            <w:r>
              <w:rPr>
                <w:rStyle w:val="IndexLink"/>
              </w:rPr>
              <w:t>96</w:t>
            </w:r>
          </w:hyperlink>
        </w:p>
        <w:p>
          <w:pPr>
            <w:pStyle w:val="Contents5"/>
            <w:tabs>
              <w:tab w:val="clear" w:pos="7892"/>
              <w:tab w:val="right" w:pos="9026" w:leader="dot"/>
            </w:tabs>
            <w:rPr/>
          </w:pPr>
          <w:hyperlink w:anchor="__RefHeading___Toc935533_2870459653">
            <w:r>
              <w:rPr>
                <w:webHidden/>
                <w:rStyle w:val="IndexLink"/>
                <w:rtl w:val="true"/>
              </w:rPr>
              <w:t>تمهيد</w:t>
            </w:r>
            <w:r>
              <w:rPr>
                <w:rStyle w:val="IndexLink"/>
                <w:rtl w:val="true"/>
              </w:rPr>
              <w:tab/>
            </w:r>
            <w:r>
              <w:rPr>
                <w:rStyle w:val="IndexLink"/>
              </w:rPr>
              <w:t>96</w:t>
            </w:r>
          </w:hyperlink>
        </w:p>
        <w:p>
          <w:pPr>
            <w:pStyle w:val="Contents5"/>
            <w:tabs>
              <w:tab w:val="clear" w:pos="7892"/>
              <w:tab w:val="right" w:pos="9026" w:leader="dot"/>
            </w:tabs>
            <w:rPr/>
          </w:pPr>
          <w:hyperlink w:anchor="__RefHeading___Toc935535_2870459653">
            <w:r>
              <w:rPr>
                <w:webHidden/>
                <w:rStyle w:val="IndexLink"/>
              </w:rPr>
              <w:t>1</w:t>
            </w:r>
            <w:r>
              <w:rPr>
                <w:rStyle w:val="IndexLink"/>
                <w:rtl w:val="true"/>
              </w:rPr>
              <w:t xml:space="preserve">- </w:t>
            </w:r>
            <w:r>
              <w:rPr>
                <w:rStyle w:val="IndexLink"/>
                <w:rtl w:val="true"/>
              </w:rPr>
              <w:t>فيما يلي مجموعة الملاحظات المنهجيّة والبنيويّة في الموسوعة</w:t>
            </w:r>
            <w:r>
              <w:rPr>
                <w:rStyle w:val="IndexLink"/>
                <w:rtl w:val="true"/>
              </w:rPr>
              <w:tab/>
            </w:r>
            <w:r>
              <w:rPr>
                <w:rStyle w:val="IndexLink"/>
              </w:rPr>
              <w:t>97</w:t>
            </w:r>
          </w:hyperlink>
        </w:p>
        <w:p>
          <w:pPr>
            <w:pStyle w:val="Contents5"/>
            <w:tabs>
              <w:tab w:val="clear" w:pos="7892"/>
              <w:tab w:val="right" w:pos="9026" w:leader="dot"/>
            </w:tabs>
            <w:rPr/>
          </w:pPr>
          <w:hyperlink w:anchor="__RefHeading___Toc935537_2870459653">
            <w:r>
              <w:rPr>
                <w:webHidden/>
                <w:rStyle w:val="IndexLink"/>
              </w:rPr>
              <w:t>2</w:t>
            </w:r>
            <w:r>
              <w:rPr>
                <w:rStyle w:val="IndexLink"/>
                <w:rtl w:val="true"/>
              </w:rPr>
              <w:t xml:space="preserve">. </w:t>
            </w:r>
            <w:r>
              <w:rPr>
                <w:rStyle w:val="IndexLink"/>
                <w:rtl w:val="true"/>
              </w:rPr>
              <w:t>دعوى التّحقيق الدّقيق التي جاءت في مقدّمة هذه الموسوعة</w:t>
            </w:r>
            <w:r>
              <w:rPr>
                <w:rStyle w:val="IndexLink"/>
                <w:rtl w:val="true"/>
              </w:rPr>
              <w:t>:</w:t>
              <w:tab/>
            </w:r>
            <w:r>
              <w:rPr>
                <w:rStyle w:val="IndexLink"/>
              </w:rPr>
              <w:t>102</w:t>
            </w:r>
          </w:hyperlink>
        </w:p>
        <w:p>
          <w:pPr>
            <w:pStyle w:val="Contents5"/>
            <w:tabs>
              <w:tab w:val="clear" w:pos="7892"/>
              <w:tab w:val="right" w:pos="9026" w:leader="dot"/>
            </w:tabs>
            <w:rPr/>
          </w:pPr>
          <w:hyperlink w:anchor="__RefHeading___Toc935539_2870459653">
            <w:r>
              <w:rPr>
                <w:webHidden/>
                <w:rStyle w:val="IndexLink"/>
              </w:rPr>
              <w:t>3</w:t>
            </w:r>
            <w:r>
              <w:rPr>
                <w:rStyle w:val="IndexLink"/>
                <w:rtl w:val="true"/>
              </w:rPr>
              <w:t xml:space="preserve">. </w:t>
            </w:r>
            <w:r>
              <w:rPr>
                <w:rStyle w:val="IndexLink"/>
                <w:rtl w:val="true"/>
              </w:rPr>
              <w:t>الأخطاء المنهجيّة في التّعريف بالتّفاسير</w:t>
            </w:r>
            <w:r>
              <w:rPr>
                <w:rStyle w:val="IndexLink"/>
                <w:rtl w:val="true"/>
              </w:rPr>
              <w:t>:</w:t>
              <w:tab/>
            </w:r>
            <w:r>
              <w:rPr>
                <w:rStyle w:val="IndexLink"/>
              </w:rPr>
              <w:t>104</w:t>
            </w:r>
          </w:hyperlink>
        </w:p>
        <w:p>
          <w:pPr>
            <w:pStyle w:val="Contents5"/>
            <w:tabs>
              <w:tab w:val="clear" w:pos="7892"/>
              <w:tab w:val="right" w:pos="9026" w:leader="dot"/>
            </w:tabs>
            <w:rPr/>
          </w:pPr>
          <w:hyperlink w:anchor="__RefHeading___Toc935541_2870459653">
            <w:r>
              <w:rPr>
                <w:webHidden/>
                <w:rStyle w:val="IndexLink"/>
              </w:rPr>
              <w:t>4</w:t>
            </w:r>
            <w:r>
              <w:rPr>
                <w:rStyle w:val="IndexLink"/>
                <w:rtl w:val="true"/>
              </w:rPr>
              <w:t xml:space="preserve">. </w:t>
            </w:r>
            <w:r>
              <w:rPr>
                <w:rStyle w:val="IndexLink"/>
                <w:rtl w:val="true"/>
              </w:rPr>
              <w:t>اجترار التُهم التي وجّهها المستشرقون للقرآن الكريم</w:t>
            </w:r>
            <w:r>
              <w:rPr>
                <w:rStyle w:val="IndexLink"/>
                <w:rtl w:val="true"/>
              </w:rPr>
              <w:t>:</w:t>
              <w:tab/>
            </w:r>
            <w:r>
              <w:rPr>
                <w:rStyle w:val="IndexLink"/>
              </w:rPr>
              <w:t>105</w:t>
            </w:r>
          </w:hyperlink>
        </w:p>
        <w:p>
          <w:pPr>
            <w:pStyle w:val="Contents5"/>
            <w:tabs>
              <w:tab w:val="clear" w:pos="7892"/>
              <w:tab w:val="right" w:pos="9026" w:leader="dot"/>
            </w:tabs>
            <w:rPr/>
          </w:pPr>
          <w:hyperlink w:anchor="__RefHeading___Toc935543_2870459653">
            <w:r>
              <w:rPr>
                <w:webHidden/>
                <w:rStyle w:val="IndexLink"/>
              </w:rPr>
              <w:t>5</w:t>
            </w:r>
            <w:r>
              <w:rPr>
                <w:rStyle w:val="IndexLink"/>
                <w:rtl w:val="true"/>
              </w:rPr>
              <w:t xml:space="preserve">. </w:t>
            </w:r>
            <w:r>
              <w:rPr>
                <w:rStyle w:val="IndexLink"/>
                <w:rtl w:val="true"/>
              </w:rPr>
              <w:t>التناقضات الدّاخلية في دائرة معارف ليدن القرآنيّة</w:t>
            </w:r>
            <w:r>
              <w:rPr>
                <w:rStyle w:val="IndexLink"/>
                <w:rtl w:val="true"/>
              </w:rPr>
              <w:t>:</w:t>
              <w:tab/>
            </w:r>
            <w:r>
              <w:rPr>
                <w:rStyle w:val="IndexLink"/>
              </w:rPr>
              <w:t>107</w:t>
            </w:r>
          </w:hyperlink>
        </w:p>
        <w:p>
          <w:pPr>
            <w:pStyle w:val="Contents5"/>
            <w:tabs>
              <w:tab w:val="clear" w:pos="7892"/>
              <w:tab w:val="right" w:pos="9026" w:leader="dot"/>
            </w:tabs>
            <w:rPr/>
          </w:pPr>
          <w:hyperlink w:anchor="__RefHeading___Toc935545_2870459653">
            <w:r>
              <w:rPr>
                <w:webHidden/>
                <w:rStyle w:val="IndexLink"/>
              </w:rPr>
              <w:t>6</w:t>
            </w:r>
            <w:r>
              <w:rPr>
                <w:rStyle w:val="IndexLink"/>
                <w:rtl w:val="true"/>
              </w:rPr>
              <w:t xml:space="preserve">. </w:t>
            </w:r>
            <w:r>
              <w:rPr>
                <w:rStyle w:val="IndexLink"/>
                <w:rtl w:val="true"/>
              </w:rPr>
              <w:t>عدم جمع كافّة المعلومات المهمّة في مجالٍ واحدٍ</w:t>
            </w:r>
            <w:r>
              <w:rPr>
                <w:rStyle w:val="IndexLink"/>
                <w:rtl w:val="true"/>
              </w:rPr>
              <w:t>:</w:t>
              <w:tab/>
            </w:r>
            <w:r>
              <w:rPr>
                <w:rStyle w:val="IndexLink"/>
              </w:rPr>
              <w:t>108</w:t>
            </w:r>
          </w:hyperlink>
        </w:p>
        <w:p>
          <w:pPr>
            <w:pStyle w:val="Contents5"/>
            <w:tabs>
              <w:tab w:val="clear" w:pos="7892"/>
              <w:tab w:val="right" w:pos="9026" w:leader="dot"/>
            </w:tabs>
            <w:rPr/>
          </w:pPr>
          <w:hyperlink w:anchor="__RefHeading___Toc935547_2870459653">
            <w:r>
              <w:rPr>
                <w:webHidden/>
                <w:rStyle w:val="IndexLink"/>
              </w:rPr>
              <w:t>7</w:t>
            </w:r>
            <w:r>
              <w:rPr>
                <w:rStyle w:val="IndexLink"/>
                <w:rtl w:val="true"/>
              </w:rPr>
              <w:t xml:space="preserve">. </w:t>
            </w:r>
            <w:r>
              <w:rPr>
                <w:rStyle w:val="IndexLink"/>
                <w:rtl w:val="true"/>
              </w:rPr>
              <w:t>نقل الإسرائيليات دون نقدها</w:t>
            </w:r>
            <w:r>
              <w:rPr>
                <w:rStyle w:val="IndexLink"/>
                <w:rtl w:val="true"/>
              </w:rPr>
              <w:t>:</w:t>
              <w:tab/>
            </w:r>
            <w:r>
              <w:rPr>
                <w:rStyle w:val="IndexLink"/>
              </w:rPr>
              <w:t>110</w:t>
            </w:r>
          </w:hyperlink>
        </w:p>
        <w:p>
          <w:pPr>
            <w:pStyle w:val="Contents5"/>
            <w:tabs>
              <w:tab w:val="clear" w:pos="7892"/>
              <w:tab w:val="right" w:pos="9026" w:leader="dot"/>
            </w:tabs>
            <w:rPr/>
          </w:pPr>
          <w:hyperlink w:anchor="__RefHeading___Toc935549_2870459653">
            <w:r>
              <w:rPr>
                <w:webHidden/>
                <w:rStyle w:val="IndexLink"/>
              </w:rPr>
              <w:t>8</w:t>
            </w:r>
            <w:r>
              <w:rPr>
                <w:rStyle w:val="IndexLink"/>
                <w:rtl w:val="true"/>
              </w:rPr>
              <w:t xml:space="preserve">. </w:t>
            </w:r>
            <w:r>
              <w:rPr>
                <w:rStyle w:val="IndexLink"/>
                <w:rtl w:val="true"/>
              </w:rPr>
              <w:t>نسبة بعض الأمور غير اللائقة إلى الأنبياء علیهم السّلام</w:t>
            </w:r>
            <w:r>
              <w:rPr>
                <w:rStyle w:val="IndexLink"/>
                <w:rtl w:val="true"/>
              </w:rPr>
              <w:t>:</w:t>
              <w:tab/>
            </w:r>
            <w:r>
              <w:rPr>
                <w:rStyle w:val="IndexLink"/>
              </w:rPr>
              <w:t>111</w:t>
            </w:r>
          </w:hyperlink>
        </w:p>
        <w:p>
          <w:pPr>
            <w:pStyle w:val="Contents5"/>
            <w:tabs>
              <w:tab w:val="clear" w:pos="7892"/>
              <w:tab w:val="right" w:pos="9026" w:leader="dot"/>
            </w:tabs>
            <w:rPr/>
          </w:pPr>
          <w:hyperlink w:anchor="__RefHeading___Toc935551_2870459653">
            <w:r>
              <w:rPr>
                <w:webHidden/>
                <w:rStyle w:val="IndexLink"/>
              </w:rPr>
              <w:t>9</w:t>
            </w:r>
            <w:r>
              <w:rPr>
                <w:rStyle w:val="IndexLink"/>
                <w:rtl w:val="true"/>
              </w:rPr>
              <w:t xml:space="preserve">. </w:t>
            </w:r>
            <w:r>
              <w:rPr>
                <w:rStyle w:val="IndexLink"/>
                <w:rtl w:val="true"/>
              </w:rPr>
              <w:t>عدم توظيف المتخصصين في دراسة القرآن</w:t>
            </w:r>
            <w:r>
              <w:rPr>
                <w:rStyle w:val="IndexLink"/>
                <w:rtl w:val="true"/>
              </w:rPr>
              <w:t>:</w:t>
              <w:tab/>
            </w:r>
            <w:r>
              <w:rPr>
                <w:rStyle w:val="IndexLink"/>
              </w:rPr>
              <w:t>112</w:t>
            </w:r>
          </w:hyperlink>
        </w:p>
        <w:p>
          <w:pPr>
            <w:pStyle w:val="Contents3"/>
            <w:tabs>
              <w:tab w:val="clear" w:pos="8459"/>
              <w:tab w:val="right" w:pos="9026" w:leader="dot"/>
            </w:tabs>
            <w:rPr/>
          </w:pPr>
          <w:hyperlink w:anchor="__RefHeading___Toc935553_2870459653">
            <w:r>
              <w:rPr>
                <w:webHidden/>
                <w:rStyle w:val="IndexLink"/>
                <w:rtl w:val="true"/>
              </w:rPr>
              <w:t>المصادر والمراجع</w:t>
            </w:r>
            <w:r>
              <w:rPr>
                <w:rStyle w:val="IndexLink"/>
                <w:rtl w:val="true"/>
              </w:rPr>
              <w:tab/>
            </w:r>
            <w:r>
              <w:rPr>
                <w:rStyle w:val="IndexLink"/>
              </w:rPr>
              <w:t>113</w:t>
            </w:r>
          </w:hyperlink>
        </w:p>
        <w:p>
          <w:pPr>
            <w:pStyle w:val="Contents2"/>
            <w:tabs>
              <w:tab w:val="clear" w:pos="8743"/>
              <w:tab w:val="right" w:pos="9026" w:leader="dot"/>
            </w:tabs>
            <w:rPr/>
          </w:pPr>
          <w:hyperlink w:anchor="__RefHeading___Toc935555_2870459653">
            <w:r>
              <w:rPr>
                <w:webHidden/>
                <w:rStyle w:val="IndexLink"/>
                <w:rtl w:val="true"/>
              </w:rPr>
              <w:t>هیئة القرآن و بُنیته دراسة نقدیّة لآراء أنجلیکا نویفرت</w:t>
            </w:r>
            <w:r>
              <w:rPr>
                <w:rStyle w:val="IndexLink"/>
                <w:rtl w:val="true"/>
              </w:rPr>
              <w:tab/>
            </w:r>
            <w:r>
              <w:rPr>
                <w:rStyle w:val="IndexLink"/>
              </w:rPr>
              <w:t>117</w:t>
            </w:r>
          </w:hyperlink>
        </w:p>
        <w:p>
          <w:pPr>
            <w:pStyle w:val="Contents3"/>
            <w:tabs>
              <w:tab w:val="clear" w:pos="8459"/>
              <w:tab w:val="right" w:pos="9026" w:leader="dot"/>
            </w:tabs>
            <w:rPr/>
          </w:pPr>
          <w:hyperlink w:anchor="__RefHeading___Toc935557_2870459653">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935559_2870459653">
            <w:r>
              <w:rPr>
                <w:webHidden/>
                <w:rStyle w:val="IndexLink"/>
                <w:rtl w:val="true"/>
              </w:rPr>
              <w:t>خلاصة المقال</w:t>
            </w:r>
            <w:r>
              <w:rPr>
                <w:rStyle w:val="IndexLink"/>
                <w:rtl w:val="true"/>
              </w:rPr>
              <w:t>:</w:t>
              <w:tab/>
            </w:r>
            <w:r>
              <w:rPr>
                <w:rStyle w:val="IndexLink"/>
              </w:rPr>
              <w:t>117</w:t>
            </w:r>
          </w:hyperlink>
        </w:p>
        <w:p>
          <w:pPr>
            <w:pStyle w:val="Contents3"/>
            <w:tabs>
              <w:tab w:val="clear" w:pos="8459"/>
              <w:tab w:val="right" w:pos="9026" w:leader="dot"/>
            </w:tabs>
            <w:rPr/>
          </w:pPr>
          <w:hyperlink w:anchor="__RefHeading___Toc935561_2870459653">
            <w:r>
              <w:rPr>
                <w:webHidden/>
                <w:rStyle w:val="IndexLink"/>
                <w:rtl w:val="true"/>
              </w:rPr>
              <w:t>موضوع المقالة</w:t>
            </w:r>
            <w:r>
              <w:rPr>
                <w:rStyle w:val="IndexLink"/>
                <w:rtl w:val="true"/>
              </w:rPr>
              <w:t>:</w:t>
              <w:tab/>
            </w:r>
            <w:r>
              <w:rPr>
                <w:rStyle w:val="IndexLink"/>
              </w:rPr>
              <w:t>118</w:t>
            </w:r>
          </w:hyperlink>
        </w:p>
        <w:p>
          <w:pPr>
            <w:pStyle w:val="Contents4"/>
            <w:tabs>
              <w:tab w:val="clear" w:pos="8176"/>
              <w:tab w:val="right" w:pos="9026" w:leader="dot"/>
            </w:tabs>
            <w:rPr/>
          </w:pPr>
          <w:hyperlink w:anchor="__RefHeading___Toc935563_2870459653">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935565_2870459653">
            <w:r>
              <w:rPr>
                <w:webHidden/>
                <w:rStyle w:val="IndexLink"/>
                <w:rtl w:val="true"/>
              </w:rPr>
              <w:t>أوّلًا</w:t>
            </w:r>
            <w:r>
              <w:rPr>
                <w:rStyle w:val="IndexLink"/>
                <w:rtl w:val="true"/>
              </w:rPr>
              <w:t xml:space="preserve">: </w:t>
            </w:r>
            <w:r>
              <w:rPr>
                <w:rStyle w:val="IndexLink"/>
                <w:rtl w:val="true"/>
              </w:rPr>
              <w:t xml:space="preserve">تعريف بأنجيلكا نويت </w:t>
            </w:r>
            <w:r>
              <w:rPr>
                <w:rStyle w:val="IndexLink"/>
                <w:rtl w:val="true"/>
              </w:rPr>
              <w:t>(</w:t>
            </w:r>
            <w:r>
              <w:rPr>
                <w:rStyle w:val="IndexLink"/>
              </w:rPr>
              <w:t>Angelika Neuwirth</w:t>
            </w:r>
            <w:r>
              <w:rPr>
                <w:rStyle w:val="IndexLink"/>
                <w:rtl w:val="true"/>
              </w:rPr>
              <w:t>)</w:t>
              <w:tab/>
            </w:r>
            <w:r>
              <w:rPr>
                <w:rStyle w:val="IndexLink"/>
              </w:rPr>
              <w:t>118</w:t>
            </w:r>
          </w:hyperlink>
        </w:p>
        <w:p>
          <w:pPr>
            <w:pStyle w:val="Contents4"/>
            <w:tabs>
              <w:tab w:val="clear" w:pos="8176"/>
              <w:tab w:val="right" w:pos="9026" w:leader="dot"/>
            </w:tabs>
            <w:rPr/>
          </w:pPr>
          <w:hyperlink w:anchor="__RefHeading___Toc935567_2870459653">
            <w:r>
              <w:rPr>
                <w:webHidden/>
                <w:rStyle w:val="IndexLink"/>
                <w:rtl w:val="true"/>
              </w:rPr>
              <w:t>ثانيًا</w:t>
            </w:r>
            <w:r>
              <w:rPr>
                <w:rStyle w:val="IndexLink"/>
                <w:rtl w:val="true"/>
              </w:rPr>
              <w:t xml:space="preserve">: </w:t>
            </w:r>
            <w:r>
              <w:rPr>
                <w:rStyle w:val="IndexLink"/>
                <w:rtl w:val="true"/>
              </w:rPr>
              <w:t>الخلفيات الفكرية لأنجيلكا نويفرت</w:t>
            </w:r>
            <w:r>
              <w:rPr>
                <w:rStyle w:val="IndexLink"/>
                <w:rtl w:val="true"/>
              </w:rPr>
              <w:t>:</w:t>
              <w:tab/>
            </w:r>
            <w:r>
              <w:rPr>
                <w:rStyle w:val="IndexLink"/>
              </w:rPr>
              <w:t>120</w:t>
            </w:r>
          </w:hyperlink>
        </w:p>
        <w:p>
          <w:pPr>
            <w:pStyle w:val="Contents3"/>
            <w:tabs>
              <w:tab w:val="clear" w:pos="8459"/>
              <w:tab w:val="right" w:pos="9026" w:leader="dot"/>
            </w:tabs>
            <w:rPr/>
          </w:pPr>
          <w:hyperlink w:anchor="__RefHeading___Toc935569_2870459653">
            <w:r>
              <w:rPr>
                <w:webHidden/>
                <w:rStyle w:val="IndexLink"/>
                <w:rtl w:val="true"/>
              </w:rPr>
              <w:t>مقالة نويفرت في</w:t>
            </w:r>
            <w:r>
              <w:rPr>
                <w:rStyle w:val="IndexLink"/>
                <w:rtl w:val="true"/>
              </w:rPr>
              <w:t xml:space="preserve">: </w:t>
            </w:r>
            <w:r>
              <w:rPr>
                <w:rStyle w:val="IndexLink"/>
                <w:rtl w:val="true"/>
              </w:rPr>
              <w:t>هيئة القرآن وبُنيته</w:t>
            </w:r>
            <w:r>
              <w:rPr>
                <w:rStyle w:val="IndexLink"/>
                <w:rtl w:val="true"/>
              </w:rPr>
              <w:t>:</w:t>
              <w:tab/>
            </w:r>
            <w:r>
              <w:rPr>
                <w:rStyle w:val="IndexLink"/>
              </w:rPr>
              <w:t>124</w:t>
            </w:r>
          </w:hyperlink>
        </w:p>
        <w:p>
          <w:pPr>
            <w:pStyle w:val="Contents4"/>
            <w:tabs>
              <w:tab w:val="clear" w:pos="8176"/>
              <w:tab w:val="right" w:pos="9026" w:leader="dot"/>
            </w:tabs>
            <w:rPr/>
          </w:pPr>
          <w:hyperlink w:anchor="__RefHeading___Toc935571_2870459653">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935573_2870459653">
            <w:r>
              <w:rPr>
                <w:webHidden/>
                <w:rStyle w:val="IndexLink"/>
                <w:rtl w:val="true"/>
              </w:rPr>
              <w:t>أوّلاً محتوى المقال</w:t>
            </w:r>
            <w:r>
              <w:rPr>
                <w:rStyle w:val="IndexLink"/>
                <w:rtl w:val="true"/>
              </w:rPr>
              <w:t>:</w:t>
              <w:tab/>
            </w:r>
            <w:r>
              <w:rPr>
                <w:rStyle w:val="IndexLink"/>
              </w:rPr>
              <w:t>124</w:t>
            </w:r>
          </w:hyperlink>
        </w:p>
        <w:p>
          <w:pPr>
            <w:pStyle w:val="Contents4"/>
            <w:tabs>
              <w:tab w:val="clear" w:pos="8176"/>
              <w:tab w:val="right" w:pos="9026" w:leader="dot"/>
            </w:tabs>
            <w:rPr/>
          </w:pPr>
          <w:hyperlink w:anchor="__RefHeading___Toc935575_2870459653">
            <w:r>
              <w:rPr>
                <w:webHidden/>
                <w:rStyle w:val="IndexLink"/>
                <w:rtl w:val="true"/>
              </w:rPr>
              <w:t>ثانيًا</w:t>
            </w:r>
            <w:r>
              <w:rPr>
                <w:rStyle w:val="IndexLink"/>
                <w:rtl w:val="true"/>
              </w:rPr>
              <w:t xml:space="preserve">: </w:t>
            </w:r>
            <w:r>
              <w:rPr>
                <w:rStyle w:val="IndexLink"/>
                <w:rtl w:val="true"/>
              </w:rPr>
              <w:t>نقد المقالة</w:t>
            </w:r>
            <w:r>
              <w:rPr>
                <w:rStyle w:val="IndexLink"/>
                <w:rtl w:val="true"/>
              </w:rPr>
              <w:t>:</w:t>
              <w:tab/>
            </w:r>
            <w:r>
              <w:rPr>
                <w:rStyle w:val="IndexLink"/>
              </w:rPr>
              <w:t>127</w:t>
            </w:r>
          </w:hyperlink>
        </w:p>
        <w:p>
          <w:pPr>
            <w:pStyle w:val="Contents4"/>
            <w:tabs>
              <w:tab w:val="clear" w:pos="8176"/>
              <w:tab w:val="right" w:pos="9026" w:leader="dot"/>
            </w:tabs>
            <w:rPr/>
          </w:pPr>
          <w:hyperlink w:anchor="__RefHeading___Toc935577_2870459653">
            <w:r>
              <w:rPr>
                <w:webHidden/>
                <w:rStyle w:val="IndexLink"/>
                <w:rtl w:val="true"/>
              </w:rPr>
              <w:t>ثالثًا</w:t>
            </w:r>
            <w:r>
              <w:rPr>
                <w:rStyle w:val="IndexLink"/>
                <w:rtl w:val="true"/>
              </w:rPr>
              <w:t xml:space="preserve">: </w:t>
            </w:r>
            <w:r>
              <w:rPr>
                <w:rStyle w:val="IndexLink"/>
                <w:rtl w:val="true"/>
              </w:rPr>
              <w:t>القَسَم في القرآن</w:t>
            </w:r>
            <w:r>
              <w:rPr>
                <w:rStyle w:val="IndexLink"/>
                <w:rtl w:val="true"/>
              </w:rPr>
              <w:t>:</w:t>
              <w:tab/>
            </w:r>
            <w:r>
              <w:rPr>
                <w:rStyle w:val="IndexLink"/>
              </w:rPr>
              <w:t>143</w:t>
            </w:r>
          </w:hyperlink>
        </w:p>
        <w:p>
          <w:pPr>
            <w:pStyle w:val="Contents3"/>
            <w:tabs>
              <w:tab w:val="clear" w:pos="8459"/>
              <w:tab w:val="right" w:pos="9026" w:leader="dot"/>
            </w:tabs>
            <w:rPr/>
          </w:pPr>
          <w:hyperlink w:anchor="__RefHeading___Toc935579_2870459653">
            <w:r>
              <w:rPr>
                <w:webHidden/>
                <w:rStyle w:val="IndexLink"/>
                <w:rtl w:val="true"/>
              </w:rPr>
              <w:t>نظرية التناسب بين الآيات والسور</w:t>
            </w:r>
            <w:r>
              <w:rPr>
                <w:rStyle w:val="IndexLink"/>
                <w:rtl w:val="true"/>
              </w:rPr>
              <w:t>:</w:t>
              <w:tab/>
            </w:r>
            <w:r>
              <w:rPr>
                <w:rStyle w:val="IndexLink"/>
              </w:rPr>
              <w:t>148</w:t>
            </w:r>
          </w:hyperlink>
        </w:p>
        <w:p>
          <w:pPr>
            <w:pStyle w:val="Contents3"/>
            <w:tabs>
              <w:tab w:val="clear" w:pos="8459"/>
              <w:tab w:val="right" w:pos="9026" w:leader="dot"/>
            </w:tabs>
            <w:rPr/>
          </w:pPr>
          <w:hyperlink w:anchor="__RefHeading___Toc935581_2870459653">
            <w:r>
              <w:rPr>
                <w:webHidden/>
                <w:rStyle w:val="IndexLink"/>
                <w:rtl w:val="true"/>
              </w:rPr>
              <w:t>النقطة الثانية</w:t>
            </w:r>
            <w:r>
              <w:rPr>
                <w:rStyle w:val="IndexLink"/>
                <w:rtl w:val="true"/>
              </w:rPr>
              <w:t xml:space="preserve">: </w:t>
            </w:r>
            <w:r>
              <w:rPr>
                <w:rStyle w:val="IndexLink"/>
                <w:rtl w:val="true"/>
              </w:rPr>
              <w:t>القافية القرآنيّة</w:t>
            </w:r>
            <w:r>
              <w:rPr>
                <w:rStyle w:val="IndexLink"/>
                <w:rtl w:val="true"/>
              </w:rPr>
              <w:t>.</w:t>
              <w:tab/>
            </w:r>
            <w:r>
              <w:rPr>
                <w:rStyle w:val="IndexLink"/>
              </w:rPr>
              <w:t>153</w:t>
            </w:r>
          </w:hyperlink>
        </w:p>
        <w:p>
          <w:pPr>
            <w:pStyle w:val="Contents3"/>
            <w:tabs>
              <w:tab w:val="clear" w:pos="8459"/>
              <w:tab w:val="right" w:pos="9026" w:leader="dot"/>
            </w:tabs>
            <w:rPr/>
          </w:pPr>
          <w:hyperlink w:anchor="__RefHeading___Toc935583_2870459653">
            <w:r>
              <w:rPr>
                <w:webHidden/>
                <w:rStyle w:val="IndexLink"/>
                <w:rtl w:val="true"/>
              </w:rPr>
              <w:t>الثالثة</w:t>
            </w:r>
            <w:r>
              <w:rPr>
                <w:rStyle w:val="IndexLink"/>
                <w:rtl w:val="true"/>
              </w:rPr>
              <w:t xml:space="preserve">: </w:t>
            </w:r>
            <w:r>
              <w:rPr>
                <w:rStyle w:val="IndexLink"/>
                <w:rtl w:val="true"/>
              </w:rPr>
              <w:t>القسم في القرآن</w:t>
            </w:r>
            <w:r>
              <w:rPr>
                <w:rStyle w:val="IndexLink"/>
                <w:rtl w:val="true"/>
              </w:rPr>
              <w:t>:</w:t>
              <w:tab/>
            </w:r>
            <w:r>
              <w:rPr>
                <w:rStyle w:val="IndexLink"/>
              </w:rPr>
              <w:t>158</w:t>
            </w:r>
          </w:hyperlink>
        </w:p>
        <w:p>
          <w:pPr>
            <w:pStyle w:val="Contents3"/>
            <w:tabs>
              <w:tab w:val="clear" w:pos="8459"/>
              <w:tab w:val="right" w:pos="9026" w:leader="dot"/>
            </w:tabs>
            <w:rPr/>
          </w:pPr>
          <w:hyperlink w:anchor="__RefHeading___Toc935585_2870459653">
            <w:r>
              <w:rPr>
                <w:webHidden/>
                <w:rStyle w:val="IndexLink"/>
                <w:rtl w:val="true"/>
              </w:rPr>
              <w:t>المصادر و المراجع</w:t>
            </w:r>
            <w:r>
              <w:rPr>
                <w:rStyle w:val="IndexLink"/>
                <w:rtl w:val="true"/>
              </w:rPr>
              <w:tab/>
            </w:r>
            <w:r>
              <w:rPr>
                <w:rStyle w:val="IndexLink"/>
              </w:rPr>
              <w:t>161</w:t>
            </w:r>
          </w:hyperlink>
        </w:p>
        <w:p>
          <w:pPr>
            <w:pStyle w:val="Contents2"/>
            <w:tabs>
              <w:tab w:val="clear" w:pos="8743"/>
              <w:tab w:val="right" w:pos="9026" w:leader="dot"/>
            </w:tabs>
            <w:rPr/>
          </w:pPr>
          <w:hyperlink w:anchor="__RefHeading___Toc935587_2870459653">
            <w:r>
              <w:rPr>
                <w:webHidden/>
                <w:rStyle w:val="IndexLink"/>
                <w:rtl w:val="true"/>
              </w:rPr>
              <w:t xml:space="preserve">لغة القرآن وأسلوبه في موسوعة القرآن </w:t>
            </w:r>
            <w:r>
              <w:rPr>
                <w:rStyle w:val="IndexLink"/>
                <w:rtl w:val="true"/>
              </w:rPr>
              <w:t>(</w:t>
            </w:r>
            <w:r>
              <w:rPr>
                <w:rStyle w:val="IndexLink"/>
                <w:rtl w:val="true"/>
              </w:rPr>
              <w:t>ليدن</w:t>
            </w:r>
            <w:r>
              <w:rPr>
                <w:rStyle w:val="IndexLink"/>
                <w:rtl w:val="true"/>
              </w:rPr>
              <w:t xml:space="preserve">) </w:t>
            </w:r>
            <w:r>
              <w:rPr>
                <w:rStyle w:val="IndexLink"/>
                <w:rtl w:val="true"/>
              </w:rPr>
              <w:t>عرضًا ونقدًا</w:t>
            </w:r>
            <w:r>
              <w:rPr>
                <w:rStyle w:val="IndexLink"/>
                <w:rtl w:val="true"/>
              </w:rPr>
              <w:tab/>
            </w:r>
            <w:r>
              <w:rPr>
                <w:rStyle w:val="IndexLink"/>
              </w:rPr>
              <w:t>163</w:t>
            </w:r>
          </w:hyperlink>
        </w:p>
        <w:p>
          <w:pPr>
            <w:pStyle w:val="Contents3"/>
            <w:tabs>
              <w:tab w:val="clear" w:pos="8459"/>
              <w:tab w:val="right" w:pos="9026" w:leader="dot"/>
            </w:tabs>
            <w:rPr/>
          </w:pPr>
          <w:hyperlink w:anchor="__RefHeading___Toc935589_2870459653">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935591_2870459653">
            <w:r>
              <w:rPr>
                <w:webHidden/>
                <w:rStyle w:val="IndexLink"/>
                <w:rtl w:val="true"/>
              </w:rPr>
              <w:t>المقدّمة</w:t>
            </w:r>
            <w:r>
              <w:rPr>
                <w:rStyle w:val="IndexLink"/>
                <w:rtl w:val="true"/>
              </w:rPr>
              <w:tab/>
            </w:r>
            <w:r>
              <w:rPr>
                <w:rStyle w:val="IndexLink"/>
              </w:rPr>
              <w:t>163</w:t>
            </w:r>
          </w:hyperlink>
        </w:p>
        <w:p>
          <w:pPr>
            <w:pStyle w:val="Contents3"/>
            <w:tabs>
              <w:tab w:val="clear" w:pos="8459"/>
              <w:tab w:val="right" w:pos="9026" w:leader="dot"/>
            </w:tabs>
            <w:rPr/>
          </w:pPr>
          <w:hyperlink w:anchor="__RefHeading___Toc935593_2870459653">
            <w:r>
              <w:rPr>
                <w:webHidden/>
                <w:rStyle w:val="IndexLink"/>
                <w:rtl w:val="true"/>
              </w:rPr>
              <w:t xml:space="preserve">سبب اختيار مادة </w:t>
            </w:r>
            <w:r>
              <w:rPr>
                <w:rStyle w:val="IndexLink"/>
                <w:rtl w:val="true"/>
              </w:rPr>
              <w:t>«</w:t>
            </w:r>
            <w:r>
              <w:rPr>
                <w:rStyle w:val="IndexLink"/>
                <w:rtl w:val="true"/>
              </w:rPr>
              <w:t>لغة القرآن وأسلوبه</w:t>
            </w:r>
            <w:r>
              <w:rPr>
                <w:rStyle w:val="IndexLink"/>
                <w:rtl w:val="true"/>
              </w:rPr>
              <w:t xml:space="preserve">» </w:t>
            </w:r>
            <w:r>
              <w:rPr>
                <w:rStyle w:val="IndexLink"/>
                <w:rtl w:val="true"/>
              </w:rPr>
              <w:t>للنقد</w:t>
            </w:r>
            <w:r>
              <w:rPr>
                <w:rStyle w:val="IndexLink"/>
                <w:rtl w:val="true"/>
              </w:rPr>
              <w:tab/>
            </w:r>
            <w:r>
              <w:rPr>
                <w:rStyle w:val="IndexLink"/>
              </w:rPr>
              <w:t>165</w:t>
            </w:r>
          </w:hyperlink>
        </w:p>
        <w:p>
          <w:pPr>
            <w:pStyle w:val="Contents3"/>
            <w:tabs>
              <w:tab w:val="clear" w:pos="8459"/>
              <w:tab w:val="right" w:pos="9026" w:leader="dot"/>
            </w:tabs>
            <w:rPr/>
          </w:pPr>
          <w:hyperlink w:anchor="__RefHeading___Toc935595_2870459653">
            <w:r>
              <w:rPr>
                <w:webHidden/>
                <w:rStyle w:val="IndexLink"/>
                <w:rtl w:val="true"/>
              </w:rPr>
              <w:t>تساؤلات البحث</w:t>
            </w:r>
            <w:r>
              <w:rPr>
                <w:rStyle w:val="IndexLink"/>
                <w:rtl w:val="true"/>
              </w:rPr>
              <w:t>:</w:t>
              <w:tab/>
            </w:r>
            <w:r>
              <w:rPr>
                <w:rStyle w:val="IndexLink"/>
              </w:rPr>
              <w:t>166</w:t>
            </w:r>
          </w:hyperlink>
        </w:p>
        <w:p>
          <w:pPr>
            <w:pStyle w:val="Contents3"/>
            <w:tabs>
              <w:tab w:val="clear" w:pos="8459"/>
              <w:tab w:val="right" w:pos="9026" w:leader="dot"/>
            </w:tabs>
            <w:rPr/>
          </w:pPr>
          <w:hyperlink w:anchor="__RefHeading___Toc935597_2870459653">
            <w:r>
              <w:rPr>
                <w:webHidden/>
                <w:rStyle w:val="IndexLink"/>
                <w:rtl w:val="true"/>
              </w:rPr>
              <w:t>أهداف البحث</w:t>
            </w:r>
            <w:r>
              <w:rPr>
                <w:rStyle w:val="IndexLink"/>
                <w:rtl w:val="true"/>
              </w:rPr>
              <w:t>:</w:t>
              <w:tab/>
            </w:r>
            <w:r>
              <w:rPr>
                <w:rStyle w:val="IndexLink"/>
              </w:rPr>
              <w:t>166</w:t>
            </w:r>
          </w:hyperlink>
        </w:p>
        <w:p>
          <w:pPr>
            <w:pStyle w:val="Contents3"/>
            <w:tabs>
              <w:tab w:val="clear" w:pos="8459"/>
              <w:tab w:val="right" w:pos="9026" w:leader="dot"/>
            </w:tabs>
            <w:rPr/>
          </w:pPr>
          <w:hyperlink w:anchor="__RefHeading___Toc935599_2870459653">
            <w:r>
              <w:rPr>
                <w:webHidden/>
                <w:rStyle w:val="IndexLink"/>
                <w:rtl w:val="true"/>
              </w:rPr>
              <w:t>تبويب البحث</w:t>
            </w:r>
            <w:r>
              <w:rPr>
                <w:rStyle w:val="IndexLink"/>
                <w:rtl w:val="true"/>
              </w:rPr>
              <w:t>:</w:t>
              <w:tab/>
            </w:r>
            <w:r>
              <w:rPr>
                <w:rStyle w:val="IndexLink"/>
              </w:rPr>
              <w:t>166</w:t>
            </w:r>
          </w:hyperlink>
        </w:p>
        <w:p>
          <w:pPr>
            <w:pStyle w:val="Contents4"/>
            <w:tabs>
              <w:tab w:val="clear" w:pos="8176"/>
              <w:tab w:val="right" w:pos="9026" w:leader="dot"/>
            </w:tabs>
            <w:rPr/>
          </w:pPr>
          <w:hyperlink w:anchor="__RefHeading___Toc935601_2870459653">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935603_2870459653">
            <w:r>
              <w:rPr>
                <w:webHidden/>
                <w:rStyle w:val="IndexLink"/>
                <w:rtl w:val="true"/>
              </w:rPr>
              <w:t>أوّلًا</w:t>
            </w:r>
            <w:r>
              <w:rPr>
                <w:rStyle w:val="IndexLink"/>
                <w:rtl w:val="true"/>
              </w:rPr>
              <w:t xml:space="preserve">: </w:t>
            </w:r>
            <w:r>
              <w:rPr>
                <w:rStyle w:val="IndexLink"/>
                <w:rtl w:val="true"/>
              </w:rPr>
              <w:t>لغة القرآن وأسلوبه نظرة عامة</w:t>
            </w:r>
            <w:r>
              <w:rPr>
                <w:rStyle w:val="IndexLink"/>
                <w:rtl w:val="true"/>
              </w:rPr>
              <w:t>.</w:t>
              <w:tab/>
            </w:r>
            <w:r>
              <w:rPr>
                <w:rStyle w:val="IndexLink"/>
              </w:rPr>
              <w:t>167</w:t>
            </w:r>
          </w:hyperlink>
        </w:p>
        <w:p>
          <w:pPr>
            <w:pStyle w:val="Contents5"/>
            <w:tabs>
              <w:tab w:val="clear" w:pos="7892"/>
              <w:tab w:val="right" w:pos="9026" w:leader="dot"/>
            </w:tabs>
            <w:rPr/>
          </w:pPr>
          <w:hyperlink w:anchor="__RefHeading___Toc935605_2870459653">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935607_2870459653">
            <w:r>
              <w:rPr>
                <w:webHidden/>
                <w:rStyle w:val="IndexLink"/>
              </w:rPr>
              <w:t>1</w:t>
            </w:r>
            <w:r>
              <w:rPr>
                <w:rStyle w:val="IndexLink"/>
                <w:rtl w:val="true"/>
              </w:rPr>
              <w:t xml:space="preserve">. </w:t>
            </w:r>
            <w:r>
              <w:rPr>
                <w:rStyle w:val="IndexLink"/>
                <w:rtl w:val="true"/>
              </w:rPr>
              <w:t>مواقف عامّة متنوّعة حول لغة القرآن وأسلوبه</w:t>
            </w:r>
            <w:r>
              <w:rPr>
                <w:rStyle w:val="IndexLink"/>
                <w:rtl w:val="true"/>
              </w:rPr>
              <w:tab/>
            </w:r>
            <w:r>
              <w:rPr>
                <w:rStyle w:val="IndexLink"/>
              </w:rPr>
              <w:t>168</w:t>
            </w:r>
          </w:hyperlink>
        </w:p>
        <w:p>
          <w:pPr>
            <w:pStyle w:val="Contents5"/>
            <w:tabs>
              <w:tab w:val="clear" w:pos="7892"/>
              <w:tab w:val="right" w:pos="9026" w:leader="dot"/>
            </w:tabs>
            <w:rPr/>
          </w:pPr>
          <w:hyperlink w:anchor="__RefHeading___Toc935609_2870459653">
            <w:r>
              <w:rPr>
                <w:webHidden/>
                <w:rStyle w:val="IndexLink"/>
              </w:rPr>
              <w:t>2</w:t>
            </w:r>
            <w:r>
              <w:rPr>
                <w:rStyle w:val="IndexLink"/>
                <w:rtl w:val="true"/>
              </w:rPr>
              <w:t xml:space="preserve">. </w:t>
            </w:r>
            <w:r>
              <w:rPr>
                <w:rStyle w:val="IndexLink"/>
                <w:rtl w:val="true"/>
              </w:rPr>
              <w:t>التجاوزات النّحويّة</w:t>
            </w:r>
            <w:r>
              <w:rPr>
                <w:rStyle w:val="IndexLink"/>
                <w:rtl w:val="true"/>
              </w:rPr>
              <w:tab/>
            </w:r>
            <w:r>
              <w:rPr>
                <w:rStyle w:val="IndexLink"/>
              </w:rPr>
              <w:t>170</w:t>
            </w:r>
          </w:hyperlink>
        </w:p>
        <w:p>
          <w:pPr>
            <w:pStyle w:val="Contents5"/>
            <w:tabs>
              <w:tab w:val="clear" w:pos="7892"/>
              <w:tab w:val="right" w:pos="9026" w:leader="dot"/>
            </w:tabs>
            <w:rPr/>
          </w:pPr>
          <w:hyperlink w:anchor="__RefHeading___Toc935611_2870459653">
            <w:r>
              <w:rPr>
                <w:webHidden/>
                <w:rStyle w:val="IndexLink"/>
              </w:rPr>
              <w:t>3</w:t>
            </w:r>
            <w:r>
              <w:rPr>
                <w:rStyle w:val="IndexLink"/>
                <w:rtl w:val="true"/>
              </w:rPr>
              <w:t xml:space="preserve">. </w:t>
            </w:r>
            <w:r>
              <w:rPr>
                <w:rStyle w:val="IndexLink"/>
                <w:rtl w:val="true"/>
              </w:rPr>
              <w:t>أطروحة لاهوتيّة لغة القرآن</w:t>
            </w:r>
            <w:r>
              <w:rPr>
                <w:rStyle w:val="IndexLink"/>
                <w:rtl w:val="true"/>
              </w:rPr>
              <w:tab/>
            </w:r>
            <w:r>
              <w:rPr>
                <w:rStyle w:val="IndexLink"/>
              </w:rPr>
              <w:t>172</w:t>
            </w:r>
          </w:hyperlink>
        </w:p>
        <w:p>
          <w:pPr>
            <w:pStyle w:val="Contents4"/>
            <w:tabs>
              <w:tab w:val="clear" w:pos="8176"/>
              <w:tab w:val="right" w:pos="9026" w:leader="dot"/>
            </w:tabs>
            <w:rPr/>
          </w:pPr>
          <w:hyperlink w:anchor="__RefHeading___Toc935613_2870459653">
            <w:r>
              <w:rPr>
                <w:webHidden/>
                <w:rStyle w:val="IndexLink"/>
                <w:rtl w:val="true"/>
              </w:rPr>
              <w:t>ثانيًا</w:t>
            </w:r>
            <w:r>
              <w:rPr>
                <w:rStyle w:val="IndexLink"/>
                <w:rtl w:val="true"/>
              </w:rPr>
              <w:t xml:space="preserve">: </w:t>
            </w:r>
            <w:r>
              <w:rPr>
                <w:rStyle w:val="IndexLink"/>
                <w:rtl w:val="true"/>
              </w:rPr>
              <w:t>لغة القرآن بين التفوّق والإعجاز</w:t>
            </w:r>
            <w:r>
              <w:rPr>
                <w:rStyle w:val="IndexLink"/>
                <w:rtl w:val="true"/>
              </w:rPr>
              <w:t>.</w:t>
              <w:tab/>
            </w:r>
            <w:r>
              <w:rPr>
                <w:rStyle w:val="IndexLink"/>
              </w:rPr>
              <w:t>174</w:t>
            </w:r>
          </w:hyperlink>
        </w:p>
        <w:p>
          <w:pPr>
            <w:pStyle w:val="Contents5"/>
            <w:tabs>
              <w:tab w:val="clear" w:pos="7892"/>
              <w:tab w:val="right" w:pos="9026" w:leader="dot"/>
            </w:tabs>
            <w:rPr/>
          </w:pPr>
          <w:hyperlink w:anchor="__RefHeading___Toc935615_2870459653">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935617_2870459653">
            <w:r>
              <w:rPr>
                <w:webHidden/>
                <w:rStyle w:val="IndexLink"/>
              </w:rPr>
              <w:t>1</w:t>
            </w:r>
            <w:r>
              <w:rPr>
                <w:rStyle w:val="IndexLink"/>
                <w:rtl w:val="true"/>
              </w:rPr>
              <w:t xml:space="preserve">. </w:t>
            </w:r>
            <w:r>
              <w:rPr>
                <w:rStyle w:val="IndexLink"/>
                <w:rtl w:val="true"/>
              </w:rPr>
              <w:t>لغة القرآن وأسلوبه</w:t>
            </w:r>
            <w:r>
              <w:rPr>
                <w:rStyle w:val="IndexLink"/>
                <w:rtl w:val="true"/>
              </w:rPr>
              <w:t>:</w:t>
              <w:tab/>
            </w:r>
            <w:r>
              <w:rPr>
                <w:rStyle w:val="IndexLink"/>
              </w:rPr>
              <w:t>174</w:t>
            </w:r>
          </w:hyperlink>
        </w:p>
        <w:p>
          <w:pPr>
            <w:pStyle w:val="Contents5"/>
            <w:tabs>
              <w:tab w:val="clear" w:pos="7892"/>
              <w:tab w:val="right" w:pos="9026" w:leader="dot"/>
            </w:tabs>
            <w:rPr/>
          </w:pPr>
          <w:hyperlink w:anchor="__RefHeading___Toc935619_2870459653">
            <w:r>
              <w:rPr>
                <w:webHidden/>
                <w:rStyle w:val="IndexLink"/>
              </w:rPr>
              <w:t>2</w:t>
            </w:r>
            <w:r>
              <w:rPr>
                <w:rStyle w:val="IndexLink"/>
                <w:rtl w:val="true"/>
              </w:rPr>
              <w:t xml:space="preserve">. </w:t>
            </w:r>
            <w:r>
              <w:rPr>
                <w:rStyle w:val="IndexLink"/>
                <w:rtl w:val="true"/>
              </w:rPr>
              <w:t>سبب اختلاف القراءات</w:t>
            </w:r>
            <w:r>
              <w:rPr>
                <w:rStyle w:val="IndexLink"/>
                <w:rtl w:val="true"/>
              </w:rPr>
              <w:tab/>
            </w:r>
            <w:r>
              <w:rPr>
                <w:rStyle w:val="IndexLink"/>
              </w:rPr>
              <w:t>179</w:t>
            </w:r>
          </w:hyperlink>
        </w:p>
        <w:p>
          <w:pPr>
            <w:pStyle w:val="Contents5"/>
            <w:tabs>
              <w:tab w:val="clear" w:pos="7892"/>
              <w:tab w:val="right" w:pos="9026" w:leader="dot"/>
            </w:tabs>
            <w:rPr/>
          </w:pPr>
          <w:hyperlink w:anchor="__RefHeading___Toc935621_2870459653">
            <w:r>
              <w:rPr>
                <w:webHidden/>
                <w:rStyle w:val="IndexLink"/>
              </w:rPr>
              <w:t>3</w:t>
            </w:r>
            <w:r>
              <w:rPr>
                <w:rStyle w:val="IndexLink"/>
                <w:rtl w:val="true"/>
              </w:rPr>
              <w:t xml:space="preserve">. </w:t>
            </w:r>
            <w:r>
              <w:rPr>
                <w:rStyle w:val="IndexLink"/>
                <w:rtl w:val="true"/>
              </w:rPr>
              <w:t>تفوّق اللّغة العربيّة وامتياز لغة القرآن</w:t>
            </w:r>
            <w:r>
              <w:rPr>
                <w:rStyle w:val="IndexLink"/>
                <w:rtl w:val="true"/>
              </w:rPr>
              <w:t>:</w:t>
              <w:tab/>
            </w:r>
            <w:r>
              <w:rPr>
                <w:rStyle w:val="IndexLink"/>
              </w:rPr>
              <w:t>180</w:t>
            </w:r>
          </w:hyperlink>
        </w:p>
        <w:p>
          <w:pPr>
            <w:pStyle w:val="Contents5"/>
            <w:tabs>
              <w:tab w:val="clear" w:pos="7892"/>
              <w:tab w:val="right" w:pos="9026" w:leader="dot"/>
            </w:tabs>
            <w:rPr/>
          </w:pPr>
          <w:hyperlink w:anchor="__RefHeading___Toc935623_2870459653">
            <w:r>
              <w:rPr>
                <w:webHidden/>
                <w:rStyle w:val="IndexLink"/>
              </w:rPr>
              <w:t>4</w:t>
            </w:r>
            <w:r>
              <w:rPr>
                <w:rStyle w:val="IndexLink"/>
                <w:rtl w:val="true"/>
              </w:rPr>
              <w:t xml:space="preserve">. </w:t>
            </w:r>
            <w:r>
              <w:rPr>
                <w:rStyle w:val="IndexLink"/>
                <w:rtl w:val="true"/>
              </w:rPr>
              <w:t>آيات الإعجاز</w:t>
            </w:r>
            <w:r>
              <w:rPr>
                <w:rStyle w:val="IndexLink"/>
                <w:rtl w:val="true"/>
              </w:rPr>
              <w:tab/>
            </w:r>
            <w:r>
              <w:rPr>
                <w:rStyle w:val="IndexLink"/>
              </w:rPr>
              <w:t>181</w:t>
            </w:r>
          </w:hyperlink>
        </w:p>
        <w:p>
          <w:pPr>
            <w:pStyle w:val="Contents5"/>
            <w:tabs>
              <w:tab w:val="clear" w:pos="7892"/>
              <w:tab w:val="right" w:pos="9026" w:leader="dot"/>
            </w:tabs>
            <w:rPr/>
          </w:pPr>
          <w:hyperlink w:anchor="__RefHeading___Toc935625_2870459653">
            <w:r>
              <w:rPr>
                <w:webHidden/>
                <w:rStyle w:val="IndexLink"/>
              </w:rPr>
              <w:t>5</w:t>
            </w:r>
            <w:r>
              <w:rPr>
                <w:rStyle w:val="IndexLink"/>
                <w:rtl w:val="true"/>
              </w:rPr>
              <w:t xml:space="preserve">. </w:t>
            </w:r>
            <w:r>
              <w:rPr>
                <w:rStyle w:val="IndexLink"/>
                <w:rtl w:val="true"/>
              </w:rPr>
              <w:t>الترتيل مشكلةٌ أهو اسمٌ أصليٌّ أم اسمٌ مستعارٌ؟</w:t>
            </w:r>
            <w:r>
              <w:rPr>
                <w:rStyle w:val="IndexLink"/>
                <w:rtl w:val="true"/>
              </w:rPr>
              <w:tab/>
            </w:r>
            <w:r>
              <w:rPr>
                <w:rStyle w:val="IndexLink"/>
              </w:rPr>
              <w:t>182</w:t>
            </w:r>
          </w:hyperlink>
        </w:p>
        <w:p>
          <w:pPr>
            <w:pStyle w:val="Contents4"/>
            <w:tabs>
              <w:tab w:val="clear" w:pos="8176"/>
              <w:tab w:val="right" w:pos="9026" w:leader="dot"/>
            </w:tabs>
            <w:rPr/>
          </w:pPr>
          <w:hyperlink w:anchor="__RefHeading___Toc935627_2870459653">
            <w:r>
              <w:rPr>
                <w:webHidden/>
                <w:rStyle w:val="IndexLink"/>
                <w:rtl w:val="true"/>
              </w:rPr>
              <w:t>ثالثًا</w:t>
            </w:r>
            <w:r>
              <w:rPr>
                <w:rStyle w:val="IndexLink"/>
                <w:rtl w:val="true"/>
              </w:rPr>
              <w:t xml:space="preserve">: </w:t>
            </w:r>
            <w:r>
              <w:rPr>
                <w:rStyle w:val="IndexLink"/>
                <w:rtl w:val="true"/>
              </w:rPr>
              <w:t>فرضيات المستشرقين حول لغة القرآن</w:t>
            </w:r>
            <w:r>
              <w:rPr>
                <w:rStyle w:val="IndexLink"/>
                <w:rtl w:val="true"/>
              </w:rPr>
              <w:t>:</w:t>
              <w:tab/>
            </w:r>
            <w:r>
              <w:rPr>
                <w:rStyle w:val="IndexLink"/>
              </w:rPr>
              <w:t>185</w:t>
            </w:r>
          </w:hyperlink>
        </w:p>
        <w:p>
          <w:pPr>
            <w:pStyle w:val="Contents5"/>
            <w:tabs>
              <w:tab w:val="clear" w:pos="7892"/>
              <w:tab w:val="right" w:pos="9026" w:leader="dot"/>
            </w:tabs>
            <w:rPr/>
          </w:pPr>
          <w:hyperlink w:anchor="__RefHeading___Toc935629_2870459653">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935631_2870459653">
            <w:r>
              <w:rPr>
                <w:webHidden/>
                <w:rStyle w:val="IndexLink"/>
              </w:rPr>
              <w:t>1</w:t>
            </w:r>
            <w:r>
              <w:rPr>
                <w:rStyle w:val="IndexLink"/>
                <w:rtl w:val="true"/>
              </w:rPr>
              <w:t xml:space="preserve">. </w:t>
            </w:r>
            <w:r>
              <w:rPr>
                <w:rStyle w:val="IndexLink"/>
                <w:rtl w:val="true"/>
              </w:rPr>
              <w:t>الكلمات الأجنبيّة</w:t>
            </w:r>
            <w:r>
              <w:rPr>
                <w:rStyle w:val="IndexLink"/>
                <w:rtl w:val="true"/>
              </w:rPr>
              <w:t>:</w:t>
              <w:tab/>
            </w:r>
            <w:r>
              <w:rPr>
                <w:rStyle w:val="IndexLink"/>
              </w:rPr>
              <w:t>185</w:t>
            </w:r>
          </w:hyperlink>
        </w:p>
        <w:p>
          <w:pPr>
            <w:pStyle w:val="Contents5"/>
            <w:tabs>
              <w:tab w:val="clear" w:pos="7892"/>
              <w:tab w:val="right" w:pos="9026" w:leader="dot"/>
            </w:tabs>
            <w:rPr/>
          </w:pPr>
          <w:hyperlink w:anchor="__RefHeading___Toc935633_2870459653">
            <w:r>
              <w:rPr>
                <w:webHidden/>
                <w:rStyle w:val="IndexLink"/>
              </w:rPr>
              <w:t>2</w:t>
            </w:r>
            <w:r>
              <w:rPr>
                <w:rStyle w:val="IndexLink"/>
                <w:rtl w:val="true"/>
              </w:rPr>
              <w:t xml:space="preserve">. </w:t>
            </w:r>
            <w:r>
              <w:rPr>
                <w:rStyle w:val="IndexLink"/>
                <w:rtl w:val="true"/>
              </w:rPr>
              <w:t>مشاكل قواعد لغة القرآن</w:t>
            </w:r>
            <w:r>
              <w:rPr>
                <w:rStyle w:val="IndexLink"/>
                <w:rtl w:val="true"/>
              </w:rPr>
              <w:tab/>
            </w:r>
            <w:r>
              <w:rPr>
                <w:rStyle w:val="IndexLink"/>
              </w:rPr>
              <w:t>185</w:t>
            </w:r>
          </w:hyperlink>
        </w:p>
        <w:p>
          <w:pPr>
            <w:pStyle w:val="Contents4"/>
            <w:tabs>
              <w:tab w:val="clear" w:pos="8176"/>
              <w:tab w:val="right" w:pos="9026" w:leader="dot"/>
            </w:tabs>
            <w:rPr/>
          </w:pPr>
          <w:hyperlink w:anchor="__RefHeading___Toc935635_2870459653">
            <w:r>
              <w:rPr>
                <w:webHidden/>
                <w:rStyle w:val="IndexLink"/>
                <w:rtl w:val="true"/>
              </w:rPr>
              <w:t>فرضيات المستعربين</w:t>
            </w:r>
            <w:r>
              <w:rPr>
                <w:rStyle w:val="IndexLink"/>
                <w:rtl w:val="true"/>
              </w:rPr>
              <w:tab/>
            </w:r>
            <w:r>
              <w:rPr>
                <w:rStyle w:val="IndexLink"/>
              </w:rPr>
              <w:t>188</w:t>
            </w:r>
          </w:hyperlink>
        </w:p>
        <w:p>
          <w:pPr>
            <w:pStyle w:val="Contents3"/>
            <w:tabs>
              <w:tab w:val="clear" w:pos="8459"/>
              <w:tab w:val="right" w:pos="9026" w:leader="dot"/>
            </w:tabs>
            <w:rPr/>
          </w:pPr>
          <w:hyperlink w:anchor="__RefHeading___Toc935637_2870459653">
            <w:r>
              <w:rPr>
                <w:webHidden/>
                <w:rStyle w:val="IndexLink"/>
                <w:rtl w:val="true"/>
              </w:rPr>
              <w:t>المصادر والمراجع</w:t>
            </w:r>
            <w:r>
              <w:rPr>
                <w:rStyle w:val="IndexLink"/>
                <w:rtl w:val="true"/>
              </w:rPr>
              <w:tab/>
            </w:r>
            <w:r>
              <w:rPr>
                <w:rStyle w:val="IndexLink"/>
              </w:rPr>
              <w:t>198</w:t>
            </w:r>
          </w:hyperlink>
        </w:p>
        <w:p>
          <w:pPr>
            <w:pStyle w:val="Contents2"/>
            <w:tabs>
              <w:tab w:val="clear" w:pos="8743"/>
              <w:tab w:val="right" w:pos="9026" w:leader="dot"/>
            </w:tabs>
            <w:rPr/>
          </w:pPr>
          <w:hyperlink w:anchor="__RefHeading___Toc935639_2870459653">
            <w:r>
              <w:rPr>
                <w:webHidden/>
                <w:rStyle w:val="IndexLink"/>
                <w:rtl w:val="true"/>
              </w:rPr>
              <w:t>اضطراب نصّ القرآن في كلمات أنجليكانويفيرت</w:t>
            </w:r>
            <w:r>
              <w:rPr>
                <w:rStyle w:val="IndexLink"/>
                <w:rtl w:val="true"/>
              </w:rPr>
              <w:tab/>
            </w:r>
            <w:r>
              <w:rPr>
                <w:rStyle w:val="IndexLink"/>
              </w:rPr>
              <w:t>201</w:t>
            </w:r>
          </w:hyperlink>
        </w:p>
        <w:p>
          <w:pPr>
            <w:pStyle w:val="Contents3"/>
            <w:tabs>
              <w:tab w:val="clear" w:pos="8459"/>
              <w:tab w:val="right" w:pos="9026" w:leader="dot"/>
            </w:tabs>
            <w:rPr/>
          </w:pPr>
          <w:hyperlink w:anchor="__RefHeading___Toc935641_2870459653">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935643_2870459653">
            <w:r>
              <w:rPr>
                <w:webHidden/>
                <w:rStyle w:val="IndexLink"/>
                <w:rtl w:val="true"/>
              </w:rPr>
              <w:t>الخلاصة</w:t>
            </w:r>
            <w:r>
              <w:rPr>
                <w:rStyle w:val="IndexLink"/>
                <w:rtl w:val="true"/>
              </w:rPr>
              <w:tab/>
            </w:r>
            <w:r>
              <w:rPr>
                <w:rStyle w:val="IndexLink"/>
              </w:rPr>
              <w:t>201</w:t>
            </w:r>
          </w:hyperlink>
        </w:p>
        <w:p>
          <w:pPr>
            <w:pStyle w:val="Contents3"/>
            <w:tabs>
              <w:tab w:val="clear" w:pos="8459"/>
              <w:tab w:val="right" w:pos="9026" w:leader="dot"/>
            </w:tabs>
            <w:rPr/>
          </w:pPr>
          <w:hyperlink w:anchor="__RefHeading___Toc935645_2870459653">
            <w:r>
              <w:rPr>
                <w:webHidden/>
                <w:rStyle w:val="IndexLink"/>
                <w:rtl w:val="true"/>
              </w:rPr>
              <w:t>موضوع البحث</w:t>
            </w:r>
            <w:r>
              <w:rPr>
                <w:rStyle w:val="IndexLink"/>
                <w:rtl w:val="true"/>
              </w:rPr>
              <w:tab/>
            </w:r>
            <w:r>
              <w:rPr>
                <w:rStyle w:val="IndexLink"/>
              </w:rPr>
              <w:t>202</w:t>
            </w:r>
          </w:hyperlink>
        </w:p>
        <w:p>
          <w:pPr>
            <w:pStyle w:val="Contents4"/>
            <w:tabs>
              <w:tab w:val="clear" w:pos="8176"/>
              <w:tab w:val="right" w:pos="9026" w:leader="dot"/>
            </w:tabs>
            <w:rPr/>
          </w:pPr>
          <w:hyperlink w:anchor="__RefHeading___Toc935647_2870459653">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935649_2870459653">
            <w:r>
              <w:rPr>
                <w:webHidden/>
                <w:rStyle w:val="IndexLink"/>
                <w:rtl w:val="true"/>
              </w:rPr>
              <w:t>البحث عن الانسجام الدّلاليّ بحثٌ شموليٌّ</w:t>
            </w:r>
            <w:r>
              <w:rPr>
                <w:rStyle w:val="IndexLink"/>
                <w:rtl w:val="true"/>
              </w:rPr>
              <w:tab/>
            </w:r>
            <w:r>
              <w:rPr>
                <w:rStyle w:val="IndexLink"/>
              </w:rPr>
              <w:t>204</w:t>
            </w:r>
          </w:hyperlink>
        </w:p>
        <w:p>
          <w:pPr>
            <w:pStyle w:val="Contents5"/>
            <w:tabs>
              <w:tab w:val="clear" w:pos="7892"/>
              <w:tab w:val="right" w:pos="9026" w:leader="dot"/>
            </w:tabs>
            <w:rPr/>
          </w:pPr>
          <w:hyperlink w:anchor="__RefHeading___Toc935651_2870459653">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935653_2870459653">
            <w:r>
              <w:rPr>
                <w:webHidden/>
                <w:rStyle w:val="IndexLink"/>
                <w:rtl w:val="true"/>
              </w:rPr>
              <w:t>أوّلًا</w:t>
            </w:r>
            <w:r>
              <w:rPr>
                <w:rStyle w:val="IndexLink"/>
                <w:rtl w:val="true"/>
              </w:rPr>
              <w:t xml:space="preserve">: </w:t>
            </w:r>
            <w:r>
              <w:rPr>
                <w:rStyle w:val="IndexLink"/>
                <w:rtl w:val="true"/>
              </w:rPr>
              <w:t>اصطلاحات البحث</w:t>
            </w:r>
            <w:r>
              <w:rPr>
                <w:rStyle w:val="IndexLink"/>
                <w:rtl w:val="true"/>
              </w:rPr>
              <w:tab/>
            </w:r>
            <w:r>
              <w:rPr>
                <w:rStyle w:val="IndexLink"/>
              </w:rPr>
              <w:t>205</w:t>
            </w:r>
          </w:hyperlink>
        </w:p>
        <w:p>
          <w:pPr>
            <w:pStyle w:val="Contents6"/>
            <w:tabs>
              <w:tab w:val="clear" w:pos="7609"/>
              <w:tab w:val="right" w:pos="9026" w:leader="dot"/>
            </w:tabs>
            <w:rPr/>
          </w:pPr>
          <w:hyperlink w:anchor="__RefHeading___Toc935655_2870459653">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935657_2870459653">
            <w:r>
              <w:rPr>
                <w:webHidden/>
                <w:rStyle w:val="IndexLink"/>
                <w:rtl w:val="true"/>
              </w:rPr>
              <w:t>القرآن نصٌّ أم خطابٌ؟</w:t>
            </w:r>
            <w:r>
              <w:rPr>
                <w:rStyle w:val="IndexLink"/>
                <w:rtl w:val="true"/>
              </w:rPr>
              <w:tab/>
            </w:r>
            <w:r>
              <w:rPr>
                <w:rStyle w:val="IndexLink"/>
              </w:rPr>
              <w:t>206</w:t>
            </w:r>
          </w:hyperlink>
        </w:p>
        <w:p>
          <w:pPr>
            <w:pStyle w:val="Contents5"/>
            <w:tabs>
              <w:tab w:val="clear" w:pos="7892"/>
              <w:tab w:val="right" w:pos="9026" w:leader="dot"/>
            </w:tabs>
            <w:rPr/>
          </w:pPr>
          <w:hyperlink w:anchor="__RefHeading___Toc935659_2870459653">
            <w:r>
              <w:rPr>
                <w:webHidden/>
                <w:rStyle w:val="IndexLink"/>
                <w:rtl w:val="true"/>
              </w:rPr>
              <w:t>ثانيًا</w:t>
            </w:r>
            <w:r>
              <w:rPr>
                <w:rStyle w:val="IndexLink"/>
                <w:rtl w:val="true"/>
              </w:rPr>
              <w:t xml:space="preserve">: </w:t>
            </w:r>
            <w:r>
              <w:rPr>
                <w:rStyle w:val="IndexLink"/>
                <w:rtl w:val="true"/>
              </w:rPr>
              <w:t>شبهة اضطراب النّصّ القرآنيّ</w:t>
            </w:r>
            <w:r>
              <w:rPr>
                <w:rStyle w:val="IndexLink"/>
                <w:rtl w:val="true"/>
              </w:rPr>
              <w:tab/>
            </w:r>
            <w:r>
              <w:rPr>
                <w:rStyle w:val="IndexLink"/>
              </w:rPr>
              <w:t>210</w:t>
            </w:r>
          </w:hyperlink>
        </w:p>
        <w:p>
          <w:pPr>
            <w:pStyle w:val="Contents6"/>
            <w:tabs>
              <w:tab w:val="clear" w:pos="7609"/>
              <w:tab w:val="right" w:pos="9026" w:leader="dot"/>
            </w:tabs>
            <w:rPr/>
          </w:pPr>
          <w:hyperlink w:anchor="__RefHeading___Toc935661_2870459653">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935663_2870459653">
            <w:r>
              <w:rPr>
                <w:webHidden/>
                <w:rStyle w:val="IndexLink"/>
                <w:rtl w:val="true"/>
              </w:rPr>
              <w:t>الرّوايات التي أشارت للشّبهة</w:t>
            </w:r>
            <w:r>
              <w:rPr>
                <w:rStyle w:val="IndexLink"/>
                <w:rtl w:val="true"/>
              </w:rPr>
              <w:tab/>
            </w:r>
            <w:r>
              <w:rPr>
                <w:rStyle w:val="IndexLink"/>
              </w:rPr>
              <w:t>211</w:t>
            </w:r>
          </w:hyperlink>
        </w:p>
        <w:p>
          <w:pPr>
            <w:pStyle w:val="Contents6"/>
            <w:tabs>
              <w:tab w:val="clear" w:pos="7609"/>
              <w:tab w:val="right" w:pos="9026" w:leader="dot"/>
            </w:tabs>
            <w:rPr/>
          </w:pPr>
          <w:hyperlink w:anchor="__RefHeading___Toc935665_2870459653">
            <w:r>
              <w:rPr>
                <w:webHidden/>
                <w:rStyle w:val="IndexLink"/>
                <w:rtl w:val="true"/>
              </w:rPr>
              <w:t>كلمات العلماء في الشّبهة</w:t>
            </w:r>
            <w:r>
              <w:rPr>
                <w:rStyle w:val="IndexLink"/>
                <w:rtl w:val="true"/>
              </w:rPr>
              <w:tab/>
            </w:r>
            <w:r>
              <w:rPr>
                <w:rStyle w:val="IndexLink"/>
              </w:rPr>
              <w:t>212</w:t>
            </w:r>
          </w:hyperlink>
        </w:p>
        <w:p>
          <w:pPr>
            <w:pStyle w:val="Contents6"/>
            <w:tabs>
              <w:tab w:val="clear" w:pos="7609"/>
              <w:tab w:val="right" w:pos="9026" w:leader="dot"/>
            </w:tabs>
            <w:rPr/>
          </w:pPr>
          <w:hyperlink w:anchor="__RefHeading___Toc935667_2870459653">
            <w:r>
              <w:rPr>
                <w:webHidden/>
                <w:rStyle w:val="IndexLink"/>
                <w:rtl w:val="true"/>
              </w:rPr>
              <w:t>ويذكر موردًا آخر بقوله</w:t>
            </w:r>
            <w:r>
              <w:rPr>
                <w:rStyle w:val="IndexLink"/>
                <w:rtl w:val="true"/>
              </w:rPr>
              <w:t>:</w:t>
              <w:tab/>
            </w:r>
            <w:r>
              <w:rPr>
                <w:rStyle w:val="IndexLink"/>
              </w:rPr>
              <w:t>213</w:t>
            </w:r>
          </w:hyperlink>
        </w:p>
        <w:p>
          <w:pPr>
            <w:pStyle w:val="Contents6"/>
            <w:tabs>
              <w:tab w:val="clear" w:pos="7609"/>
              <w:tab w:val="right" w:pos="9026" w:leader="dot"/>
            </w:tabs>
            <w:rPr/>
          </w:pPr>
          <w:hyperlink w:anchor="__RefHeading___Toc935669_2870459653">
            <w:r>
              <w:rPr>
                <w:webHidden/>
                <w:rStyle w:val="IndexLink"/>
                <w:rtl w:val="true"/>
              </w:rPr>
              <w:t xml:space="preserve">وفي مقال </w:t>
            </w:r>
            <w:r>
              <w:rPr>
                <w:rStyle w:val="IndexLink"/>
                <w:rtl w:val="true"/>
              </w:rPr>
              <w:t>(</w:t>
            </w:r>
            <w:r>
              <w:rPr>
                <w:rStyle w:val="IndexLink"/>
              </w:rPr>
              <w:t>Verse</w:t>
            </w:r>
            <w:r>
              <w:rPr>
                <w:rStyle w:val="IndexLink"/>
                <w:rtl w:val="true"/>
              </w:rPr>
              <w:t>)</w:t>
              <w:tab/>
            </w:r>
            <w:r>
              <w:rPr>
                <w:rStyle w:val="IndexLink"/>
              </w:rPr>
              <w:t>223</w:t>
            </w:r>
          </w:hyperlink>
        </w:p>
        <w:p>
          <w:pPr>
            <w:pStyle w:val="Contents5"/>
            <w:tabs>
              <w:tab w:val="clear" w:pos="7892"/>
              <w:tab w:val="right" w:pos="9026" w:leader="dot"/>
            </w:tabs>
            <w:rPr/>
          </w:pPr>
          <w:hyperlink w:anchor="__RefHeading___Toc935671_2870459653">
            <w:r>
              <w:rPr>
                <w:webHidden/>
                <w:rStyle w:val="IndexLink"/>
                <w:rtl w:val="true"/>
              </w:rPr>
              <w:t>ثالثًا</w:t>
            </w:r>
            <w:r>
              <w:rPr>
                <w:rStyle w:val="IndexLink"/>
                <w:rtl w:val="true"/>
              </w:rPr>
              <w:t xml:space="preserve">: </w:t>
            </w:r>
            <w:r>
              <w:rPr>
                <w:rStyle w:val="IndexLink"/>
                <w:rtl w:val="true"/>
              </w:rPr>
              <w:t>إجابات على شبهة اضطراب النّص</w:t>
            </w:r>
            <w:r>
              <w:rPr>
                <w:rStyle w:val="IndexLink"/>
                <w:rtl w:val="true"/>
              </w:rPr>
              <w:tab/>
            </w:r>
            <w:r>
              <w:rPr>
                <w:rStyle w:val="IndexLink"/>
              </w:rPr>
              <w:t>223</w:t>
            </w:r>
          </w:hyperlink>
        </w:p>
        <w:p>
          <w:pPr>
            <w:pStyle w:val="Contents6"/>
            <w:tabs>
              <w:tab w:val="clear" w:pos="7609"/>
              <w:tab w:val="right" w:pos="9026" w:leader="dot"/>
            </w:tabs>
            <w:rPr/>
          </w:pPr>
          <w:hyperlink w:anchor="__RefHeading___Toc935673_2870459653">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935675_2870459653">
            <w:r>
              <w:rPr>
                <w:webHidden/>
                <w:rStyle w:val="IndexLink"/>
              </w:rPr>
              <w:t>1</w:t>
            </w:r>
            <w:r>
              <w:rPr>
                <w:rStyle w:val="IndexLink"/>
                <w:rtl w:val="true"/>
              </w:rPr>
              <w:t xml:space="preserve">. </w:t>
            </w:r>
            <w:r>
              <w:rPr>
                <w:rStyle w:val="IndexLink"/>
                <w:rtl w:val="true"/>
              </w:rPr>
              <w:t>ملاحظات على مقولات انجليكا نويفيرت</w:t>
            </w:r>
            <w:r>
              <w:rPr>
                <w:rStyle w:val="IndexLink"/>
                <w:rtl w:val="true"/>
              </w:rPr>
              <w:tab/>
            </w:r>
            <w:r>
              <w:rPr>
                <w:rStyle w:val="IndexLink"/>
              </w:rPr>
              <w:t>223</w:t>
            </w:r>
          </w:hyperlink>
        </w:p>
        <w:p>
          <w:pPr>
            <w:pStyle w:val="Contents6"/>
            <w:tabs>
              <w:tab w:val="clear" w:pos="7609"/>
              <w:tab w:val="right" w:pos="9026" w:leader="dot"/>
            </w:tabs>
            <w:rPr/>
          </w:pPr>
          <w:hyperlink w:anchor="__RefHeading___Toc935677_2870459653">
            <w:r>
              <w:rPr>
                <w:webHidden/>
                <w:rStyle w:val="IndexLink"/>
              </w:rPr>
              <w:t>2</w:t>
            </w:r>
            <w:r>
              <w:rPr>
                <w:rStyle w:val="IndexLink"/>
                <w:rtl w:val="true"/>
              </w:rPr>
              <w:t xml:space="preserve">. </w:t>
            </w:r>
            <w:r>
              <w:rPr>
                <w:rStyle w:val="IndexLink"/>
                <w:rtl w:val="true"/>
              </w:rPr>
              <w:t>موضوع التّناسب في القرآن</w:t>
            </w:r>
            <w:r>
              <w:rPr>
                <w:rStyle w:val="IndexLink"/>
                <w:rtl w:val="true"/>
              </w:rPr>
              <w:tab/>
            </w:r>
            <w:r>
              <w:rPr>
                <w:rStyle w:val="IndexLink"/>
              </w:rPr>
              <w:t>225</w:t>
            </w:r>
          </w:hyperlink>
        </w:p>
        <w:p>
          <w:pPr>
            <w:pStyle w:val="Contents6"/>
            <w:tabs>
              <w:tab w:val="clear" w:pos="7609"/>
              <w:tab w:val="right" w:pos="9026" w:leader="dot"/>
            </w:tabs>
            <w:rPr/>
          </w:pPr>
          <w:hyperlink w:anchor="__RefHeading___Toc935679_2870459653">
            <w:r>
              <w:rPr>
                <w:webHidden/>
                <w:rStyle w:val="IndexLink"/>
              </w:rPr>
              <w:t>3</w:t>
            </w:r>
            <w:r>
              <w:rPr>
                <w:rStyle w:val="IndexLink"/>
                <w:rtl w:val="true"/>
              </w:rPr>
              <w:t xml:space="preserve">. </w:t>
            </w:r>
            <w:r>
              <w:rPr>
                <w:rStyle w:val="IndexLink"/>
                <w:rtl w:val="true"/>
              </w:rPr>
              <w:t>عدم اختصاص الشّبهة بالقرآن</w:t>
            </w:r>
            <w:r>
              <w:rPr>
                <w:rStyle w:val="IndexLink"/>
                <w:rtl w:val="true"/>
              </w:rPr>
              <w:tab/>
            </w:r>
            <w:r>
              <w:rPr>
                <w:rStyle w:val="IndexLink"/>
              </w:rPr>
              <w:t>225</w:t>
            </w:r>
          </w:hyperlink>
        </w:p>
        <w:p>
          <w:pPr>
            <w:pStyle w:val="Contents6"/>
            <w:tabs>
              <w:tab w:val="clear" w:pos="7609"/>
              <w:tab w:val="right" w:pos="9026" w:leader="dot"/>
            </w:tabs>
            <w:rPr/>
          </w:pPr>
          <w:hyperlink w:anchor="__RefHeading___Toc935681_2870459653">
            <w:r>
              <w:rPr>
                <w:webHidden/>
                <w:rStyle w:val="IndexLink"/>
              </w:rPr>
              <w:t>4</w:t>
            </w:r>
            <w:r>
              <w:rPr>
                <w:rStyle w:val="IndexLink"/>
                <w:rtl w:val="true"/>
              </w:rPr>
              <w:t xml:space="preserve">. </w:t>
            </w:r>
            <w:r>
              <w:rPr>
                <w:rStyle w:val="IndexLink"/>
                <w:rtl w:val="true"/>
              </w:rPr>
              <w:t>جزئيّة شبهة اضطراب النّصّ</w:t>
            </w:r>
            <w:r>
              <w:rPr>
                <w:rStyle w:val="IndexLink"/>
                <w:rtl w:val="true"/>
              </w:rPr>
              <w:tab/>
            </w:r>
            <w:r>
              <w:rPr>
                <w:rStyle w:val="IndexLink"/>
              </w:rPr>
              <w:t>226</w:t>
            </w:r>
          </w:hyperlink>
        </w:p>
        <w:p>
          <w:pPr>
            <w:pStyle w:val="Contents6"/>
            <w:tabs>
              <w:tab w:val="clear" w:pos="7609"/>
              <w:tab w:val="right" w:pos="9026" w:leader="dot"/>
            </w:tabs>
            <w:rPr/>
          </w:pPr>
          <w:hyperlink w:anchor="__RefHeading___Toc935683_2870459653">
            <w:r>
              <w:rPr>
                <w:webHidden/>
                <w:rStyle w:val="IndexLink"/>
              </w:rPr>
              <w:t>5</w:t>
            </w:r>
            <w:r>
              <w:rPr>
                <w:rStyle w:val="IndexLink"/>
                <w:rtl w:val="true"/>
              </w:rPr>
              <w:t xml:space="preserve">. </w:t>
            </w:r>
            <w:r>
              <w:rPr>
                <w:rStyle w:val="IndexLink"/>
                <w:rtl w:val="true"/>
              </w:rPr>
              <w:t>مهارة العرب في الشّؤون اللّغويّة</w:t>
            </w:r>
            <w:r>
              <w:rPr>
                <w:rStyle w:val="IndexLink"/>
                <w:rtl w:val="true"/>
              </w:rPr>
              <w:tab/>
            </w:r>
            <w:r>
              <w:rPr>
                <w:rStyle w:val="IndexLink"/>
              </w:rPr>
              <w:t>227</w:t>
            </w:r>
          </w:hyperlink>
        </w:p>
        <w:p>
          <w:pPr>
            <w:pStyle w:val="Contents6"/>
            <w:tabs>
              <w:tab w:val="clear" w:pos="7609"/>
              <w:tab w:val="right" w:pos="9026" w:leader="dot"/>
            </w:tabs>
            <w:rPr/>
          </w:pPr>
          <w:hyperlink w:anchor="__RefHeading___Toc935685_2870459653">
            <w:r>
              <w:rPr>
                <w:webHidden/>
                <w:rStyle w:val="IndexLink"/>
              </w:rPr>
              <w:t>6</w:t>
            </w:r>
            <w:r>
              <w:rPr>
                <w:rStyle w:val="IndexLink"/>
                <w:rtl w:val="true"/>
              </w:rPr>
              <w:t xml:space="preserve">. </w:t>
            </w:r>
            <w:r>
              <w:rPr>
                <w:rStyle w:val="IndexLink"/>
                <w:rtl w:val="true"/>
              </w:rPr>
              <w:t>انفراد المستشرقين بالإشكالات الأدبيّة</w:t>
            </w:r>
            <w:r>
              <w:rPr>
                <w:rStyle w:val="IndexLink"/>
                <w:rtl w:val="true"/>
              </w:rPr>
              <w:tab/>
            </w:r>
            <w:r>
              <w:rPr>
                <w:rStyle w:val="IndexLink"/>
              </w:rPr>
              <w:t>227</w:t>
            </w:r>
          </w:hyperlink>
        </w:p>
        <w:p>
          <w:pPr>
            <w:pStyle w:val="Contents6"/>
            <w:tabs>
              <w:tab w:val="clear" w:pos="7609"/>
              <w:tab w:val="right" w:pos="9026" w:leader="dot"/>
            </w:tabs>
            <w:rPr/>
          </w:pPr>
          <w:hyperlink w:anchor="__RefHeading___Toc935687_2870459653">
            <w:r>
              <w:rPr>
                <w:webHidden/>
                <w:rStyle w:val="IndexLink"/>
              </w:rPr>
              <w:t>7</w:t>
            </w:r>
            <w:r>
              <w:rPr>
                <w:rStyle w:val="IndexLink"/>
                <w:rtl w:val="true"/>
              </w:rPr>
              <w:t xml:space="preserve">. </w:t>
            </w:r>
            <w:r>
              <w:rPr>
                <w:rStyle w:val="IndexLink"/>
                <w:rtl w:val="true"/>
              </w:rPr>
              <w:t>عدم العلم بشأن أسباب نزول بعض الآيات</w:t>
            </w:r>
            <w:r>
              <w:rPr>
                <w:rStyle w:val="IndexLink"/>
                <w:rtl w:val="true"/>
              </w:rPr>
              <w:tab/>
            </w:r>
            <w:r>
              <w:rPr>
                <w:rStyle w:val="IndexLink"/>
              </w:rPr>
              <w:t>228</w:t>
            </w:r>
          </w:hyperlink>
        </w:p>
        <w:p>
          <w:pPr>
            <w:pStyle w:val="Contents6"/>
            <w:tabs>
              <w:tab w:val="clear" w:pos="7609"/>
              <w:tab w:val="right" w:pos="9026" w:leader="dot"/>
            </w:tabs>
            <w:rPr/>
          </w:pPr>
          <w:hyperlink w:anchor="__RefHeading___Toc935689_2870459653">
            <w:r>
              <w:rPr>
                <w:webHidden/>
                <w:rStyle w:val="IndexLink"/>
              </w:rPr>
              <w:t>8</w:t>
            </w:r>
            <w:r>
              <w:rPr>
                <w:rStyle w:val="IndexLink"/>
                <w:rtl w:val="true"/>
              </w:rPr>
              <w:t xml:space="preserve">. </w:t>
            </w:r>
            <w:r>
              <w:rPr>
                <w:rStyle w:val="IndexLink"/>
                <w:rtl w:val="true"/>
              </w:rPr>
              <w:t>دراسة القرآن بمعزلٍ عن علوم أخرى يقتضيها التّفسير</w:t>
            </w:r>
            <w:r>
              <w:rPr>
                <w:rStyle w:val="IndexLink"/>
                <w:rtl w:val="true"/>
              </w:rPr>
              <w:tab/>
            </w:r>
            <w:r>
              <w:rPr>
                <w:rStyle w:val="IndexLink"/>
              </w:rPr>
              <w:t>228</w:t>
            </w:r>
          </w:hyperlink>
        </w:p>
        <w:p>
          <w:pPr>
            <w:pStyle w:val="Contents6"/>
            <w:tabs>
              <w:tab w:val="clear" w:pos="7609"/>
              <w:tab w:val="right" w:pos="9026" w:leader="dot"/>
            </w:tabs>
            <w:rPr/>
          </w:pPr>
          <w:hyperlink w:anchor="__RefHeading___Toc935691_2870459653">
            <w:r>
              <w:rPr>
                <w:webHidden/>
                <w:rStyle w:val="IndexLink"/>
              </w:rPr>
              <w:t>9</w:t>
            </w:r>
            <w:r>
              <w:rPr>
                <w:rStyle w:val="IndexLink"/>
                <w:rtl w:val="true"/>
              </w:rPr>
              <w:t xml:space="preserve">. </w:t>
            </w:r>
            <w:r>
              <w:rPr>
                <w:rStyle w:val="IndexLink"/>
                <w:rtl w:val="true"/>
              </w:rPr>
              <w:t>الغفلة عن وجود شبكةٍ مترابطةٍ من الإحالات والعناصر الإشاريّة</w:t>
            </w:r>
            <w:r>
              <w:rPr>
                <w:rStyle w:val="IndexLink"/>
                <w:rtl w:val="true"/>
              </w:rPr>
              <w:tab/>
            </w:r>
            <w:r>
              <w:rPr>
                <w:rStyle w:val="IndexLink"/>
              </w:rPr>
              <w:t>229</w:t>
            </w:r>
          </w:hyperlink>
        </w:p>
        <w:p>
          <w:pPr>
            <w:pStyle w:val="Contents6"/>
            <w:tabs>
              <w:tab w:val="clear" w:pos="7609"/>
              <w:tab w:val="right" w:pos="9026" w:leader="dot"/>
            </w:tabs>
            <w:rPr/>
          </w:pPr>
          <w:hyperlink w:anchor="__RefHeading___Toc935693_2870459653">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935695_2870459653">
            <w:r>
              <w:rPr>
                <w:webHidden/>
                <w:rStyle w:val="IndexLink"/>
                <w:rtl w:val="true"/>
              </w:rPr>
              <w:t>يقول محمود الهواوشة</w:t>
            </w:r>
            <w:r>
              <w:rPr>
                <w:rStyle w:val="IndexLink"/>
                <w:rtl w:val="true"/>
              </w:rPr>
              <w:t>:</w:t>
              <w:tab/>
            </w:r>
            <w:r>
              <w:rPr>
                <w:rStyle w:val="IndexLink"/>
              </w:rPr>
              <w:t>230</w:t>
            </w:r>
          </w:hyperlink>
        </w:p>
        <w:p>
          <w:pPr>
            <w:pStyle w:val="Contents6"/>
            <w:tabs>
              <w:tab w:val="clear" w:pos="7609"/>
              <w:tab w:val="right" w:pos="9026" w:leader="dot"/>
            </w:tabs>
            <w:rPr/>
          </w:pPr>
          <w:hyperlink w:anchor="__RefHeading___Toc935697_2870459653">
            <w:r>
              <w:rPr>
                <w:webHidden/>
                <w:rStyle w:val="IndexLink"/>
              </w:rPr>
              <w:t>10</w:t>
            </w:r>
            <w:r>
              <w:rPr>
                <w:rStyle w:val="IndexLink"/>
                <w:rtl w:val="true"/>
              </w:rPr>
              <w:t xml:space="preserve">. </w:t>
            </w:r>
            <w:r>
              <w:rPr>
                <w:rStyle w:val="IndexLink"/>
                <w:rtl w:val="true"/>
              </w:rPr>
              <w:t>كون الأسلوب المعتمد في القرآن هو ذاته المعتمد عند العرب عهد النّزول</w:t>
            </w:r>
            <w:r>
              <w:rPr>
                <w:rStyle w:val="IndexLink"/>
                <w:rtl w:val="true"/>
              </w:rPr>
              <w:tab/>
            </w:r>
            <w:r>
              <w:rPr>
                <w:rStyle w:val="IndexLink"/>
              </w:rPr>
              <w:t>231</w:t>
            </w:r>
          </w:hyperlink>
        </w:p>
        <w:p>
          <w:pPr>
            <w:pStyle w:val="Contents6"/>
            <w:tabs>
              <w:tab w:val="clear" w:pos="7609"/>
              <w:tab w:val="right" w:pos="9026" w:leader="dot"/>
            </w:tabs>
            <w:rPr/>
          </w:pPr>
          <w:hyperlink w:anchor="__RefHeading___Toc935699_2870459653">
            <w:r>
              <w:rPr>
                <w:webHidden/>
                <w:rStyle w:val="IndexLink"/>
              </w:rPr>
              <w:t>11</w:t>
            </w:r>
            <w:r>
              <w:rPr>
                <w:rStyle w:val="IndexLink"/>
                <w:rtl w:val="true"/>
              </w:rPr>
              <w:t xml:space="preserve">. </w:t>
            </w:r>
            <w:r>
              <w:rPr>
                <w:rStyle w:val="IndexLink"/>
                <w:rtl w:val="true"/>
              </w:rPr>
              <w:t>أسباب اختلال وحدة النّصّ جزئيًّا في القرآن</w:t>
            </w:r>
            <w:r>
              <w:rPr>
                <w:rStyle w:val="IndexLink"/>
                <w:rtl w:val="true"/>
              </w:rPr>
              <w:tab/>
            </w:r>
            <w:r>
              <w:rPr>
                <w:rStyle w:val="IndexLink"/>
              </w:rPr>
              <w:t>231</w:t>
            </w:r>
          </w:hyperlink>
        </w:p>
        <w:p>
          <w:pPr>
            <w:pStyle w:val="Contents6"/>
            <w:tabs>
              <w:tab w:val="clear" w:pos="7609"/>
              <w:tab w:val="right" w:pos="9026" w:leader="dot"/>
            </w:tabs>
            <w:rPr/>
          </w:pPr>
          <w:hyperlink w:anchor="__RefHeading___Toc935701_2870459653">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935703_2870459653">
            <w:r>
              <w:rPr>
                <w:webHidden/>
                <w:rStyle w:val="IndexLink"/>
                <w:rtl w:val="true"/>
              </w:rPr>
              <w:t>أ</w:t>
            </w:r>
            <w:r>
              <w:rPr>
                <w:rStyle w:val="IndexLink"/>
                <w:rtl w:val="true"/>
              </w:rPr>
              <w:t xml:space="preserve">. </w:t>
            </w:r>
            <w:r>
              <w:rPr>
                <w:rStyle w:val="IndexLink"/>
                <w:rtl w:val="true"/>
              </w:rPr>
              <w:t>تعدّد الشرائح المخاطبة</w:t>
            </w:r>
            <w:r>
              <w:rPr>
                <w:rStyle w:val="IndexLink"/>
                <w:rtl w:val="true"/>
              </w:rPr>
              <w:tab/>
            </w:r>
            <w:r>
              <w:rPr>
                <w:rStyle w:val="IndexLink"/>
              </w:rPr>
              <w:t>231</w:t>
            </w:r>
          </w:hyperlink>
        </w:p>
        <w:p>
          <w:pPr>
            <w:pStyle w:val="Contents6"/>
            <w:tabs>
              <w:tab w:val="clear" w:pos="7609"/>
              <w:tab w:val="right" w:pos="9026" w:leader="dot"/>
            </w:tabs>
            <w:rPr/>
          </w:pPr>
          <w:hyperlink w:anchor="__RefHeading___Toc935705_2870459653">
            <w:r>
              <w:rPr>
                <w:webHidden/>
                <w:rStyle w:val="IndexLink"/>
                <w:rtl w:val="true"/>
              </w:rPr>
              <w:t>ب</w:t>
            </w:r>
            <w:r>
              <w:rPr>
                <w:rStyle w:val="IndexLink"/>
                <w:rtl w:val="true"/>
              </w:rPr>
              <w:t xml:space="preserve">. </w:t>
            </w:r>
            <w:r>
              <w:rPr>
                <w:rStyle w:val="IndexLink"/>
                <w:rtl w:val="true"/>
              </w:rPr>
              <w:t>تباعد أزمان نزول مقاطع القرآن</w:t>
            </w:r>
            <w:r>
              <w:rPr>
                <w:rStyle w:val="IndexLink"/>
                <w:rtl w:val="true"/>
              </w:rPr>
              <w:tab/>
            </w:r>
            <w:r>
              <w:rPr>
                <w:rStyle w:val="IndexLink"/>
              </w:rPr>
              <w:t>232</w:t>
            </w:r>
          </w:hyperlink>
        </w:p>
        <w:p>
          <w:pPr>
            <w:pStyle w:val="Contents6"/>
            <w:tabs>
              <w:tab w:val="clear" w:pos="7609"/>
              <w:tab w:val="right" w:pos="9026" w:leader="dot"/>
            </w:tabs>
            <w:rPr/>
          </w:pPr>
          <w:hyperlink w:anchor="__RefHeading___Toc935707_2870459653">
            <w:r>
              <w:rPr>
                <w:webHidden/>
                <w:rStyle w:val="IndexLink"/>
                <w:rtl w:val="true"/>
              </w:rPr>
              <w:t>ج</w:t>
            </w:r>
            <w:r>
              <w:rPr>
                <w:rStyle w:val="IndexLink"/>
                <w:rtl w:val="true"/>
              </w:rPr>
              <w:t xml:space="preserve">. </w:t>
            </w:r>
            <w:r>
              <w:rPr>
                <w:rStyle w:val="IndexLink"/>
                <w:rtl w:val="true"/>
              </w:rPr>
              <w:t>تعدّد شؤون النّزول</w:t>
            </w:r>
            <w:r>
              <w:rPr>
                <w:rStyle w:val="IndexLink"/>
                <w:rtl w:val="true"/>
              </w:rPr>
              <w:tab/>
            </w:r>
            <w:r>
              <w:rPr>
                <w:rStyle w:val="IndexLink"/>
              </w:rPr>
              <w:t>233</w:t>
            </w:r>
          </w:hyperlink>
        </w:p>
        <w:p>
          <w:pPr>
            <w:pStyle w:val="Contents6"/>
            <w:tabs>
              <w:tab w:val="clear" w:pos="7609"/>
              <w:tab w:val="right" w:pos="9026" w:leader="dot"/>
            </w:tabs>
            <w:rPr/>
          </w:pPr>
          <w:hyperlink w:anchor="__RefHeading___Toc935709_2870459653">
            <w:r>
              <w:rPr>
                <w:webHidden/>
                <w:rStyle w:val="IndexLink"/>
              </w:rPr>
              <w:t>12</w:t>
            </w:r>
            <w:r>
              <w:rPr>
                <w:rStyle w:val="IndexLink"/>
                <w:rtl w:val="true"/>
              </w:rPr>
              <w:t xml:space="preserve">. </w:t>
            </w:r>
            <w:r>
              <w:rPr>
                <w:rStyle w:val="IndexLink"/>
                <w:rtl w:val="true"/>
              </w:rPr>
              <w:t>مناشيء الشّبهة وأرضيات تبلورها</w:t>
            </w:r>
            <w:r>
              <w:rPr>
                <w:rStyle w:val="IndexLink"/>
                <w:rtl w:val="true"/>
              </w:rPr>
              <w:tab/>
            </w:r>
            <w:r>
              <w:rPr>
                <w:rStyle w:val="IndexLink"/>
              </w:rPr>
              <w:t>233</w:t>
            </w:r>
          </w:hyperlink>
        </w:p>
        <w:p>
          <w:pPr>
            <w:pStyle w:val="Contents6"/>
            <w:tabs>
              <w:tab w:val="clear" w:pos="7609"/>
              <w:tab w:val="right" w:pos="9026" w:leader="dot"/>
            </w:tabs>
            <w:rPr/>
          </w:pPr>
          <w:hyperlink w:anchor="__RefHeading___Toc935711_2870459653">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935713_2870459653">
            <w:r>
              <w:rPr>
                <w:webHidden/>
                <w:rStyle w:val="IndexLink"/>
                <w:rtl w:val="true"/>
              </w:rPr>
              <w:t>أ</w:t>
            </w:r>
            <w:r>
              <w:rPr>
                <w:rStyle w:val="IndexLink"/>
                <w:rtl w:val="true"/>
              </w:rPr>
              <w:t xml:space="preserve">. </w:t>
            </w:r>
            <w:r>
              <w:rPr>
                <w:rStyle w:val="IndexLink"/>
                <w:rtl w:val="true"/>
              </w:rPr>
              <w:t>ما يعود إلى النّصّ القرآني</w:t>
            </w:r>
            <w:r>
              <w:rPr>
                <w:rStyle w:val="IndexLink"/>
                <w:rtl w:val="true"/>
              </w:rPr>
              <w:tab/>
            </w:r>
            <w:r>
              <w:rPr>
                <w:rStyle w:val="IndexLink"/>
              </w:rPr>
              <w:t>234</w:t>
            </w:r>
          </w:hyperlink>
        </w:p>
        <w:p>
          <w:pPr>
            <w:pStyle w:val="Contents6"/>
            <w:tabs>
              <w:tab w:val="clear" w:pos="7609"/>
              <w:tab w:val="right" w:pos="9026" w:leader="dot"/>
            </w:tabs>
            <w:rPr/>
          </w:pPr>
          <w:hyperlink w:anchor="__RefHeading___Toc935715_2870459653">
            <w:r>
              <w:rPr>
                <w:webHidden/>
                <w:rStyle w:val="IndexLink"/>
                <w:rtl w:val="true"/>
              </w:rPr>
              <w:t>ب</w:t>
            </w:r>
            <w:r>
              <w:rPr>
                <w:rStyle w:val="IndexLink"/>
                <w:rtl w:val="true"/>
              </w:rPr>
              <w:t xml:space="preserve">. </w:t>
            </w:r>
            <w:r>
              <w:rPr>
                <w:rStyle w:val="IndexLink"/>
                <w:rtl w:val="true"/>
              </w:rPr>
              <w:t>ما يعود إلى المفسّرين وعلماء المسلمين</w:t>
            </w:r>
            <w:r>
              <w:rPr>
                <w:rStyle w:val="IndexLink"/>
                <w:rtl w:val="true"/>
              </w:rPr>
              <w:tab/>
            </w:r>
            <w:r>
              <w:rPr>
                <w:rStyle w:val="IndexLink"/>
              </w:rPr>
              <w:t>236</w:t>
            </w:r>
          </w:hyperlink>
        </w:p>
        <w:p>
          <w:pPr>
            <w:pStyle w:val="Contents6"/>
            <w:tabs>
              <w:tab w:val="clear" w:pos="7609"/>
              <w:tab w:val="right" w:pos="9026" w:leader="dot"/>
            </w:tabs>
            <w:rPr/>
          </w:pPr>
          <w:hyperlink w:anchor="__RefHeading___Toc935717_2870459653">
            <w:r>
              <w:rPr>
                <w:webHidden/>
                <w:rStyle w:val="IndexLink"/>
                <w:rtl w:val="true"/>
              </w:rPr>
              <w:t>احتمالات أخرى</w:t>
            </w:r>
            <w:r>
              <w:rPr>
                <w:rStyle w:val="IndexLink"/>
                <w:rtl w:val="true"/>
              </w:rPr>
              <w:tab/>
            </w:r>
            <w:r>
              <w:rPr>
                <w:rStyle w:val="IndexLink"/>
              </w:rPr>
              <w:t>247</w:t>
            </w:r>
          </w:hyperlink>
        </w:p>
        <w:p>
          <w:pPr>
            <w:pStyle w:val="Contents3"/>
            <w:tabs>
              <w:tab w:val="clear" w:pos="8459"/>
              <w:tab w:val="right" w:pos="9026" w:leader="dot"/>
            </w:tabs>
            <w:rPr/>
          </w:pPr>
          <w:hyperlink w:anchor="__RefHeading___Toc935719_2870459653">
            <w:r>
              <w:rPr>
                <w:webHidden/>
                <w:rStyle w:val="IndexLink"/>
                <w:rtl w:val="true"/>
              </w:rPr>
              <w:t>المصادر و المراجع</w:t>
            </w:r>
            <w:r>
              <w:rPr>
                <w:rStyle w:val="IndexLink"/>
                <w:rtl w:val="true"/>
              </w:rPr>
              <w:tab/>
            </w:r>
            <w:r>
              <w:rPr>
                <w:rStyle w:val="IndexLink"/>
              </w:rPr>
              <w:t>249</w:t>
            </w:r>
          </w:hyperlink>
        </w:p>
        <w:p>
          <w:pPr>
            <w:pStyle w:val="Contents2"/>
            <w:tabs>
              <w:tab w:val="clear" w:pos="8743"/>
              <w:tab w:val="right" w:pos="9026" w:leader="dot"/>
            </w:tabs>
            <w:rPr/>
          </w:pPr>
          <w:hyperlink w:anchor="__RefHeading___Toc935721_2870459653">
            <w:r>
              <w:rPr>
                <w:webHidden/>
                <w:rStyle w:val="IndexLink"/>
                <w:rtl w:val="true"/>
              </w:rPr>
              <w:t xml:space="preserve">النسخ في موسوعة القرآن الكريم </w:t>
            </w:r>
            <w:r>
              <w:rPr>
                <w:rStyle w:val="IndexLink"/>
                <w:rtl w:val="true"/>
              </w:rPr>
              <w:t>(</w:t>
            </w:r>
            <w:r>
              <w:rPr>
                <w:rStyle w:val="IndexLink"/>
                <w:rtl w:val="true"/>
              </w:rPr>
              <w:t>ليدن</w:t>
            </w:r>
            <w:r>
              <w:rPr>
                <w:rStyle w:val="IndexLink"/>
                <w:rtl w:val="true"/>
              </w:rPr>
              <w:t>)</w:t>
              <w:tab/>
            </w:r>
            <w:r>
              <w:rPr>
                <w:rStyle w:val="IndexLink"/>
              </w:rPr>
              <w:t>257</w:t>
            </w:r>
          </w:hyperlink>
        </w:p>
        <w:p>
          <w:pPr>
            <w:pStyle w:val="Contents3"/>
            <w:tabs>
              <w:tab w:val="clear" w:pos="8459"/>
              <w:tab w:val="right" w:pos="9026" w:leader="dot"/>
            </w:tabs>
            <w:rPr/>
          </w:pPr>
          <w:hyperlink w:anchor="__RefHeading___Toc935723_2870459653">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935725_2870459653">
            <w:r>
              <w:rPr>
                <w:webHidden/>
                <w:rStyle w:val="IndexLink"/>
                <w:rtl w:val="true"/>
              </w:rPr>
              <w:t>خلاصة البحث</w:t>
            </w:r>
            <w:r>
              <w:rPr>
                <w:rStyle w:val="IndexLink"/>
                <w:rtl w:val="true"/>
              </w:rPr>
              <w:tab/>
            </w:r>
            <w:r>
              <w:rPr>
                <w:rStyle w:val="IndexLink"/>
              </w:rPr>
              <w:t>257</w:t>
            </w:r>
          </w:hyperlink>
        </w:p>
        <w:p>
          <w:pPr>
            <w:pStyle w:val="Contents3"/>
            <w:tabs>
              <w:tab w:val="clear" w:pos="8459"/>
              <w:tab w:val="right" w:pos="9026" w:leader="dot"/>
            </w:tabs>
            <w:rPr/>
          </w:pPr>
          <w:hyperlink w:anchor="__RefHeading___Toc935727_2870459653">
            <w:r>
              <w:rPr>
                <w:webHidden/>
                <w:rStyle w:val="IndexLink"/>
                <w:rtl w:val="true"/>
              </w:rPr>
              <w:t>التمهيد</w:t>
            </w:r>
            <w:r>
              <w:rPr>
                <w:rStyle w:val="IndexLink"/>
                <w:rtl w:val="true"/>
              </w:rPr>
              <w:t>:</w:t>
              <w:tab/>
            </w:r>
            <w:r>
              <w:rPr>
                <w:rStyle w:val="IndexLink"/>
              </w:rPr>
              <w:t>258</w:t>
            </w:r>
          </w:hyperlink>
        </w:p>
        <w:p>
          <w:pPr>
            <w:pStyle w:val="Contents3"/>
            <w:tabs>
              <w:tab w:val="clear" w:pos="8459"/>
              <w:tab w:val="right" w:pos="9026" w:leader="dot"/>
            </w:tabs>
            <w:rPr/>
          </w:pPr>
          <w:hyperlink w:anchor="__RefHeading___Toc935729_2870459653">
            <w:r>
              <w:rPr>
                <w:webHidden/>
                <w:rStyle w:val="IndexLink"/>
                <w:rtl w:val="true"/>
              </w:rPr>
              <w:t>سابقة البحث</w:t>
            </w:r>
            <w:r>
              <w:rPr>
                <w:rStyle w:val="IndexLink"/>
                <w:rtl w:val="true"/>
              </w:rPr>
              <w:t>:</w:t>
              <w:tab/>
            </w:r>
            <w:r>
              <w:rPr>
                <w:rStyle w:val="IndexLink"/>
              </w:rPr>
              <w:t>259</w:t>
            </w:r>
          </w:hyperlink>
        </w:p>
        <w:p>
          <w:pPr>
            <w:pStyle w:val="Contents4"/>
            <w:tabs>
              <w:tab w:val="clear" w:pos="8176"/>
              <w:tab w:val="right" w:pos="9026" w:leader="dot"/>
            </w:tabs>
            <w:rPr/>
          </w:pPr>
          <w:hyperlink w:anchor="__RefHeading___Toc935731_2870459653">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935733_2870459653">
            <w:r>
              <w:rPr>
                <w:webHidden/>
                <w:rStyle w:val="IndexLink"/>
                <w:rtl w:val="true"/>
              </w:rPr>
              <w:t>أوّلًا</w:t>
            </w:r>
            <w:r>
              <w:rPr>
                <w:rStyle w:val="IndexLink"/>
                <w:rtl w:val="true"/>
              </w:rPr>
              <w:t xml:space="preserve">: </w:t>
            </w:r>
            <w:r>
              <w:rPr>
                <w:rStyle w:val="IndexLink"/>
                <w:rtl w:val="true"/>
              </w:rPr>
              <w:t>معنى النّسخ وأنواعه وشروطه</w:t>
            </w:r>
            <w:r>
              <w:rPr>
                <w:rStyle w:val="IndexLink"/>
                <w:rtl w:val="true"/>
              </w:rPr>
              <w:t>:</w:t>
              <w:tab/>
            </w:r>
            <w:r>
              <w:rPr>
                <w:rStyle w:val="IndexLink"/>
              </w:rPr>
              <w:t>261</w:t>
            </w:r>
          </w:hyperlink>
        </w:p>
        <w:p>
          <w:pPr>
            <w:pStyle w:val="Contents5"/>
            <w:tabs>
              <w:tab w:val="clear" w:pos="7892"/>
              <w:tab w:val="right" w:pos="9026" w:leader="dot"/>
            </w:tabs>
            <w:rPr/>
          </w:pPr>
          <w:hyperlink w:anchor="__RefHeading___Toc935735_2870459653">
            <w:r>
              <w:rPr>
                <w:webHidden/>
                <w:rStyle w:val="IndexLink"/>
              </w:rPr>
              <w:t>1</w:t>
            </w:r>
            <w:r>
              <w:rPr>
                <w:rStyle w:val="IndexLink"/>
                <w:rtl w:val="true"/>
              </w:rPr>
              <w:t xml:space="preserve">. </w:t>
            </w:r>
            <w:r>
              <w:rPr>
                <w:rStyle w:val="IndexLink"/>
                <w:rtl w:val="true"/>
              </w:rPr>
              <w:t>معنى النّسخ</w:t>
            </w:r>
            <w:r>
              <w:rPr>
                <w:rStyle w:val="IndexLink"/>
                <w:rtl w:val="true"/>
              </w:rPr>
              <w:t>:</w:t>
              <w:tab/>
            </w:r>
            <w:r>
              <w:rPr>
                <w:rStyle w:val="IndexLink"/>
              </w:rPr>
              <w:t>261</w:t>
            </w:r>
          </w:hyperlink>
        </w:p>
        <w:p>
          <w:pPr>
            <w:pStyle w:val="Contents5"/>
            <w:tabs>
              <w:tab w:val="clear" w:pos="7892"/>
              <w:tab w:val="right" w:pos="9026" w:leader="dot"/>
            </w:tabs>
            <w:rPr/>
          </w:pPr>
          <w:hyperlink w:anchor="__RefHeading___Toc935737_2870459653">
            <w:r>
              <w:rPr>
                <w:webHidden/>
                <w:rStyle w:val="IndexLink"/>
              </w:rPr>
              <w:t>2</w:t>
            </w:r>
            <w:r>
              <w:rPr>
                <w:rStyle w:val="IndexLink"/>
                <w:rtl w:val="true"/>
              </w:rPr>
              <w:t xml:space="preserve">. </w:t>
            </w:r>
            <w:r>
              <w:rPr>
                <w:rStyle w:val="IndexLink"/>
                <w:rtl w:val="true"/>
              </w:rPr>
              <w:t>إمكان النّسخ ووقوعه</w:t>
            </w:r>
            <w:r>
              <w:rPr>
                <w:rStyle w:val="IndexLink"/>
                <w:rtl w:val="true"/>
              </w:rPr>
              <w:t>:</w:t>
              <w:tab/>
            </w:r>
            <w:r>
              <w:rPr>
                <w:rStyle w:val="IndexLink"/>
              </w:rPr>
              <w:t>261</w:t>
            </w:r>
          </w:hyperlink>
        </w:p>
        <w:p>
          <w:pPr>
            <w:pStyle w:val="Contents5"/>
            <w:tabs>
              <w:tab w:val="clear" w:pos="7892"/>
              <w:tab w:val="right" w:pos="9026" w:leader="dot"/>
            </w:tabs>
            <w:rPr/>
          </w:pPr>
          <w:hyperlink w:anchor="__RefHeading___Toc935739_2870459653">
            <w:r>
              <w:rPr>
                <w:webHidden/>
                <w:rStyle w:val="IndexLink"/>
              </w:rPr>
              <w:t>3</w:t>
            </w:r>
            <w:r>
              <w:rPr>
                <w:rStyle w:val="IndexLink"/>
                <w:rtl w:val="true"/>
              </w:rPr>
              <w:t>.</w:t>
            </w:r>
            <w:r>
              <w:rPr>
                <w:rStyle w:val="IndexLink"/>
                <w:rtl w:val="true"/>
              </w:rPr>
              <w:t>الفرق بين النّسخ والتّخصيص</w:t>
            </w:r>
            <w:r>
              <w:rPr>
                <w:rStyle w:val="IndexLink"/>
                <w:rtl w:val="true"/>
              </w:rPr>
              <w:t>:</w:t>
              <w:tab/>
            </w:r>
            <w:r>
              <w:rPr>
                <w:rStyle w:val="IndexLink"/>
              </w:rPr>
              <w:t>263</w:t>
            </w:r>
          </w:hyperlink>
        </w:p>
        <w:p>
          <w:pPr>
            <w:pStyle w:val="Contents5"/>
            <w:tabs>
              <w:tab w:val="clear" w:pos="7892"/>
              <w:tab w:val="right" w:pos="9026" w:leader="dot"/>
            </w:tabs>
            <w:rPr/>
          </w:pPr>
          <w:hyperlink w:anchor="__RefHeading___Toc935741_2870459653">
            <w:r>
              <w:rPr>
                <w:webHidden/>
                <w:rStyle w:val="IndexLink"/>
              </w:rPr>
              <w:t>4</w:t>
            </w:r>
            <w:r>
              <w:rPr>
                <w:rStyle w:val="IndexLink"/>
                <w:rtl w:val="true"/>
              </w:rPr>
              <w:t xml:space="preserve">. </w:t>
            </w:r>
            <w:r>
              <w:rPr>
                <w:rStyle w:val="IndexLink"/>
                <w:rtl w:val="true"/>
              </w:rPr>
              <w:t>شروط النّسخ</w:t>
            </w:r>
            <w:r>
              <w:rPr>
                <w:rStyle w:val="IndexLink"/>
                <w:rtl w:val="true"/>
              </w:rPr>
              <w:t>:</w:t>
              <w:tab/>
            </w:r>
            <w:r>
              <w:rPr>
                <w:rStyle w:val="IndexLink"/>
              </w:rPr>
              <w:t>264</w:t>
            </w:r>
          </w:hyperlink>
        </w:p>
        <w:p>
          <w:pPr>
            <w:pStyle w:val="Contents5"/>
            <w:tabs>
              <w:tab w:val="clear" w:pos="7892"/>
              <w:tab w:val="right" w:pos="9026" w:leader="dot"/>
            </w:tabs>
            <w:rPr/>
          </w:pPr>
          <w:hyperlink w:anchor="__RefHeading___Toc935743_2870459653">
            <w:r>
              <w:rPr>
                <w:webHidden/>
                <w:rStyle w:val="IndexLink"/>
              </w:rPr>
              <w:t>5</w:t>
            </w:r>
            <w:r>
              <w:rPr>
                <w:rStyle w:val="IndexLink"/>
                <w:rtl w:val="true"/>
              </w:rPr>
              <w:t xml:space="preserve">. </w:t>
            </w:r>
            <w:r>
              <w:rPr>
                <w:rStyle w:val="IndexLink"/>
                <w:rtl w:val="true"/>
              </w:rPr>
              <w:t>أقسام النّسخ</w:t>
            </w:r>
            <w:r>
              <w:rPr>
                <w:rStyle w:val="IndexLink"/>
                <w:rtl w:val="true"/>
              </w:rPr>
              <w:t>:</w:t>
              <w:tab/>
            </w:r>
            <w:r>
              <w:rPr>
                <w:rStyle w:val="IndexLink"/>
              </w:rPr>
              <w:t>265</w:t>
            </w:r>
          </w:hyperlink>
        </w:p>
        <w:p>
          <w:pPr>
            <w:pStyle w:val="Contents5"/>
            <w:tabs>
              <w:tab w:val="clear" w:pos="7892"/>
              <w:tab w:val="right" w:pos="9026" w:leader="dot"/>
            </w:tabs>
            <w:rPr/>
          </w:pPr>
          <w:hyperlink w:anchor="__RefHeading___Toc935745_2870459653">
            <w:r>
              <w:rPr>
                <w:webHidden/>
                <w:rStyle w:val="IndexLink"/>
              </w:rPr>
              <w:t>6</w:t>
            </w:r>
            <w:r>
              <w:rPr>
                <w:rStyle w:val="IndexLink"/>
                <w:rtl w:val="true"/>
              </w:rPr>
              <w:t xml:space="preserve">. </w:t>
            </w:r>
            <w:r>
              <w:rPr>
                <w:rStyle w:val="IndexLink"/>
                <w:rtl w:val="true"/>
              </w:rPr>
              <w:t>أنحاء النسخ</w:t>
            </w:r>
            <w:r>
              <w:rPr>
                <w:rStyle w:val="IndexLink"/>
                <w:rtl w:val="true"/>
              </w:rPr>
              <w:t>:</w:t>
              <w:tab/>
            </w:r>
            <w:r>
              <w:rPr>
                <w:rStyle w:val="IndexLink"/>
              </w:rPr>
              <w:t>267</w:t>
            </w:r>
          </w:hyperlink>
        </w:p>
        <w:p>
          <w:pPr>
            <w:pStyle w:val="Contents5"/>
            <w:tabs>
              <w:tab w:val="clear" w:pos="7892"/>
              <w:tab w:val="right" w:pos="9026" w:leader="dot"/>
            </w:tabs>
            <w:rPr/>
          </w:pPr>
          <w:hyperlink w:anchor="__RefHeading___Toc935747_2870459653">
            <w:r>
              <w:rPr>
                <w:webHidden/>
                <w:rStyle w:val="IndexLink"/>
              </w:rPr>
              <w:t>7</w:t>
            </w:r>
            <w:r>
              <w:rPr>
                <w:rStyle w:val="IndexLink"/>
                <w:rtl w:val="true"/>
              </w:rPr>
              <w:t xml:space="preserve">. </w:t>
            </w:r>
            <w:r>
              <w:rPr>
                <w:rStyle w:val="IndexLink"/>
                <w:rtl w:val="true"/>
              </w:rPr>
              <w:t>شُبهات في النّسخ</w:t>
            </w:r>
            <w:r>
              <w:rPr>
                <w:rStyle w:val="IndexLink"/>
                <w:rtl w:val="true"/>
              </w:rPr>
              <w:t>:</w:t>
              <w:tab/>
            </w:r>
            <w:r>
              <w:rPr>
                <w:rStyle w:val="IndexLink"/>
              </w:rPr>
              <w:t>269</w:t>
            </w:r>
          </w:hyperlink>
        </w:p>
        <w:p>
          <w:pPr>
            <w:pStyle w:val="Contents5"/>
            <w:tabs>
              <w:tab w:val="clear" w:pos="7892"/>
              <w:tab w:val="right" w:pos="9026" w:leader="dot"/>
            </w:tabs>
            <w:rPr/>
          </w:pPr>
          <w:hyperlink w:anchor="__RefHeading___Toc935749_2870459653">
            <w:r>
              <w:rPr>
                <w:webHidden/>
                <w:rStyle w:val="IndexLink"/>
              </w:rPr>
              <w:t>8</w:t>
            </w:r>
            <w:r>
              <w:rPr>
                <w:rStyle w:val="IndexLink"/>
                <w:rtl w:val="true"/>
              </w:rPr>
              <w:t xml:space="preserve">. </w:t>
            </w:r>
            <w:r>
              <w:rPr>
                <w:rStyle w:val="IndexLink"/>
                <w:rtl w:val="true"/>
              </w:rPr>
              <w:t>عدد الآيات النّاسخة والمنسوخة</w:t>
            </w:r>
            <w:r>
              <w:rPr>
                <w:rStyle w:val="IndexLink"/>
                <w:rtl w:val="true"/>
              </w:rPr>
              <w:t>:</w:t>
              <w:tab/>
            </w:r>
            <w:r>
              <w:rPr>
                <w:rStyle w:val="IndexLink"/>
              </w:rPr>
              <w:t>270</w:t>
            </w:r>
          </w:hyperlink>
        </w:p>
        <w:p>
          <w:pPr>
            <w:pStyle w:val="Contents4"/>
            <w:tabs>
              <w:tab w:val="clear" w:pos="8176"/>
              <w:tab w:val="right" w:pos="9026" w:leader="dot"/>
            </w:tabs>
            <w:rPr/>
          </w:pPr>
          <w:hyperlink w:anchor="__RefHeading___Toc935751_2870459653">
            <w:r>
              <w:rPr>
                <w:webHidden/>
                <w:rStyle w:val="IndexLink"/>
                <w:rtl w:val="true"/>
              </w:rPr>
              <w:t>ثانيًا</w:t>
            </w:r>
            <w:r>
              <w:rPr>
                <w:rStyle w:val="IndexLink"/>
                <w:rtl w:val="true"/>
              </w:rPr>
              <w:t xml:space="preserve">: </w:t>
            </w:r>
            <w:r>
              <w:rPr>
                <w:rStyle w:val="IndexLink"/>
                <w:rtl w:val="true"/>
              </w:rPr>
              <w:t>النّقد والمناقشة</w:t>
            </w:r>
            <w:r>
              <w:rPr>
                <w:rStyle w:val="IndexLink"/>
                <w:rtl w:val="true"/>
              </w:rPr>
              <w:t>:</w:t>
              <w:tab/>
            </w:r>
            <w:r>
              <w:rPr>
                <w:rStyle w:val="IndexLink"/>
              </w:rPr>
              <w:t>274</w:t>
            </w:r>
          </w:hyperlink>
        </w:p>
        <w:p>
          <w:pPr>
            <w:pStyle w:val="Contents4"/>
            <w:tabs>
              <w:tab w:val="clear" w:pos="8176"/>
              <w:tab w:val="right" w:pos="9026" w:leader="dot"/>
            </w:tabs>
            <w:rPr/>
          </w:pPr>
          <w:hyperlink w:anchor="__RefHeading___Toc935753_2870459653">
            <w:r>
              <w:rPr>
                <w:webHidden/>
                <w:rStyle w:val="IndexLink"/>
                <w:rtl w:val="true"/>
              </w:rPr>
              <w:t>الخلاصة و الاستنتاج</w:t>
            </w:r>
            <w:r>
              <w:rPr>
                <w:rStyle w:val="IndexLink"/>
                <w:rtl w:val="true"/>
              </w:rPr>
              <w:tab/>
            </w:r>
            <w:r>
              <w:rPr>
                <w:rStyle w:val="IndexLink"/>
              </w:rPr>
              <w:t>289</w:t>
            </w:r>
          </w:hyperlink>
        </w:p>
        <w:p>
          <w:pPr>
            <w:pStyle w:val="Contents3"/>
            <w:tabs>
              <w:tab w:val="clear" w:pos="8459"/>
              <w:tab w:val="right" w:pos="9026" w:leader="dot"/>
            </w:tabs>
            <w:rPr/>
          </w:pPr>
          <w:hyperlink w:anchor="__RefHeading___Toc935755_2870459653">
            <w:r>
              <w:rPr>
                <w:webHidden/>
                <w:rStyle w:val="IndexLink"/>
                <w:rtl w:val="true"/>
              </w:rPr>
              <w:t>المصادر والمراجع</w:t>
            </w:r>
            <w:r>
              <w:rPr>
                <w:rStyle w:val="IndexLink"/>
                <w:rtl w:val="true"/>
              </w:rPr>
              <w:tab/>
            </w:r>
            <w:r>
              <w:rPr>
                <w:rStyle w:val="IndexLink"/>
              </w:rPr>
              <w:t>290</w:t>
            </w:r>
          </w:hyperlink>
        </w:p>
        <w:p>
          <w:pPr>
            <w:pStyle w:val="Contents2"/>
            <w:tabs>
              <w:tab w:val="clear" w:pos="8743"/>
              <w:tab w:val="right" w:pos="9026" w:leader="dot"/>
            </w:tabs>
            <w:rPr/>
          </w:pPr>
          <w:hyperlink w:anchor="__RefHeading___Toc935757_2870459653">
            <w:r>
              <w:rPr>
                <w:webHidden/>
                <w:rStyle w:val="IndexLink"/>
                <w:rtl w:val="true"/>
              </w:rPr>
              <w:t xml:space="preserve">نقد مقالة </w:t>
            </w:r>
            <w:r>
              <w:rPr>
                <w:rStyle w:val="IndexLink"/>
                <w:rtl w:val="true"/>
              </w:rPr>
              <w:t>«</w:t>
            </w:r>
            <w:r>
              <w:rPr>
                <w:rStyle w:val="IndexLink"/>
                <w:rtl w:val="true"/>
              </w:rPr>
              <w:t>تفسير القرآن في مطلع العصر الحديث والمعاصر</w:t>
            </w:r>
            <w:r>
              <w:rPr>
                <w:rStyle w:val="IndexLink"/>
                <w:rtl w:val="true"/>
              </w:rPr>
              <w:t>» (</w:t>
            </w:r>
            <w:r>
              <w:rPr>
                <w:rStyle w:val="IndexLink"/>
                <w:rtl w:val="true"/>
              </w:rPr>
              <w:t xml:space="preserve">لراترود ويلانت </w:t>
            </w:r>
            <w:r>
              <w:rPr>
                <w:rStyle w:val="IndexLink"/>
              </w:rPr>
              <w:t>RotraudWielandt</w:t>
            </w:r>
            <w:r>
              <w:rPr>
                <w:rStyle w:val="IndexLink"/>
                <w:rtl w:val="true"/>
              </w:rPr>
              <w:t>)</w:t>
              <w:tab/>
            </w:r>
            <w:r>
              <w:rPr>
                <w:rStyle w:val="IndexLink"/>
              </w:rPr>
              <w:t>293</w:t>
            </w:r>
          </w:hyperlink>
        </w:p>
        <w:p>
          <w:pPr>
            <w:pStyle w:val="Contents3"/>
            <w:tabs>
              <w:tab w:val="clear" w:pos="8459"/>
              <w:tab w:val="right" w:pos="9026" w:leader="dot"/>
            </w:tabs>
            <w:rPr/>
          </w:pPr>
          <w:hyperlink w:anchor="__RefHeading___Toc935759_2870459653">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935761_2870459653">
            <w:r>
              <w:rPr>
                <w:webHidden/>
                <w:rStyle w:val="IndexLink"/>
                <w:rtl w:val="true"/>
              </w:rPr>
              <w:t>في التقديم</w:t>
            </w:r>
            <w:r>
              <w:rPr>
                <w:rStyle w:val="IndexLink"/>
                <w:rtl w:val="true"/>
              </w:rPr>
              <w:t>:</w:t>
              <w:tab/>
            </w:r>
            <w:r>
              <w:rPr>
                <w:rStyle w:val="IndexLink"/>
              </w:rPr>
              <w:t>293</w:t>
            </w:r>
          </w:hyperlink>
        </w:p>
        <w:p>
          <w:pPr>
            <w:pStyle w:val="Contents4"/>
            <w:tabs>
              <w:tab w:val="clear" w:pos="8176"/>
              <w:tab w:val="right" w:pos="9026" w:leader="dot"/>
            </w:tabs>
            <w:rPr/>
          </w:pPr>
          <w:hyperlink w:anchor="__RefHeading___Toc935763_2870459653">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935765_2870459653">
            <w:r>
              <w:rPr>
                <w:webHidden/>
                <w:rStyle w:val="IndexLink"/>
                <w:rtl w:val="true"/>
              </w:rPr>
              <w:t xml:space="preserve">ملامح المنهج المتّبع في نقد دراسة </w:t>
            </w:r>
            <w:r>
              <w:rPr>
                <w:rStyle w:val="IndexLink"/>
                <w:rtl w:val="true"/>
              </w:rPr>
              <w:t>«</w:t>
            </w:r>
            <w:r>
              <w:rPr>
                <w:rStyle w:val="IndexLink"/>
                <w:rtl w:val="true"/>
              </w:rPr>
              <w:t>ويلانت</w:t>
            </w:r>
            <w:r>
              <w:rPr>
                <w:rStyle w:val="IndexLink"/>
                <w:rtl w:val="true"/>
              </w:rPr>
              <w:t>»</w:t>
              <w:tab/>
            </w:r>
            <w:r>
              <w:rPr>
                <w:rStyle w:val="IndexLink"/>
              </w:rPr>
              <w:t>302</w:t>
            </w:r>
          </w:hyperlink>
        </w:p>
        <w:p>
          <w:pPr>
            <w:pStyle w:val="Contents5"/>
            <w:tabs>
              <w:tab w:val="clear" w:pos="7892"/>
              <w:tab w:val="right" w:pos="9026" w:leader="dot"/>
            </w:tabs>
            <w:rPr/>
          </w:pPr>
          <w:hyperlink w:anchor="__RefHeading___Toc935767_2870459653">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935769_2870459653">
            <w:r>
              <w:rPr>
                <w:webHidden/>
                <w:rStyle w:val="IndexLink"/>
                <w:rtl w:val="true"/>
              </w:rPr>
              <w:t>أوّلًا</w:t>
            </w:r>
            <w:r>
              <w:rPr>
                <w:rStyle w:val="IndexLink"/>
                <w:rtl w:val="true"/>
              </w:rPr>
              <w:t xml:space="preserve">: </w:t>
            </w:r>
            <w:r>
              <w:rPr>
                <w:rStyle w:val="IndexLink"/>
                <w:rtl w:val="true"/>
              </w:rPr>
              <w:t>تفسير القرآن من منظور النّزعة العقليّة لعصر التنوير</w:t>
            </w:r>
            <w:r>
              <w:rPr>
                <w:rStyle w:val="IndexLink"/>
                <w:rtl w:val="true"/>
              </w:rPr>
              <w:t>:</w:t>
              <w:tab/>
            </w:r>
            <w:r>
              <w:rPr>
                <w:rStyle w:val="IndexLink"/>
              </w:rPr>
              <w:t>303</w:t>
            </w:r>
          </w:hyperlink>
        </w:p>
        <w:p>
          <w:pPr>
            <w:pStyle w:val="Contents5"/>
            <w:tabs>
              <w:tab w:val="clear" w:pos="7892"/>
              <w:tab w:val="right" w:pos="9026" w:leader="dot"/>
            </w:tabs>
            <w:rPr/>
          </w:pPr>
          <w:hyperlink w:anchor="__RefHeading___Toc935771_2870459653">
            <w:r>
              <w:rPr>
                <w:webHidden/>
                <w:rStyle w:val="IndexLink"/>
                <w:rtl w:val="true"/>
              </w:rPr>
              <w:t>ثانيًا</w:t>
            </w:r>
            <w:r>
              <w:rPr>
                <w:rStyle w:val="IndexLink"/>
                <w:rtl w:val="true"/>
              </w:rPr>
              <w:t xml:space="preserve">: </w:t>
            </w:r>
            <w:r>
              <w:rPr>
                <w:rStyle w:val="IndexLink"/>
                <w:rtl w:val="true"/>
              </w:rPr>
              <w:t>ما يدعى بالتفسير العلمي للقرآن</w:t>
            </w:r>
            <w:r>
              <w:rPr>
                <w:rStyle w:val="IndexLink"/>
                <w:rtl w:val="true"/>
              </w:rPr>
              <w:t>:</w:t>
              <w:tab/>
            </w:r>
            <w:r>
              <w:rPr>
                <w:rStyle w:val="IndexLink"/>
              </w:rPr>
              <w:t>312</w:t>
            </w:r>
          </w:hyperlink>
        </w:p>
        <w:p>
          <w:pPr>
            <w:pStyle w:val="Contents6"/>
            <w:tabs>
              <w:tab w:val="clear" w:pos="7609"/>
              <w:tab w:val="right" w:pos="9026" w:leader="dot"/>
            </w:tabs>
            <w:rPr/>
          </w:pPr>
          <w:hyperlink w:anchor="__RefHeading___Toc935773_2870459653">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935775_2870459653">
            <w:r>
              <w:rPr>
                <w:webHidden/>
                <w:rStyle w:val="IndexLink"/>
              </w:rPr>
              <w:t>1</w:t>
            </w:r>
            <w:r>
              <w:rPr>
                <w:rStyle w:val="IndexLink"/>
                <w:rtl w:val="true"/>
              </w:rPr>
              <w:t xml:space="preserve">- </w:t>
            </w:r>
            <w:r>
              <w:rPr>
                <w:rStyle w:val="IndexLink"/>
                <w:rtl w:val="true"/>
              </w:rPr>
              <w:t>الخلط بين التّفسير العلمي والإعجاز العلمي للقرآن</w:t>
            </w:r>
            <w:r>
              <w:rPr>
                <w:rStyle w:val="IndexLink"/>
                <w:rtl w:val="true"/>
              </w:rPr>
              <w:t>:</w:t>
              <w:tab/>
            </w:r>
            <w:r>
              <w:rPr>
                <w:rStyle w:val="IndexLink"/>
              </w:rPr>
              <w:t>313</w:t>
            </w:r>
          </w:hyperlink>
        </w:p>
        <w:p>
          <w:pPr>
            <w:pStyle w:val="Contents6"/>
            <w:tabs>
              <w:tab w:val="clear" w:pos="7609"/>
              <w:tab w:val="right" w:pos="9026" w:leader="dot"/>
            </w:tabs>
            <w:rPr/>
          </w:pPr>
          <w:hyperlink w:anchor="__RefHeading___Toc935777_2870459653">
            <w:r>
              <w:rPr>
                <w:webHidden/>
                <w:rStyle w:val="IndexLink"/>
              </w:rPr>
              <w:t>2</w:t>
            </w:r>
            <w:r>
              <w:rPr>
                <w:rStyle w:val="IndexLink"/>
                <w:rtl w:val="true"/>
              </w:rPr>
              <w:t>-</w:t>
            </w:r>
            <w:r>
              <w:rPr>
                <w:rStyle w:val="IndexLink"/>
                <w:rtl w:val="true"/>
              </w:rPr>
              <w:t>اضطراب في فهم الهدف من التّفسير العلميّ للقرآن الكريم</w:t>
            </w:r>
            <w:r>
              <w:rPr>
                <w:rStyle w:val="IndexLink"/>
                <w:rtl w:val="true"/>
              </w:rPr>
              <w:t>:</w:t>
              <w:tab/>
            </w:r>
            <w:r>
              <w:rPr>
                <w:rStyle w:val="IndexLink"/>
              </w:rPr>
              <w:t>314</w:t>
            </w:r>
          </w:hyperlink>
        </w:p>
        <w:p>
          <w:pPr>
            <w:pStyle w:val="Contents6"/>
            <w:tabs>
              <w:tab w:val="clear" w:pos="7609"/>
              <w:tab w:val="right" w:pos="9026" w:leader="dot"/>
            </w:tabs>
            <w:rPr/>
          </w:pPr>
          <w:hyperlink w:anchor="__RefHeading___Toc935779_2870459653">
            <w:r>
              <w:rPr>
                <w:webHidden/>
                <w:rStyle w:val="IndexLink"/>
              </w:rPr>
              <w:t>3</w:t>
            </w:r>
            <w:r>
              <w:rPr>
                <w:rStyle w:val="IndexLink"/>
                <w:rtl w:val="true"/>
              </w:rPr>
              <w:t xml:space="preserve">- </w:t>
            </w:r>
            <w:r>
              <w:rPr>
                <w:rStyle w:val="IndexLink"/>
                <w:rtl w:val="true"/>
              </w:rPr>
              <w:t>خطأ في فرضيّة أنَّ التّفسير العلميّ قائمٌ على أساس أنَّ القرآن يشتمل على العلوم كافّة</w:t>
            </w:r>
            <w:r>
              <w:rPr>
                <w:rStyle w:val="IndexLink"/>
                <w:rtl w:val="true"/>
              </w:rPr>
              <w:t>:</w:t>
              <w:tab/>
            </w:r>
            <w:r>
              <w:rPr>
                <w:rStyle w:val="IndexLink"/>
              </w:rPr>
              <w:t>316</w:t>
            </w:r>
          </w:hyperlink>
        </w:p>
        <w:p>
          <w:pPr>
            <w:pStyle w:val="Contents6"/>
            <w:tabs>
              <w:tab w:val="clear" w:pos="7609"/>
              <w:tab w:val="right" w:pos="9026" w:leader="dot"/>
            </w:tabs>
            <w:rPr/>
          </w:pPr>
          <w:hyperlink w:anchor="__RefHeading___Toc935781_2870459653">
            <w:r>
              <w:rPr>
                <w:webHidden/>
                <w:rStyle w:val="IndexLink"/>
              </w:rPr>
              <w:t>4</w:t>
            </w:r>
            <w:r>
              <w:rPr>
                <w:rStyle w:val="IndexLink"/>
                <w:rtl w:val="true"/>
              </w:rPr>
              <w:t xml:space="preserve">. </w:t>
            </w:r>
            <w:r>
              <w:rPr>
                <w:rStyle w:val="IndexLink"/>
                <w:rtl w:val="true"/>
              </w:rPr>
              <w:t>خطأ في تحديد الجذور الأولى لمنهج التّفسير العلميّ</w:t>
            </w:r>
            <w:r>
              <w:rPr>
                <w:rStyle w:val="IndexLink"/>
                <w:rtl w:val="true"/>
              </w:rPr>
              <w:t>:</w:t>
              <w:tab/>
            </w:r>
            <w:r>
              <w:rPr>
                <w:rStyle w:val="IndexLink"/>
              </w:rPr>
              <w:t>318</w:t>
            </w:r>
          </w:hyperlink>
        </w:p>
        <w:p>
          <w:pPr>
            <w:pStyle w:val="Contents5"/>
            <w:tabs>
              <w:tab w:val="clear" w:pos="7892"/>
              <w:tab w:val="right" w:pos="9026" w:leader="dot"/>
            </w:tabs>
            <w:rPr/>
          </w:pPr>
          <w:hyperlink w:anchor="__RefHeading___Toc935783_2870459653">
            <w:r>
              <w:rPr>
                <w:webHidden/>
                <w:rStyle w:val="IndexLink"/>
                <w:rtl w:val="true"/>
              </w:rPr>
              <w:t>ثالثًا</w:t>
            </w:r>
            <w:r>
              <w:rPr>
                <w:rStyle w:val="IndexLink"/>
                <w:rtl w:val="true"/>
              </w:rPr>
              <w:t xml:space="preserve">: </w:t>
            </w:r>
            <w:r>
              <w:rPr>
                <w:rStyle w:val="IndexLink"/>
                <w:rtl w:val="true"/>
              </w:rPr>
              <w:t>تفسير القرآن في ضوء الدّراسات الأدبيّة</w:t>
            </w:r>
            <w:r>
              <w:rPr>
                <w:rStyle w:val="IndexLink"/>
                <w:rtl w:val="true"/>
              </w:rPr>
              <w:t>:</w:t>
              <w:tab/>
            </w:r>
            <w:r>
              <w:rPr>
                <w:rStyle w:val="IndexLink"/>
              </w:rPr>
              <w:t>318</w:t>
            </w:r>
          </w:hyperlink>
        </w:p>
        <w:p>
          <w:pPr>
            <w:pStyle w:val="Contents4"/>
            <w:tabs>
              <w:tab w:val="clear" w:pos="8176"/>
              <w:tab w:val="right" w:pos="9026" w:leader="dot"/>
            </w:tabs>
            <w:rPr/>
          </w:pPr>
          <w:hyperlink w:anchor="__RefHeading___Toc935785_2870459653">
            <w:r>
              <w:rPr>
                <w:webHidden/>
                <w:rStyle w:val="IndexLink"/>
                <w:rtl w:val="true"/>
              </w:rPr>
              <w:t>الخاتمة</w:t>
            </w:r>
            <w:r>
              <w:rPr>
                <w:rStyle w:val="IndexLink"/>
                <w:rtl w:val="true"/>
              </w:rPr>
              <w:t>:</w:t>
              <w:tab/>
            </w:r>
            <w:r>
              <w:rPr>
                <w:rStyle w:val="IndexLink"/>
              </w:rPr>
              <w:t>327</w:t>
            </w:r>
          </w:hyperlink>
        </w:p>
        <w:p>
          <w:pPr>
            <w:pStyle w:val="Contents3"/>
            <w:tabs>
              <w:tab w:val="clear" w:pos="8459"/>
              <w:tab w:val="right" w:pos="9026" w:leader="dot"/>
            </w:tabs>
            <w:rPr/>
          </w:pPr>
          <w:hyperlink w:anchor="__RefHeading___Toc935787_2870459653">
            <w:r>
              <w:rPr>
                <w:webHidden/>
                <w:rStyle w:val="IndexLink"/>
                <w:rtl w:val="true"/>
              </w:rPr>
              <w:t>المصادر والمراجع</w:t>
            </w:r>
            <w:r>
              <w:rPr>
                <w:rStyle w:val="IndexLink"/>
                <w:rtl w:val="true"/>
              </w:rPr>
              <w:t>:</w:t>
              <w:tab/>
            </w:r>
            <w:r>
              <w:rPr>
                <w:rStyle w:val="IndexLink"/>
              </w:rPr>
              <w:t>331</w:t>
            </w:r>
          </w:hyperlink>
        </w:p>
        <w:p>
          <w:pPr>
            <w:pStyle w:val="Contents2"/>
            <w:tabs>
              <w:tab w:val="clear" w:pos="8743"/>
              <w:tab w:val="right" w:pos="9026" w:leader="dot"/>
            </w:tabs>
            <w:rPr/>
          </w:pPr>
          <w:hyperlink w:anchor="__RefHeading___Toc935789_2870459653">
            <w:r>
              <w:rPr>
                <w:webHidden/>
                <w:rStyle w:val="IndexLink"/>
                <w:rtl w:val="true"/>
              </w:rPr>
              <w:t xml:space="preserve">الاعتقادات في موسوعة القرآن ليدن </w:t>
            </w:r>
            <w:r>
              <w:rPr>
                <w:rStyle w:val="IndexLink"/>
                <w:rtl w:val="true"/>
              </w:rPr>
              <w:t xml:space="preserve">( </w:t>
            </w:r>
            <w:r>
              <w:rPr>
                <w:rStyle w:val="IndexLink"/>
                <w:rtl w:val="true"/>
              </w:rPr>
              <w:t xml:space="preserve">مدخل الإيمان والكفر </w:t>
            </w:r>
            <w:r>
              <w:rPr>
                <w:rStyle w:val="IndexLink"/>
                <w:rtl w:val="true"/>
              </w:rPr>
              <w:t>(</w:t>
            </w:r>
            <w:r>
              <w:rPr>
                <w:rStyle w:val="IndexLink"/>
                <w:rtl w:val="true"/>
              </w:rPr>
              <w:t>نموذجًا</w:t>
            </w:r>
            <w:r>
              <w:rPr>
                <w:rStyle w:val="IndexLink"/>
                <w:rtl w:val="true"/>
              </w:rPr>
              <w:t>)</w:t>
              <w:tab/>
            </w:r>
            <w:r>
              <w:rPr>
                <w:rStyle w:val="IndexLink"/>
              </w:rPr>
              <w:t>334</w:t>
            </w:r>
          </w:hyperlink>
        </w:p>
        <w:p>
          <w:pPr>
            <w:pStyle w:val="Contents3"/>
            <w:tabs>
              <w:tab w:val="clear" w:pos="8459"/>
              <w:tab w:val="right" w:pos="9026" w:leader="dot"/>
            </w:tabs>
            <w:rPr/>
          </w:pPr>
          <w:hyperlink w:anchor="__RefHeading___Toc935791_2870459653">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935793_2870459653">
            <w:r>
              <w:rPr>
                <w:webHidden/>
                <w:rStyle w:val="IndexLink"/>
                <w:rtl w:val="true"/>
              </w:rPr>
              <w:t>ملخّص المداخلة</w:t>
            </w:r>
            <w:r>
              <w:rPr>
                <w:rStyle w:val="IndexLink"/>
                <w:rtl w:val="true"/>
              </w:rPr>
              <w:tab/>
            </w:r>
            <w:r>
              <w:rPr>
                <w:rStyle w:val="IndexLink"/>
              </w:rPr>
              <w:t>334</w:t>
            </w:r>
          </w:hyperlink>
        </w:p>
        <w:p>
          <w:pPr>
            <w:pStyle w:val="Contents3"/>
            <w:tabs>
              <w:tab w:val="clear" w:pos="8459"/>
              <w:tab w:val="right" w:pos="9026" w:leader="dot"/>
            </w:tabs>
            <w:rPr/>
          </w:pPr>
          <w:hyperlink w:anchor="__RefHeading___Toc935795_2870459653">
            <w:r>
              <w:rPr>
                <w:webHidden/>
                <w:rStyle w:val="IndexLink"/>
                <w:rtl w:val="true"/>
              </w:rPr>
              <w:t>المقدّمة</w:t>
            </w:r>
            <w:r>
              <w:rPr>
                <w:rStyle w:val="IndexLink"/>
                <w:rtl w:val="true"/>
              </w:rPr>
              <w:t>:</w:t>
              <w:tab/>
            </w:r>
            <w:r>
              <w:rPr>
                <w:rStyle w:val="IndexLink"/>
              </w:rPr>
              <w:t>335</w:t>
            </w:r>
          </w:hyperlink>
        </w:p>
        <w:p>
          <w:pPr>
            <w:pStyle w:val="Contents4"/>
            <w:tabs>
              <w:tab w:val="clear" w:pos="8176"/>
              <w:tab w:val="right" w:pos="9026" w:leader="dot"/>
            </w:tabs>
            <w:rPr/>
          </w:pPr>
          <w:hyperlink w:anchor="__RefHeading___Toc935797_2870459653">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935799_2870459653">
            <w:r>
              <w:rPr>
                <w:webHidden/>
                <w:rStyle w:val="IndexLink"/>
                <w:rtl w:val="true"/>
              </w:rPr>
              <w:t xml:space="preserve">أوّلًا </w:t>
            </w:r>
            <w:r>
              <w:rPr>
                <w:rStyle w:val="IndexLink"/>
                <w:rtl w:val="true"/>
              </w:rPr>
              <w:t xml:space="preserve">- </w:t>
            </w:r>
            <w:r>
              <w:rPr>
                <w:rStyle w:val="IndexLink"/>
                <w:rtl w:val="true"/>
              </w:rPr>
              <w:t>ملاحظات وانتقادات حول المنهجيّة المتّبعة</w:t>
            </w:r>
            <w:r>
              <w:rPr>
                <w:rStyle w:val="IndexLink"/>
                <w:rtl w:val="true"/>
              </w:rPr>
              <w:t>:</w:t>
              <w:tab/>
            </w:r>
            <w:r>
              <w:rPr>
                <w:rStyle w:val="IndexLink"/>
              </w:rPr>
              <w:t>337</w:t>
            </w:r>
          </w:hyperlink>
        </w:p>
        <w:p>
          <w:pPr>
            <w:pStyle w:val="Contents5"/>
            <w:tabs>
              <w:tab w:val="clear" w:pos="7892"/>
              <w:tab w:val="right" w:pos="9026" w:leader="dot"/>
            </w:tabs>
            <w:rPr/>
          </w:pPr>
          <w:hyperlink w:anchor="__RefHeading___Toc935801_2870459653">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935803_2870459653">
            <w:r>
              <w:rPr>
                <w:webHidden/>
                <w:rStyle w:val="IndexLink"/>
              </w:rPr>
              <w:t>1</w:t>
            </w:r>
            <w:r>
              <w:rPr>
                <w:rStyle w:val="IndexLink"/>
                <w:rtl w:val="true"/>
              </w:rPr>
              <w:t xml:space="preserve"> - </w:t>
            </w:r>
            <w:r>
              <w:rPr>
                <w:rStyle w:val="IndexLink"/>
                <w:rtl w:val="true"/>
              </w:rPr>
              <w:t>التلخيص المخل والانتقائيّة في عرض المسائل</w:t>
            </w:r>
            <w:r>
              <w:rPr>
                <w:rStyle w:val="IndexLink"/>
                <w:rtl w:val="true"/>
              </w:rPr>
              <w:t>:</w:t>
              <w:tab/>
            </w:r>
            <w:r>
              <w:rPr>
                <w:rStyle w:val="IndexLink"/>
              </w:rPr>
              <w:t>337</w:t>
            </w:r>
          </w:hyperlink>
        </w:p>
        <w:p>
          <w:pPr>
            <w:pStyle w:val="Contents6"/>
            <w:tabs>
              <w:tab w:val="clear" w:pos="7609"/>
              <w:tab w:val="right" w:pos="9026" w:leader="dot"/>
            </w:tabs>
            <w:rPr/>
          </w:pPr>
          <w:hyperlink w:anchor="__RefHeading___Toc935805_2870459653">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935807_2870459653">
            <w:r>
              <w:rPr>
                <w:webHidden/>
                <w:rStyle w:val="IndexLink"/>
                <w:rtl w:val="true"/>
              </w:rPr>
              <w:t>من خلال هذا النّص نلاحظ ما يلي</w:t>
            </w:r>
            <w:r>
              <w:rPr>
                <w:rStyle w:val="IndexLink"/>
                <w:rtl w:val="true"/>
              </w:rPr>
              <w:t>:</w:t>
              <w:tab/>
            </w:r>
            <w:r>
              <w:rPr>
                <w:rStyle w:val="IndexLink"/>
              </w:rPr>
              <w:t>338</w:t>
            </w:r>
          </w:hyperlink>
        </w:p>
        <w:p>
          <w:pPr>
            <w:pStyle w:val="Contents5"/>
            <w:tabs>
              <w:tab w:val="clear" w:pos="7892"/>
              <w:tab w:val="right" w:pos="9026" w:leader="dot"/>
            </w:tabs>
            <w:rPr/>
          </w:pPr>
          <w:hyperlink w:anchor="__RefHeading___Toc935809_2870459653">
            <w:r>
              <w:rPr>
                <w:webHidden/>
                <w:rStyle w:val="IndexLink"/>
              </w:rPr>
              <w:t>2</w:t>
            </w:r>
            <w:r>
              <w:rPr>
                <w:rStyle w:val="IndexLink"/>
                <w:rtl w:val="true"/>
              </w:rPr>
              <w:t xml:space="preserve"> - </w:t>
            </w:r>
            <w:r>
              <w:rPr>
                <w:rStyle w:val="IndexLink"/>
                <w:rtl w:val="true"/>
              </w:rPr>
              <w:t>تاريخيّة القرآن الكريم وتطوّر مواقفه</w:t>
            </w:r>
            <w:r>
              <w:rPr>
                <w:rStyle w:val="IndexLink"/>
                <w:rtl w:val="true"/>
              </w:rPr>
              <w:t>:</w:t>
              <w:tab/>
            </w:r>
            <w:r>
              <w:rPr>
                <w:rStyle w:val="IndexLink"/>
              </w:rPr>
              <w:t>341</w:t>
            </w:r>
          </w:hyperlink>
        </w:p>
        <w:p>
          <w:pPr>
            <w:pStyle w:val="Contents6"/>
            <w:tabs>
              <w:tab w:val="clear" w:pos="7609"/>
              <w:tab w:val="right" w:pos="9026" w:leader="dot"/>
            </w:tabs>
            <w:rPr/>
          </w:pPr>
          <w:hyperlink w:anchor="__RefHeading___Toc935811_2870459653">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935813_2870459653">
            <w:r>
              <w:rPr>
                <w:webHidden/>
                <w:rStyle w:val="IndexLink"/>
                <w:rtl w:val="true"/>
              </w:rPr>
              <w:t>المثال الثّاني</w:t>
            </w:r>
            <w:r>
              <w:rPr>
                <w:rStyle w:val="IndexLink"/>
                <w:rtl w:val="true"/>
              </w:rPr>
              <w:t>:</w:t>
              <w:tab/>
            </w:r>
            <w:r>
              <w:rPr>
                <w:rStyle w:val="IndexLink"/>
              </w:rPr>
              <w:t>344</w:t>
            </w:r>
          </w:hyperlink>
        </w:p>
        <w:p>
          <w:pPr>
            <w:pStyle w:val="Contents6"/>
            <w:tabs>
              <w:tab w:val="clear" w:pos="7609"/>
              <w:tab w:val="right" w:pos="9026" w:leader="dot"/>
            </w:tabs>
            <w:rPr/>
          </w:pPr>
          <w:hyperlink w:anchor="__RefHeading___Toc935815_2870459653">
            <w:r>
              <w:rPr>
                <w:webHidden/>
                <w:rStyle w:val="IndexLink"/>
                <w:rtl w:val="true"/>
              </w:rPr>
              <w:t>المثال الثالث</w:t>
            </w:r>
            <w:r>
              <w:rPr>
                <w:rStyle w:val="IndexLink"/>
                <w:rtl w:val="true"/>
              </w:rPr>
              <w:t>:</w:t>
              <w:tab/>
            </w:r>
            <w:r>
              <w:rPr>
                <w:rStyle w:val="IndexLink"/>
              </w:rPr>
              <w:t>345</w:t>
            </w:r>
          </w:hyperlink>
        </w:p>
        <w:p>
          <w:pPr>
            <w:pStyle w:val="Contents5"/>
            <w:tabs>
              <w:tab w:val="clear" w:pos="7892"/>
              <w:tab w:val="right" w:pos="9026" w:leader="dot"/>
            </w:tabs>
            <w:rPr/>
          </w:pPr>
          <w:hyperlink w:anchor="__RefHeading___Toc935817_2870459653">
            <w:r>
              <w:rPr>
                <w:webHidden/>
                <w:rStyle w:val="IndexLink"/>
              </w:rPr>
              <w:t>3</w:t>
            </w:r>
            <w:r>
              <w:rPr>
                <w:rStyle w:val="IndexLink"/>
                <w:rtl w:val="true"/>
              </w:rPr>
              <w:t xml:space="preserve"> - </w:t>
            </w:r>
            <w:r>
              <w:rPr>
                <w:rStyle w:val="IndexLink"/>
                <w:rtl w:val="true"/>
              </w:rPr>
              <w:t>إثارة الخلافات المذهبيّة من غير حاجةٍ لها</w:t>
            </w:r>
            <w:r>
              <w:rPr>
                <w:rStyle w:val="IndexLink"/>
                <w:rtl w:val="true"/>
              </w:rPr>
              <w:t>:</w:t>
              <w:tab/>
            </w:r>
            <w:r>
              <w:rPr>
                <w:rStyle w:val="IndexLink"/>
              </w:rPr>
              <w:t>346</w:t>
            </w:r>
          </w:hyperlink>
        </w:p>
        <w:p>
          <w:pPr>
            <w:pStyle w:val="Contents6"/>
            <w:tabs>
              <w:tab w:val="clear" w:pos="7609"/>
              <w:tab w:val="right" w:pos="9026" w:leader="dot"/>
            </w:tabs>
            <w:rPr/>
          </w:pPr>
          <w:hyperlink w:anchor="__RefHeading___Toc935819_2870459653">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935821_2870459653">
            <w:r>
              <w:rPr>
                <w:webHidden/>
                <w:rStyle w:val="IndexLink"/>
                <w:rtl w:val="true"/>
              </w:rPr>
              <w:t>المثال الأوّل</w:t>
            </w:r>
            <w:r>
              <w:rPr>
                <w:rStyle w:val="IndexLink"/>
                <w:rtl w:val="true"/>
              </w:rPr>
              <w:t>:</w:t>
              <w:tab/>
            </w:r>
            <w:r>
              <w:rPr>
                <w:rStyle w:val="IndexLink"/>
              </w:rPr>
              <w:t>347</w:t>
            </w:r>
          </w:hyperlink>
        </w:p>
        <w:p>
          <w:pPr>
            <w:pStyle w:val="Contents6"/>
            <w:tabs>
              <w:tab w:val="clear" w:pos="7609"/>
              <w:tab w:val="right" w:pos="9026" w:leader="dot"/>
            </w:tabs>
            <w:rPr/>
          </w:pPr>
          <w:hyperlink w:anchor="__RefHeading___Toc935823_2870459653">
            <w:r>
              <w:rPr>
                <w:webHidden/>
                <w:rStyle w:val="IndexLink"/>
                <w:rtl w:val="true"/>
              </w:rPr>
              <w:t>المثال الثّاني</w:t>
            </w:r>
            <w:r>
              <w:rPr>
                <w:rStyle w:val="IndexLink"/>
                <w:rtl w:val="true"/>
              </w:rPr>
              <w:t>:</w:t>
              <w:tab/>
            </w:r>
            <w:r>
              <w:rPr>
                <w:rStyle w:val="IndexLink"/>
              </w:rPr>
              <w:t>350</w:t>
            </w:r>
          </w:hyperlink>
        </w:p>
        <w:p>
          <w:pPr>
            <w:pStyle w:val="Contents6"/>
            <w:tabs>
              <w:tab w:val="clear" w:pos="7609"/>
              <w:tab w:val="right" w:pos="9026" w:leader="dot"/>
            </w:tabs>
            <w:rPr/>
          </w:pPr>
          <w:hyperlink w:anchor="__RefHeading___Toc935825_2870459653">
            <w:r>
              <w:rPr>
                <w:webHidden/>
                <w:rStyle w:val="IndexLink"/>
                <w:rtl w:val="true"/>
              </w:rPr>
              <w:t>المثال الثالث</w:t>
            </w:r>
            <w:r>
              <w:rPr>
                <w:rStyle w:val="IndexLink"/>
                <w:rtl w:val="true"/>
              </w:rPr>
              <w:t>:</w:t>
              <w:tab/>
            </w:r>
            <w:r>
              <w:rPr>
                <w:rStyle w:val="IndexLink"/>
              </w:rPr>
              <w:t>351</w:t>
            </w:r>
          </w:hyperlink>
        </w:p>
        <w:p>
          <w:pPr>
            <w:pStyle w:val="Contents6"/>
            <w:tabs>
              <w:tab w:val="clear" w:pos="7609"/>
              <w:tab w:val="right" w:pos="9026" w:leader="dot"/>
            </w:tabs>
            <w:rPr/>
          </w:pPr>
          <w:hyperlink w:anchor="__RefHeading___Toc935827_2870459653">
            <w:r>
              <w:rPr>
                <w:webHidden/>
                <w:rStyle w:val="IndexLink"/>
                <w:rtl w:val="true"/>
              </w:rPr>
              <w:t>المثال الرابع</w:t>
            </w:r>
            <w:r>
              <w:rPr>
                <w:rStyle w:val="IndexLink"/>
                <w:rtl w:val="true"/>
              </w:rPr>
              <w:t>:</w:t>
              <w:tab/>
            </w:r>
            <w:r>
              <w:rPr>
                <w:rStyle w:val="IndexLink"/>
              </w:rPr>
              <w:t>353</w:t>
            </w:r>
          </w:hyperlink>
        </w:p>
        <w:p>
          <w:pPr>
            <w:pStyle w:val="Contents4"/>
            <w:tabs>
              <w:tab w:val="clear" w:pos="8176"/>
              <w:tab w:val="right" w:pos="9026" w:leader="dot"/>
            </w:tabs>
            <w:rPr/>
          </w:pPr>
          <w:hyperlink w:anchor="__RefHeading___Toc935829_2870459653">
            <w:r>
              <w:rPr>
                <w:webHidden/>
                <w:rStyle w:val="IndexLink"/>
                <w:rtl w:val="true"/>
              </w:rPr>
              <w:t xml:space="preserve">ثانيًا </w:t>
            </w:r>
            <w:r>
              <w:rPr>
                <w:rStyle w:val="IndexLink"/>
                <w:rtl w:val="true"/>
              </w:rPr>
              <w:t xml:space="preserve">- </w:t>
            </w:r>
            <w:r>
              <w:rPr>
                <w:rStyle w:val="IndexLink"/>
                <w:rtl w:val="true"/>
              </w:rPr>
              <w:t>ملاحظات وانتقادات حول القضايا المطروحة</w:t>
            </w:r>
            <w:r>
              <w:rPr>
                <w:rStyle w:val="IndexLink"/>
                <w:rtl w:val="true"/>
              </w:rPr>
              <w:t>:</w:t>
              <w:tab/>
            </w:r>
            <w:r>
              <w:rPr>
                <w:rStyle w:val="IndexLink"/>
              </w:rPr>
              <w:t>354</w:t>
            </w:r>
          </w:hyperlink>
        </w:p>
        <w:p>
          <w:pPr>
            <w:pStyle w:val="Contents5"/>
            <w:tabs>
              <w:tab w:val="clear" w:pos="7892"/>
              <w:tab w:val="right" w:pos="9026" w:leader="dot"/>
            </w:tabs>
            <w:rPr/>
          </w:pPr>
          <w:hyperlink w:anchor="__RefHeading___Toc935831_2870459653">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935833_2870459653">
            <w:r>
              <w:rPr>
                <w:webHidden/>
                <w:rStyle w:val="IndexLink"/>
              </w:rPr>
              <w:t>1</w:t>
            </w:r>
            <w:r>
              <w:rPr>
                <w:rStyle w:val="IndexLink"/>
                <w:rtl w:val="true"/>
              </w:rPr>
              <w:t xml:space="preserve"> - </w:t>
            </w:r>
            <w:r>
              <w:rPr>
                <w:rStyle w:val="IndexLink"/>
                <w:rtl w:val="true"/>
              </w:rPr>
              <w:t>المغالطات المرتبطة بالجبر والاختيار في القرآن الكريم</w:t>
            </w:r>
            <w:r>
              <w:rPr>
                <w:rStyle w:val="IndexLink"/>
                <w:rtl w:val="true"/>
              </w:rPr>
              <w:t>:</w:t>
              <w:tab/>
            </w:r>
            <w:r>
              <w:rPr>
                <w:rStyle w:val="IndexLink"/>
              </w:rPr>
              <w:t>354</w:t>
            </w:r>
          </w:hyperlink>
        </w:p>
        <w:p>
          <w:pPr>
            <w:pStyle w:val="Contents5"/>
            <w:tabs>
              <w:tab w:val="clear" w:pos="7892"/>
              <w:tab w:val="right" w:pos="9026" w:leader="dot"/>
            </w:tabs>
            <w:rPr/>
          </w:pPr>
          <w:hyperlink w:anchor="__RefHeading___Toc935835_2870459653">
            <w:r>
              <w:rPr>
                <w:webHidden/>
                <w:rStyle w:val="IndexLink"/>
              </w:rPr>
              <w:t>2</w:t>
            </w:r>
            <w:r>
              <w:rPr>
                <w:rStyle w:val="IndexLink"/>
                <w:rtl w:val="true"/>
              </w:rPr>
              <w:t xml:space="preserve"> - </w:t>
            </w:r>
            <w:r>
              <w:rPr>
                <w:rStyle w:val="IndexLink"/>
                <w:rtl w:val="true"/>
              </w:rPr>
              <w:t>المغالطات المرتبطة بالتّسامح في القرآن الكريم</w:t>
            </w:r>
            <w:r>
              <w:rPr>
                <w:rStyle w:val="IndexLink"/>
                <w:rtl w:val="true"/>
              </w:rPr>
              <w:t>:</w:t>
              <w:tab/>
            </w:r>
            <w:r>
              <w:rPr>
                <w:rStyle w:val="IndexLink"/>
              </w:rPr>
              <w:t>358</w:t>
            </w:r>
          </w:hyperlink>
        </w:p>
        <w:p>
          <w:pPr>
            <w:pStyle w:val="Contents5"/>
            <w:tabs>
              <w:tab w:val="clear" w:pos="7892"/>
              <w:tab w:val="right" w:pos="9026" w:leader="dot"/>
            </w:tabs>
            <w:rPr/>
          </w:pPr>
          <w:hyperlink w:anchor="__RefHeading___Toc935837_2870459653">
            <w:r>
              <w:rPr>
                <w:webHidden/>
                <w:rStyle w:val="IndexLink"/>
              </w:rPr>
              <w:t>3</w:t>
            </w:r>
            <w:r>
              <w:rPr>
                <w:rStyle w:val="IndexLink"/>
                <w:rtl w:val="true"/>
              </w:rPr>
              <w:t xml:space="preserve"> - </w:t>
            </w:r>
            <w:r>
              <w:rPr>
                <w:rStyle w:val="IndexLink"/>
                <w:rtl w:val="true"/>
              </w:rPr>
              <w:t>المغالطات المرتبطة بالجهاد في سبيل الله</w:t>
            </w:r>
            <w:r>
              <w:rPr>
                <w:rStyle w:val="IndexLink"/>
                <w:rtl w:val="true"/>
              </w:rPr>
              <w:t>:</w:t>
              <w:tab/>
            </w:r>
            <w:r>
              <w:rPr>
                <w:rStyle w:val="IndexLink"/>
              </w:rPr>
              <w:t>364</w:t>
            </w:r>
          </w:hyperlink>
        </w:p>
        <w:p>
          <w:pPr>
            <w:pStyle w:val="Contents5"/>
            <w:tabs>
              <w:tab w:val="clear" w:pos="7892"/>
              <w:tab w:val="right" w:pos="9026" w:leader="dot"/>
            </w:tabs>
            <w:rPr/>
          </w:pPr>
          <w:hyperlink w:anchor="__RefHeading___Toc935839_2870459653">
            <w:r>
              <w:rPr>
                <w:webHidden/>
                <w:rStyle w:val="IndexLink"/>
                <w:rtl w:val="true"/>
              </w:rPr>
              <w:t>المبحث الثالث</w:t>
            </w:r>
            <w:r>
              <w:rPr>
                <w:rStyle w:val="IndexLink"/>
                <w:rtl w:val="true"/>
              </w:rPr>
              <w:t xml:space="preserve">: </w:t>
            </w:r>
            <w:r>
              <w:rPr>
                <w:rStyle w:val="IndexLink"/>
                <w:rtl w:val="true"/>
              </w:rPr>
              <w:t>المؤشّرات القرآنية على التفاعل بين الأديان</w:t>
            </w:r>
            <w:r>
              <w:rPr>
                <w:rStyle w:val="IndexLink"/>
                <w:rtl w:val="true"/>
              </w:rPr>
              <w:tab/>
            </w:r>
            <w:r>
              <w:rPr>
                <w:rStyle w:val="IndexLink"/>
              </w:rPr>
              <w:t>545</w:t>
            </w:r>
          </w:hyperlink>
        </w:p>
        <w:p>
          <w:pPr>
            <w:pStyle w:val="Contents5"/>
            <w:tabs>
              <w:tab w:val="clear" w:pos="7892"/>
              <w:tab w:val="right" w:pos="9026" w:leader="dot"/>
            </w:tabs>
            <w:rPr/>
          </w:pPr>
          <w:hyperlink w:anchor="__RefHeading___Toc935841_2870459653">
            <w:r>
              <w:rPr>
                <w:webHidden/>
                <w:rStyle w:val="IndexLink"/>
                <w:rtl w:val="true"/>
              </w:rPr>
              <w:t>المبحث الرّابع</w:t>
            </w:r>
            <w:r>
              <w:rPr>
                <w:rStyle w:val="IndexLink"/>
                <w:rtl w:val="true"/>
              </w:rPr>
              <w:t xml:space="preserve">: </w:t>
            </w:r>
            <w:r>
              <w:rPr>
                <w:rStyle w:val="IndexLink"/>
                <w:rtl w:val="true"/>
              </w:rPr>
              <w:t>هل يحوي القرآن نظريّةً في التعدّديّة الدّينيّة؟</w:t>
            </w:r>
            <w:r>
              <w:rPr>
                <w:rStyle w:val="IndexLink"/>
                <w:rtl w:val="true"/>
              </w:rPr>
              <w:t>:</w:t>
              <w:tab/>
            </w:r>
            <w:r>
              <w:rPr>
                <w:rStyle w:val="IndexLink"/>
              </w:rPr>
              <w:t>551</w:t>
            </w:r>
          </w:hyperlink>
        </w:p>
        <w:p>
          <w:pPr>
            <w:pStyle w:val="Contents4"/>
            <w:tabs>
              <w:tab w:val="clear" w:pos="8176"/>
              <w:tab w:val="right" w:pos="9026" w:leader="dot"/>
            </w:tabs>
            <w:rPr/>
          </w:pPr>
          <w:hyperlink w:anchor="__RefHeading___Toc935843_2870459653">
            <w:r>
              <w:rPr>
                <w:webHidden/>
                <w:rStyle w:val="IndexLink"/>
                <w:rtl w:val="true"/>
              </w:rPr>
              <w:t>الفصل الثاني</w:t>
            </w:r>
            <w:r>
              <w:rPr>
                <w:rStyle w:val="IndexLink"/>
                <w:rtl w:val="true"/>
              </w:rPr>
              <w:t xml:space="preserve">: </w:t>
            </w:r>
            <w:r>
              <w:rPr>
                <w:rStyle w:val="IndexLink"/>
                <w:rtl w:val="true"/>
              </w:rPr>
              <w:t xml:space="preserve">القراءة النقدية لمقالة </w:t>
            </w:r>
            <w:r>
              <w:rPr>
                <w:rStyle w:val="IndexLink"/>
                <w:rtl w:val="true"/>
              </w:rPr>
              <w:t>«</w:t>
            </w:r>
            <w:r>
              <w:rPr>
                <w:rStyle w:val="IndexLink"/>
                <w:rtl w:val="true"/>
              </w:rPr>
              <w:t>التعدّديّة الدّينيّة والقرآن</w:t>
            </w:r>
            <w:r>
              <w:rPr>
                <w:rStyle w:val="IndexLink"/>
                <w:rtl w:val="true"/>
              </w:rPr>
              <w:t>»</w:t>
              <w:tab/>
            </w:r>
            <w:r>
              <w:rPr>
                <w:rStyle w:val="IndexLink"/>
              </w:rPr>
              <w:t>557</w:t>
            </w:r>
          </w:hyperlink>
        </w:p>
        <w:p>
          <w:pPr>
            <w:pStyle w:val="Contents5"/>
            <w:tabs>
              <w:tab w:val="clear" w:pos="7892"/>
              <w:tab w:val="right" w:pos="9026" w:leader="dot"/>
            </w:tabs>
            <w:rPr/>
          </w:pPr>
          <w:hyperlink w:anchor="__RefHeading___Toc935845_2870459653">
            <w:r>
              <w:rPr>
                <w:webHidden/>
                <w:rStyle w:val="IndexLink"/>
                <w:rtl w:val="true"/>
              </w:rPr>
              <w:t>تمهيد</w:t>
            </w:r>
            <w:r>
              <w:rPr>
                <w:rStyle w:val="IndexLink"/>
                <w:rtl w:val="true"/>
              </w:rPr>
              <w:tab/>
            </w:r>
            <w:r>
              <w:rPr>
                <w:rStyle w:val="IndexLink"/>
              </w:rPr>
              <w:t>557</w:t>
            </w:r>
          </w:hyperlink>
        </w:p>
        <w:p>
          <w:pPr>
            <w:pStyle w:val="Contents6"/>
            <w:tabs>
              <w:tab w:val="clear" w:pos="7609"/>
              <w:tab w:val="right" w:pos="9026" w:leader="dot"/>
            </w:tabs>
            <w:rPr/>
          </w:pPr>
          <w:hyperlink w:anchor="__RefHeading___Toc935847_2870459653">
            <w:r>
              <w:rPr>
                <w:webHidden/>
                <w:rStyle w:val="IndexLink"/>
                <w:rtl w:val="true"/>
              </w:rPr>
              <w:t>اشارة</w:t>
            </w:r>
            <w:r>
              <w:rPr>
                <w:rStyle w:val="IndexLink"/>
                <w:rtl w:val="true"/>
              </w:rPr>
              <w:tab/>
            </w:r>
            <w:r>
              <w:rPr>
                <w:rStyle w:val="IndexLink"/>
              </w:rPr>
              <w:t>557</w:t>
            </w:r>
          </w:hyperlink>
        </w:p>
        <w:p>
          <w:pPr>
            <w:pStyle w:val="Contents6"/>
            <w:tabs>
              <w:tab w:val="clear" w:pos="7609"/>
              <w:tab w:val="right" w:pos="9026" w:leader="dot"/>
            </w:tabs>
            <w:rPr/>
          </w:pPr>
          <w:hyperlink w:anchor="__RefHeading___Toc935849_2870459653">
            <w:r>
              <w:rPr>
                <w:webHidden/>
                <w:rStyle w:val="IndexLink"/>
                <w:rtl w:val="true"/>
              </w:rPr>
              <w:t xml:space="preserve">المبحث الأول </w:t>
            </w:r>
            <w:r>
              <w:rPr>
                <w:rStyle w:val="IndexLink"/>
                <w:rtl w:val="true"/>
              </w:rPr>
              <w:t xml:space="preserve">: </w:t>
            </w:r>
            <w:r>
              <w:rPr>
                <w:rStyle w:val="IndexLink"/>
                <w:rtl w:val="true"/>
              </w:rPr>
              <w:t>نقد وتقويم بحث المفردات القرآنية</w:t>
            </w:r>
            <w:r>
              <w:rPr>
                <w:rStyle w:val="IndexLink"/>
                <w:rtl w:val="true"/>
              </w:rPr>
              <w:tab/>
            </w:r>
            <w:r>
              <w:rPr>
                <w:rStyle w:val="IndexLink"/>
              </w:rPr>
              <w:t>559</w:t>
            </w:r>
          </w:hyperlink>
        </w:p>
        <w:p>
          <w:pPr>
            <w:pStyle w:val="Contents6"/>
            <w:tabs>
              <w:tab w:val="clear" w:pos="7609"/>
              <w:tab w:val="right" w:pos="9026" w:leader="dot"/>
            </w:tabs>
            <w:rPr/>
          </w:pPr>
          <w:hyperlink w:anchor="__RefHeading___Toc935851_2870459653">
            <w:r>
              <w:rPr>
                <w:webHidden/>
                <w:rStyle w:val="IndexLink"/>
                <w:rtl w:val="true"/>
              </w:rPr>
              <w:t>المبحث الثاني</w:t>
            </w:r>
            <w:r>
              <w:rPr>
                <w:rStyle w:val="IndexLink"/>
                <w:rtl w:val="true"/>
              </w:rPr>
              <w:t xml:space="preserve">: </w:t>
            </w:r>
            <w:r>
              <w:rPr>
                <w:rStyle w:val="IndexLink"/>
                <w:rtl w:val="true"/>
              </w:rPr>
              <w:t>المجتمعات الدينية وتفاعلاتها في القرآن في ميزان النقد</w:t>
            </w:r>
            <w:r>
              <w:rPr>
                <w:rStyle w:val="IndexLink"/>
                <w:rtl w:val="true"/>
              </w:rPr>
              <w:t>:</w:t>
              <w:tab/>
            </w:r>
            <w:r>
              <w:rPr>
                <w:rStyle w:val="IndexLink"/>
              </w:rPr>
              <w:t>580</w:t>
            </w:r>
          </w:hyperlink>
        </w:p>
        <w:p>
          <w:pPr>
            <w:pStyle w:val="Contents6"/>
            <w:tabs>
              <w:tab w:val="clear" w:pos="7609"/>
              <w:tab w:val="right" w:pos="9026" w:leader="dot"/>
            </w:tabs>
            <w:rPr/>
          </w:pPr>
          <w:hyperlink w:anchor="__RefHeading___Toc935853_2870459653">
            <w:r>
              <w:rPr>
                <w:webHidden/>
                <w:rStyle w:val="IndexLink"/>
                <w:rtl w:val="true"/>
              </w:rPr>
              <w:t>المبحث الثالث</w:t>
            </w:r>
            <w:r>
              <w:rPr>
                <w:rStyle w:val="IndexLink"/>
                <w:rtl w:val="true"/>
              </w:rPr>
              <w:t xml:space="preserve">: </w:t>
            </w:r>
            <w:r>
              <w:rPr>
                <w:rStyle w:val="IndexLink"/>
                <w:rtl w:val="true"/>
              </w:rPr>
              <w:t>النظريّة القرآنيّة في التَّعدّديّة الدّينيّة بين الوهم والحقيقة</w:t>
            </w:r>
            <w:r>
              <w:rPr>
                <w:rStyle w:val="IndexLink"/>
                <w:rtl w:val="true"/>
              </w:rPr>
              <w:t>:</w:t>
              <w:tab/>
            </w:r>
            <w:r>
              <w:rPr>
                <w:rStyle w:val="IndexLink"/>
              </w:rPr>
              <w:t>600</w:t>
            </w:r>
          </w:hyperlink>
        </w:p>
        <w:p>
          <w:pPr>
            <w:pStyle w:val="Contents6"/>
            <w:tabs>
              <w:tab w:val="clear" w:pos="7609"/>
              <w:tab w:val="right" w:pos="9026" w:leader="dot"/>
            </w:tabs>
            <w:rPr/>
          </w:pPr>
          <w:hyperlink w:anchor="__RefHeading___Toc935855_2870459653">
            <w:r>
              <w:rPr>
                <w:webHidden/>
                <w:rStyle w:val="IndexLink"/>
                <w:rtl w:val="true"/>
              </w:rPr>
              <w:t>المبحث الرّابع</w:t>
            </w:r>
            <w:r>
              <w:rPr>
                <w:rStyle w:val="IndexLink"/>
                <w:rtl w:val="true"/>
              </w:rPr>
              <w:t xml:space="preserve">: </w:t>
            </w:r>
            <w:r>
              <w:rPr>
                <w:rStyle w:val="IndexLink"/>
                <w:rtl w:val="true"/>
              </w:rPr>
              <w:t>الفرضيّات المتوارية والسياقات الاستشراقية</w:t>
            </w:r>
            <w:r>
              <w:rPr>
                <w:rStyle w:val="IndexLink"/>
                <w:rtl w:val="true"/>
              </w:rPr>
              <w:tab/>
            </w:r>
            <w:r>
              <w:rPr>
                <w:rStyle w:val="IndexLink"/>
              </w:rPr>
              <w:t>618</w:t>
            </w:r>
          </w:hyperlink>
        </w:p>
        <w:p>
          <w:pPr>
            <w:pStyle w:val="Contents5"/>
            <w:tabs>
              <w:tab w:val="clear" w:pos="7892"/>
              <w:tab w:val="right" w:pos="9026" w:leader="dot"/>
            </w:tabs>
            <w:rPr/>
          </w:pPr>
          <w:hyperlink w:anchor="__RefHeading___Toc935857_2870459653">
            <w:r>
              <w:rPr>
                <w:webHidden/>
                <w:rStyle w:val="IndexLink"/>
                <w:rtl w:val="true"/>
              </w:rPr>
              <w:t>الخاتمة</w:t>
            </w:r>
            <w:r>
              <w:rPr>
                <w:rStyle w:val="IndexLink"/>
                <w:rtl w:val="true"/>
              </w:rPr>
              <w:tab/>
            </w:r>
            <w:r>
              <w:rPr>
                <w:rStyle w:val="IndexLink"/>
              </w:rPr>
              <w:t>627</w:t>
            </w:r>
          </w:hyperlink>
        </w:p>
        <w:p>
          <w:pPr>
            <w:pStyle w:val="Contents4"/>
            <w:tabs>
              <w:tab w:val="clear" w:pos="8176"/>
              <w:tab w:val="right" w:pos="9026" w:leader="dot"/>
            </w:tabs>
            <w:rPr/>
          </w:pPr>
          <w:hyperlink w:anchor="__RefHeading___Toc935859_2870459653">
            <w:r>
              <w:rPr>
                <w:webHidden/>
                <w:rStyle w:val="IndexLink"/>
                <w:rtl w:val="true"/>
              </w:rPr>
              <w:t>المصادر والمراجع</w:t>
            </w:r>
            <w:r>
              <w:rPr>
                <w:rStyle w:val="IndexLink"/>
                <w:rtl w:val="true"/>
              </w:rPr>
              <w:tab/>
            </w:r>
            <w:r>
              <w:rPr>
                <w:rStyle w:val="IndexLink"/>
              </w:rPr>
              <w:t>632</w:t>
            </w:r>
          </w:hyperlink>
        </w:p>
        <w:p>
          <w:pPr>
            <w:pStyle w:val="Contents2"/>
            <w:tabs>
              <w:tab w:val="clear" w:pos="8743"/>
              <w:tab w:val="right" w:pos="9026" w:leader="dot"/>
            </w:tabs>
            <w:rPr/>
          </w:pPr>
          <w:hyperlink w:anchor="__RefHeading___Toc935861_2870459653">
            <w:r>
              <w:rPr>
                <w:webHidden/>
                <w:rStyle w:val="IndexLink"/>
                <w:rtl w:val="true"/>
              </w:rPr>
              <w:t xml:space="preserve">الاختيار الانتقائي والبيان اللامتوازن للمعلومات في موسوعة القرآن </w:t>
            </w:r>
            <w:r>
              <w:rPr>
                <w:rStyle w:val="IndexLink"/>
                <w:rtl w:val="true"/>
              </w:rPr>
              <w:t xml:space="preserve">( </w:t>
            </w:r>
            <w:r>
              <w:rPr>
                <w:rStyle w:val="IndexLink"/>
                <w:rtl w:val="true"/>
              </w:rPr>
              <w:t xml:space="preserve">ليدن </w:t>
            </w:r>
            <w:r>
              <w:rPr>
                <w:rStyle w:val="IndexLink"/>
                <w:rtl w:val="true"/>
              </w:rPr>
              <w:t>)</w:t>
              <w:tab/>
            </w:r>
            <w:r>
              <w:rPr>
                <w:rStyle w:val="IndexLink"/>
              </w:rPr>
              <w:t>636</w:t>
            </w:r>
          </w:hyperlink>
        </w:p>
        <w:p>
          <w:pPr>
            <w:pStyle w:val="Contents3"/>
            <w:tabs>
              <w:tab w:val="clear" w:pos="8459"/>
              <w:tab w:val="right" w:pos="9026" w:leader="dot"/>
            </w:tabs>
            <w:rPr/>
          </w:pPr>
          <w:hyperlink w:anchor="__RefHeading___Toc935863_2870459653">
            <w:r>
              <w:rPr>
                <w:webHidden/>
                <w:rStyle w:val="IndexLink"/>
                <w:rtl w:val="true"/>
              </w:rPr>
              <w:t>اشارة</w:t>
            </w:r>
            <w:r>
              <w:rPr>
                <w:rStyle w:val="IndexLink"/>
                <w:rtl w:val="true"/>
              </w:rPr>
              <w:tab/>
            </w:r>
            <w:r>
              <w:rPr>
                <w:rStyle w:val="IndexLink"/>
              </w:rPr>
              <w:t>636</w:t>
            </w:r>
          </w:hyperlink>
        </w:p>
        <w:p>
          <w:pPr>
            <w:pStyle w:val="Contents3"/>
            <w:tabs>
              <w:tab w:val="clear" w:pos="8459"/>
              <w:tab w:val="right" w:pos="9026" w:leader="dot"/>
            </w:tabs>
            <w:rPr/>
          </w:pPr>
          <w:hyperlink w:anchor="__RefHeading___Toc935865_2870459653">
            <w:r>
              <w:rPr>
                <w:webHidden/>
                <w:rStyle w:val="IndexLink"/>
                <w:rtl w:val="true"/>
              </w:rPr>
              <w:t>الملخص</w:t>
            </w:r>
            <w:r>
              <w:rPr>
                <w:rStyle w:val="IndexLink"/>
                <w:rtl w:val="true"/>
              </w:rPr>
              <w:tab/>
            </w:r>
            <w:r>
              <w:rPr>
                <w:rStyle w:val="IndexLink"/>
              </w:rPr>
              <w:t>636</w:t>
            </w:r>
          </w:hyperlink>
        </w:p>
        <w:p>
          <w:pPr>
            <w:pStyle w:val="Contents2"/>
            <w:tabs>
              <w:tab w:val="clear" w:pos="8743"/>
              <w:tab w:val="right" w:pos="9026" w:leader="dot"/>
            </w:tabs>
            <w:rPr/>
          </w:pPr>
          <w:hyperlink w:anchor="__RefHeading___Toc935867_2870459653">
            <w:r>
              <w:rPr>
                <w:webHidden/>
                <w:rStyle w:val="IndexLink"/>
                <w:rtl w:val="true"/>
              </w:rPr>
              <w:t>المصادر والمراجع</w:t>
            </w:r>
            <w:r>
              <w:rPr>
                <w:rStyle w:val="IndexLink"/>
                <w:rtl w:val="true"/>
              </w:rPr>
              <w:tab/>
            </w:r>
            <w:r>
              <w:rPr>
                <w:rStyle w:val="IndexLink"/>
              </w:rPr>
              <w:t>656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98_139141"/>
      <w:bookmarkStart w:id="1" w:name="pg8898_139141"/>
      <w:bookmarkEnd w:id="1"/>
    </w:p>
    <w:p>
      <w:pPr>
        <w:pStyle w:val="Heading2"/>
        <w:numPr>
          <w:ilvl w:val="1"/>
          <w:numId w:val="1"/>
        </w:numPr>
        <w:rPr/>
      </w:pPr>
      <w:bookmarkStart w:id="2" w:name="pg8898_139141"/>
      <w:bookmarkStart w:id="3" w:name="__RefHeading___Toc935419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القرآن الكريم في الفكر الاستشراقيّ المعاصر مقاربات نقديّة لموسوعة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القرآن في الدراسات الغربية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9789922625638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مطاعن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الاستشراق والمستشرقون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LCC : BP130.1 .Q732021</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 فهرسة اثناء النشر</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سلسلة القرآن في الدّراسات الغربيّة</w:t>
      </w:r>
    </w:p>
    <w:p>
      <w:pPr>
        <w:pStyle w:val="BookText"/>
        <w:rPr/>
      </w:pPr>
      <w:r>
        <w:rPr>
          <w:rFonts w:ascii="Amiri" w:hAnsi="Amiri" w:eastAsia="Amiri" w:cs="Amiri"/>
          <w:color w:val="111111"/>
          <w:sz w:val="28"/>
          <w:sz w:val="28"/>
          <w:szCs w:val="28"/>
          <w:rtl w:val="true"/>
          <w:lang w:bidi="ar-SA"/>
        </w:rPr>
        <w:t>المركز الاسلامي الله استات الاستراتيجية</w:t>
      </w:r>
    </w:p>
    <w:p>
      <w:pPr>
        <w:pStyle w:val="BookText"/>
        <w:rPr/>
      </w:pPr>
      <w:r>
        <w:rPr>
          <w:rFonts w:ascii="Amiri" w:hAnsi="Amiri" w:eastAsia="Amiri" w:cs="Amiri"/>
          <w:color w:val="111111"/>
          <w:sz w:val="28"/>
          <w:sz w:val="28"/>
          <w:szCs w:val="28"/>
          <w:rtl w:val="true"/>
          <w:lang w:bidi="ar-SA"/>
        </w:rPr>
        <w:t>في الفكر الاستشراقيّ المعاصر</w:t>
      </w:r>
    </w:p>
    <w:p>
      <w:pPr>
        <w:pStyle w:val="BookText"/>
        <w:rPr/>
      </w:pPr>
      <w:r>
        <w:rPr>
          <w:rFonts w:ascii="Amiri" w:hAnsi="Amiri" w:eastAsia="Amiri" w:cs="Amiri"/>
          <w:color w:val="111111"/>
          <w:sz w:val="28"/>
          <w:sz w:val="28"/>
          <w:szCs w:val="28"/>
          <w:rtl w:val="true"/>
          <w:lang w:bidi="ar-SA"/>
        </w:rPr>
        <w:t xml:space="preserve">مقاربات نقديّة لموسوعة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مؤلّفين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5421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القرآن الكريم في الفكر الاستشراقيّ المعاصر مقاربات نقديّة لموسوعة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القرآن في الدراسات الغربية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9789922625638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مطاعن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الاستشراق والمستشرقون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LCC : BP130.1 .Q732021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التابع لمكتبة ودار مخطوطات العتبة العباسية المقدسة فهرسة اثناء النشر </w:t>
      </w:r>
    </w:p>
    <w:p>
      <w:pPr>
        <w:pStyle w:val="BookText"/>
        <w:rPr/>
      </w:pPr>
      <w:r>
        <w:rPr>
          <w:rFonts w:ascii="Amiri" w:hAnsi="Amiri" w:eastAsia="Amiri" w:cs="Amiri"/>
          <w:color w:val="111111"/>
          <w:sz w:val="28"/>
          <w:sz w:val="28"/>
          <w:szCs w:val="28"/>
          <w:rtl w:val="true"/>
          <w:lang w:bidi="ar-SA"/>
        </w:rPr>
        <w:t>سلسلة القرآن في الدّراسات الغربيّة</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في الفكر الاستشراقيّ المعاصر</w:t>
      </w:r>
    </w:p>
    <w:p>
      <w:pPr>
        <w:pStyle w:val="BookText"/>
        <w:rPr/>
      </w:pPr>
      <w:r>
        <w:rPr>
          <w:rFonts w:ascii="Amiri" w:hAnsi="Amiri" w:eastAsia="Amiri" w:cs="Amiri"/>
          <w:color w:val="111111"/>
          <w:sz w:val="28"/>
          <w:sz w:val="28"/>
          <w:szCs w:val="28"/>
          <w:rtl w:val="true"/>
          <w:lang w:bidi="ar-SA"/>
        </w:rPr>
        <w:t xml:space="preserve">مقاربات نقديّة لموسوعة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مؤلّفين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8898_139145"/>
    </w:p>
    <w:p>
      <w:pPr>
        <w:pStyle w:val="Heading2"/>
        <w:numPr>
          <w:ilvl w:val="1"/>
          <w:numId w:val="1"/>
        </w:numPr>
        <w:rPr/>
      </w:pPr>
      <w:bookmarkStart w:id="8" w:name="__RefHeading___Toc935423_2870459653"/>
      <w:bookmarkStart w:id="9" w:name="_Toc3"/>
      <w:bookmarkEnd w:id="7"/>
      <w:bookmarkEnd w:id="8"/>
      <w:r>
        <w:rPr>
          <w:rtl w:val="true"/>
        </w:rPr>
        <w:t>فهرس الكتاب</w:t>
      </w:r>
      <w:bookmarkEnd w:id="9"/>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المدخل؛ القرآن والدراسات القرآنية في الموسوعات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الكريم في الدّراسات الاستشراقيّة المعاصرة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ليدن القرآنيّة في ضوء تحليل المضمون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حمداوي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مقاربات نقديّة في منهجيّتها ومسارات تنفيذها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رضائي إصفهاني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هيئة القرآن وبنيته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نقديّة لآراء أنجليكا نويفرت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الشيخ محمود سرائب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لغة القرآن وأسلوبه في موسوعة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عرضًا ونقدًا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أبو المجد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اضطراب نصّ القرآن في كلمات أنجليكا نويفيرت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الشيخ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البدري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 في موسوعة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إسكندر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في مطلع العصر الحديث والمعاصر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عطيّة</w:t>
      </w:r>
    </w:p>
    <w:p>
      <w:pPr>
        <w:pStyle w:val="BookText"/>
        <w:rPr/>
      </w:pPr>
      <w:r>
        <w:rPr>
          <w:rFonts w:ascii="Amiri" w:hAnsi="Amiri" w:eastAsia="Amiri" w:cs="Amiri"/>
          <w:color w:val="111111"/>
          <w:sz w:val="28"/>
          <w:sz w:val="28"/>
          <w:szCs w:val="28"/>
          <w:rtl w:val="true"/>
          <w:lang w:bidi="ar-SA"/>
        </w:rPr>
        <w:t xml:space="preserve">الاعتقادات في موسوعة القرآن ليدن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الإيمان والكفر نموذجًا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أبو لحية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الإنجيل 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الشيخ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إسماعيل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التحيّز المعرفي في موسوعة ليدن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مداخل الأنبياء أنموذجًا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السيد يعقوب الميالي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الحضارة والعمران في موسوعة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تحليلية ونقديّة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د زكي الميلاد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الدّراسات الفقهيّة في موسوعة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مقاربات نقديّة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التشريعات العباديّة في موسوعة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الغنامي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التعدّديّة الدّينيّة والقرآن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تحليليّة نقديّة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الشيخ الأسعد بن علي قيدارة</w:t>
      </w:r>
    </w:p>
    <w:p>
      <w:pPr>
        <w:pStyle w:val="BookText"/>
        <w:rPr/>
      </w:pPr>
      <w:r>
        <w:rPr>
          <w:rFonts w:ascii="Amiri" w:hAnsi="Amiri" w:eastAsia="Amiri" w:cs="Amiri"/>
          <w:color w:val="111111"/>
          <w:sz w:val="28"/>
          <w:sz w:val="28"/>
          <w:szCs w:val="28"/>
          <w:rtl w:val="true"/>
          <w:lang w:bidi="ar-SA"/>
        </w:rPr>
        <w:t xml:space="preserve">الاختيار الانتقائيّ والبيان اللّامتوازن للمعلومات في موسوعة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دحسين لطيفي </w:t>
      </w:r>
      <w:bookmarkStart w:id="10" w:name="pg8898_139147"/>
    </w:p>
    <w:p>
      <w:pPr>
        <w:pStyle w:val="Heading2"/>
        <w:numPr>
          <w:ilvl w:val="1"/>
          <w:numId w:val="1"/>
        </w:numPr>
        <w:rPr/>
      </w:pPr>
      <w:bookmarkStart w:id="11" w:name="__RefHeading___Toc935425_2870459653"/>
      <w:bookmarkStart w:id="12" w:name="_Toc4"/>
      <w:bookmarkEnd w:id="10"/>
      <w:bookmarkEnd w:id="11"/>
      <w:r>
        <w:rPr>
          <w:rtl w:val="true"/>
        </w:rPr>
        <w:t>مقدمه المرکز</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العالمين، وسلام على رسول الإسلام؛ محمّد صلّی الله علیه و آله و آله الطاهرينو على جميع الأنبياء والمرسلين، وبعد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حقيقة القرآن أسمى من أن تدركها العقول، وأوسع من أن تحيطها قوالب الألفاظ ؛ لأنّ الألفاظ موضوعةٌ بإزاء معانٍ مجعولة ومُدرَكَة من قِبَل البشر، في حين أنّ حقيقة القرآن حقيقةٌ إلهيّةٌ تنطوي على أعمق المعارف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قضى الله تعالى أن يُلبس هذه الحقيقة لباس الألفاظ؛ ليتسنّى للناس فهم القرآن ذكر العلامة الطباطبائي قدّس سرّه في صدد تفسيره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جَعَلْتَهُ قُرْهَنَا عَرَبِيًّا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أُمِّ الْكِتَبِ لَدَيْنَا لَعَلِيُّ حَكِيمُ</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الضمير مرجعه للكتاب،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قُرْءَانَا عَرَبِيًّا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مقرؤا باللغة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 الجعل وغرضه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رجاء تعقلّه غايةً للجعل المذكور يشهد بأنّ له مرحلة من الكينونة والوجود لا ينالها عقول الناس، ومن شأن العقل أن ينال كلّ أمرٍ فكريّ وإن بلغ من اللّطافة والدقّة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بحسب موطنه الذي له في نفسه أمر وراء الفكر، أجنبيّ عن العقول البشريّة، وإنّما جعله الله قرآنًا عربيًّا وألبسه هذا اللباس؛ رجاء أن يستأنس به عقول الناس فيعقلوه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وتبيين لما تدلّ عليه الآية السابقة من أنّ الكتاب في موطنه الأصلي وراء تعقل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للكتاب، والمراد بأمّ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المحفوظ؛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قُرْءَانٌ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وتسميته بأمّ الكتاب </w:t>
      </w:r>
    </w:p>
    <w:p>
      <w:pPr>
        <w:pStyle w:val="BookText"/>
        <w:rPr/>
      </w:pPr>
      <w:r>
        <w:rPr>
          <w:rFonts w:ascii="Amiri" w:hAnsi="Amiri" w:eastAsia="Amiri" w:cs="Amiri"/>
          <w:color w:val="111111"/>
          <w:sz w:val="28"/>
          <w:sz w:val="28"/>
          <w:szCs w:val="28"/>
          <w:rtl w:val="true"/>
          <w:lang w:bidi="ar-SA"/>
        </w:rPr>
        <w:t>لكونه أصل الكتب السماويّة؛ يُستَنسَخ منه غيره، والتقييد بأمّ الكتاب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للتوضيح لا للاحتراز،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حال كونه في أم الكتاب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بكونه عليَّا على ما يُعطِه مفاد الآية السابقة أنّه رفيع القدر والمنزلة من أن تناله العقول، وبكونه حكيمًا أنه هناك محكم غير مفصّل ولا مجزّأ إلى سور وآيات وجمل وكلمات؛ كما هو كذلك بعد جعله قرآنًا عربيًّا؛ كما يستفاد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أَحْكِمَتْ ءَايَنُهُ، ثُمَّ فُصِّلَتْ مِن لَدُنْ حَكِيمٍ خَبِيرٍ</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النعتان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كونه عليًّا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الموجبان لكونه وراء العقول البشرية؛ فإنّ العقل في فكرته لا ينال إلا ما كان من قبيل المفاهيم والألفاظ أولاً، وكان مؤلّفًا من مقدّمات تصديقيّةٍ يترتّب بعضها على بعضها الآخر؛ كما في الآيات والجمل القرآنيّة وأمّا إذا كان الأمر وراء المفاهيم والألفاظ، وكان غير متجزّءٍ إلى أجزاءٍ وفصولٍ؛ فلا طريق للعقل إلى نيله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معنى الآيتين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الكتاب عندنا في اللوح المحفوظ ذو مقامٍ رفيعٍ وإحكامٍ لا تناله العقول لذينك الوصفين، وإنّما أنزلناه بجعله مقروأً عربيًّا رجاء أن يعقله الناس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عليه من الضرورة بمكان أن تركّز الأمة الإسلاميّة اليوم على هذا التعريف الذي قدّمه نبي الإسلام صلّی الله علیه و آله للقرآن؛ ليبقى القرآن هو الكتاب المقدّس، والنور، والهدى، والفرقان بين الحقّ والباطل ، والحياة، والميزان والشفاء، والذكر، الذي لا تتمّ له هذه الخصال بشكل عملي؛ إلّا إذا تمّ قبل كلّ شيء استيعابه؛ فهمًا، وتطبيقه؛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كان حَمَلَة القرآن، يتمتّعون بمكانة مرموقة في المجتمع، حيث أعطى الرسول صلّی الله علیه و آله الأمة التعليم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أشراف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القرآن، وأصحاب الليل</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فكان استيعاب القرآن؛ علماً وعملاً يشكّل قيمةً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وللعثور على حلٍّ لكلّ مشكلةٍ حياتيّةٍ يجب الرّجوع إلى القرآن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سعى الغربيّون منذ القدم لإبعاد كلام الله عن ميدان الحياة، وإيجاد الفصل بين الدين والحياة الاجتماعيّة، والتفريق بين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جماعة من المستشرقين قد دأبوا منذ زمنٍ حتى عصرنا الحاضر على وصف القرآن بأنّه </w:t>
      </w:r>
    </w:p>
    <w:p>
      <w:pPr>
        <w:pStyle w:val="BookText"/>
        <w:rPr/>
      </w:pPr>
      <w:r>
        <w:rPr>
          <w:rFonts w:ascii="Amiri" w:hAnsi="Amiri" w:eastAsia="Amiri" w:cs="Amiri"/>
          <w:color w:val="111111"/>
          <w:sz w:val="28"/>
          <w:sz w:val="28"/>
          <w:szCs w:val="28"/>
          <w:rtl w:val="true"/>
          <w:lang w:bidi="ar-SA"/>
        </w:rPr>
        <w:t>نسيجٌ من السّخافات، وبأنّ الإسلام مجموعةٌ من البدع، وكان نموذج ذلك من المشترقين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نيكولا ،دكيز ،وفيفش،  وفراتشي، وهو تنجر، ويلياندر، وبريدو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فسعى هؤلاء إلى الغضّ من مكانة القرآن والإسلام، لتقليل أهمّيتهما وزعزعة النّفوس عنهما، وقد عمد قسمٌ من المستشرقين الألمان واليهود، 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فيل، وجولد سهير ، وبول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 إلى القول بأنّ القرآن حرّف وبدّل بعد وفاة النّبي صلّی الله علیه و آله وفي صدر الإسلام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 ذلك بهدف عزل الإسلام عن الحياة بإخراج القرآن عن المجال الذّهني والقلبي والعملي للأمّة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الزمن المليء بالشّبهات والانزلاقات الفكريّة تبرز أهميّة العودة إلى القرآن، والاهتمام العلمي والبحثي والتحقيقي به، وبالعلوم والدراسات المرتبطة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وهى المهمّة الملقاة على عاتق المؤمنين بالقرآن، وفي طليعتهم العارفون به، والعلماء، والمبلّغون الدينيّون، روي 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التبست عليكم الفتن كقطع الليل المظلم؛ فعليكم بالقرآن؛ فإنَّه شافع مشفع، وماحل مصدّق، من جعله أمامه قاده إلى الجنّة، ومن جعله خلفه ساقه إلى النار، وهو الدليل يدلُّ على خير سبيل، وهو كتاب فيه تفصيل وبيان وتحصيل، وهو الفصل ليس بالهزل، وله ظهر وبطن، فظاهره حكم، وباطنه علم، ظاهره أنيق، وباطنه عميق، له تخوم، وعلى تخومه تخوم، لا تحصى عجائبه ولا تبلى غرائبه، فيه مصابيح الهدى ومنار الحكمة، ودليل على المعرفة لمن عرف الصفة، فليُجِلْ جال بصره، وليبلغ الصفة نظره؛ ينج من عطب، ويتخلّص من نشب؛ فإنّ التفكّر حياة قلب البصير؛ كما يمشي المستنير في الظلمات بالنور، فعليكم بحسن التخلّص وقلّة التربّص</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سعى المركز الإسلامي للدراسات الاستراتيجية إلى استنفار الجهود والطاقات لإصدار سلسلة دراساتٍ متخصّصةٍ تُعنى بدراسة كل ما أنتجه الغربيون من موسوعات وكتب وبحوث ودراسات حول القرآن الكريم وعلومه، للتعرّف على أهدافه وغاياته ومناهجه في قراءة الإسلام، وأهم مصادره المتمثّلة في القرآن الكريم، ومناقشة </w:t>
      </w:r>
    </w:p>
    <w:p>
      <w:pPr>
        <w:pStyle w:val="BookText"/>
        <w:rPr/>
      </w:pPr>
      <w:r>
        <w:rPr>
          <w:rFonts w:ascii="Amiri" w:hAnsi="Amiri" w:eastAsia="Amiri" w:cs="Amiri"/>
          <w:color w:val="111111"/>
          <w:sz w:val="28"/>
          <w:sz w:val="28"/>
          <w:szCs w:val="28"/>
          <w:rtl w:val="true"/>
          <w:lang w:bidi="ar-SA"/>
        </w:rPr>
        <w:t>هذا الفكر بكلّ أطروحاته غير الموضوعيّة أو العلميّة ونقده ودحض كلّ الشّبهات التي أثاروها حوله؛ لتقديم لصورة الحقيقيّة والواقعيّة عن الإسلام والقرآن للغربيين والمتغربنين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بأسلوبٍ ومنهجٍ علميٍّ قويٍّ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هو جزءٌ من هذا المشروع الذي صدر منه كتب ودراسات عدّة في موضوعاتٍ حيويّةٍ ومعاصرةٍ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جهدُ مجموعةٍ من الباحثين الذين شاركوا في المؤتمر، الذي عقده المركز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الدولي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في الفكر الاستشراقيّ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مقاربات نقديّة لموسوعة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Encyclopaedia of the Quran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والمخصّص لنقد مشروع علميّ موسوعيّ يحوي مجموعةً من البحوث والدّراسات المتمحورة حول القرآن الكريم والموضوعات والقضايا المرتبطة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 تأليفه بأقلام مجموعة من المستشرقين الغربيّين المعاصرين من مختلف دول العالم الغربيّ؛ وإصداره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Encyclopaedia of the Quran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والهدف من هذا المؤتمر النّظر في علميّة الموسوعة ومنهجيّتها وتقويمها؛ بوصفها جهدًا موسوعيًّا يتمحور حول القرآن الكريم، يقدَّم إلى الباحثين والطلّاب الجامعيّن الغربيّين على أنّه نتاجٌ علميٌّ يحكي عن القرآن الكريم ومكانته الدينيَّة والتشريعيّة عند المسلمين، مع ما تعاني منه هذه الموسوعة من مشاكل منهجيّةٍ ومضمونيّةٍ لا يمكن القبول بها؛ ما يستلزم بذل الجهود العلميّة والبحثيّة لنقد هذه الدّراسات الواردة فيها، وتصويب دراسات أخرى وتوجيهها، وإزالة التباسات وشبهات تفرزها دراسات من نوع ثالث اهتّمت بها الموسوعة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يسعنا إلا أن نتقدّم من الفريق العلميّ والإداري الذي تابع كل خطوات المؤتمر ومراحله بخالص الشكر والتقدير، ولا سيما الإخوة، الشيخ لبنان الزين، السيد مصطفى مكة في بيروت، والأخوة في دار الرسول الأعظم صلّی الله علیه و آله  في كربلاء ولا سيما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نذير بيري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الإخوة في اللجان العلميّة، وفريق العمل الإداري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 حسن علي المرسومي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الاستراتيجية </w:t>
      </w:r>
      <w:bookmarkStart w:id="13" w:name="pg8898_139151"/>
    </w:p>
    <w:p>
      <w:pPr>
        <w:pStyle w:val="Heading2"/>
        <w:numPr>
          <w:ilvl w:val="1"/>
          <w:numId w:val="1"/>
        </w:numPr>
        <w:rPr/>
      </w:pPr>
      <w:bookmarkStart w:id="14" w:name="__RefHeading___Toc935427_2870459653"/>
      <w:bookmarkStart w:id="15" w:name="_Toc5"/>
      <w:bookmarkEnd w:id="13"/>
      <w:bookmarkEnd w:id="14"/>
      <w:r>
        <w:rPr>
          <w:rtl w:val="true"/>
        </w:rPr>
        <w:t>المدخل القرآن والدّراسات القرآنية في الموسوعات الغربیه</w:t>
      </w:r>
      <w:bookmarkEnd w:id="15"/>
    </w:p>
    <w:p>
      <w:pPr>
        <w:pStyle w:val="Heading3"/>
        <w:numPr>
          <w:ilvl w:val="2"/>
          <w:numId w:val="1"/>
        </w:numPr>
        <w:rPr/>
      </w:pPr>
      <w:bookmarkStart w:id="16" w:name="__RefHeading___Toc935429_2870459653"/>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 xml:space="preserve">القرآن و الدّراسات القرآنیّة في الموسوعات الغربیّة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لا جدال أنّ التصنيف الموسوعيّ، فنٌّ مميّزٌ من فنون الكتابة، ظهر متأخّرًا زمانًا عن الفنون الأخرى، وهو يملك من  لمواصفات ما يجعله حاجةً ملحّةً للباحثين، والمجتمعات والثقافات، كما يشكّل أساسًا مهمًّا الحوار الثّقافات والحضارات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الموسوعة؟ وما مقوّمات التصنيف الموسوعيّ؟ وما هي أشكال الموسوعات وأنواعها؟</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ترجمة للكلمة </w:t>
      </w:r>
      <w:r>
        <w:rPr>
          <w:rFonts w:eastAsia="Times New Roman" w:cs="Times New Roman" w:ascii="Times New Roman" w:hAnsi="Times New Roman"/>
          <w:color w:val="111111"/>
          <w:sz w:val="28"/>
          <w:szCs w:val="28"/>
          <w:lang w:val="en-US" w:bidi="en-US"/>
        </w:rPr>
        <w:t>encyclopaedia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والمشتقّة من الكلمة اليونانيّة </w:t>
      </w:r>
      <w:r>
        <w:rPr>
          <w:rFonts w:eastAsia="Times New Roman" w:cs="Times New Roman" w:ascii="Times New Roman" w:hAnsi="Times New Roman"/>
          <w:color w:val="111111"/>
          <w:sz w:val="28"/>
          <w:szCs w:val="28"/>
          <w:lang w:val="en-US" w:bidi="en-US"/>
        </w:rPr>
        <w:t>enkyklopaida</w:t>
      </w:r>
      <w:r>
        <w:rPr>
          <w:rFonts w:ascii="Amiri" w:hAnsi="Amiri" w:eastAsia="Amiri" w:cs="Amiri"/>
          <w:color w:val="111111"/>
          <w:sz w:val="28"/>
          <w:sz w:val="28"/>
          <w:szCs w:val="28"/>
          <w:rtl w:val="true"/>
          <w:lang w:bidi="ar-SA"/>
        </w:rPr>
        <w:t>، والتي تعني نظام تعليم كامل يُغطّي الرياضيات والعلوم والفلسفة والأدب؛ ولذلك أطلق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الموسوعة، المعلمة، دائرة المعارف، وهو مؤلّفٌ ضخمٌ عادة، يشتمل على مقالاتٍ في مختلف العلوم والفنون، مرتّبة على حروف المعجم في معظم الأحيان، وقد تقتصر الموسوعة على كلّ ما ينبغي أن يعرفه القارئ عن علمٍ من العلوم أو فنٍّ من الفنون، كالموسوعة الطبيّة والموسوعة الموسيقية وهكذا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وتعدّ الموسوعة كتابًا مرجعًا يحوي خلاصة المعارف البشريّة في فرعٍ أو فروعٍ عدّةٍ، يتمّ تنظيمها على أساس الموضوعات أو حروف الألفباء، ممّا يمهّد لعموم النّاس الوصول إلى العلوم المختلفة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أوائل </w:t>
      </w:r>
    </w:p>
    <w:p>
      <w:pPr>
        <w:pStyle w:val="BookText"/>
        <w:rPr/>
      </w:pPr>
      <w:r>
        <w:rPr>
          <w:rFonts w:ascii="Amiri" w:hAnsi="Amiri" w:eastAsia="Amiri" w:cs="Amiri"/>
          <w:color w:val="111111"/>
          <w:sz w:val="28"/>
          <w:sz w:val="28"/>
          <w:szCs w:val="28"/>
          <w:rtl w:val="true"/>
          <w:lang w:bidi="ar-SA"/>
        </w:rPr>
        <w:t>الموسوعات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إحصاء العلوم للفارابيّ، مفاتيح العلوم للخوارزميّ، جامع العلوم للفخر الرازيّ، مفاتيح العلوم للسكّاكّي، ونفائس الفنون للآمليّ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تأليف أوّل موسوعةٍ باللّغة الفارسيّة في بداية القرن الخامس الهجريّ، وكان هدفها الأساس تلخيص المتون العربيّة وتبديلها إلى آثار يستطيع الناطقون باللّغة الفارسيّة فهمها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بالمعنى الحديث، فإنّ أوّل موسوعةٍ عربيّةٍ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للمعلم بطرس البستاني، وقد عمل على نشر الأجزاء الستّة الأولى منها ثم بعد ذلك حاول مجموعة من آل البستاني إكمالها وتجديدها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بطرس البستانيّ هو أوّل من أدخل مصطلح دائرة المعارف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Encyclopedia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اللغة العربيّة وحقل العلوم الإسلاميّة، حوالي عام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الإنسكلوبيديا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aedio-Encyclopedia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لفظة يونانيّة، معناها دائرة التعليم، وهي في الأصل اسمٌ لمجموع الفنون والعلوم التعليميّة السبعة التي كان أعيان الناس يتعلّمونها في القديم،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الغراماتيق، والحساب، والهندسة، والموسيقى، والهيئة، والمنطق،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ذكرها كونتلياوس،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حدقة أو دائرة المعارف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كلمة انسكلوبيديا في أيّامنا هذه، فمعناها ملخّص المعرفة البشريّة في باب واحدٍ أو الأبواب كلّها، وهي إمّا أن تكون مرتّبةً ترتيبًا نظاميًّا موافقًا للارتباط المنطقي بين المواضيع، أو ترتيبًا قاموسيًّا موافقًا لنظام الأحرف الهجائية، ولذلك كانت الانسكلوبيديا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وعامّة نظاميّة بحسب المواضيع، أو قاموسيّة بحسب الأحرف</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ده خدا </w:t>
      </w:r>
      <w:r>
        <w:rPr>
          <w:rStyle w:val="FootnoteAnchor"/>
          <w:rtl w:val="true"/>
        </w:rPr>
        <w:footnoteReference w:id="14"/>
      </w:r>
      <w:r>
        <w:rPr>
          <w:rFonts w:ascii="Amiri" w:hAnsi="Amiri" w:eastAsia="Amiri" w:cs="Amiri"/>
          <w:color w:val="111111"/>
          <w:sz w:val="28"/>
          <w:sz w:val="28"/>
          <w:szCs w:val="28"/>
          <w:rtl w:val="true"/>
          <w:lang w:bidi="ar-SA"/>
        </w:rPr>
        <w:t>بشأن مفردة دائرة المعارف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حاوي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يشتمل على مجموع المعارف الإنسانيّة ،والفنون، والثقافات، والعلوم، وخلاصة </w:t>
      </w:r>
    </w:p>
    <w:p>
      <w:pPr>
        <w:pStyle w:val="BookText"/>
        <w:rPr/>
      </w:pPr>
      <w:r>
        <w:rPr>
          <w:rFonts w:ascii="Amiri" w:hAnsi="Amiri" w:eastAsia="Amiri" w:cs="Amiri"/>
          <w:color w:val="111111"/>
          <w:sz w:val="28"/>
          <w:sz w:val="28"/>
          <w:szCs w:val="28"/>
          <w:rtl w:val="true"/>
          <w:lang w:bidi="ar-SA"/>
        </w:rPr>
        <w:t>مبسّطة للمعارف البشريّة، المشتملة على مختلف المجالات العلميّة، ويتمّ ترتيبها في الغالب طبقًا للتسلسل الهجائيّ،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البريطانيّة، التي طبعت للمرّة الأولى عام </w:t>
      </w:r>
      <w:r>
        <w:rPr>
          <w:rFonts w:eastAsia="Amiri" w:cs="Amiri" w:ascii="Amiri" w:hAnsi="Amiri"/>
          <w:color w:val="111111"/>
          <w:sz w:val="28"/>
          <w:szCs w:val="28"/>
          <w:lang w:bidi="ar-SA"/>
        </w:rPr>
        <w:t>1768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تقتصر دائرة المعارف على علم بعينه، كما هو الحال بالنسبة إلى دائرة المعارف الكاثوليكيّة، وما إلى ذلك</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بدأت كتابة الموسوعات في أوروبا في القرن السادس عشر بآثار فرانسیس بيكن، كما انتشرت أوّل موسوعةٍ منظّمةٍ على أساس حروف الألفباء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على أساس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القرن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القاموس التاريخيّ الكبير لـ لوئي موري في سنة </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 xml:space="preserve">م أوّل أثر في هذا المجال، وقد ذكروا أنّ للموسوعة الألفبائيّة لجمبرز باللغة الإنجليزيّة في سنة </w:t>
      </w:r>
      <w:r>
        <w:rPr>
          <w:rFonts w:eastAsia="IRNazanin" w:cs="IRNazanin"/>
          <w:color w:val="111111"/>
          <w:sz w:val="28"/>
          <w:szCs w:val="28"/>
          <w:lang w:bidi="fa-IR"/>
        </w:rPr>
        <w:t>1728</w:t>
      </w:r>
      <w:r>
        <w:rPr>
          <w:rFonts w:ascii="IRNazanin" w:hAnsi="IRNazanin" w:eastAsia="IRNazanin"/>
          <w:color w:val="111111"/>
          <w:sz w:val="28"/>
          <w:sz w:val="28"/>
          <w:szCs w:val="28"/>
          <w:rtl w:val="true"/>
          <w:lang w:bidi="fa-IR"/>
        </w:rPr>
        <w:t xml:space="preserve">م دورًا مهمًّا في تكامل الموسوعات الألفبائيّة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بدأت الموسوعات القرآنيّة في سيرها التكامليّ من المعاجم والقواميس، ثمّ وصلت إلى مجموعات من المقالات في الموضوعات القرآنيّة وموسوعات موضوعيّة ثمّ ألفبائيّة، وقد تصدّى المستشرقون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لمجالات المعلومات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لتدوين الموسوعات في مجالَي علوم القرآن ومعارفه مبكّرًا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بداية القرن العشرين، ومع توسّع النّشاطات العلميّة التحقيقيّة للمستشرقين،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التحقيقات الإسلاميّة، فقد تمّ طبع موسوعة الإسلام ونشرها </w:t>
      </w:r>
      <w:r>
        <w:rPr>
          <w:rStyle w:val="FootnoteAnchor"/>
          <w:rtl w:val="true"/>
        </w:rPr>
        <w:footnoteReference w:id="17"/>
      </w:r>
      <w:r>
        <w:rPr>
          <w:rFonts w:ascii="Amiri" w:hAnsi="Amiri" w:eastAsia="Amiri" w:cs="Amiri"/>
          <w:color w:val="111111"/>
          <w:sz w:val="28"/>
          <w:sz w:val="28"/>
          <w:szCs w:val="28"/>
          <w:rtl w:val="true"/>
          <w:lang w:bidi="ar-SA"/>
        </w:rPr>
        <w:t>من قبل دار بريل للنشر في لايدن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تُرجمت خلال ربع قرنٍ إلى لغاتٍ عدّةٍ مثل الفرنسيّة والألمانيّة التّركيّة والأورديّة، وإلى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العربيّة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التاريخ الغربي يُرجعون الكتابات الموسوعيّة الأولى إلى اليونان، وأنّ أولى موسوعاتهم تلك التي تُنسب إلى أحد تلاميذ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سبوسيبوس </w:t>
      </w:r>
      <w:r>
        <w:rPr>
          <w:rFonts w:eastAsia="Times New Roman" w:cs="Times New Roman" w:ascii="Times New Roman" w:hAnsi="Times New Roman"/>
          <w:color w:val="111111"/>
          <w:sz w:val="28"/>
          <w:szCs w:val="28"/>
          <w:lang w:val="en-US" w:bidi="en-US"/>
        </w:rPr>
        <w:t>Speusippus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القرن الرابع قبل الميلاد، ولكنها لم تصل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اهتمّ الرومان بالأعمال الموسوعيّة، </w:t>
      </w:r>
    </w:p>
    <w:p>
      <w:pPr>
        <w:pStyle w:val="BookText"/>
        <w:rPr/>
      </w:pPr>
      <w:r>
        <w:rPr>
          <w:rFonts w:ascii="Amiri" w:hAnsi="Amiri" w:eastAsia="Amiri" w:cs="Amiri"/>
          <w:color w:val="111111"/>
          <w:sz w:val="28"/>
          <w:sz w:val="28"/>
          <w:szCs w:val="28"/>
          <w:rtl w:val="true"/>
          <w:lang w:bidi="ar-SA"/>
        </w:rPr>
        <w:t xml:space="preserve">وأقدم عمل على هذا الصعيد وصل إلينا التي وضعها بلينوس الأرشد في القرن الأوّل للميلاد </w:t>
      </w:r>
      <w:r>
        <w:rPr>
          <w:rFonts w:eastAsia="Times New Roman" w:cs="Times New Roman" w:ascii="Times New Roman" w:hAnsi="Times New Roman"/>
          <w:color w:val="111111"/>
          <w:sz w:val="28"/>
          <w:szCs w:val="28"/>
          <w:lang w:val="en-US" w:bidi="en-US"/>
        </w:rPr>
        <w:t>Pliny the Edder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الطبيعي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Historia Naturalis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وأما المصطلح نفسه فقد تأخّرت ولادته، ويذهب عبد الوهاب المسيري إلى أنّ الأديب الفرنسي فرنسوا رابليه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François Rabelais1490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أوّل من استخدم اللفظ بمعنى 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أوّل من استخدمها بالمعنى الاصطلاحي الدقيق الألماني بول سكالينس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Paul scalish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فأطلق اللفظ على عنوان موسوعته سنة </w:t>
      </w:r>
      <w:r>
        <w:rPr>
          <w:rFonts w:eastAsia="Amiri" w:cs="Amiri" w:ascii="Amiri" w:hAnsi="Amiri"/>
          <w:color w:val="111111"/>
          <w:sz w:val="28"/>
          <w:szCs w:val="28"/>
          <w:lang w:bidi="ar-SA"/>
        </w:rPr>
        <w:t>1559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الكلمة غير شائعة إلى أن استخدمها ديدرو في موسوعته،</w:t>
      </w:r>
      <w:r>
        <w:rPr>
          <w:rStyle w:val="FootnoteAnchor"/>
          <w:rtl w:val="true"/>
        </w:rPr>
        <w:footnoteReference w:id="18"/>
      </w:r>
      <w:r>
        <w:rPr>
          <w:rFonts w:ascii="Amiri" w:hAnsi="Amiri" w:eastAsia="Amiri" w:cs="Amiri"/>
          <w:color w:val="111111"/>
          <w:sz w:val="28"/>
          <w:sz w:val="28"/>
          <w:szCs w:val="28"/>
          <w:rtl w:val="true"/>
          <w:lang w:bidi="ar-SA"/>
        </w:rPr>
        <w:t>وهو يشير بذلك إلى الموسوعة الفرنسيّة الضخمة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أو المعجم العقلاني للعلوم والفنون والحرف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Encyclopedie ou dictionnaire raisonne des sciences des arts et des métiers</w:t>
      </w:r>
    </w:p>
    <w:p>
      <w:pPr>
        <w:pStyle w:val="BookText"/>
        <w:rPr/>
      </w:pPr>
      <w:r>
        <w:rPr>
          <w:rFonts w:ascii="Amiri" w:hAnsi="Amiri" w:eastAsia="Amiri" w:cs="Amiri"/>
          <w:color w:val="111111"/>
          <w:sz w:val="28"/>
          <w:sz w:val="28"/>
          <w:szCs w:val="28"/>
          <w:rtl w:val="true"/>
          <w:lang w:bidi="ar-SA"/>
        </w:rPr>
        <w:t xml:space="preserve">وقد ظهرت ما بين عام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شارك فيها من رواد النهضة فولتير ومنتسكيو ودالمبير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بين عام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الموسوعة البريطانيّة </w:t>
      </w:r>
      <w:r>
        <w:rPr>
          <w:rFonts w:eastAsia="Times New Roman" w:cs="Times New Roman" w:ascii="Times New Roman" w:hAnsi="Times New Roman"/>
          <w:color w:val="111111"/>
          <w:sz w:val="28"/>
          <w:szCs w:val="28"/>
          <w:lang w:val="en-US" w:bidi="en-US"/>
        </w:rPr>
        <w:t>Encyclopedia Britanica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ثلاثة مجلّداتٍ، ثم توالت  أجزاؤها وطبعاتها إلى أن بلغ عدد مجلّداتها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في طبعاتها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قرّرت دائرة الموسوعة التّوقّف عن إصدار طبعات ورقيّة والاكتفاء بالنّسخة الرّقميّة بعد طبعة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صدرت موسوعات أخرى عالميّة مثل الموسوعة الأمريكية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والموسوعة الإيطاليّة للعلوم والأدب والفن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والموسوعة السوفياتيّة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تاريخنا العربي الإسلامي، نرصد مصنّفاتِ موسوعيّةً عدّةً وإن لم تسم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الأغاني لأبي الفرج الأصفهاني، والحيوان للجاحظ، وإحصاء العلوم للفارابي، وفهرس ابن النديم، ورسائل إخوان الصفاء، والعقد الفريد لابن عبد 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الأعمال الموسوعية الحديثة، ويعتبر من الأعمال الرّائدة أيضًا دائرة معارف القرن العشرين وهي من إعداد محمد فريد وجدي، صدرت عن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تاريخ وتقع في عشرة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يجدر التنبيه له، هو الخلط الحاصل عند الكثيرين بين مصطلح موسوعة ومعجم ودائرة معارف، مع اختلاف نمط الكتابة وغاياتها في كلّ صنفٍ من هذه الأصناف، وتتجلّى أهميّة ذلك فى كونه عاملا مهمًّا في تحديد مدى محافظة الموسوعة على روحها الموسوعيّة وعدم انجرارها إلى الطابع المعجمي القاموسي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والموسوعة قد يُطلق عليها تسامحًا لفظ معجم؛ لأنّها تشترك في جهة ترتيبها الألفبائي، ولكن المعجم لا يشار إليه بلفظ موسوعة، فالموسوعة في عرضها للمعارف لا تكتفي ببيان معاني المفردات ودلالاتها، وإنّما تسعى لاستقصاء المعارف حول تلك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تختلف الموسوعة عن دائرة المعارف، فهذه الأخيرة يمكن اعتبارها موسوعةً عامّةً غير تخصّصيّةٍ تغطّى أهم مجالات المعارف أو بعضها، أما الموسوعة بالمعنى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تلخيص ما توصّل إليه المتخصّصون في مجالٍ معرفيٍّ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وتتميّز الموسوعات عمومًا، بأنّها جامعةٌ ومحكمةٌ ومتعدّدةُ الكتّاب والمساهمين، وأن يكتب كلّ واحد فيهم في مجال تخصّصه الدقيق، وإن كان الواقع لا يخلو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ألّفها أشخاصٌ فرادى، كما تتميّز عادة بهيئة تحرير منسجمة، تعمل على تقرير المقالات لتخرجها منسجمة، ومتناسقة ومتكاملة، تحافظ على الروح الكلية للموسوعة، كما تتميّز عادة بالتوثيق الدقيق للمعلومات التي توردها وتعزيز المقالات بإحالات بيبليوغرافية تُرشد القارئ الذي يريد أن يستزيد في المطالب ويتوسع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تحرص الموسوعات العلميّة الرّصينة على إعداد كشّافات وفهارس ترد عادةً في مجلّدٍ مستقلٍّ أو أكثر، فيها كلّ المداخل التي تساعد الباحثين للوصول إلى مصادر الموسوعة ومؤلفيها، وموضوعاتها، ومفرداتها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تحرص الموسوعات الرّصينة لتجديد معلوماتها وإصدار ملاحق بشكلٍ دوريِّ </w:t>
      </w:r>
      <w:bookmarkStart w:id="18" w:name="pg8898_139156"/>
    </w:p>
    <w:p>
      <w:pPr>
        <w:pStyle w:val="BookText"/>
        <w:rPr/>
      </w:pPr>
      <w:bookmarkEnd w:id="18"/>
      <w:r>
        <w:rPr>
          <w:rFonts w:ascii="Amiri" w:hAnsi="Amiri" w:eastAsia="Amiri" w:cs="Amiri"/>
          <w:color w:val="111111"/>
          <w:sz w:val="28"/>
          <w:sz w:val="28"/>
          <w:szCs w:val="28"/>
          <w:rtl w:val="true"/>
          <w:lang w:bidi="ar-SA"/>
        </w:rPr>
        <w:t>لتدارك كلّ ما فاتها، ورصد كلّ ما هو جديد، في مجال اختصاص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الكثير من الباحثين، أنّ ضوابط الكتابة الموسوعيّة تقتضي الالتزام بالمنهج الوصفي لتقديم معلوماتٍ كاملةٍ للقارئ في هذا المجال، أو ذاك، دون تشويش ذهن القارئ بالسّجالات والمناقشات وإيراد النقود والطروحات المضادة، وإن كان ذلك ضروريًّا أحيانًا، فليكن بعد طرح الموضوع كاملًا وإيصال مراميه للقارئ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اعتمد عليه بعض المختصين في الدّراسات الاستشراقيّة للرّدّ على بعض الموسوعات التي يتخطّى الكتّاب فيها المنهج الوصفي في معالجة الموضوعات والقضايا؛ ليقدّم الباحثون فرضيات هم يتبنونها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ورغم أنّ الأسس العلميّة المتّبعة لكتابة وتحرير الموسوعات، تقضي بضرورة اتّباع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بحت، يقدّم كمًّا معلوماتيًّا سرديًّا للقارئ دون تقديم نقدِ أو طرح رأي معيّن إلاّ أنّ المقالات حول القرآن الكريم الواردة في الموسوعات اليهوديّة، احتوت على كثير من الفرضيات الاستشراقيّة حول القرآن الكريم وعلومه، ومصادره، وألفاظه، ومواقفه من اليهوديّة والنصرانيّة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935431_2870459653"/>
      <w:bookmarkStart w:id="20" w:name="_Toc7"/>
      <w:bookmarkEnd w:id="19"/>
      <w:r>
        <w:rPr>
          <w:rtl w:val="true"/>
        </w:rPr>
        <w:t>القرآن في الموسوعات الغربيّة الحديثة</w:t>
      </w:r>
      <w:r>
        <w:rPr>
          <w:rtl w:val="true"/>
        </w:rPr>
        <w:t>:</w:t>
      </w:r>
      <w:bookmarkEnd w:id="20"/>
    </w:p>
    <w:p>
      <w:pPr>
        <w:pStyle w:val="Heading4"/>
        <w:numPr>
          <w:ilvl w:val="3"/>
          <w:numId w:val="1"/>
        </w:numPr>
        <w:rPr/>
      </w:pPr>
      <w:bookmarkStart w:id="21" w:name="__RefHeading___Toc935433_2870459653"/>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بدأ الاهتمام الغربيّ بالإسلام مبكرًا، منذ الاحتكاكات الحضاريّة الأولى، في بدايات تشكّل الدولة الإسلاميّة الكبرى زمن الفتوحات، وتنامى هذا الاهتمام مع تنامي الصّدام بين المعسكرين الإسلاميّ والغربيّ، خاصّة خلال الحروب الصليبيّة، وسقوط الأندلس، وحملة نابليون على مصر ، والاستعمار الغربي الحديث للعالم الإسلامي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العصور الحديثة والراهنة، لا يزال يشكّل الشّرق عمومًا والعالم الإسلامي، خصوصّا موضوع اهتمامٍ للغربيين، ولا تزال إشكاليّة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معضلةً لكلا العقلين الغربي والإسلامي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 هذه المعضلة تدفع بأفكار ومشاريع ورؤى إلى السّطح</w:t>
      </w:r>
      <w:r>
        <w:rPr>
          <w:rFonts w:eastAsia="Amiri" w:cs="Amiri" w:ascii="Amiri" w:hAnsi="Amiri"/>
          <w:color w:val="111111"/>
          <w:sz w:val="28"/>
          <w:szCs w:val="28"/>
          <w:rtl w:val="true"/>
          <w:lang w:bidi="ar-SA"/>
        </w:rPr>
        <w:t xml:space="preserve">. </w:t>
      </w:r>
      <w:bookmarkStart w:id="23" w:name="pg8898_139157"/>
    </w:p>
    <w:p>
      <w:pPr>
        <w:pStyle w:val="BookText"/>
        <w:rPr/>
      </w:pPr>
      <w:bookmarkEnd w:id="23"/>
      <w:r>
        <w:rPr>
          <w:rFonts w:ascii="Amiri" w:hAnsi="Amiri" w:eastAsia="Amiri" w:cs="Amiri"/>
          <w:color w:val="111111"/>
          <w:sz w:val="28"/>
          <w:sz w:val="28"/>
          <w:szCs w:val="28"/>
          <w:rtl w:val="true"/>
          <w:lang w:bidi="ar-SA"/>
        </w:rPr>
        <w:t>ويومًا بعد آخر تتنامى القناعة لديهم أنّ هذا الشّرق عمومًا، والإسلام خصوصًا، الذي تمّ تطويعه واحتلال بلاده لعقود، وهم اليوم يهيمنون عليه ثقافيًّا، واقتصاديًّا، وسياسيًّا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هذا التراكم الكبير للبحوث والدّراسات والرّحلات والمؤسّسات الاستشراقيّة والمراكز التخصّصيّة والجهود الأكاديميّة، لا يزال بحاجةٍ إلى قراءةٍ 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لن تتوقف حركة البحث العلمي والدراسات عن الإسلام وتراثه ونصوصه ولن نتوقع أن تنحسر هذه الموجة من الانهمام بالإسلام والقرآن وقضاياهما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نتوقّع أن تتصاعد وتزداد، مع تنامي مكانة المسلمين ودورهم في التأثير في السياسات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نرصد في العقود الأخيرة سيلًا من الدّراسات والنّتاجات العلميّة عن القرآن الكريم، ومن بين هذه النتاجات نذكر التالي</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935435_2870459653"/>
      <w:bookmarkStart w:id="25" w:name="_Toc9"/>
      <w:bookmarkEnd w:id="24"/>
      <w:r>
        <w:rPr>
          <w:rtl w:val="true"/>
        </w:rPr>
        <w:t>أوّلاً</w:t>
      </w:r>
      <w:r>
        <w:rPr>
          <w:rtl w:val="true"/>
        </w:rPr>
        <w:t xml:space="preserve">: </w:t>
      </w:r>
      <w:r>
        <w:rPr>
          <w:rtl w:val="true"/>
        </w:rPr>
        <w:t>دائرة المعارف الإسلاميّة</w:t>
      </w:r>
      <w:r>
        <w:rPr>
          <w:rtl w:val="true"/>
        </w:rPr>
        <w:t>:</w:t>
      </w:r>
      <w:bookmarkEnd w:id="25"/>
    </w:p>
    <w:p>
      <w:pPr>
        <w:pStyle w:val="BookText"/>
        <w:rPr/>
      </w:pPr>
      <w:r>
        <w:rPr>
          <w:rFonts w:ascii="Amiri" w:hAnsi="Amiri" w:eastAsia="Amiri" w:cs="Amiri"/>
          <w:color w:val="111111"/>
          <w:sz w:val="28"/>
          <w:sz w:val="28"/>
          <w:szCs w:val="28"/>
          <w:rtl w:val="true"/>
          <w:lang w:bidi="ar-SA"/>
        </w:rPr>
        <w:t xml:space="preserve">لا تزال تعدّ أهمّ عمل موسوعيٍّ ومرجعيٍّ غربيّ عن الإسلام، صدرت الطبعة الأولى منها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الألمانية، والفرنسية، والإنجليزية، لدى داري النشر 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هولاندا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تحت إشراف المستشرق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مارتين تيودور هوستيما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وصدرت طبعتها الثانية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ونشرت باللغة الفرنسية والإنجليزية فقط بعد أن نقّحت موادها القديمة، وجدّدت معلوماتها في ضوء ما استجدّ في مجال الإسلاميّات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سنة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بدأت بإصدار نسخة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ونشير هنا أنّه وفي سنة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نسخةٌ مختصرةٌ للموسوعة،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 Shorter Encyclopedia of Islam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اختصرت على الموضوعات العقديّة والفقهيّة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 إلى اللّغة العربية الطبعة الأولى 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 والطبعة الثانية سنة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 كما تُرجمت إلى الفارسية والتركية والأوردية، لِمَا لاقته من استحسانٍ في العالم الإسلامي رغم وجود مآخذ كثيرةٍ عليها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السنوات الأخيرة، أنشئت موسوعاتٌ في العالم الإسلاميّ للرّدّ عليها بعد أن اتّضحت أكثر فأكثر الخلفيّة الاستشراقيّة لمقالات هذه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اعترف بعض </w:t>
      </w:r>
    </w:p>
    <w:p>
      <w:pPr>
        <w:pStyle w:val="BookText"/>
        <w:rPr/>
      </w:pPr>
      <w:r>
        <w:rPr>
          <w:rFonts w:ascii="Amiri" w:hAnsi="Amiri" w:eastAsia="Amiri" w:cs="Amiri"/>
          <w:color w:val="111111"/>
          <w:sz w:val="28"/>
          <w:sz w:val="28"/>
          <w:szCs w:val="28"/>
          <w:rtl w:val="true"/>
          <w:lang w:bidi="ar-SA"/>
        </w:rPr>
        <w:t>المستشرقين أنفسهم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تعبّر إلّا عن النّظرة والمفهوم الأوروبيين للحضارة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وتُناقض هذه المفاهيم وتختلف اختلافًا كبيرًا عن المفاهيم التي يُؤمن بها ويتّبعها المسلمون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 هذه الموسوعة لا يتوافق مع التعاليم والمبادئ الإسلاميّة للمراجع الإسلاميّة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فتأسّست دائرة المعارف الإسلاميّة الكبرى في إيران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ومشروع دائرة المعارف الإسلاميّة في تركيا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مضامين الموسوعة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حوت مقالاتٍ عن أعلام المسلمين وعن البلدان، والقبائل والسلالات، والحرف والعلوم، والمؤسّسات السياسيّة والدّينيّة، والجغرافيا، والتاريخ، والأعراق، والنباتات، والحيوانات، وتضاريس المدن والبلدات الرئيسة، والآثار الرئيسية، وسعت هذه الدائرة الضخمة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ثلاثة عشر ألف 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استقصاء المداخل التعريفيّة التي تشكّل نسيج الثّقافة الإسلامية، ومقوّماتها الحضاريّة، رُتّبت المواد فيها حسبَ الألفباء اللاتيني؛ حيث تنسخ المفردات العربيّة بحروفه، وفق مُقابلات إملائيّة بين أحرف اللغات الإسلاميّة ونظائرها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 تكتب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Khilafa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وتوضع مادتها في باب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وهذا ما شكّل عائقًا وحاجزًا حقيقيًّا أمام مستعملي 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سعت بعض الموسوعات اللّاحقة تدارکه و اعتماد مداخل انجليزيّة، ومن ذلك موسوعة ليدن كما سيأتي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أوكلت كتابة مقالاتها في الطبعة الأولى إلى نخبةٍ من المستشرقين الأوروبيين والأمريكيين من أهمهم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لويس ماسينيون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مستشرقي فرنسا المتأخرين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جوزيف شخت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مستشرق هولندي من أعضاء المجمع العلمي العربي بدمشق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هنري لامنس اليسوعي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مستشرق بلجيكي المولد فرنسي الجنسية، من علماء الرهبان اليسوعيين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رینولد نيكلسون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 xml:space="preserve"> -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أكبر مستشرقي إنجلترا المتأخرين، تخصص في التّصوّف الإسلامي والفلسفة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دافيد صموئیل مرجليوث </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 xml:space="preserve"> -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كبار المستشرقين، من أعضاء المجمع العلمي العربي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دانکن بلاك ماكدونلد </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أميركي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کارل بروکلمان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ألماني يعتبر أحد أبرز المستشرقين في العصر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بتاريخ الأدب العربي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فرانتس بوهل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مستشرق دنماركي من أعضاء المجمع العلمي العربي أدوينكا لفرلي، مستشرق أميركي، رئيس تحرير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الأمريكية فترة من الزمن، وساهم في بعض مواد الطبعة الثانية بعض الباحثين المسلمين، الذين يتفقون في الرؤية النقدية والتاريخية للإسلام مع نظرائهم الغربيين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مستوى المنهج وأسلوب المعالجة يمكن القول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تطرحه الموسوعة في موضوعاتها من أسئلة، يختلف عمّا يطرحه المسلمون عادة، وأنّ المنهج الاستشراقي بمختلف اتّجاهاته هي المتبعة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الفيلولوجي، المنهج التاريخاني الإسقاطي، الوصفي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وبدت النّزعة الوضعيّة والغريبية الشكيّة اللتان تنكران الظواهر وتصرّان على نفيها دون حجّةٍ ودليل بدتا جليّتين خاصّة في أغلب المقالات التي تتعلّق بالعقائد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كالألوهيّة ،والنبوّة والوحي، 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غدا إنكار نبوة النبي محمد صلّی الله علیه و آله وإنكار سماوية الإسلام مسلمتان ينطلق منهما المستشرقون في كتابة هذه المقالات وبالتالي لجأوا للبحث عن مصدرٍ آخر لهذه الظواهر فأرجعوها للتراث اليهودي والمسيحي </w:t>
      </w:r>
      <w:r>
        <w:rPr>
          <w:rFonts w:eastAsia="IRNazanin" w:cs="IRNazanin"/>
          <w:color w:val="111111"/>
          <w:sz w:val="28"/>
          <w:szCs w:val="28"/>
          <w:rtl w:val="true"/>
          <w:lang w:bidi="fa-IR"/>
        </w:rPr>
        <w:t xml:space="preserve">!!!! </w:t>
      </w:r>
      <w:bookmarkStart w:id="26" w:name="pg8898_139160"/>
    </w:p>
    <w:p>
      <w:pPr>
        <w:pStyle w:val="BookText"/>
        <w:rPr/>
      </w:pPr>
      <w:bookmarkEnd w:id="26"/>
      <w:r>
        <w:rPr>
          <w:rFonts w:ascii="Amiri" w:hAnsi="Amiri" w:eastAsia="Amiri" w:cs="Amiri"/>
          <w:color w:val="111111"/>
          <w:sz w:val="28"/>
          <w:sz w:val="28"/>
          <w:szCs w:val="28"/>
          <w:rtl w:val="true"/>
          <w:lang w:bidi="ar-SA"/>
        </w:rPr>
        <w:t xml:space="preserve">وقد كُتبت ردودٌ كثيرةٌ على هذه الموسوعة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شكّلت هذه الموسوعة عملًا مرجعيًّا أثرى أغلب الموسوعات التي أنجزت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المضمون والمنهج بما فيها موسوعة ليدن</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935437_2870459653"/>
      <w:bookmarkStart w:id="28" w:name="_Toc10"/>
      <w:bookmarkEnd w:id="27"/>
      <w:r>
        <w:rPr>
          <w:rtl w:val="true"/>
        </w:rPr>
        <w:t>ثانيًا</w:t>
      </w:r>
      <w:r>
        <w:rPr>
          <w:rtl w:val="true"/>
        </w:rPr>
        <w:t xml:space="preserve">: </w:t>
      </w:r>
      <w:r>
        <w:rPr>
          <w:rtl w:val="true"/>
        </w:rPr>
        <w:t>المعجم القرآني</w:t>
      </w:r>
      <w:r>
        <w:rPr>
          <w:rtl w:val="true"/>
        </w:rPr>
        <w:t xml:space="preserve">: </w:t>
      </w:r>
      <w:r>
        <w:rPr/>
        <w:t>Dictionnaire du Coran</w:t>
      </w:r>
      <w:bookmarkEnd w:id="28"/>
    </w:p>
    <w:p>
      <w:pPr>
        <w:pStyle w:val="BookText"/>
        <w:rPr/>
      </w:pPr>
      <w:r>
        <w:rPr>
          <w:rFonts w:ascii="IRNazanin" w:hAnsi="IRNazanin" w:eastAsia="IRNazanin"/>
          <w:color w:val="111111"/>
          <w:sz w:val="28"/>
          <w:sz w:val="28"/>
          <w:szCs w:val="28"/>
          <w:rtl w:val="true"/>
          <w:lang w:bidi="fa-IR"/>
        </w:rPr>
        <w:t>ومن مشاريع الموسوعات والمعاجم القرآنيّة المنجزة حديثًا، أو التي هي قید الإنجاز نذكر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تاريخي نقدي للقرآن الكريم، باللّغة الفرنسيّة، عمل على إعداده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باحثًا مختصًّا في التّراث الإسلامي من بلدانٍ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فرنسا، بلجيكا، إيطاليا، تونس، الجزائر، دولة الكيان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على العمل البروفوسور محمد علي أمير معزي، وهو فرنسي من أصلٍ 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العديد من الدّراسات حول التشيّع، والتّصوّف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دام العمل فيه حوالي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واشتمل على أكثر من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وصدر سنة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الفرنسيّة في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إلى اللّغة الإيطاليّة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اللغة الإنجليزية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 موضوعاتٍ شتّى في التفسير، والأدب والتاريخ، والعقيدة والقانون والتصوف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عناوين هذه الموضوعات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الحرب والسلام، والتسامح والتّعصّب، والتجربة الروحيّة للنبي، الآيات المحكمات والآيات المتشابهات، والتفسير الصوفي للقرآن، والتفسير السني والشيعي، كما يحتوي القاموس على مواد تتحدّث عن الأخلاق في القرآن، وعن فضل القرآن، وعن مكانة غير المسلمين في القرآن، وعن مخطوطات القرآن، وعن تاريخ العلوم القرآنيّة، وعن قصص الأنبياء، كما تضمّن </w:t>
      </w:r>
      <w:bookmarkStart w:id="29" w:name="pg8898_139161"/>
    </w:p>
    <w:p>
      <w:pPr>
        <w:pStyle w:val="BookText"/>
        <w:rPr/>
      </w:pPr>
      <w:bookmarkEnd w:id="29"/>
      <w:r>
        <w:rPr>
          <w:rFonts w:ascii="Amiri" w:hAnsi="Amiri" w:eastAsia="Amiri" w:cs="Amiri"/>
          <w:color w:val="111111"/>
          <w:sz w:val="28"/>
          <w:sz w:val="28"/>
          <w:szCs w:val="28"/>
          <w:rtl w:val="true"/>
          <w:lang w:bidi="ar-SA"/>
        </w:rPr>
        <w:t>المعجم مفرداتٍ 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 وموسى، وعيسى، وثمود، وعاد، الإسراء والمعراج، شريعة مريم هارون، الخضر، يوسف، نوح، ياجوج وماجوج، مكة، غار حراء، أهل الكهف، أهل الكتاب، قابيل وهابيل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ويخصّص القاموس لكلّ مادة من هذه المواد صفحات عدّة لشرحها وإضاءتها من وجهة نظرٍ تاريخيّةٍ محضةٍ بالدرجة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ولقي المعجم ترحيبًا كبيرًا في الدوائر الغربيّة، أمّا في الساحة العربية والإسلاميّة تباينت المواقف، فرحّب البعض بالمشروع معتبراً إيّاه خطوةً على طريق التجديد والتحرير الفكري، يقول الباحث هاشم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القاموس يساعد على تصحيح الصورة عن الإسلام والمسلمين من خلال تقديم تفسيرٍ صحيحٍ وموضوعيٍّ عن القرآن الكريم، ولكنّه يتحاشا المسائل الصّعبة والمحرجة التي قد تصدم الوعي الإسلامي التقليدي، فالتحرير الفكريّ يمرّ من هنا ولا بدّ من دفع ثمنه، وثمنه سوف يكون انهيار العديد من اليقينيات الرّاسخة في الوعي الجماعي منذ مئات السنين والتي ينقضها البحث التاريخي الرّصين الذي يقدّمه لنا هذا القاموس العتيد</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وانتقده البعض الآخر بشدّةٍ معتبرًا إيَّاه حلقةً من حلقات التآمر الاستشراقي الغربي، والذي تحالف هذه المرة مع الغنوصيّة الشيعيّة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تشيع رئيس تحرير المعجم محمد علي أمير المعزي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للنيل من القرآن والتشكيك فيه</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935439_2870459653"/>
      <w:bookmarkStart w:id="31" w:name="_Toc11"/>
      <w:bookmarkEnd w:id="30"/>
      <w:r>
        <w:rPr>
          <w:rtl w:val="true"/>
        </w:rPr>
        <w:t>ثالثًا</w:t>
      </w:r>
      <w:r>
        <w:rPr>
          <w:rtl w:val="true"/>
        </w:rPr>
        <w:t xml:space="preserve">: </w:t>
      </w:r>
      <w:r>
        <w:rPr>
          <w:rtl w:val="true"/>
        </w:rPr>
        <w:t>دليل أكسفورد حول الدّراسات القرآنيّة</w:t>
      </w:r>
      <w:r>
        <w:rPr>
          <w:rtl w:val="true"/>
        </w:rPr>
        <w:t>:</w:t>
      </w:r>
      <w:bookmarkEnd w:id="31"/>
    </w:p>
    <w:p>
      <w:pPr>
        <w:pStyle w:val="BookText"/>
        <w:rPr/>
      </w:pPr>
      <w:r>
        <w:rPr>
          <w:rFonts w:ascii="Amiri" w:hAnsi="Amiri" w:eastAsia="Amiri" w:cs="Amiri"/>
          <w:color w:val="111111"/>
          <w:sz w:val="28"/>
          <w:sz w:val="28"/>
          <w:szCs w:val="28"/>
          <w:rtl w:val="true"/>
          <w:lang w:bidi="ar-SA"/>
        </w:rPr>
        <w:t>وهو من تأليف باحثين مسلمين يعملان في مراكز بحثيّةٍ أوروبيّةٍ، ومتخصّصان في الدّراسات القرآنيّة الغربيّة،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شاه ومحمد عبد 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يتوقع صدورة في نيسان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حوالي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وهو بالإنجليزيّة، وجاء في تعريف المعجم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هو النّصّ المقدَّس الأساسيّ في الدين الإسلاميّ، ويُنظر إليه منذ القِدَم على أنَّه كلمة الله الحرفيَّة وتُمثَّلُ أحكامه وبياناته أساسَ المعتقدات والتعاليم </w:t>
      </w:r>
    </w:p>
    <w:p>
      <w:pPr>
        <w:pStyle w:val="BookText"/>
        <w:rPr/>
      </w:pP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أهميَّته الدينيَّة وكونه الكتاب المقدَّس لأكثر من مليار مسلم حول العالم، يُعتبر القرآن تحفةً مُنقطعة النّظير في اللّغة العربيّة ويُمكن ملاحظة أثره التاريخي كنصّ في جميع أبعاد التراث الأدبيّ العربيّ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أنتج البحث الأكاديميّ حول القرآن خلال العقود الأخيرة مجموعةً مثيرة للإعجاب من النتاجات الفكريّة التي تتراوح بين الدّراسات التفصيليّة للّغة الفريدة للنصّ وأسلوبه وبنيته مرورًا بالمعالجات الدقيقة لمحتواه ومفاهيمه وسياقاته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هذا الدليل مرجعًا جوهريّا ونقطة انطلاق لكلّ من يملك اهتمامًا أكاديميَّا بالقرآن، ويُقدِّمُ مراجعات مُفصَّلةً عن مواضيع مؤثّرةٍ في هذا الميدان، بالإضافة إلى نظرةٍ نقديَّةٍ إلى التطوُّرات التي يشهدها الخطاب البحثيّ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یستكشفُ هذا الكتاب التفسير والهرمنيوطيقا القرآنيَّة، ما يجعله مصدرًا أكاديميّا شاملا لدراسة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تجدر الإشارة إلى أنّه ليس هناك كتاب واحد مُكرَّس لهكذا دائرة واسعة من الدراسة الأكاديمية للقرآن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الفهرس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 ومن الموضوعات التي يُعالجها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الأصول الإسلامية والقرآن، الدراسات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الببليوغرافي، السياق العربي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والنص</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المشهد اللغوي في شبه الجزيرة العربية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في القرآن، القرآن واليهودية، القرآن والمسيحية، لغة القرآن، مفردات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في السياق، بناء الجملة القرآنية، التسلسل الزمني الداخلي للقرآن، هيكل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الديناميكية الداخلية للسورة، الوحي والنبوءة في القرآن، القانون والقرآن، الأخلاق القرآنية، أنبياء وشخصيات القرآن، السياسة والقرآن، الجهاد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الكلاسيكي والحديث، المرأة والقرآن ترجمات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اللغات الغربية، ترجمات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اللغات الإسلامية، تقديم القرآن خارج السياق، الثقافة الشعبية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الكلاسيكي والحديث، التفسير القرآني المبكر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التفسير النصي إلى التحليل </w:t>
      </w:r>
      <w:bookmarkStart w:id="32" w:name="pg8898_139163"/>
    </w:p>
    <w:p>
      <w:pPr>
        <w:pStyle w:val="BookText"/>
        <w:rPr/>
      </w:pPr>
      <w:bookmarkEnd w:id="32"/>
      <w:r>
        <w:rPr>
          <w:rFonts w:ascii="Amiri" w:hAnsi="Amiri" w:eastAsia="Amiri" w:cs="Amiri"/>
          <w:color w:val="111111"/>
          <w:sz w:val="28"/>
          <w:sz w:val="28"/>
          <w:szCs w:val="28"/>
          <w:rtl w:val="true"/>
          <w:lang w:bidi="ar-SA"/>
        </w:rPr>
        <w:t xml:space="preserve">اللغوي، التفسير المبكر في القرون الوسطى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التفسير في العصور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الذهبي للتفسير، التفسير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 علم اللاهوت الكتابي، التفسير الشيعي الإثني عشري، المنحا الإسماعيلي في التفسير، تفسير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الفترات التكوينيّة والفترات اللّاحقة، التأويل القرآني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الاستراتيجيات والتطوير</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935441_2870459653"/>
      <w:bookmarkStart w:id="34" w:name="_Toc12"/>
      <w:bookmarkEnd w:id="33"/>
      <w:r>
        <w:rPr>
          <w:rtl w:val="true"/>
        </w:rPr>
        <w:t>رابعًا</w:t>
      </w:r>
      <w:r>
        <w:rPr>
          <w:rtl w:val="true"/>
        </w:rPr>
        <w:t xml:space="preserve">: </w:t>
      </w:r>
      <w:r>
        <w:rPr>
          <w:rtl w:val="true"/>
        </w:rPr>
        <w:t>القرآن كموسوعة</w:t>
      </w:r>
      <w:r>
        <w:rPr>
          <w:rtl w:val="true"/>
        </w:rPr>
        <w:t xml:space="preserve">: </w:t>
      </w:r>
      <w:r>
        <w:rPr/>
        <w:t>The Quran - An encyclopedia</w:t>
      </w:r>
      <w:bookmarkEnd w:id="34"/>
    </w:p>
    <w:p>
      <w:pPr>
        <w:pStyle w:val="BookText"/>
        <w:rPr/>
      </w:pPr>
      <w:r>
        <w:rPr>
          <w:rFonts w:ascii="IRNazanin" w:hAnsi="IRNazanin" w:eastAsia="IRNazanin"/>
          <w:color w:val="111111"/>
          <w:sz w:val="28"/>
          <w:sz w:val="28"/>
          <w:szCs w:val="28"/>
          <w:rtl w:val="true"/>
          <w:lang w:bidi="fa-IR"/>
        </w:rPr>
        <w:t xml:space="preserve">صدرت عام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مجلد واحد، جاءت في حوالي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وساهم فيها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 في الدّراسات القرآنيّة والتراثيّة منهم المسلمون وغير المسلمين، وترأّس تحريرها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اولیفر لیمان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Oliver Leaman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أستاذ الفلسفة وأستاذ للدراسات اليهودية منذ 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بجامعة كنتاكي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 المتحدة الأمريكية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يدرس تاريخ الفلسفة الإسلاميّة واليهوديّة والشّرقيّة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تعريف الموسوعة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هو مصدر إلهام إحدى الديانات الرئيسيّة في العالم، يتبعه اليوم أكثر من مليار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يلعب دورًا رئيسيًّا في الإسلام، ومنذ ظهوره قبل أربعة عشر مئة عام كان موضوع نقاش 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تنفيذ بعض هذا من قبل المسلمين والبعض الآخر من قبل جهات معادية أو غير مبالية بالإسلام، مما أدّى إلى مجموعة واسعة جدًا من وجهات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والهدف من إعداد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كموسوعةٍ، هو تقديم هذا التنوّع في الفكر والمقاربة والمدارس دون أولويّة، من أجل إعطاء تقديرٍ قويٍّ لمدى الاستجابة التي أثارها النّصّ طوال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وتزويد الطلاب والباحثين بمصدر واحد متين يغطي جميع جوانب النص وتلقّيه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Authored by 43 international experts, the objective of The" Quran: An Encyclopediais to present this diversity ofthought approach and school in orderto give a strong appreciation of the</w:t>
      </w:r>
      <w:r>
        <w:rPr>
          <w:rFonts w:eastAsia="Times New Roman" w:cs="Times New Roman" w:ascii="Times New Roman" w:hAnsi="Times New Roman"/>
          <w:color w:val="111111"/>
          <w:sz w:val="28"/>
          <w:szCs w:val="28"/>
          <w:rtl w:val="true"/>
          <w:lang w:val="en-US" w:bidi="en-US"/>
        </w:rPr>
        <w:t xml:space="preserve"> </w:t>
      </w:r>
      <w:bookmarkStart w:id="35" w:name="pg8898_139164"/>
    </w:p>
    <w:p>
      <w:pPr>
        <w:pStyle w:val="BookText"/>
        <w:rPr/>
      </w:pPr>
      <w:bookmarkEnd w:id="35"/>
      <w:r>
        <w:rPr>
          <w:rFonts w:eastAsia="Times New Roman" w:cs="Times New Roman" w:ascii="Times New Roman" w:hAnsi="Times New Roman"/>
          <w:color w:val="111111"/>
          <w:sz w:val="28"/>
          <w:szCs w:val="28"/>
          <w:lang w:val="en-US" w:bidi="en-US"/>
        </w:rPr>
        <w:t>range of response that the text has provoked throughout its history. It provides students and researchers Oliver Leama, An encyclopedia, The Quran, pix, 2006 all aspects of the text and its reception</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وحوت هذه الموسوعة حوالي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935443_2870459653"/>
      <w:bookmarkStart w:id="37" w:name="_Toc13"/>
      <w:bookmarkEnd w:id="36"/>
      <w:r>
        <w:rPr>
          <w:rtl w:val="true"/>
        </w:rPr>
        <w:t>خامسًا</w:t>
      </w:r>
      <w:r>
        <w:rPr>
          <w:rtl w:val="true"/>
        </w:rPr>
        <w:t xml:space="preserve">: </w:t>
      </w:r>
      <w:r>
        <w:rPr>
          <w:rtl w:val="true"/>
        </w:rPr>
        <w:t>الموسوعة التكامليّة للقرآن الكريم</w:t>
      </w:r>
      <w:r>
        <w:rPr>
          <w:rtl w:val="true"/>
        </w:rPr>
        <w:t xml:space="preserve">: </w:t>
      </w:r>
      <w:r>
        <w:rPr/>
        <w:t>Intergrated Encyclopedia of the Qur an</w:t>
      </w:r>
      <w:bookmarkEnd w:id="37"/>
    </w:p>
    <w:p>
      <w:pPr>
        <w:pStyle w:val="BookText"/>
        <w:rPr/>
      </w:pPr>
      <w:r>
        <w:rPr>
          <w:rFonts w:ascii="Amiri" w:hAnsi="Amiri" w:eastAsia="Amiri" w:cs="Amiri"/>
          <w:color w:val="111111"/>
          <w:sz w:val="28"/>
          <w:sz w:val="28"/>
          <w:szCs w:val="28"/>
          <w:rtl w:val="true"/>
          <w:lang w:bidi="ar-SA"/>
        </w:rPr>
        <w:t>يعدّ من الأعمال الموسوعيّة التي كُتبت بعد موسوعة ليدن، وأشرف على إعدادها باحثون مسلمون لم يستسيغوا منهجيّة موسوعة ليدن وطريقة تعاطيها مع المحتوى القرآني، واعتبروا أنه من الضروري تقديم عمل موسوعيّ باللّغة الانجليزية أكثر تكاملاً وموضوعيّةً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يدير الهيئة العلميّة للموسوعة الدكتور الباكستاني مظفر إقبال، وهو معروف بشدّة انتقاداته لموسوعة ليدن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الموسوعة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فيرأس تحريرها البروفوسور الباكستاني مظفر إقبال، وهو متخصّص في الدّراسات الإسلاميّة، وله مؤلّفات في نقد الدّراسات الغربية عن الإسلام، يعيش في كندا منذ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حصوله على شهادة الدكتوراة في الكيمياء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جامعة ساسكا تشيوان </w:t>
      </w:r>
      <w:r>
        <w:rPr>
          <w:rFonts w:eastAsia="Times New Roman" w:cs="Times New Roman" w:ascii="Times New Roman" w:hAnsi="Times New Roman"/>
          <w:color w:val="111111"/>
          <w:sz w:val="28"/>
          <w:szCs w:val="28"/>
          <w:lang w:val="en-US" w:bidi="en-US"/>
        </w:rPr>
        <w:t>Saskatchewan</w:t>
      </w:r>
      <w:r>
        <w:rPr>
          <w:rFonts w:ascii="Amiri" w:hAnsi="Amiri" w:eastAsia="Amiri" w:cs="Amiri"/>
          <w:color w:val="111111"/>
          <w:sz w:val="28"/>
          <w:sz w:val="28"/>
          <w:szCs w:val="28"/>
          <w:rtl w:val="true"/>
          <w:lang w:bidi="ar-SA"/>
        </w:rPr>
        <w:t xml:space="preserve">، كندا،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للتخصّص في الدّراسات القرآنيّة وعلاقة الدين بالعلوم الطبيعيّة والإنسانيّة،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والعلم، فلسفة العلم والدين في الإسلام والمسيحيّة، وهو أحد مؤسّسي مركز الإسلام بكندا ورئيسه الحالي، ويتولّى رئاسة التحرير لمجلة الإسلام والعلوم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Science &amp; Islam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مجلة نصف سنويّة تبحث في الرؤية الإسلاميّة للعلوم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إقبال الموسوعة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ستُقدّم الموسوعة القرآنية المتكاملة للناطقين بالإنجليزيّة بإذن الله تعالى، مرجعًا علميًّا مستمدًا من التّراث العلميّ الإسلاميّ </w:t>
      </w:r>
      <w:bookmarkStart w:id="38" w:name="pg8898_139165"/>
    </w:p>
    <w:p>
      <w:pPr>
        <w:pStyle w:val="BookText"/>
        <w:rPr/>
      </w:pPr>
      <w:bookmarkEnd w:id="38"/>
      <w:r>
        <w:rPr>
          <w:rFonts w:ascii="Amiri" w:hAnsi="Amiri" w:eastAsia="Amiri" w:cs="Amiri"/>
          <w:color w:val="111111"/>
          <w:sz w:val="28"/>
          <w:sz w:val="28"/>
          <w:szCs w:val="28"/>
          <w:rtl w:val="true"/>
          <w:lang w:bidi="ar-SA"/>
        </w:rPr>
        <w:t>الممتد على مدى أربعة عشر قرنًا من الزمن، وستمث</w:t>
      </w:r>
      <w:r>
        <w:rPr>
          <w:rFonts w:eastAsia="Times New Roman" w:cs="Times New Roman" w:ascii="Times New Roman" w:hAnsi="Times New Roman"/>
          <w:color w:val="111111"/>
          <w:sz w:val="28"/>
          <w:szCs w:val="28"/>
          <w:lang w:val="en-US" w:bidi="en-US"/>
        </w:rPr>
        <w:t>f</w:t>
      </w:r>
      <w:r>
        <w:rPr>
          <w:rFonts w:ascii="Amiri" w:hAnsi="Amiri" w:eastAsia="Amiri" w:cs="Amiri"/>
          <w:color w:val="111111"/>
          <w:sz w:val="28"/>
          <w:sz w:val="28"/>
          <w:szCs w:val="28"/>
          <w:rtl w:val="true"/>
          <w:lang w:bidi="ar-SA"/>
        </w:rPr>
        <w:t>ل الموسوعة، إن شاء الله تعالى، مزيجًا علميًّا نادرًا من الدّراسات والبحوث القرآنيّة الإسلامية القديمة والمعاصرة بأسلوب يتناوله القرّاء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الموسوعة خطابها للمسلمين وغيرهم ممن يحتاج إلى مرجع علميّ معتمد للحصول على معرفة القرآن ورسالته بشكل بحثيٍّ دقيق، كما تخاطب الموسوعة الباحثين الأكاديميين سواء أكانوا من المتخصّصين في الدّراسات القرآنيّة أم يعملون في مجالات أخرى أكثر شمولا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تتكون الموسوعة من سبع مجلدات، وحدّد فيها حوالي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مدخلًا، صدر الجزء الأوّل سنة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وحسب الموقع الإلكتروني للموسوعة لم يصدر أيّ جزء آخر إلى 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يحوي المفردات التي تبدأ ب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Artery and vein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ضلال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Astray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ذرة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Atom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أولو الأمر ،بخل، خشية الله، أيوب، آزر، بابل، بسملة، الأسماء الحسنى، االله، أحمد، زهد، أبوبكر، أبو لهب، عاد،</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935445_2870459653"/>
      <w:bookmarkStart w:id="40" w:name="_Toc14"/>
      <w:bookmarkEnd w:id="39"/>
      <w:r>
        <w:rPr>
          <w:rtl w:val="true"/>
        </w:rPr>
        <w:t>سادسًا</w:t>
      </w:r>
      <w:r>
        <w:rPr>
          <w:rtl w:val="true"/>
        </w:rPr>
        <w:t xml:space="preserve">: </w:t>
      </w:r>
      <w:r>
        <w:rPr>
          <w:rtl w:val="true"/>
        </w:rPr>
        <w:t>قرآن المؤرخين</w:t>
      </w:r>
      <w:r>
        <w:rPr>
          <w:rtl w:val="true"/>
        </w:rPr>
        <w:t xml:space="preserve">: </w:t>
      </w:r>
      <w:r>
        <w:rPr/>
        <w:t>Le coran des historiens</w:t>
      </w:r>
      <w:bookmarkEnd w:id="40"/>
    </w:p>
    <w:p>
      <w:pPr>
        <w:pStyle w:val="BookText"/>
        <w:rPr/>
      </w:pPr>
      <w:r>
        <w:rPr>
          <w:rFonts w:ascii="Amiri" w:hAnsi="Amiri" w:eastAsia="Amiri" w:cs="Amiri"/>
          <w:color w:val="111111"/>
          <w:sz w:val="28"/>
          <w:sz w:val="28"/>
          <w:szCs w:val="28"/>
          <w:rtl w:val="true"/>
          <w:lang w:bidi="ar-SA"/>
        </w:rPr>
        <w:t>من الأعمال القرآنيّة الموسوعيّة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قرآن المؤرّخين، والذي صدر في تشرين الثاني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 xml:space="preserve">، في ثلاث مجلدات و </w:t>
      </w:r>
      <w:r>
        <w:rPr>
          <w:rFonts w:eastAsia="Amiri" w:cs="Amiri" w:ascii="Amiri" w:hAnsi="Amiri"/>
          <w:color w:val="111111"/>
          <w:sz w:val="28"/>
          <w:szCs w:val="28"/>
          <w:lang w:bidi="ar-SA"/>
        </w:rPr>
        <w:t>3450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أنجز هذا العمل فريق من الباحثين يتألّف من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باحثًا في الدّراسات القرآنيّة الغربيّة من مختلف الجامعات الأوروبيّة، وبإشراف الأستاذ محمد علي أمير معزي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التعريف به عند الحديث عن المعجم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وغيوم دي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Guillaume Dye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أستاذ الدراسات الإسلاميّة في جامعة بروكسل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بلجيكا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ودام إنجاز هذا العمل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المجلد الأوّل عشرون مقالةً تدور حول المحاور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والسياقات التاريخيّة والجغرافيّة لبدايات الإسلام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لمقالة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التكاملية للقرآن، مجلة الاسلام والعلم، عدد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صيف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bookmarkStart w:id="41" w:name="pg8898_139166"/>
    </w:p>
    <w:p>
      <w:pPr>
        <w:pStyle w:val="BookText"/>
        <w:rPr/>
      </w:pPr>
      <w:bookmarkEnd w:id="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والتقاليد الدّينيّة للعصور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واليهوديّة، القرآن والمسيحيّة، المانوية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تكوين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المخطوطات الغربيّة والمخطوطات القديمة، والنقوش القرآنيّة، الحجريّة القرآن والتشيّع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تفصيليّةً لسور القرآن من السورة الأولى إلى السورة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ترتيب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المجلد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للسّور المتبقّية من السورة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السورة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بترتيب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الدّراسة التحليليّة لآيات القرآن آية آية، حسب موضعها في المصحف، اعتمد الباحثون على الدّراسة الأثريّة والتاريخيّة والفيلولوجيّة لمدلولات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إنّ هذا العمل اهتمّ بفترة ما قبل القرآن، والتي أثّرت في تشكّل القرآن وظهوره واكتسابه لمعانيه، ولعلّ هذا السبب في تسميته بقرآن المؤرخين</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935447_2870459653"/>
      <w:bookmarkStart w:id="43" w:name="_Toc15"/>
      <w:bookmarkEnd w:id="42"/>
      <w:r>
        <w:rPr>
          <w:rtl w:val="true"/>
        </w:rPr>
        <w:t>سابعًا</w:t>
      </w:r>
      <w:r>
        <w:rPr>
          <w:rtl w:val="true"/>
        </w:rPr>
        <w:t xml:space="preserve">: </w:t>
      </w:r>
      <w:r>
        <w:rPr>
          <w:rtl w:val="true"/>
        </w:rPr>
        <w:t xml:space="preserve">مشروع الموسوعة القرآنية برلين </w:t>
      </w:r>
      <w:r>
        <w:rPr/>
        <w:t>corpus coranicum</w:t>
      </w:r>
      <w:bookmarkEnd w:id="43"/>
    </w:p>
    <w:p>
      <w:pPr>
        <w:pStyle w:val="BookText"/>
        <w:rPr/>
      </w:pPr>
      <w:r>
        <w:rPr>
          <w:rFonts w:ascii="Amiri" w:hAnsi="Amiri" w:eastAsia="Amiri" w:cs="Amiri"/>
          <w:color w:val="111111"/>
          <w:sz w:val="28"/>
          <w:sz w:val="28"/>
          <w:szCs w:val="28"/>
          <w:rtl w:val="true"/>
          <w:lang w:bidi="ar-SA"/>
        </w:rPr>
        <w:t>وهو مشروع بحثيّ من أكاديميّة بلادنبورغ برلين، للعلوم والعلوم الإنسانيّة، وهو يدخل في إطار المشاريع الموسوعيّة الخاصّة بتراث العالم القديم، والقرون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سنة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إشراف الأستاذة أنجليكا نوفرت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Angelika Neuwirth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وهي أستاذة بمعهد الدراسات العربية والسامية في جامعة برلين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ويشارك فيه اثنا عشر باحثًا من أهل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ويتوقّع الانتهاء من المشروع سنة </w:t>
      </w:r>
      <w:r>
        <w:rPr>
          <w:rFonts w:eastAsia="Amiri" w:cs="Amiri" w:ascii="Amiri" w:hAnsi="Amiri"/>
          <w:color w:val="111111"/>
          <w:sz w:val="28"/>
          <w:szCs w:val="28"/>
          <w:lang w:bidi="ar-SA"/>
        </w:rPr>
        <w:t>2025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تعريف المشروع جاء في الموقع الإلكتروني للموسوعة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مشروع الموسوعة يستهدف تحقيق مطلبين أساسيين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النّصّ القرآني من خلال مخطوطاته ومن خلال نقله الشفهي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تفسير مستفيض يضع القرآن في سياق ظهوره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التفسير 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سيتناول القرآن من منظور زمنيٍّ دياكرونيّ تعاقبيّ، أي باعتباره نضّا نشأ بالتدريج في عقدين من الزمن، باحثًا في التطوّرات الشَّكليّة والمضمونيّة والمفهومية، وكذلك ما نشأ على النّصوص الأولى من إعادة تأويل أو تغيير في الدلالة عبر حالاتِ أو إضافات 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مقاربةً تنظر إلى السورة باعتبارها وحدة، وأنّ السّور المكيّة على الأقل في اتّفاقها الثابت مع الأنماط البنائيّة المعهودة وأشكال الخطاب المناسبة، هي وحدات 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التفسير على استقراء واسع للنّصوص الموازية يهوديّة كانت أو مسيحيّة</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 المشرفين على المشروع، فهذا التفسير سيتجاوز الفيلولوجيّة التقليديّة التي قامت على مقولة خضوع القرآن لتأثيرات النّصوص الدّينيّة السابقة عليه، إلى رؤية تقوم على أنّ القرآن لم يقطع مع النّصوص الديّنيّة القديمة، بل انتقى منها أشياءً وعدّلها وأعاد عرضها بما يتناسب مع بيئته القرآنيّة، وربّما أقام مع هذا الموروث للكتب القديمة جدلًا نقديٍّا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وسيلاحظ المراجع للموقع الإلكتروني أنّ المشروع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يتيح إمكانيّة الوصول للمخطوطات المبكّرة بالصّور والنّصوص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بالتوازي مع نقل النّصّ المكتوب، يتمّ عرض أدبيات القراءة الإسلامية بشكل منهجيّ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المرة الأولى التي توفّر فيها </w:t>
      </w:r>
      <w:r>
        <w:rPr>
          <w:rFonts w:eastAsia="Times New Roman" w:cs="Times New Roman" w:ascii="Times New Roman" w:hAnsi="Times New Roman"/>
          <w:color w:val="111111"/>
          <w:sz w:val="28"/>
          <w:szCs w:val="28"/>
          <w:lang w:val="en-US" w:bidi="en-US"/>
        </w:rPr>
        <w:t>Corpus Coranicum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قاعدةً نصّيّةً آمنةً تاريخيًّا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الفهرسة التاريخيّة الهامّة لتاريخ النّص، يقوم المشروع بإنشاء تعليق زمنيّ أدبيّ باستخدام قاعدة بیانات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من بيئة القرآن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TUK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لأوّل مرّة، يتمّ إعادة بناء تطوّر المجتمع </w:t>
      </w:r>
      <w:bookmarkStart w:id="44" w:name="pg8898_139168"/>
    </w:p>
    <w:p>
      <w:pPr>
        <w:pStyle w:val="BookText"/>
        <w:rPr/>
      </w:pPr>
      <w:bookmarkEnd w:id="44"/>
      <w:r>
        <w:rPr>
          <w:rFonts w:ascii="Amiri" w:hAnsi="Amiri" w:eastAsia="Amiri" w:cs="Amiri"/>
          <w:color w:val="111111"/>
          <w:sz w:val="28"/>
          <w:sz w:val="28"/>
          <w:szCs w:val="28"/>
          <w:rtl w:val="true"/>
          <w:lang w:bidi="ar-SA"/>
        </w:rPr>
        <w:t>الإسلامي الأصلي كتفاعل بين النّبيّ وأولئك المرسل إليهم في مكة والمدينة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935449_2870459653"/>
      <w:bookmarkStart w:id="46" w:name="_Toc16"/>
      <w:bookmarkEnd w:id="45"/>
      <w:r>
        <w:rPr>
          <w:rtl w:val="true"/>
        </w:rPr>
        <w:t>الاستشراق والتحقيق القرآنيّ</w:t>
      </w:r>
      <w:r>
        <w:rPr>
          <w:rtl w:val="true"/>
        </w:rPr>
        <w:t>:</w:t>
      </w:r>
      <w:bookmarkEnd w:id="46"/>
    </w:p>
    <w:p>
      <w:pPr>
        <w:pStyle w:val="BookText"/>
        <w:rPr/>
      </w:pPr>
      <w:r>
        <w:rPr>
          <w:rFonts w:ascii="Amiri" w:hAnsi="Amiri" w:eastAsia="Amiri" w:cs="Amiri"/>
          <w:color w:val="111111"/>
          <w:sz w:val="28"/>
          <w:sz w:val="28"/>
          <w:szCs w:val="28"/>
          <w:rtl w:val="true"/>
          <w:lang w:bidi="ar-SA"/>
        </w:rPr>
        <w:t>نظرًا لزيادة آثار التحقيق القرآنيّ للمستشرقين وانتشارها وتنوّعها، وحدوث المسائل والشبهات في هذا المجال، فإنّ معرفة آرائهم ومواقفهم وكذلك معرفة سوابقهم في التحقيق القرآنيّ ووضعهم الحاليّ فيه والعمل على تحليلها و مناقشتها ونقده تُعدّ ضرورةً بحثيّةً وعلميّةً لا بدّ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تصدّى المستشرقون للتحقيق في مجالي التفسير والعلوم والمعارف القرآنيّة منذ القدم؛ ففي مجال العلوم القرآنيّة اهتمّوا بتاريخ القرآن وتأليفه وتدوينه، وكيفية النزول، ومصاحف الصحابة، وكتّاب الوحي واختلاف القراءات، والحروف المقطّعة، وأسماء السّور، وترجمة القرآن، وإعداد الفهارس والمعاجم، وبلاغة القرآن ومعرفة لغة القرآن، والتحقيق في الآثار القديمة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 مجال معارف القرآن فقد تناولوا المواضيع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والعقائد في القرآن، الوحي، القصص، الأديان، الأنبياء وتفسير بعض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المباحث الموضوعيّة في القرآن</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هدف نشاطات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الآثار القرآنيّة والإسلاميّة ومصادرها وترجمة القرآن هو الحيلولة دون نفوذ الإسلام إلى أوربا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آثار هذه المرحلة ومؤلّفاتها تعرض صورةً ناقصةً ومُغرضةً عن النّصوص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اتجاه المستشرقين في عصر النّهضة بدأ يتّجه ليصبح أكثر توسّعًا وعمقًا في الدّراسات والعلوم والمعارف القرآنيّة، ولكن سرعان ما توسّعت أهدافهم فامتدت هذه الدّراسات إلى الجامعات لتأخذ شكلاً مغايرًا للبحث العلمي بالطعن في القرآن ونبي الإسلام، والدين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النّصف الثاني من القرن التاسع عشر أصبحت تحقيقاتهم تتّجه لتكون بصورةٍ ممنهجةٍ وموجّهةٍ وأكثر اتّساعًا للطعن في النّصوص والمصادر الأصليّة للتّراث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ونشير فيما يأتي إلى أهمّ التأليفات القرآنيّة للمستشرقين منذ أوائل القرن التاسع عشر إلى أواخر القرن العشرين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نجوم الفرقان في أطراف القرآن، وهو أوّل معجم لألفاظ القرآن لغوستاف فلوغل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GustanFlagal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ألمانيا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آيات القرآن الكريم، وهو أوّل معجم موضوعيّ للقرآن لجولس لابوم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Jules Labum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فرنسا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القرآن لثيودور نولدك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Theodor Noldeke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ألمانيا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المناهج التفسيريّة للقرآن لغولدزیهر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Ignaz Gold Ziher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المجر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القرآن لآرتور ربري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Arthur John Arberry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بريطانيا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أعتاب القرآن ومدخل للقرآن، لريجس بلاشر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RegisBlacheve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فرنسا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الكلمات الدّخيلة في القرآن، لارتور جفري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AvtorJeffri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أميركا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القرآن لريتشارد بل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Richard Bell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بريطانيا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القرآن لمونتغمري وات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Montogomery Watt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بريطانيا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وتدوين القرآن لجان برتون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John Berton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بريطانيا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والإنسان في القرآن، لايزوتسو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T.Izutsu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اليابان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ماركو شولر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التحقيقات الأكاديميّة للقرآن بعد عصر 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موسوعة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الآثار القرآنيّة تأثيراً في القرنين التاسع عشر، والعشرين فقال إنّ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نقديّة على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لغوستاف ویل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Gustav Weil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لنولدكيه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Theodor Noldeke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أواسط القرن التاسع عشر منحا رونقًا أكبر للتحقيقات القرآنيّة الأكاديميّة، ووضَعا أسسًا جديدةً للتحقيقات بعدهما، كما كتب بلاشر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R.Blachere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وريتشارد بل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Richard Bill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على تلك الأسس ترجمات القرآن مصحوبة مع إعادة تنظيم السّور بنظرة انتقاديّة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القرآن لنولدكه مع إضافات شوالی، برگشتر اسر، وپرتسل تبدّل إلى متن قياسيّ ومطمئن في أربعة مجلّدات، والذي يُعدّ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زماننا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المراجع في تاريخ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شولر في النصف الثاني من القرن التاسع عشر آثار موير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 Muiv</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ورادول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A.Rodwell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غريمه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 Grimme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وهرشفلد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HHircheld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أخذ الأسس التحقيقيّة للمستشرقين الألمان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كتبوا تاريخًا جديدًا للسور بجزئيّات أكثر وتنظيم جديد لمتن القرآن بترتيبهم الافتراضيّ والذي بدا أنّه غير مقنع؛ وذلك لعدم وجود شاهد قاطع على اعتبار هذه الترتيبات الفرضيّة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المؤلّف أنّ الخصوصيّة الأساسيّة للتحقيقات القرآنيّة في القرن التّاسع عشر هي التوجّه نحو التعامل بمعرفة اللغات مع متن القرآن، وعناصرها الخاصّة، والتوجّه نحو المعنى، ومنشأ المفاهيم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التحقيقات القرآنيّة في القرن العشرين تشكّلت ضمن إطار الخطوط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 معرفة اللغات للبيان القرآني، القراءات المختلفة، المفردات الدخيلة، ترتيب أجزاء المتن وتاريخه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في هذا العصر هرويتس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 Horowitz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ومنغانا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Minganq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آرنز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K.Ahrens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وجفري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A.Jeffery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النصف الثاني للقرن العشرين بكتب عدّة مؤثّرة لبلاشر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R.Blachere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جفري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AJeffery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R.Bell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وواط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M.Watt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جمعوا فيها نتائج مختلفة في التحقيق القرآنيّ منذ العقود الأولى للقرن العشرين وإلى ذلك الزمان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شولر أنّ من الخصائص البديعة لهذا العصر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المتجدّد للمحتوى الحقيقيّ لمتن القرآن، وتغيير النظرة بشأن معاني المصطلحات والمفاهيم القرآنيّة </w:t>
      </w:r>
    </w:p>
    <w:p>
      <w:pPr>
        <w:pStyle w:val="BookText"/>
        <w:rPr/>
      </w:pPr>
      <w:r>
        <w:rPr>
          <w:rFonts w:ascii="IRNazanin" w:hAnsi="IRNazanin" w:eastAsia="IRNazanin"/>
          <w:color w:val="111111"/>
          <w:sz w:val="28"/>
          <w:sz w:val="28"/>
          <w:szCs w:val="28"/>
          <w:rtl w:val="true"/>
          <w:lang w:bidi="fa-IR"/>
        </w:rPr>
        <w:t>وكشف النسيج العموميّ للبيان القرآنيّ، وإنّ أوّل نتيجة فعليّة لهذه التغييرات هي الرغبة نحو التفاسير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لنا أن نذكر في هذا المجال آثار بعض المستشرقين،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اشاونس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 Shaughaessy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ایزوتسو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T.Izatsu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جيليو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CI.Gilliot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راشل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W.Reuschel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تالمن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 Talmon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وغيرهم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ماركو شولر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مدخل التحقيقات القرآنيّة ما بعد عصر النهضة آثار المستشرقين منذ أواخر القرن العشرين، والتي كتبت حول منشأ القرآن ومصدره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شولر ثلاثة آثار مهمّة لجان برتن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 Burton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مايكل كوك وباتريشيا كرونه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 Cook and P.crone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وونزبرو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J.Wansbvough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ها نقطة عطف في التحقيق القرآنيّ الجديد، ويعتقد أنّ فرضيّة ونزبرو بشأن منشأ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مع محلّ تردّد أو أنّها رُدّت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صارت موضع اهتمام المجتمع العلميّ، وقد دافع بعض الأفراد،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اندرو ریپین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A.Rippin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عن الامتيازات التي حصل عليها ونزبرو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تقول أنجليكا نویورت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A.Neuwirth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لنزبرو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هذا الكتاب موجّهًا لجميع التحقيقات المتطرّفة اللّاحقة حول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والشخص المذكور أشاع هذا الرأي ونشره، وهو أنّ القرآن لا أساس له، وأنّ شكّك وتردّد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أنّه يعود إلى الأزمنة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قرون عدّة بعد ظهور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دراسة مثل هذا المتن لا تخلو من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هذا الكتاب كالبركان في تأثيره على المتابعين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وفي الأجواء الجامعيّة في أميركا يؤمن الجميع بأنّ كلام ونزبرو صحيح</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شولر بشأن كتابي جان برتن ونزبرو حول التحقيق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لهذين الكتابين أهمّيّةً خاصّةً في التحقيقات القرآنية ولا سيّما أنّ النتائج الحاصلة من التحقيقات التي قام بها هذان العالمان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يتكلّمان باللغة الإنجليزيّة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متضادّة </w:t>
      </w:r>
      <w:bookmarkStart w:id="47" w:name="pg8898_139172"/>
    </w:p>
    <w:p>
      <w:pPr>
        <w:pStyle w:val="BookText"/>
        <w:rPr/>
      </w:pPr>
      <w:bookmarkEnd w:id="47"/>
      <w:r>
        <w:rPr>
          <w:rFonts w:ascii="IRNazanin" w:hAnsi="IRNazanin" w:eastAsia="IRNazanin"/>
          <w:color w:val="111111"/>
          <w:sz w:val="28"/>
          <w:sz w:val="28"/>
          <w:szCs w:val="28"/>
          <w:rtl w:val="true"/>
          <w:lang w:bidi="fa-IR"/>
        </w:rPr>
        <w:t xml:space="preserve">بشكل كامل، فبحسب رأي ونزبرو فإنّ القرآن الرسميّ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المتن بشكله الحالي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قد اتّخذ هذه الصورة إلى أواخر القرن الثاني الهجريّ ولا يرجع بتمامه إلى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ناحية أخرى، فإنّه يظهر من تحقيق برتن أنّ تاريخ تدوين المتن الرسميّ للقرآن يعود إلى ما قبل وفاة النبيّ صلّی الله علیه و آله، ومنذ ذلك الوقت فما بعد انتشر بتلك الصورة وبذلك الشكل</w:t>
      </w:r>
      <w:r>
        <w:rPr>
          <w:rFonts w:eastAsia="IRNazanin" w:cs="IRNazanin"/>
          <w:color w:val="111111"/>
          <w:sz w:val="28"/>
          <w:szCs w:val="28"/>
          <w:rtl w:val="true"/>
          <w:lang w:bidi="fa-IR"/>
        </w:rPr>
        <w:t>.</w:t>
      </w:r>
    </w:p>
    <w:p>
      <w:pPr>
        <w:pStyle w:val="Heading3"/>
        <w:numPr>
          <w:ilvl w:val="2"/>
          <w:numId w:val="1"/>
        </w:numPr>
        <w:rPr/>
      </w:pPr>
      <w:bookmarkStart w:id="48" w:name="__RefHeading___Toc935451_2870459653"/>
      <w:bookmarkStart w:id="49" w:name="_Toc17"/>
      <w:bookmarkEnd w:id="48"/>
      <w:r>
        <w:rPr>
          <w:rtl w:val="true"/>
        </w:rPr>
        <w:t>إطلالة على موسوعة ليدن</w:t>
      </w:r>
      <w:r>
        <w:rPr>
          <w:rtl w:val="true"/>
        </w:rPr>
        <w:t xml:space="preserve">: </w:t>
      </w:r>
      <w:r>
        <w:rPr>
          <w:rtl w:val="true"/>
        </w:rPr>
        <w:t>الهويّة والخصائص</w:t>
      </w:r>
      <w:bookmarkEnd w:id="49"/>
    </w:p>
    <w:p>
      <w:pPr>
        <w:pStyle w:val="BookText"/>
        <w:rPr/>
      </w:pPr>
      <w:r>
        <w:rPr>
          <w:rFonts w:ascii="Amiri" w:hAnsi="Amiri" w:eastAsia="Amiri" w:cs="Amiri"/>
          <w:color w:val="111111"/>
          <w:sz w:val="28"/>
          <w:sz w:val="28"/>
          <w:szCs w:val="28"/>
          <w:rtl w:val="true"/>
          <w:lang w:bidi="ar-SA"/>
        </w:rPr>
        <w:t xml:space="preserve">تبيّن من خلال الاستعراض الموجز للموسوعات القرآنيّة الغربيّة المعاصرة، أنّ أغلب هذه المشاريع صدرت بعد أحداث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أعقب ذلك الحدث من تفاقم الإسلامفوبيا في الغرب، وتوجّه أقوى لدراسة الإسلام والقرآن، واهتمام أوسع بالحضارة الإسلامية ونصوصها التأسيسيّة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شجّع الكثيرين على البحث عن حقيقة الكتاب المقدّس للمسلمين، بعيدًا عن شيطنة الإعلام، وتزويرات السياسيين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وموسوعة ليدن صدرت فعلًا سنة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السياق التاريخي للعديد من الأعمال التي عرّفنا بها سابقًا، وإن كان العمل لإعدادها بدأ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في مدينة ليدن الهولنديّة المشهورة بجامعتها ودار نشرها التاريخيتين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 العمل على يد السيدة جين دمن ماك اوليف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Jane Dammen Mc Auliffe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وتقلّدت منصب عميد كليّة العلوم والآداب جورج تاون، في جامعة جورج تاون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1999</w:t>
      </w:r>
      <w:r>
        <w:rPr>
          <w:rFonts w:eastAsia="IRNazanin" w:cs="IRNazanin"/>
          <w:color w:val="111111"/>
          <w:sz w:val="28"/>
          <w:szCs w:val="28"/>
          <w:rtl w:val="true"/>
          <w:lang w:bidi="fa-IR"/>
        </w:rPr>
        <w:t>_</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وعملت خلال هذه المدّة أستاذة في قسم التّاريخ وقسم الدّراسات العربيّة والإسلاميّة، وهي رئيسة كلية برين ماور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وعملت عميدًا مشاركًا لكليّة اللّاهوت في كاندر، وأحد أعضاء مكتبة الكونغرس، ورئيسة مكتب البرامج العلميّة بالمكتبة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بمساعدة أربعة من الباحثين المتخصصين في تاريخ الأديان والدّراسات القرآنيّة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الفرنسي كلود جيلوت، والأمريكي وليام براهام، واللبنانية الأصل وداد القاضي، واليهودي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أندرو 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وللموسوعة فريق استشاريّ</w:t>
      </w:r>
    </w:p>
    <w:p>
      <w:pPr>
        <w:pStyle w:val="BookText"/>
        <w:rPr/>
      </w:pPr>
      <w:r>
        <w:rPr>
          <w:rFonts w:ascii="IRNazanin" w:hAnsi="IRNazanin" w:eastAsia="IRNazanin"/>
          <w:color w:val="111111"/>
          <w:sz w:val="28"/>
          <w:sz w:val="28"/>
          <w:szCs w:val="28"/>
          <w:rtl w:val="true"/>
          <w:lang w:bidi="fa-IR"/>
        </w:rPr>
        <w:t>من شخصيات عدّة من بلدان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حامد أبو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أركون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جيرهارد يورينفر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الولايات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جرالد هاوتنج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ليمهاوس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انجليك نويروث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وتشكلّت الهيئة التحريرية من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باحثًا، حوالي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فقط من المسلمين، حرّروا مقالات الموسوعة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ويلاحظ أنّ أغلب المقالات المرتبطة بالمفاهيم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كمقالة محمد، والمقالات عن الأنبياء جميعًا، عن نساء أهل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باحثون غير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اعتمدوا غالبًا في الإحالة على الآيات القرآنيّة على ترجمة انجليزيّة للقرآن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يلزموا المحرّرين بترجمة بعينها كما سيأتي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الموسوعة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صدرت 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ويحوي المداخل التي تبدأ من الحرف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إلى الحرف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وصدر في أيلول سنة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ويحتوي المداخل من الحرف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إلى الحرف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وصدر في أيلول سنة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الحرف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إلى الحرف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وصدر في تشرين الأول سنة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الرابع من الحرف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إلى الحرف </w:t>
      </w:r>
      <w:r>
        <w:rPr>
          <w:rFonts w:eastAsia="Times New Roman" w:cs="Times New Roman" w:ascii="Times New Roman" w:hAnsi="Times New Roman"/>
          <w:color w:val="111111"/>
          <w:sz w:val="28"/>
          <w:szCs w:val="28"/>
          <w:lang w:val="en-US" w:bidi="en-US"/>
        </w:rPr>
        <w:t>Sh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وصدر في كانون الثاني سنة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الحرف </w:t>
      </w:r>
      <w:r>
        <w:rPr>
          <w:rFonts w:eastAsia="Times New Roman" w:cs="Times New Roman" w:ascii="Times New Roman" w:hAnsi="Times New Roman"/>
          <w:color w:val="111111"/>
          <w:sz w:val="28"/>
          <w:szCs w:val="28"/>
          <w:lang w:val="en-US" w:bidi="en-US"/>
        </w:rPr>
        <w:t>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إلى الحرف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وصدر في كانون الثاني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وخصص للفهارس وصدر في أكتوبر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بلغت المداخل في الأجزاء الخمسة حوالي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أردنا أن نقسّم الموسوعة موضوعيًّا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أقسامها الهيكليّة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تتشكّل من الموضوعات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الموسوعة بقلم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دمن ماك اوليف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المداخل المتعلّقة بالأعلام والمفاهيم، والأماكن، والوقائع، والأعمال، والقيم التي نجدها في القرآن ولها صلة وثيقة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المداخل ذات الصلة بقضايا الدّراسات والأبحاث القرآنيّة من قبيل تاريخ القرآن، العلم في القرآن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 الفهارس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متنوّعة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بيان للمؤسّسة الأكاديميّة التي ينتمي إليها المؤلف وعناوين المقالات التي شارك بها، مع تحديد رقم المجلد التي جاءت فيه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ترتيبًا أبجديًا مع بيان اسم الكاتب أمام كل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 المدن، الوقائع، المؤسسات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ويحوي على كلّ الأسماء التي جاء ذكرها في الموسوعة مع بيان الجزء والصفحة والعمود لكلّ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الألفاظ والجمل العربيّة والتي كتبت بالأبجدية الإنجليزية والواردة في الموسوعة مع تعيين المجلّد والصفحة لكلّ عبارة أو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تتبع لسور القرآن الكريم حسب ترتيب المصحف ولكلّ آياته آية أية وبيان عنوان المقالة التي وردت فيه الآية ورقم المجلد ورقم الصفحة والعمود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ونوّهت محرّرة الموسوعة لأهميّة هذه الفهارس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آمل أن يكون هذا المجلّد الأخيرُ من موسوعة القرآن </w:t>
      </w:r>
      <w:r>
        <w:rPr>
          <w:rFonts w:eastAsia="Times New Roman" w:cs="Times New Roman" w:ascii="Times New Roman" w:hAnsi="Times New Roman"/>
          <w:color w:val="111111"/>
          <w:sz w:val="28"/>
          <w:szCs w:val="28"/>
          <w:lang w:val="en-US" w:bidi="en-US"/>
        </w:rPr>
        <w:t>EQ</w:t>
      </w:r>
      <w:r>
        <w:rPr>
          <w:rFonts w:ascii="Amiri" w:hAnsi="Amiri" w:eastAsia="Amiri" w:cs="Amiri"/>
          <w:color w:val="111111"/>
          <w:sz w:val="28"/>
          <w:sz w:val="28"/>
          <w:szCs w:val="28"/>
          <w:rtl w:val="true"/>
          <w:lang w:bidi="ar-SA"/>
        </w:rPr>
        <w:t>، مساعدًا لقارئيها لتحصيل الاستفادة القصوى من المجلّدات الخمسة التي سبقته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آمل أن يعينهم على فتح السّبل لتحقيقات حاذقة وبحوث منتجةٍ في مجال الدّراسات القرآنيّة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آمل أن يُمكِّن أولئك الذين يحترمون القرآن بصفته نصًا مقدّسًا يرشد الحياة، وأولئك الذين يقاربونه كإنجاز ثقافيّ على مستوى بالغ الأهميّة، أن يمكّنهم من تعميق فهمهم وتقديرهم لهذا الكتاب المقدّس ذو الأهميّة الاستثنائيّة</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مؤسّسة بريل بليدن المدينة الهولنديّة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أقدم المطابع الأوروبيّة التي تخصّصت بنشر کتب التّراث العربي والإسلامي التي كانت تترجم في البدايات إلى اللاتينيّة ثمّ لاحقًا إلى اللّغات الأوروبيّة الحيّة كالألمانيّة، والإنجليزيّة والفرنسيّة، تأسّست سنة </w:t>
      </w:r>
      <w:r>
        <w:rPr>
          <w:rFonts w:eastAsia="IRNazanin" w:cs="IRNazanin"/>
          <w:color w:val="111111"/>
          <w:sz w:val="28"/>
          <w:szCs w:val="28"/>
          <w:lang w:bidi="fa-IR"/>
        </w:rPr>
        <w:t>1683</w:t>
      </w:r>
      <w:r>
        <w:rPr>
          <w:rFonts w:ascii="IRNazanin" w:hAnsi="IRNazanin" w:eastAsia="IRNazanin"/>
          <w:color w:val="111111"/>
          <w:sz w:val="28"/>
          <w:sz w:val="28"/>
          <w:szCs w:val="28"/>
          <w:rtl w:val="true"/>
          <w:lang w:bidi="fa-IR"/>
        </w:rPr>
        <w:t xml:space="preserve">م، وتعاونت مع جامعة ليدن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تأسّست سنة </w:t>
      </w:r>
      <w:r>
        <w:rPr>
          <w:rFonts w:eastAsia="IRNazanin" w:cs="IRNazanin"/>
          <w:color w:val="111111"/>
          <w:sz w:val="28"/>
          <w:szCs w:val="28"/>
          <w:lang w:bidi="fa-IR"/>
        </w:rPr>
        <w:t>1578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تحقيق التراث العربي والإسلامي ونشره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وتعدّ مكتبة ليدن </w:t>
      </w:r>
      <w:bookmarkStart w:id="50" w:name="pg8898_139175"/>
    </w:p>
    <w:p>
      <w:pPr>
        <w:pStyle w:val="BookText"/>
        <w:rPr/>
      </w:pPr>
      <w:bookmarkEnd w:id="50"/>
      <w:r>
        <w:rPr>
          <w:rFonts w:ascii="Amiri" w:hAnsi="Amiri" w:eastAsia="Amiri" w:cs="Amiri"/>
          <w:color w:val="111111"/>
          <w:sz w:val="28"/>
          <w:sz w:val="28"/>
          <w:szCs w:val="28"/>
          <w:rtl w:val="true"/>
          <w:lang w:bidi="ar-SA"/>
        </w:rPr>
        <w:t>من أهم عشر مكتبات في العالم من حيث عدد المخطوطات العربيّة التي لم يتم تحقيقها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فريق موسوعة القرآن ليدن، باختياره مكتبة بريل، يطمح لمكانة مماثلة لموسوعتهم في تاريخ التصنيف العلميّ الأوروبي عن الإسلام عموما والقرآن بالخصوص</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935453_2870459653"/>
      <w:bookmarkStart w:id="52" w:name="_Toc18"/>
      <w:bookmarkEnd w:id="51"/>
      <w:r>
        <w:rPr>
          <w:rtl w:val="true"/>
        </w:rPr>
        <w:t>الاستفادة من التفاسير دون تحويل الموسوعة إلى موسوعةٍ تفسيريّةٍ</w:t>
      </w:r>
      <w:r>
        <w:rPr>
          <w:rtl w:val="true"/>
        </w:rPr>
        <w:t>:</w:t>
      </w:r>
      <w:bookmarkEnd w:id="52"/>
    </w:p>
    <w:p>
      <w:pPr>
        <w:pStyle w:val="BookText"/>
        <w:rPr/>
      </w:pPr>
      <w:r>
        <w:rPr>
          <w:rFonts w:ascii="Amiri" w:hAnsi="Amiri" w:eastAsia="Amiri" w:cs="Amiri"/>
          <w:color w:val="111111"/>
          <w:sz w:val="28"/>
          <w:sz w:val="28"/>
          <w:szCs w:val="28"/>
          <w:rtl w:val="true"/>
          <w:lang w:bidi="ar-SA"/>
        </w:rPr>
        <w:t>من الطبيعي أن يكون للمادة التفسيريّة للقرآن حضورًا في موسوعة قرآنيّة، ولكن الهيئة العلميّة حرصت أن يكون للتفسير حضور ولكن دون أن تتحوّل الموسوعة إلى دائرة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يستعين الباحثون بآراء المفسّرين وظيفيًّا، وفي سياق تنقيح العناوين القرآنيّة، أو تحليل المفاهيم المرتبطة بالدّراسات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مقدّمة الموسوعة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مقالة في الموسوعة تستفيد بشكل مباشر أو غير مباشر من دائرة المؤلّفات فى تفسير القرآن، فقد تطلّب احتواء المشروع التركيز على القرآن وحده، وعليه فإنّ قرّاء الموسوعة لن يجدوا مقالةً مستقلّةً حول الطبري أو الفخر الرازي، ولكنهم سيجدون إحالاتِ متكرّرةً إلى كتب هؤلاء المفسرين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935455_2870459653"/>
      <w:bookmarkStart w:id="54" w:name="_Toc19"/>
      <w:bookmarkEnd w:id="53"/>
      <w:r>
        <w:rPr>
          <w:rtl w:val="true"/>
        </w:rPr>
        <w:t>اعتماد اللّغة الأنجليزية في عنونة المداخل</w:t>
      </w:r>
      <w:r>
        <w:rPr>
          <w:rtl w:val="true"/>
        </w:rPr>
        <w:t>:</w:t>
      </w:r>
      <w:bookmarkEnd w:id="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خلاف الموسوعة الإسلاميّة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التي تعتمد في مداخلها الألفاظ والكلمات العربيّة المكتوبة بالحروف اللاتينية، ما يعرف </w:t>
      </w:r>
      <w:r>
        <w:rPr>
          <w:rFonts w:eastAsia="Times New Roman" w:cs="Times New Roman" w:ascii="Times New Roman" w:hAnsi="Times New Roman"/>
          <w:color w:val="111111"/>
          <w:sz w:val="28"/>
          <w:szCs w:val="28"/>
          <w:lang w:val="en-US" w:bidi="en-US"/>
        </w:rPr>
        <w:t>lemmata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اعتمدت موسوعة القرآن الألفاظ الإنجليزية، أي طريقة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التصنيف المعجمي حسب ترتيب اللغة الإنجليزية، ويبدو أنّ السبب في هذا العدول هو أنّ الموسوعة تتوجّه إلى القارئ الغربي، والطريقة التي تعتمدها الموسوعة الإسلاميّة قد تجعله يُواجه مشكلةً في الوصول إلى بعض المفردات، بينما لا يُواجهها في الموسوعة القرآنيّة ليدن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سبيل المثال لا توجد كلمة عربية موازية بالدقّة لكلمة </w:t>
      </w:r>
      <w:r>
        <w:rPr>
          <w:rFonts w:eastAsia="Times New Roman" w:cs="Times New Roman" w:ascii="Times New Roman" w:hAnsi="Times New Roman"/>
          <w:color w:val="111111"/>
          <w:sz w:val="28"/>
          <w:szCs w:val="28"/>
          <w:lang w:val="en-US" w:bidi="en-US"/>
        </w:rPr>
        <w:t>prayer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تدلّ كلمة </w:t>
      </w:r>
      <w:bookmarkStart w:id="55" w:name="pg8898_139176"/>
    </w:p>
    <w:p>
      <w:pPr>
        <w:pStyle w:val="BookText"/>
        <w:rPr/>
      </w:pPr>
      <w:bookmarkEnd w:id="55"/>
      <w:r>
        <w:rPr>
          <w:rFonts w:ascii="Amiri" w:hAnsi="Amiri" w:eastAsia="Amiri" w:cs="Amiri"/>
          <w:color w:val="111111"/>
          <w:sz w:val="28"/>
          <w:sz w:val="28"/>
          <w:szCs w:val="28"/>
          <w:rtl w:val="true"/>
          <w:lang w:bidi="ar-SA"/>
        </w:rPr>
        <w:t>الصلاة على العبادة التي يؤدّيها المسلم الملتزم خمس مرّات يوميّا، بينما تشير كلمة دعاء إلى نوع من العبادة يكون تشفّعيًّا وأقلّ رسميًّا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الذكر، فهو المصطلح المستخدم للدلالة على نطاقٍ واسع للآية من الممارسات الصوفيّة، وهكذا تتضمّن اللغة العربيّة الفصحى والمعاصرة، وغيرها من المفردات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تورد موسوعة الإسلام مقالات عن كلّ مفردة من هذه المفردات الثلاث، ولكن ترد فقرة تحت الكلمة المفتاح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prayer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وعليه إنّ الباحث أو التلميذ غير العربي الذي يريد اکتساب معلومة عن هذا الموضوع العام سيجد صعوبةً في البحث في موسوعة الإسلام، في حين أنّ هذه العوائق لن تواجهه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القرآن</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تستثن الموسوعة من هذه القاعدة في اعتماد الألفاظ الإنجليزية إلّا المفردات العربية التي ليس لها مرادف في اللّغة الإنجليزيّة كزقّوم، وبرزخ، وبسملة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فنجدها ترد تحت عنوان </w:t>
      </w:r>
      <w:r>
        <w:rPr>
          <w:rFonts w:eastAsia="Times New Roman" w:cs="Times New Roman" w:ascii="Times New Roman" w:hAnsi="Times New Roman"/>
          <w:color w:val="111111"/>
          <w:sz w:val="28"/>
          <w:szCs w:val="28"/>
          <w:lang w:val="en-US" w:bidi="en-US"/>
        </w:rPr>
        <w:t>Barzakhk, Zaqqum, Basmala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935457_2870459653"/>
      <w:bookmarkStart w:id="57" w:name="_Toc20"/>
      <w:bookmarkEnd w:id="56"/>
      <w:r>
        <w:rPr>
          <w:rtl w:val="true"/>
        </w:rPr>
        <w:t>اعتماد التخصّص إلى الحدّ الأقصى</w:t>
      </w:r>
      <w:r>
        <w:rPr>
          <w:rtl w:val="true"/>
        </w:rPr>
        <w:t>:</w:t>
      </w:r>
      <w:bookmarkEnd w:id="57"/>
    </w:p>
    <w:p>
      <w:pPr>
        <w:pStyle w:val="BookText"/>
        <w:rPr/>
      </w:pPr>
      <w:r>
        <w:rPr>
          <w:rFonts w:ascii="Amiri" w:hAnsi="Amiri" w:eastAsia="Amiri" w:cs="Amiri"/>
          <w:color w:val="111111"/>
          <w:sz w:val="28"/>
          <w:sz w:val="28"/>
          <w:szCs w:val="28"/>
          <w:rtl w:val="true"/>
          <w:lang w:bidi="ar-SA"/>
        </w:rPr>
        <w:t xml:space="preserve">أكّدت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 اوليف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التخصّص العلميّ للمحرّرين وكتّاب المقالات، وسعت الموسوعة لعدم الاكتفاء بالتخصّص العام في الدّراسات الإسلاميّة والقرآنيّة، بل التّخصّص ما أمكن حتى في موضوعات المقالات التي يكتبونها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السيدة روت رادد التي تخصّصت في مجال الدّراسات الإسلاميّة بموضوع النّساء في الإسلام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وتدوين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جان برتن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يعتبر إلى جانب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لونز برو علامة فارقةً في التحقيق القرآني الحديث</w:t>
      </w:r>
      <w:r>
        <w:rPr>
          <w:rFonts w:eastAsia="Amiri" w:cs="Amiri" w:ascii="Amiri" w:hAnsi="Amiri"/>
          <w:color w:val="111111"/>
          <w:sz w:val="28"/>
          <w:szCs w:val="28"/>
          <w:rtl w:val="true"/>
          <w:lang w:bidi="ar-SA"/>
        </w:rPr>
        <w:t xml:space="preserve">. </w:t>
      </w:r>
      <w:bookmarkStart w:id="58" w:name="pg8898_139177"/>
    </w:p>
    <w:p>
      <w:pPr>
        <w:pStyle w:val="Heading3"/>
        <w:numPr>
          <w:ilvl w:val="2"/>
          <w:numId w:val="1"/>
        </w:numPr>
        <w:rPr/>
      </w:pPr>
      <w:bookmarkStart w:id="59" w:name="__RefHeading___Toc935459_2870459653"/>
      <w:bookmarkStart w:id="60" w:name="_Toc21"/>
      <w:bookmarkEnd w:id="58"/>
      <w:bookmarkEnd w:id="59"/>
      <w:r>
        <w:rPr>
          <w:rtl w:val="true"/>
        </w:rPr>
        <w:t>الضوابط الشّكليّة</w:t>
      </w:r>
      <w:bookmarkEnd w:id="60"/>
    </w:p>
    <w:p>
      <w:pPr>
        <w:pStyle w:val="BookText"/>
        <w:rPr/>
      </w:pPr>
      <w:r>
        <w:rPr>
          <w:rFonts w:ascii="Amiri" w:hAnsi="Amiri" w:eastAsia="Amiri" w:cs="Amiri"/>
          <w:color w:val="111111"/>
          <w:sz w:val="28"/>
          <w:sz w:val="28"/>
          <w:szCs w:val="28"/>
          <w:rtl w:val="true"/>
          <w:lang w:bidi="ar-SA"/>
        </w:rPr>
        <w:t>حرصت الموسوعة على تحديد الضّوابط الشّكليّة والالتزام بالشّروط الأكاديميّة للكتابة العلميّة، فاشترطت كما يتّضح جليًا في المقالات على الباحثين تقديم قائمة بيبليوغرافيّة بالمراجع والمصادر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مقدّمة الموسوعة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وبما أنّ موسوعة القرآن قد تمّ تأليفها لتقديم فهم معرفيّ للقرآن وترويجه، فقد حثّ جميع المؤلفين على تقديم قائمة المراجع التي اعتمدوها في أبحاثهم، وسوف يجد القرّاء أنّ هذه الإضافة تفيدهم في دراسة موضوع معيّن بشكل أكبر، فضلاً عن ذلك فإنّ الاستشهادات داخل النصّ بالمصادر الأوليّة والثانوية تساعد الباحثين في ميدان الدّراسات الإسلاميّة مع قيامهم بتتبّع المزيد من الدّراسات المفصّلة حول المواضيع التي تناولتها الموسوعة</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ترقيم الآيات اعتمدت الموسوعة الطريقة المتعارفة في الدّراسات الاستشراقيّة والموسوعات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برقم السورة ورقم الآية، عوضًا عن كتابة اسم السورة ورقم الآية كما هو متعارف في الأدبيات الإسلاميّة، وتعليل ذلك، وبحسب مديرة المشروع أنّ هذا يسهّل مهمّة أغلب القرّاء الذين لا يعرفون أسماء السّور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تلزم الموسوعة كتّاب المقالات اعتماد ترجمة بعينها، وفسحت لهم المجال لاختيار الترجمة التي يريدونها للآيات القرآنيّة، والتي يستشهدون بها في مقالاتهم، بل مكّنتهم حتّى من اعتماد الترجمة الشخصيّة للآيات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توجد معياريّة متشدّدة في الإحالة على المصادر العربيّة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ككتب الحديث والتفسير العربية الأساسية، فرغم أنّ ورقة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نمط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عمّمت للباحثين كتعليمات للمؤلفين أوردت الطبعات المفضّل اتباعها، ولكن عمليّا لم تكن هي دائماً المعتمدة، فلم تكن هذه الطبعات هي المتاحة للباحثين</w:t>
      </w:r>
      <w:r>
        <w:rPr>
          <w:rFonts w:eastAsia="Amiri" w:cs="Amiri" w:ascii="Amiri" w:hAnsi="Amiri"/>
          <w:color w:val="111111"/>
          <w:sz w:val="28"/>
          <w:szCs w:val="28"/>
          <w:rtl w:val="true"/>
          <w:lang w:bidi="ar-SA"/>
        </w:rPr>
        <w:t xml:space="preserve">. </w:t>
      </w:r>
      <w:bookmarkStart w:id="61" w:name="pg8898_139178"/>
    </w:p>
    <w:p>
      <w:pPr>
        <w:pStyle w:val="Heading3"/>
        <w:numPr>
          <w:ilvl w:val="2"/>
          <w:numId w:val="1"/>
        </w:numPr>
        <w:rPr/>
      </w:pPr>
      <w:bookmarkStart w:id="62" w:name="__RefHeading___Toc935461_2870459653"/>
      <w:bookmarkStart w:id="63" w:name="_Toc22"/>
      <w:bookmarkEnd w:id="61"/>
      <w:bookmarkEnd w:id="62"/>
      <w:r>
        <w:rPr>
          <w:rtl w:val="true"/>
        </w:rPr>
        <w:t>الموسوعة بين الجدل المترقب والقابلية للتطوّر</w:t>
      </w:r>
      <w:r>
        <w:rPr>
          <w:rtl w:val="true"/>
        </w:rPr>
        <w:t>:</w:t>
      </w:r>
      <w:bookmarkEnd w:id="63"/>
    </w:p>
    <w:p>
      <w:pPr>
        <w:pStyle w:val="BookText"/>
        <w:rPr/>
      </w:pPr>
      <w:r>
        <w:rPr>
          <w:rFonts w:ascii="Amiri" w:hAnsi="Amiri" w:eastAsia="Amiri" w:cs="Amiri"/>
          <w:color w:val="111111"/>
          <w:sz w:val="28"/>
          <w:sz w:val="28"/>
          <w:szCs w:val="28"/>
          <w:rtl w:val="true"/>
          <w:lang w:bidi="ar-SA"/>
        </w:rPr>
        <w:t>نختم هذه النّقاط الأساسيّة في التعريف بالموسوعة وأسسها البحثيّة، بالإشارة إلى مسألة مهمّة وردت في مقدّمة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 للمراجعة والتطوير، هذا الاستعداد يستند إلى قناعة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العمل لن يخلو قطعًا من نقائص، وثغرات سيسعون إلى تداركها في الطبعات أو النّسخ اللّاحقة، خاصّة وأنّ المشروع في نظرهم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المحاولة الأولى لتأليف مرجعٍ هامٍ يحتوي القليل من المصادر فقط</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وفي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والمراجعة، تؤكد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 أوليف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 محرّرو موسوعة القرآن عند إطلاق هذا المشروع المعرفي، أنّه لا يمكن لهم ادّعاء الشّموليّة التامّة في الطبعة الأولى، ولا بدّ من أنّ العديد من القرّاء والمراجعين يملكون مواضيع ومباحث إضافيّة يقترحون إضافتها، وهذا ما يرحّب به كلّ من الناشر والمحرّرون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وتؤكّد أنّه سيكون هناك طبعة أخرى موسّعة ومحسّنة بالاستفادة من المقترحات</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935463_2870459653"/>
      <w:bookmarkStart w:id="65" w:name="_Toc23"/>
      <w:bookmarkEnd w:id="64"/>
      <w:r>
        <w:rPr>
          <w:rtl w:val="true"/>
        </w:rPr>
        <w:t>ترجمات الموسوعة</w:t>
      </w:r>
      <w:r>
        <w:rPr>
          <w:rtl w:val="true"/>
        </w:rPr>
        <w:t>:</w:t>
      </w:r>
      <w:bookmarkEnd w:id="65"/>
    </w:p>
    <w:p>
      <w:pPr>
        <w:pStyle w:val="BookText"/>
        <w:rPr/>
      </w:pPr>
      <w:r>
        <w:rPr>
          <w:rFonts w:ascii="Amiri" w:hAnsi="Amiri" w:eastAsia="Amiri" w:cs="Amiri"/>
          <w:color w:val="111111"/>
          <w:sz w:val="28"/>
          <w:sz w:val="28"/>
          <w:szCs w:val="28"/>
          <w:rtl w:val="true"/>
          <w:lang w:bidi="ar-SA"/>
        </w:rPr>
        <w:t xml:space="preserve">ترجمت إلى اللّغة الفارسيّة سنة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ساهم في ترجمتها عشرون مترجمًا، وقد كتبت عنها عشرات المقالات النّقديّة في المجلّات القرآنيّة والاستشراقيّة المختصّة</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935465_2870459653"/>
      <w:bookmarkStart w:id="67" w:name="_Toc24"/>
      <w:bookmarkEnd w:id="66"/>
      <w:r>
        <w:rPr>
          <w:rtl w:val="true"/>
        </w:rPr>
        <w:t>حقائق وأرقام عن المقالات والمؤلفين</w:t>
      </w:r>
      <w:r>
        <w:rPr>
          <w:rtl w:val="true"/>
        </w:rPr>
        <w:t>:</w:t>
      </w:r>
      <w:bookmarkEnd w:id="67"/>
    </w:p>
    <w:p>
      <w:pPr>
        <w:pStyle w:val="Heading4"/>
        <w:numPr>
          <w:ilvl w:val="3"/>
          <w:numId w:val="1"/>
        </w:numPr>
        <w:rPr/>
      </w:pPr>
      <w:bookmarkStart w:id="68" w:name="__RefHeading___Toc935467_2870459653"/>
      <w:bookmarkStart w:id="69" w:name="_Toc25"/>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فيما يلي نورد بعض الحقائق التي يجب ذكرها عن طبيعة المقالات في هذه الموسوعة، وهي حقائق تساعدنا على فهم العديد من التوجّهات في عموم الموسوعة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عدد المقالات حوالي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وعدد المؤلفين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باحثًا، أغلبهم ساهم بعدد من المقالات لا يتجاوز الثلاث، وعدد قليل منهم ساهم بأربع مقالات فأكثر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باحثًا فقط كتبوا خمس مقالات فأكثر، تسع منهم فقط كتبوا</w:t>
      </w:r>
      <w:bookmarkStart w:id="70" w:name="pg8898_139179"/>
    </w:p>
    <w:p>
      <w:pPr>
        <w:pStyle w:val="BookText"/>
        <w:rPr/>
      </w:pPr>
      <w:bookmarkEnd w:id="70"/>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فأكثر، منهم المستشرق اندرو ربین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Andrew Rippin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والمستشرق اوري ربین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Uri Rubin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والمستشرقة انجلیکا نویفرت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Angelika Neuwith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والمستشرق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Roberto Tottonline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التّنوّع في المؤلّفين والنسبة القليلة للمقالات التي كتبها أغلب الباحثين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الباحثين الذين كتبوا مقالة واحدة حوالي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توحي بإيجابيّة التّنوّع، والتّعدّد في الأفكار والآراء من جهة، ولكن قد تنعكس من جهة أخرى مشكلة على صعيد التناغم والانسجام بين مضامين المقالات وحفظ الرّوح العلميّة الموحّدة للموسوعة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سنعود إليه في القراءة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يتفاوت حجم المقالات فبعضها لا يتجاوز الصفحة الواحدة وبعضها الآخر قد يتعدّى العشرين صفحة، وعدد المقالات التي بلغت صفحاتها عشر فأكثر حوالي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935469_2870459653"/>
      <w:bookmarkStart w:id="72" w:name="_Toc26"/>
      <w:bookmarkEnd w:id="71"/>
      <w:r>
        <w:rPr>
          <w:rtl w:val="true"/>
        </w:rPr>
        <w:t>ختامًا</w:t>
      </w:r>
      <w:bookmarkEnd w:id="72"/>
    </w:p>
    <w:p>
      <w:pPr>
        <w:pStyle w:val="BookText"/>
        <w:rPr/>
      </w:pPr>
      <w:r>
        <w:rPr>
          <w:rFonts w:ascii="Amiri" w:hAnsi="Amiri" w:eastAsia="Amiri" w:cs="Amiri"/>
          <w:color w:val="111111"/>
          <w:sz w:val="28"/>
          <w:sz w:val="28"/>
          <w:szCs w:val="28"/>
          <w:rtl w:val="true"/>
          <w:lang w:bidi="ar-SA"/>
        </w:rPr>
        <w:t xml:space="preserve">إنّ هذا المشروع العلميّ الموسوعيّ المتمحور حول القرآن الكريم والموضوعات والقضايا المرتبطة به، والذي تمّ تأليفه بأقلام مجموعة من المستشرقين الغربيّين المعاصرين من مختلف دول العالم الغربيّ؛ بالتعاون مع فريق من المستشارين والمحرّرين؛ منهم بعض العرب والمسلمين، وإصداره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Encyclopaedia of the Quran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يستلزم بذل الجهود العلميّة والبحثيّة لنقد هذه البحوث والمقالات الواردة فيه، وتصويب دراسات أخرى وتوجيهها، وإزالة التباسات وشبهات تفرزها دراسات من نوع ثالث اهتمّت بها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مدير التحرير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8898_139181"/>
      <w:bookmarkStart w:id="74" w:name="pg8898_139181"/>
      <w:bookmarkEnd w:id="74"/>
    </w:p>
    <w:p>
      <w:pPr>
        <w:pStyle w:val="Heading2"/>
        <w:numPr>
          <w:ilvl w:val="1"/>
          <w:numId w:val="1"/>
        </w:numPr>
        <w:rPr/>
      </w:pPr>
      <w:bookmarkStart w:id="75" w:name="pg8898_139181"/>
      <w:bookmarkStart w:id="76" w:name="__RefHeading___Toc935471_2870459653"/>
      <w:bookmarkStart w:id="77" w:name="_Toc27"/>
      <w:bookmarkEnd w:id="75"/>
      <w:bookmarkEnd w:id="76"/>
      <w:r>
        <w:rPr>
          <w:rtl w:val="true"/>
        </w:rPr>
        <w:t xml:space="preserve">القرآن الكريم في الدراسات الاستشراقيّه المعاصره </w:t>
      </w:r>
      <w:r>
        <w:rPr>
          <w:rtl w:val="true"/>
        </w:rPr>
        <w:t>-</w:t>
      </w:r>
      <w:bookmarkEnd w:id="77"/>
    </w:p>
    <w:p>
      <w:pPr>
        <w:pStyle w:val="Heading3"/>
        <w:numPr>
          <w:ilvl w:val="2"/>
          <w:numId w:val="1"/>
        </w:numPr>
        <w:rPr/>
      </w:pPr>
      <w:bookmarkStart w:id="78" w:name="__RefHeading___Toc935473_2870459653"/>
      <w:bookmarkStart w:id="79" w:name="_Toc28"/>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حمداوي</w:t>
      </w:r>
      <w:r>
        <w:rPr>
          <w:rStyle w:val="FootnoteAnchor"/>
          <w:rtl w:val="true"/>
        </w:rPr>
        <w:footnoteReference w:id="39"/>
      </w:r>
    </w:p>
    <w:p>
      <w:pPr>
        <w:pStyle w:val="Heading3"/>
        <w:numPr>
          <w:ilvl w:val="2"/>
          <w:numId w:val="1"/>
        </w:numPr>
        <w:rPr/>
      </w:pPr>
      <w:bookmarkStart w:id="80" w:name="__RefHeading___Toc935475_2870459653"/>
      <w:bookmarkStart w:id="81" w:name="_Toc29"/>
      <w:bookmarkEnd w:id="80"/>
      <w:r>
        <w:rPr>
          <w:rtl w:val="true"/>
        </w:rPr>
        <w:t>ملخص البحث</w:t>
      </w:r>
      <w:r>
        <w:rPr>
          <w:rtl w:val="true"/>
        </w:rPr>
        <w:t>:</w:t>
      </w:r>
      <w:bookmarkEnd w:id="81"/>
    </w:p>
    <w:p>
      <w:pPr>
        <w:pStyle w:val="BookText"/>
        <w:rPr/>
      </w:pPr>
      <w:r>
        <w:rPr>
          <w:rFonts w:ascii="Amiri" w:hAnsi="Amiri" w:eastAsia="Amiri" w:cs="Amiri"/>
          <w:color w:val="111111"/>
          <w:sz w:val="28"/>
          <w:sz w:val="28"/>
          <w:szCs w:val="28"/>
          <w:rtl w:val="true"/>
          <w:lang w:bidi="ar-SA"/>
        </w:rPr>
        <w:t xml:space="preserve">لقد آثرنا البحث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في الدّراسات الاستشراقية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ليدن القرآنيّة في ضوء تحليل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تهدف دراستي إلى التعريف بموسوعة ليدن أو دائرة ليدن القرآنية، ثم تبيان المواضيع التي تناولتها هذه الموسوعة الاستشراقية، بجرد مختلف موضوعات الموسوعة بتوصيفها وتصنيفها وتحليلها وتقويمها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اهتم هذا الموضوع بنقد تفاسير المستشرقين للقرآن الكريم، كما ورد ذلك في موسوعة القرآن ،بليدن وذلك باستكشاف مجمل الآليات التحليلية والتأويلية واستكشاف مختلف المقاربات المنهجية الاستشراقية التي استند إليها الدارسون الغربيون في تفسيرهم للقرآن الكريم ودراسته مبيّنًا الدّراسات المنصفة والدراسات المغرضة منها بالتوقف عند مجموعة من المحاور القرآنية التي تثير الجدل والنقاش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ارتأينا أن نوظف تحليل المضمون لتقويض ما ذهب إليه كتاب الموسوعة القرآنية من آراء وافتراضات و احتمالات بمحاججتهم ومقارعتهم بالأدلة والبراهين المقنعة</w:t>
      </w:r>
      <w:r>
        <w:rPr>
          <w:rFonts w:eastAsia="Amiri" w:cs="Amiri" w:ascii="Amiri" w:hAnsi="Amiri"/>
          <w:color w:val="111111"/>
          <w:sz w:val="28"/>
          <w:szCs w:val="28"/>
          <w:rtl w:val="true"/>
          <w:lang w:bidi="ar-SA"/>
        </w:rPr>
        <w:t xml:space="preserve">. </w:t>
      </w:r>
      <w:bookmarkStart w:id="82" w:name="pg8898_139182"/>
    </w:p>
    <w:p>
      <w:pPr>
        <w:pStyle w:val="Heading3"/>
        <w:numPr>
          <w:ilvl w:val="2"/>
          <w:numId w:val="1"/>
        </w:numPr>
        <w:rPr/>
      </w:pPr>
      <w:bookmarkStart w:id="83" w:name="__RefHeading___Toc935477_2870459653"/>
      <w:bookmarkStart w:id="84" w:name="_Toc30"/>
      <w:bookmarkEnd w:id="82"/>
      <w:bookmarkEnd w:id="83"/>
      <w:r>
        <w:rPr>
          <w:rtl w:val="true"/>
        </w:rPr>
        <w:t>تصميم الدراسة</w:t>
      </w:r>
      <w:r>
        <w:rPr>
          <w:rtl w:val="true"/>
        </w:rPr>
        <w:t>:</w:t>
      </w:r>
      <w:bookmarkEnd w:id="84"/>
    </w:p>
    <w:p>
      <w:pPr>
        <w:pStyle w:val="BookText"/>
        <w:rPr/>
      </w:pPr>
      <w:r>
        <w:rPr>
          <w:rFonts w:ascii="Amiri" w:hAnsi="Amiri" w:eastAsia="Amiri" w:cs="Amiri"/>
          <w:color w:val="111111"/>
          <w:sz w:val="28"/>
          <w:sz w:val="28"/>
          <w:szCs w:val="28"/>
          <w:rtl w:val="true"/>
          <w:lang w:bidi="ar-SA"/>
        </w:rPr>
        <w:t>مقدّمة البحث وفرضيّته وإشكالاته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بموسوعة القرآن بليدن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تحليل المضمون ومنهجيّته</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 حسب مقدّمة موسوعة ليدن</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موسوعة ليدن لمعارف القرآن</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خلاصات ونتائج</w:t>
      </w:r>
    </w:p>
    <w:p>
      <w:pPr>
        <w:pStyle w:val="Heading3"/>
        <w:numPr>
          <w:ilvl w:val="2"/>
          <w:numId w:val="1"/>
        </w:numPr>
        <w:rPr/>
      </w:pPr>
      <w:bookmarkStart w:id="85" w:name="__RefHeading___Toc935479_2870459653"/>
      <w:bookmarkStart w:id="86" w:name="_Toc31"/>
      <w:bookmarkEnd w:id="85"/>
      <w:r>
        <w:rPr>
          <w:rtl w:val="true"/>
        </w:rPr>
        <w:t>الفرضيّة والمنهج</w:t>
      </w:r>
      <w:bookmarkEnd w:id="86"/>
    </w:p>
    <w:p>
      <w:pPr>
        <w:pStyle w:val="Heading4"/>
        <w:numPr>
          <w:ilvl w:val="3"/>
          <w:numId w:val="1"/>
        </w:numPr>
        <w:rPr/>
      </w:pPr>
      <w:bookmarkStart w:id="87" w:name="__RefHeading___Toc935481_2870459653"/>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تنطلق دراستي البحثيّة والنّقديّة من فرضيّةٍ رئيسة ألا وهي أنّ موسوعة ليدن للقرآن قد تضمّنت دراسات وأبحاثًا علميّةً وأكاديميّةً موضوعيّةً ومنصفةً، حرّرها مستشرقون وعلماء ودارسون غربيون من جامعات متنوّعة من جهة، وأساتذة وباحثون مسلمون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هذه الموسوعة القرآنيّة قد توفّرت، في الوقت نفسه، على مجموعة من الأبحاث غير الموضوعيّة التي تثير الجدال والخلاف، وتُسهم في تشكيك القرّاء والباحثين والمنقّبين في مواضيع الموسوعة؛ بسبب ما تحتوي عليها من شبهات مغرضة ومضلّلة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يتمثّل هدفي في نقد موسوعة ليدن للقرآن، بالتّوقّف عند ما هو علميّ في هذه الموسوعة، وما هو مشكّل ومضلل ومغرض فيها، على أساس أنّ موسوعة ليدن للقرآن قد جمعت العديد من الحقائق والبيانات والمعطيات والمعلومات البحثيّة حول القرآن وعلومه ومباحثه، تحتاج إلى توصيف علميّ، وتحليل نصيّ، وجرد الموضوعات، وتصنيف موادها، وتقويمها وفق منهج نقديّ أكاديميّ وموضوعيّ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أخرى، فقد استعنّا بمنهجيّة تحليل المضمون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Content ana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lysis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باعتبارها تقنيةً وصفيّةً في دراسة الوثائق والإرساليات الدّينيّة والإعلاميّة والخطابات المختلفة بغية فهمها وتفسيرها في ضوء المعالجة الإحصائيّة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تحليل المضمون أسلوب كيفيّ وكميّ، يُستخدم في تحليل مضامين المواد الشّفويّة والمكتوبة والمصوّرة؛ باستكشاف محتوياتها ومعطياتها وبياناتها، وجردها في مؤشّرات دلاليّةٍ وسيميائيّة، وتجميعها في تيمات معيّنة، بتصنيفها في فئات جامعة وموحّدة ومشتركة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معالجة المضامين الدّلاليّة نوعًا وقياسًا لتعقبها مرحلة الفهم والتفسير فاستخلاص النتائج التي تثبت الفرضيّة أو تفنّدها، ثمّ تحديد مختلف الاقتراحات والتوصيات للعمل بها آنيًّا ومستقبليًّا، تنظيرًا، تطبيقًا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تحليل المضمون قد استخدم منهجيّةً أو تقنيّةً أو أسلوبًا في تحليل المواد والأخبار والإرساليات في علوم الإعلام والدّعاية والإشهار، وكذلك في العلوم القانونيّة ،والسياسيّة والاقتصادية والاجتماعيّة والنّفسيَّة؛ فقد استعمل هذا المنهج بشكل أو بآخر، في مجال اللّاهوت والدّين وتأويل الخطابات الدّينيّة والعقديّة واللاهوتّية تفكيكا وتركيبًا من أجل معرفة التيمات والمضامين والمواضيع والخطابات والقيم والمواقف والرّغبات والميول والسّلوكيات والتّصرّفات والتّوجّهات التي تتضمّنها الكتب السّماويّة، وتأويل خطاباتها الظّاهرة والمضمرة، وتبيان مواقف هذه الكتب من مجموعة من المواقف والقضايا الإنسانيّة والمجتمعيّة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سنشتغل في بحثنا هذا على موسوعة ليدن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Leiden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للقرآن، أو دائرة معارف ليدن القرآنيّة، بالتّوقّف أوّلاً عند مفهوم الموسوعة، وتعريف موسوعة ليدن للقرآن، وذكر المواضيع التي تناولتها تلك الموسوعة، بجردها، وتصنيفها، وتحليلها، وتقويمها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تبيان ما هو علميٌّ موضوعيٌّ في تلك الموسوعة، وما هو مشكّك ومضلّل ومغرض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ننسى التّوقّف عند موضوع تفسير القرآن من خلال مقدّمة الموسوعة، وما يتضمّن ذلك التفسير التّحليليّ من شبهات جليّة وواضحة</w:t>
      </w:r>
      <w:r>
        <w:rPr>
          <w:rFonts w:eastAsia="Amiri" w:cs="Amiri" w:ascii="Amiri" w:hAnsi="Amiri"/>
          <w:color w:val="111111"/>
          <w:sz w:val="28"/>
          <w:szCs w:val="28"/>
          <w:rtl w:val="true"/>
          <w:lang w:bidi="ar-SA"/>
        </w:rPr>
        <w:t xml:space="preserve">. </w:t>
      </w:r>
      <w:bookmarkStart w:id="89" w:name="pg8898_139184"/>
    </w:p>
    <w:p>
      <w:pPr>
        <w:pStyle w:val="Heading4"/>
        <w:numPr>
          <w:ilvl w:val="3"/>
          <w:numId w:val="1"/>
        </w:numPr>
        <w:rPr/>
      </w:pPr>
      <w:bookmarkStart w:id="90" w:name="__RefHeading___Toc935483_2870459653"/>
      <w:bookmarkStart w:id="91" w:name="_Toc33"/>
      <w:bookmarkEnd w:id="89"/>
      <w:bookmarkEnd w:id="90"/>
      <w:r>
        <w:rPr>
          <w:rtl w:val="true"/>
        </w:rPr>
        <w:t>أوّلًا</w:t>
      </w:r>
      <w:r>
        <w:rPr>
          <w:rtl w:val="true"/>
        </w:rPr>
        <w:t xml:space="preserve">: </w:t>
      </w:r>
      <w:r>
        <w:rPr>
          <w:rtl w:val="true"/>
        </w:rPr>
        <w:t>التّعريف بموسوعة ليدن القرآنيّة</w:t>
      </w:r>
      <w:bookmarkEnd w:id="91"/>
    </w:p>
    <w:p>
      <w:pPr>
        <w:pStyle w:val="BookText"/>
        <w:rPr/>
      </w:pPr>
      <w:r>
        <w:rPr>
          <w:rFonts w:ascii="Amiri" w:hAnsi="Amiri" w:eastAsia="Amiri" w:cs="Amiri"/>
          <w:color w:val="111111"/>
          <w:sz w:val="28"/>
          <w:sz w:val="28"/>
          <w:szCs w:val="28"/>
          <w:rtl w:val="true"/>
          <w:lang w:bidi="ar-SA"/>
        </w:rPr>
        <w:t xml:space="preserve">لقد ظهرت موسوعة ليدن، أو دائرة معارف ليدن القرآنية، عام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وتتضمّن الموسوعة مقدّمة، ثمّ قائمة بالموضوعات الرئيسة التي حرّرها مجموعة من الكتّاب والباحثين والدّارسين من مختلف أنحاء العالم، وأغلبهم أكاديميون وأساتذة الجامعات الغربيّة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تكلّف بمقدّمة الموسوعة جان دامين أولايف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Jane Dam men McAuliffe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وتتضمّن المقدّمة نظرةً عامّةً عن تفسير القرآن، وظهور العلوم الإسلاميّة</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وهذا يعني أنّ موسوعة ليدن موسوعةٌ قرآنيّةٌ وإسلاميّةً شاملةً، تجمع دراسات متنوّعةً ومختلفةً لمستشرقين وباحثين مسلمين من جامعات غربيّةٍ متنوّعة ومتباينة، تتأرجح بين ما هو نظريّ وتطبيقيّ، وقد تناولت مختلف المواضيع القرآنيّة وفق منهجيّة علميّة موضوعيّة توفّرت فيها صفتان رئيستان،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الأكاديميّة من جهة، والرّصانة العلمية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 الموسوعة معلومات وافرةً ومستفيضةً حول المفسرين والعلماء المسلمين في متن الدّراسة وهوامشها الإحاليّة على حدّ سواء</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935485_2870459653"/>
      <w:bookmarkStart w:id="93" w:name="_Toc34"/>
      <w:bookmarkEnd w:id="92"/>
      <w:r>
        <w:rPr>
          <w:rtl w:val="true"/>
        </w:rPr>
        <w:t>ثانيًا</w:t>
      </w:r>
      <w:r>
        <w:rPr>
          <w:rtl w:val="true"/>
        </w:rPr>
        <w:t xml:space="preserve">: </w:t>
      </w:r>
      <w:r>
        <w:rPr>
          <w:rtl w:val="true"/>
        </w:rPr>
        <w:t>منهجيّة تحليل المضمون</w:t>
      </w:r>
      <w:bookmarkEnd w:id="93"/>
    </w:p>
    <w:p>
      <w:pPr>
        <w:pStyle w:val="Heading5"/>
        <w:numPr>
          <w:ilvl w:val="4"/>
          <w:numId w:val="1"/>
        </w:numPr>
        <w:rPr/>
      </w:pPr>
      <w:bookmarkStart w:id="94" w:name="__RefHeading___Toc935487_2870459653"/>
      <w:bookmarkStart w:id="95" w:name="_Toc35"/>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يُقصد بتحليل المضمون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L'analyse de contenu</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أو التحليل الكيفي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 Qualitative research- cherches qualitatives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القيام بدراسة موضوعاتيّة كيفيّة وكمّيّة للمحتويات أو المضامين، بتصنيف الدّلالات الموضوعاتيّة ضمن فئات رئيسة أو فرعيّة، أو ضمن مقولات تصنيفيّة، وتجميعها تحت تيمة أو فكرة معيّنة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يعرّف تحليل المضمون بأنّه منهج يُتيح بصفة عامّة تحليل سلوك الأفراد والشّخصيات ومواقفهم من خلال المواد التي يكتبونها أو يقولونها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يتيح دراسة موقف الهيئات والمؤسّسات وسلوكها، كتحليل توجّهات ومواقف حزب 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افتتاحيّة الجريدة التابعة له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وهكذا، يعدّ تحليل المضمون أداةً وصفيّةً لدراسة محتويات الإرساليات والخطابات والنّصوص والملفوظات الشّفويّة والمكتوبة، إما بطريقة كيفيّة، وإمّا بطريقة كمّيّة 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تحليل المضمون يهدف إلى اختيار عيّناته من المحتويات الدّلاليّة الإعلاميّة أو الدّينيّة أو السياسيّة أو الاجتماعيّة أو القانونيّة أو الأدبيّة أو التربويّة بغية توصيفها وتصنيفها إلى تيماتٍ رئيسةٍ، وتفريعها إلى فئات أساسيّةٍ وثانويّةٍ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يأتي دور المعالجة الإحصائيّة، باستخدام القياس والترميز الرياضيّ، وتحليل المعطيات المضمونيّة دلالةً وشكلًا، ومقصديّةً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استخلاص النّتائج وتأويلها، ثمّ تقديم التّوصيات والاقتراحات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هناك من يُعرّف تحليل المضمون بأنّه دراسةً إحصائيّةٌ وكميّةٌ ورمزيّةٌ للمعاني والمضامين التي تتضمّنها المادّة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تحليل المضمون هو تصنيف المحتويات والمواد الدّلاليّة ضمن فئاتٍ وتيماتٍ مقولاتيّةٍ، بل إنّه بمثابة تحليلٍ علميٍّ دقيقٍ وممنهج للمادّة المضمونيّة في مختلف الحقول والمعارف والعلوم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ارتبط تحليل المضمون في البداية بعلوم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والإعلام، والسّياسة، والإشهار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تحليل المضمون هو الذي يهتمّ بدراسة الرّسائل الإعلاميّة والخطابات الاجتماعيّة، وتحويلها إلى فئات وعيّناتٍ قابلة للتلخيص، والمقارنة، والتحليل، والمعالجة، والاستنتاج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استخلاص العلاقات الارتباطيّة بين الخصائص المعبّر عنها في أيّ مادة اتّصاليّة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ويعمل تحليل المضمون على استكشاف المميّزات التي تتميّز بها الخطابات الدّينيّة واللّاهوتيّة، بتبيان خصائصها الموضوعيّة والشّكليّة، والسّياقيّة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إلى هذا أنّ تحليل المضمون يدرس الإرساليات الدّينيّة والإعلاميّة في سياقها الزّماني والمكاني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فتحليل المضمون هو وصفٌ علميٌ لما يُقال في موضوعِ معيّن، وفي زمان ومكان معيّنين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هذه الأداة والتقنيّة إلى وصف المحتوى الظّاهري للإرساليّة، باستكشاف مضمرها النّصّي والسّياقي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أداةٌ ناجعةٌ وصالحةٌ للملاحظة غير المباشرة، والوصف، والتحليل، والفهم، والتفسير، والترميز، والتأويل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علاوة على ذلك، يعمل تحليل المضمون على تحويل المادّة الدّينيّة أو غيرها من المواد إلى مفهومٍ كميٍّ بغية فهمها، وتفسيرها، وتأويلها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يرتكز تحليل المضمون، باعتباره أداةً عمليّةً، ومنهجًا تحليليًّا، وتقنيةً وصفيّةً، على مجموعةٍ من المقوّمات والمرتكزات الإجرائيّة التي تتمثّل في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تحليل المضمون على دراسة المحتويات الدّلاليّة للخطابات الشّفويّة أو المكتوبة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الملفوظات المراد دراستها، بتبيان تيماتها الموضوعاتيّة، وتصنيفها في فئاتٍ مقولاتيّةٍ 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تكرار الكلمات أو الجمل أو المعاني أو الرموز التي يتضمّنها النّصّ أو الرّسالة الاتّصاليّة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 الجوانب الموضوعاتيّة والشّكليّة والوظيفيّة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تحليل المضمون بشكلٍ من الأشكال بالرّسالة الإعلاميّة أو الاتّصاليّة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تحليل المضمون في دراسته للرّسائل الاتّصاليّة والإعلاميّة والخطابيّة بين التحليلين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 والكميّ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ينكبّ تحليل المضمون على استقراء المحتوى ظاهرًا في بعده الاتّصالي، ثمّ يحلّل باطنه ومضمره لاكتشاف المعاني الثّانويّة؛ برصد المقاصد المباشرة وغير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مضمون الرّسالة بآثارها السّياقيّة، وبكاتبها، وبظروفها الخاصّة والعامّة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إذا كان المنهج التجريبيّ يعتمد على الملاحظة المباشرة في التعامل مع المعطى الميداني، فإنّ تحليل المضمون يستند إلى الملاحظة غير المباشرة؛ لأنّه يعتمد على الوثائق والإرساليات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يُعنى بالتحليل الكمّيّ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ترميز الفئات والمحتويات، وترقيم التيمات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والتحليل الكيفيّ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رصد الصفات الحاضرة </w:t>
      </w:r>
    </w:p>
    <w:p>
      <w:pPr>
        <w:pStyle w:val="BookText"/>
        <w:rPr/>
      </w:pPr>
      <w:r>
        <w:rPr>
          <w:rFonts w:ascii="Amiri" w:hAnsi="Amiri" w:eastAsia="Amiri" w:cs="Amiri"/>
          <w:color w:val="111111"/>
          <w:sz w:val="28"/>
          <w:sz w:val="28"/>
          <w:szCs w:val="28"/>
          <w:rtl w:val="true"/>
          <w:lang w:bidi="ar-SA"/>
        </w:rPr>
        <w:t>والغائبة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ويهتمّ أيضًا باستكشاف المحتوى الظاهريّ والضّمنيّ للإرساليّة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يسعف تحليل المضمون، سواء أكان كميَّا أم كيفيّا، في دراسة خطابات الأفراد أو الجماعات، رسميّة أكانت أم غير 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ويسمح هذا المنهج كذلك بدراسة التّطوّرات والتّغيّرات للفرد نفسه أو للمجموعة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يقوم تحليل المضمون على وضع الفرضيات، واختيار العيّنة الملائمة للبحث، وتفريع المحتويات إلى فئات وتيمات أساسيّة وفرعيّةٍ وإبراز المؤشّرات المضمونيّة، وتجريد وحدات القياس، واستثمار الإحصاء، وتمثل اختبار الصدق والثّبات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ارتبط تحليل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تاريخيًّا وزمنيًّا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الإنسان بصفة عامة،</w:t>
      </w:r>
      <w:r>
        <w:rPr>
          <w:rStyle w:val="FootnoteAnchor"/>
          <w:rtl w:val="true"/>
        </w:rPr>
        <w:footnoteReference w:id="42"/>
      </w:r>
      <w:r>
        <w:rPr>
          <w:rFonts w:ascii="Amiri" w:hAnsi="Amiri" w:eastAsia="Amiri" w:cs="Amiri"/>
          <w:color w:val="111111"/>
          <w:sz w:val="28"/>
          <w:sz w:val="28"/>
          <w:szCs w:val="28"/>
          <w:rtl w:val="true"/>
          <w:lang w:bidi="ar-SA"/>
        </w:rPr>
        <w:t>واقترن أيضًا بالتّواصل البشريّ بصفةٍ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تحليل المضمون لم يتبلور إجرائيَّا إلا مع علم التفسير والشّرح ، ولا سيما تفسير الكتب السّماوية وتأويلها، وتحليل النّصوص والخطابات فهمًا وتفسيرًا، وتوثيقها في ضوء معايير ومحكات ومؤشّراتٍ نقديّةٍ داخليّةٍ وخارجيّةٍ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ونعلم جيّدًا أنّ علماء الحديث في الثّقافة العربية كانوا يدرسون الحديث في ضوء منهج الجرح والتعديل، بنقد السّند والمتن معًا استعدادًا لتفسيره وشرحه وتأويله، واستخراج منطوقه ومفهومه بغية العمل بالحديث الشّريف، وتمثّل دلالاته وتوجيهاته ونصائحه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اهتمّ علماء القرآن بدراسة مضامين القرآن، واستكشاف مواضيعه وقضاياه ومباحثه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اهتمت الثّقافة العربيّة كثيرًا بتحليل المضمون، كما يتجلّى ذلك واضحاً في تفاسير النّصوص الدّواوين الشّعريّة، وتفسير القرآن الكريم، واستنطاق الخطابات الفلسفيّة والعرفانيّة والكلاميّة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اهتمّ العرب كثيراً بعلوم الآلة من أجل توظيفها في تحليل المضامين، وتسخيرها في تأويل المحتويات، واستنطاق بيانات الوثائق ومعطياتها ظاهرًا وباطنًا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عملت الثّقافة الغربيّة، بدورها، على استكشاف مضامين الكتب السماويّة، ولا سيّما التوراة والإنجيل، بتحليل دلالات النّصوص والخطابات المختلفة والمتنوعة، </w:t>
      </w:r>
    </w:p>
    <w:p>
      <w:pPr>
        <w:pStyle w:val="BookText"/>
        <w:rPr/>
      </w:pPr>
      <w:r>
        <w:rPr>
          <w:rFonts w:ascii="Amiri" w:hAnsi="Amiri" w:eastAsia="Amiri" w:cs="Amiri"/>
          <w:color w:val="111111"/>
          <w:sz w:val="28"/>
          <w:sz w:val="28"/>
          <w:szCs w:val="28"/>
          <w:rtl w:val="true"/>
          <w:lang w:bidi="ar-SA"/>
        </w:rPr>
        <w:t>سواء أكان ذلك التّعامل مع المضامين ذاتيًّا أم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القرن التّاسع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وبالضّبط سنة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 xml:space="preserve">م بفرنسا، قام أحد الأساتذة الجامعيين بجامعة رين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Rennes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بفرنسا، وهو بنيامين بودون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Benyamin Boudon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باتّباع تحلیل مضمون محتوى الإنجيل، وفي سبيل ذلك، اختار سورةً تمثّلت فى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وشکّلت بذلك عيّنةً لتحليل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ذلك، حاول إعادة إنتاج النّصّ وفق أسلوبٍ تليغرافيٍّ، ولم يحافظ سوى على الكلمات الأساسيّة، والحاملة لمغزى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تصنيف وفق تيماتٍ؛ نلاحظ بشكلٍ واضحٍ بروز طريقةٍ لتحليل المضمون، التي رغب فيها الباحث أن تكون علميّةً وموضوعيّةً</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ذلك، ارتبط تحليل المضمون بالإعلام الاتّصالي، وكان ذلك بالولايات المتحدة الأمريكية سنة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ثم انتقل إلى مجال الدّراسات الاجتماعيّة والنّفسيّة، بدراسة الآراء والمواقف والسلوكات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تبلور تحليل المضمون فعليًّا مع لاسويل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Lasswell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وهارولد دویت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Harold Dwight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أثناء دراستهما للإعلام الصّحفي في بدايات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هذا كلّه أنّ تحليل المضمون قد اقترن بتطوّر منظومة الاتّصال الإعلامي،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للتطوّر الذي عرفته وسائل الإعلام والاتّصال منذ منتصف القرن الماضي، الدّور الأبرز في ظهور تحليل المضمون لإجراء البحوث الاجتماعيّة بالاعتماد على المضامين المختلفة، لما ينقل عبر وسائل الإعلام المكتوبة والمرئيّة والمسموعة، من موادّ مختلفةٍ ومتنوّعة المجالات</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طبّقت منهجيّة تحليل المضمون في دراسة النّصوص الدّينيّة والكتب السّماويّة، باستجلاء مضامينها ظاهراً وباطناً، في معظم الجامعات الغربية، فقد كان التركيز على الإنجيل، والتوراة، والقرآن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طبّقت مناهج نصيّة ونقديّة متنوّعة كالأنثروبولوجيا، والبنيويّة، والسيميوطيقا، والهيرمينوطيقا، وتحليل </w:t>
      </w:r>
      <w:bookmarkStart w:id="96" w:name="pg8898_139189"/>
    </w:p>
    <w:p>
      <w:pPr>
        <w:pStyle w:val="BookText"/>
        <w:rPr/>
      </w:pPr>
      <w:bookmarkEnd w:id="96"/>
      <w:r>
        <w:rPr>
          <w:rFonts w:ascii="Amiri" w:hAnsi="Amiri" w:eastAsia="Amiri" w:cs="Amiri"/>
          <w:color w:val="111111"/>
          <w:sz w:val="28"/>
          <w:sz w:val="28"/>
          <w:szCs w:val="28"/>
          <w:rtl w:val="true"/>
          <w:lang w:bidi="ar-SA"/>
        </w:rPr>
        <w:t>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تقديم دراساتٍ وأبحاث علميّة أكاديميّة دقيقة حول الظّاهرة الدّينيّة في مختلف الميادين والمجالات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العموم، فقد اهتمّ تحليل المضمون بترجمة القرآن دلالةً ومعنًى من جهة، كما اعتنى بدراسة قضايا القرآن ومعارفه من جهةٍ أخرى</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935489_2870459653"/>
      <w:bookmarkStart w:id="98" w:name="_Toc36"/>
      <w:bookmarkEnd w:id="97"/>
      <w:r>
        <w:rPr>
          <w:rtl w:val="true"/>
        </w:rPr>
        <w:t>الفرع الأوّل</w:t>
      </w:r>
      <w:r>
        <w:rPr>
          <w:rtl w:val="true"/>
        </w:rPr>
        <w:t xml:space="preserve">: </w:t>
      </w:r>
      <w:r>
        <w:rPr>
          <w:rtl w:val="true"/>
        </w:rPr>
        <w:t>ترجمة القرآن الكريم</w:t>
      </w:r>
      <w:r>
        <w:rPr>
          <w:rtl w:val="true"/>
        </w:rPr>
        <w:t>:</w:t>
      </w:r>
      <w:bookmarkEnd w:id="98"/>
    </w:p>
    <w:p>
      <w:pPr>
        <w:pStyle w:val="BookText"/>
        <w:rPr/>
      </w:pPr>
      <w:r>
        <w:rPr>
          <w:rFonts w:ascii="IRNazanin" w:hAnsi="IRNazanin" w:eastAsia="IRNazanin"/>
          <w:color w:val="111111"/>
          <w:sz w:val="28"/>
          <w:sz w:val="28"/>
          <w:szCs w:val="28"/>
          <w:rtl w:val="true"/>
          <w:lang w:bidi="fa-IR"/>
        </w:rPr>
        <w:t>لقد انكبّ المستشرقون الغربيون كثيراً على تقويم القرآن الكريم، من حيث، تاريخه، وترجمته، وبنيته، ومضامينه، وأسلوبه، ولغته، واتّساقه، وانسجامه، وترتيب سوره، وتبيان مختلف تقنيات قراءة القرآن وتفسيره وتأويله، واختلفوا في ذلک بين باحثٍ مدافعٍ موضوعيّ، وباحثٍ جاحدٍ منكرٍ يخدم الأغراض الدّينيّة، والتّبشيريّة، والاستعماريّة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فما خلّفه المستشرقون من ترجماتٍ قرآنيةٍ هي، في الحقيقة، عبارة عن تفسيراتٍ وتأويلاتٍ وشروحٍ لمعاني القرآن الكريم، ولیست ترجماتٍ حقيقيّةً لهذا الكتاب؛ لأنّه من الصّعب الحديث عن ترجمةٍ مثاليّةٍ أمينةٍ وصادقةٍ للقرآن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إلى ذلك أنّ القرآن الكريم كتابٌ معجزٌ بلفظه ومعناه ومقاصده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يستحيل ترجمة القرآن الكريم وفق المعنى دون اللّفظ؛ لأنّ الإعجاز البيانيّ القرآنيّ يكمن في حرفه، وصوته، ومقطعه، وكلمته، ونظمه، وتركيبه، وإيقاعه، وتنغيمه، ومقاصده، ومعانيه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تبقى ترجمات المستشرقين نسبيّة وناقصةً وعاجزةً عن المماثلة الكليّة للنّصّ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من الصّعب بمكان الحديث عن ترجمات وفيّةٍ وأمينةٍ ومماثلةٍ للنّصّ المقدّس، بقدر ما يمكن الحديث عن تفسيراتٍ وتأويلات وشروحٍ مبتسرةٍ، خضعت لمقصّ التّصرفّ، والحذف، والنّقص، والزّيادة ،والتّغيير والتّلخيص، والتّحشية، والتقديم، والتّعليق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يمكن الحديث عن تفسيرات معنويّةٍ شائبةٍ ومغرضةٍ ومضلّلةٍ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هناك تفسيراتٍ معنويّةً موضوعيّةً لبعض المستشرقين الذين ترجموا القرآن الكريم إلى لغاتٍ أجنبيّةٍ معيّنةٍ، ولكن تبقى تلك الترجمات غير كافيةٍ للإحاطة ببلاغة </w:t>
      </w:r>
    </w:p>
    <w:p>
      <w:pPr>
        <w:pStyle w:val="BookText"/>
        <w:rPr/>
      </w:pPr>
      <w:r>
        <w:rPr>
          <w:rFonts w:ascii="Amiri" w:hAnsi="Amiri" w:eastAsia="Amiri" w:cs="Amiri"/>
          <w:color w:val="111111"/>
          <w:sz w:val="28"/>
          <w:sz w:val="28"/>
          <w:szCs w:val="28"/>
          <w:rtl w:val="true"/>
          <w:lang w:bidi="ar-SA"/>
        </w:rPr>
        <w:t>القرآن الكريم ونظمه، والتعبير عن جمالياته الفنّيّة والبيانيّة من خلال التأثير في المتلقي بغية إثارته، وإبهاره، وإدهاشه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يشكّل القرآن الكريم، بالنّسبة للمسلمين، عماد الدين، ومنبع القيم والأخلاق، وأساس التّشريع، والمصدر الأوّل الذي نرجع إليه من أجل استنباط الأحكام الأصليّة والفرعيّة، وهو دستور المسلمين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وصل إلينا محفوظًا متواترًا بقراءاته السّبع أو العشر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لَحفِظُونَ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وتتمثّل وظيفة القرآن الكريم في هداية النّاس كافّة، وتبيان شريعة الله، وإخراج الناس من الوثنيّة والضّلال إلى الإيمان والتّوحيد،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الْقُرْءَانَ يَهْدِي لِلَّتِي هِيَ أَقومُ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الْكِتَبَ تبْيَنَا لِكُلِّ شَيْءٍ</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ويتميّز القرآن الكريم بأنّه كتابٌ متّسقٌ ومنسجمٌ لا تجد فيه اختلافًا أو تناقضًا أو كلامًا باطلًا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 وَلَوْ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الْبَطِلُ مِنْ بَيْنِ يَدَيْهِ وَلَا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 القرآن الكريم كتابًا مقدّسًا طاهرًا معصومًا من الشّوائب، وخاليًا من الأخطاء مهما كان نوعها، وينعدم فيه التناقض والاختلاف والاضطراب المنطقيّ، وهو كتابٌ محكمٌ وفق منهجٍ ربّانيٍّ 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كونه كتابًا معجزًا بنظمه، وبلاغته، وسياقه، وتشريعه، وعالميته، وأخلاقياته الرفيعة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ويمثّل القرآن الكريم حداثةً حقيقيّةً بقيمه النبيلة، ومثله العليا، وفضائله </w:t>
      </w:r>
    </w:p>
    <w:p>
      <w:pPr>
        <w:pStyle w:val="BookText"/>
        <w:rPr/>
      </w:pPr>
      <w:r>
        <w:rPr>
          <w:rFonts w:ascii="Amiri" w:hAnsi="Amiri" w:eastAsia="Amiri" w:cs="Amiri"/>
          <w:color w:val="111111"/>
          <w:sz w:val="28"/>
          <w:sz w:val="28"/>
          <w:szCs w:val="28"/>
          <w:rtl w:val="true"/>
          <w:lang w:bidi="ar-SA"/>
        </w:rPr>
        <w:t>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هذا الكتاب ليُخرج النّاس من الظّلمات إلى النّور، ويخلّصهم من الوثنيّة والجهل والعصبيّة نحو الهداية، والنّور والتّسامح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يتضمّن الوحي الإسلاميّ، في طيّاته، مبادئ كونيّة وعلميّة ومعرفيّة وأخلاقيّة، ويحوي أسس الحداثة الدّينيّة والأخلاقيّة والعلميّة والمعرفيّة، ويحثّ على استخدام العقل لاستكشاف الطبيعة فهمًا وتفسيرًا وتنبّؤًا، ويسمو بالإنسان ويكرمه، ويدعو إلى المساواة والعدالة والحريّة، ويحثّ على العمل والكسب الشريف، ويحرّم الرّبا والموبقات والمفاسد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يحثّ على التّعاون والتّضامن والتّآزر بين أفراد المجتمع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كذلك إلى التّفاهم والتّسامح والتّعايش، وينبذ الفرقة والحروب والعداوة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وبما أنّ القرآن الكريم هو كتابُ إيمانٍ وهدايةٍ وعلمٍ وثقافةٍ وتشريعٍ، فقد اعتنى العلماء المسلمون بشرحه وتفسيره وتأويله وفق أسباب النّزول من جهة، ووفق مقاصد الشّريعة الإسلاميّة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انكبّ العلماء المسلمون على دراسة هذه اللغة نحوًا، وصرفًا، وفقهًا، ولسانًا، وإعرابًا، ومعجمًا، وتصويتًا، وبلاغةً، وتداولًا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ارتأوا أنّ فهم اللغة العربيّة هو الذي سيساعدهم على فهم القرآن وتفسيره وتأويله وترجمته إلى الآخرين، بتوضيح معاني الكتاب، وتبيان محتوياته، واستجلاء مقاصده القريبة والبعيدة، واستكشاف بناه التشريعيّة والدّينيّة والعلميّة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كانت علوم الآلة وعلوم العربيّة في خدمة تفسير القرآن وتأويله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فقد سارع المستشرقون الغربيون إلى ترجمة معاني القرآن الكريم للتعرّف إلى هذا الكتاب، وفهم شرائعه وقوانينه، واستكشاف عظمة الدّين الإسلاميّ بعد انتشاره في الأندلس بصفةٍ خاصةٍ، وقد تأرجحت ترجماتهم لمعاني القرآن الكريم بين أعمالٍ مشوّهةٍ وضيعةٍ ومغرضةٍ بنوايا دينيّة صليبيّة من جهة، وأعمالٍ تفسيريّةٍ وتأويليّةٍ تبحث عن الحقيقة العلميّة من جهةٍ أخرى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فقد كانت ترجمة القرآن عند المستشرقين الغربيين بصفةٍ عامّةٍ، ومحرّري موسوعة ليدن القرآنيّة بصفةٍ خاصّةٍ، بغرض التّشكيك والمسّ بالإسلام </w:t>
      </w:r>
    </w:p>
    <w:p>
      <w:pPr>
        <w:pStyle w:val="BookText"/>
        <w:rPr/>
      </w:pPr>
      <w:r>
        <w:rPr>
          <w:rFonts w:ascii="Amiri" w:hAnsi="Amiri" w:eastAsia="Amiri" w:cs="Amiri"/>
          <w:color w:val="111111"/>
          <w:sz w:val="28"/>
          <w:sz w:val="28"/>
          <w:szCs w:val="28"/>
          <w:rtl w:val="true"/>
          <w:lang w:bidi="ar-SA"/>
        </w:rPr>
        <w:t>والمسلمين والطّعن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فهي ترجمةٌ مضلّلةٌ ومنحرفةٌ ومبتدعةٌ تخرج عن ضوابط المنهج العلميّ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فقد كان المستشرق خاضعًا لتعاليم الكنيسة واللّاهوت والاستعمار والتّبشير على حدّ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وينطبق هذا الحكم على التّرجمات اللّاتينيّة الأولى للقرآن الكريم التي كانت بطلب الفاتيكان، وكانت ترجماتٍ مدسوسةً ومبيّتةً ومسمومةً بالنّوايا السّيّئة؛ حيث تنسب القرآن إلى محمد صلّی الله علیه و آله، وتعتبر القرآن مجرّد كتابٍ بشريٍّ ينسخ ما يوجد في التّوراة والإنجيل لوجود مضامين ومحتويات 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فالقرآن يعوق التّقدّم والازدهار، وأنّه لا يعرف شيئًا عن المسيحيّة، وما كتب في القرآن عن المسيح هو منقولٌ عن الرّاهب النّصراني المرتد بحيرا الذي لقي الرسول صلّی الله علیه و آله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القصص التي تضمّنها القرآن، فهي منقولةٌ عن الأحبار اليهود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تتّسم هذه الترجمات الاستشراقيّة اللّاتينيّة للقرآن الكريم بكونها ترجمات مضلّلة ومغرضة تصدر عن نفوسٍ حاقدةٍ عدوانيّةٍ وكارهةٍ للقرآن والنبيّ محمد صلّی الله علیه و آله بسبب ما حقّقه الإسلام من منجزاتٍ وتقدّمٍ وازدهارٍ شرقًا وغربًا، وأيضًا بسبب انتشاره بسرعة ومنافسته الشديدة للمسيحيّة التي بدأت تتراجع بشكل تدريجيٍّ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وتمتاز هذه التّرجمة الاستشراقيّة الحقودة لمعاني القرآن الكريم بتكريس النّزعة الاستعماريّة، ومعاداة العقليّة السّامية والغضّ من قيمتها على المستوى المعرفيّ والعلميّ، وترجيح كفّة العقليّة الآريّة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ويتجلّى هذا واضحًا في عدم اعتراف بعض المستشرقين بالفلسفة الإسلاميّة، والانتقاص من علم الكلام والتّصوّف الإسلامي، على أساس أنّ العقليّة السامية غير قادرةٍ على التجريد والتركيب، وبناء الأنساق الفلسفيّة الكبرى وجودًا، ومعرفةً، وأخلاقًا، كما يذهب إلى ذلك المستشرق الألماني رينان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فقد تمسّك المستشرقون الغربيون، منذ القرن التّاسع عشر وبدايات القرن العشرين، بالدّفاع عن المركزيّة الأوروبيّة، باعتبارها نموذجًا للمعرفة والعلم،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انطلق هؤلاء الدّارسون من مناهج فيلولوجيّة، أو تاريخيّة أو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هذا أنّ المستشرق، صاحب المنهج التاريخي، حسب محمد عابد </w:t>
      </w:r>
    </w:p>
    <w:p>
      <w:pPr>
        <w:pStyle w:val="BookText"/>
        <w:rPr/>
      </w:pPr>
      <w:r>
        <w:rPr>
          <w:rFonts w:ascii="Amiri" w:hAnsi="Amiri" w:eastAsia="Amiri" w:cs="Amiri"/>
          <w:color w:val="111111"/>
          <w:sz w:val="28"/>
          <w:sz w:val="28"/>
          <w:szCs w:val="28"/>
          <w:rtl w:val="true"/>
          <w:lang w:bidi="ar-SA"/>
        </w:rPr>
        <w:t>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يفكّر شموليًّا في الفلسفة الإسلاميّة لا بوصفها جزءًا من كيانٍ ثقافيٍّ عام، الثّقافة العربيّة الإسلاميّة، بل بوصفها امتدادًا منحرفًا أو مشوّهًا للفلسفة 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وبالمثل، يفكّر في النحو العربي ومدارسه، يوجّهه هاجس ربطها بمدارس النحو اليونانيّة في الإسكندريّة أو برغام وبيان تأثّرها بالمنطق الأرسطي، كما لا يتردّد في ربط الفقه الإسلامي، نوعًا من الرّبط، بالقانون الرّوماني وما خلّفه في المنطقة العربيّة من آثارٍ وأعراف</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تعكس أيضًا دراسات الباحثين العرب ذات الطابع الاستشراقي مدى التّبعيّة الثّقافيّة والفكريّة للغرب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تعتمد هذه الصّورة على الفهم الخارجي لمفهوم التّراث بصفةٍ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الصدد، يقول محمد عابد الجابري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فالصورة العصريّة الاستشراقويّة الرّائجة في السّاحة الفكريّة العربيّة الرّاهنة عن التّراث العربي الإسلامي، سواء منها ما كُتب بأقلام المستشرقين أو ما صنّف بأقلام من سار على نهجهم من الباحثين والكتّاب العرب، صورة 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تعكس مظهرًا من مظاهر التّبعيّة الثّقافيّة، على الأقل على صعيد المنهج والرؤية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المستشرق الفيلولوجي الغربي، فيبحث عن جذور جينيالوجيّة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عن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للثّقافة العربيّة الإسلاميّة، فيعيدها إلى مصادر يونانيّة أو هندوأوروبيّة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هذا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المستشرق المغرم بالتحليل الفيلولوجي، فهو عندما يتّجه إلى الثّقافة العربيّة الإسلاميّة، بنظرته التجزيئيّة، لا يعمل على ردّ فروعها وعناصرها إلى جذورٍ وأصولٍ تقع داخلها، أو على الأقل مقروءة بتوجيهٍ من همومها الخاصّة، بل هو يجتهد كلّ الاجتهاد في ردّ تلك الفروع والعناصر إلى أصول يونانيّةٍ، أو عندما تعوزه الحجّة إلى أصولٍ هندوأوروبيّة، الشيء الذي يعني المساهمة، ولو بطريقةٍ غير مباشرة، في العمليّة نفسها عمليّة 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 الخالد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نهر الفكر الأوروبي الذي نبع أوّل مرّة من بلاد اليونان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المستشرق الذي يستخدم المنهج الذاتوي في دراساته وأبحاثه، فيميل إلى شخصيّاتٍ معيّنةٍ، فيتعاطف معها دفاعًا ومناصرةً ومآزرةً، من دون أن يُدلي في ذلک بحججٍ موضوعيّةٍ ترجّح وجهة نظره الصائبة، وتقنعنا بأطروحته الفكريّة، أو تصوّراته الحجاجيّة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السّياق، يقول محمد عابد الجابري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المستشرق صاحب المنهج الذاتوي فإنّه، على الرّغم من تعاطفه مع بعض الشّخصيات الإسلاميّة، كتعاطف ماسينيون مع الحلّاج، أو هنري كوربان مع السّهروردي، فإنّه يبقى مع ذلك موجّهًا من داخل إطاره المرجعي الأصلي، إطار المركزيّة الأوروبيّة، مشدودًا إليه، غير قادر ولا راغب في الخروج عنه، أو القطيعة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يتمرّد على حاضره الأوروبي، يتمسّك بماضيه، فيعيشه رومانسيَّا عبر تجربة هذه الشّخصيّة أو تلك من الشّخصيات الرّوحانيّة في الثّقافة العربيّة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يذهب إلى أبعد من هذا فيطالب، من خلال تلك التجربة، استعادة روحانيّة الغرب مما لدى الشّرق</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یعني هذا أنّ المستشرق الغربي عندما يطبّق المنهج الذّاتوي في ترجمته لمعاني القرآن الكريم، أو في أثناء تعامله مع التّراث العربي الإسلامي، فإنّه ينطلق من رؤيةٍ لاهوتيّةٍ مسيحيّةٍ محرّفةٍ، أو من رؤيةٍ رومانسيةٍ ساذجةٍ ومثاليّةٍ قائمة على الانبهار بسحر الشّرق، والاندهاش بعجائبه الخارقة، كما تتعشعش في مخيّلته الإثنوغرافيّة أو الفاطاستيكيّة سواء تعجيبًا أو تغريبًا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نجد المستشرق الإنجليزي جورج سيل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George Sale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ترجم القرآن الكريم إلى اللغة الإنجليزية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محمد، فقد كان في الحقيقة مؤلف القرآن والمخترع الرئيس له أمر لا يقبل الجدل</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ينطلق هذا المستشرق من نزعةٍ دينيةٍ عرقيّةٍ وصليبيّةٍ ولاهوتيّة لتشويه الإسلام والمسلمين، بالطّعن في القرآن الكريم، ونسبة القرآن إلى محمد، على أساس أنّه كتابٌ بشريّ، وليس كتابًا مُنزلًا</w:t>
      </w:r>
      <w:r>
        <w:rPr>
          <w:rFonts w:eastAsia="Amiri" w:cs="Amiri" w:ascii="Amiri" w:hAnsi="Amiri"/>
          <w:color w:val="111111"/>
          <w:sz w:val="28"/>
          <w:szCs w:val="28"/>
          <w:rtl w:val="true"/>
          <w:lang w:bidi="ar-SA"/>
        </w:rPr>
        <w:t xml:space="preserve">. </w:t>
      </w:r>
      <w:bookmarkStart w:id="99" w:name="pg8898_139195"/>
    </w:p>
    <w:p>
      <w:pPr>
        <w:pStyle w:val="BookText"/>
        <w:rPr/>
      </w:pPr>
      <w:bookmarkEnd w:id="99"/>
      <w:r>
        <w:rPr>
          <w:rFonts w:ascii="Amiri" w:hAnsi="Amiri" w:eastAsia="Amiri" w:cs="Amiri"/>
          <w:color w:val="111111"/>
          <w:sz w:val="28"/>
          <w:sz w:val="28"/>
          <w:szCs w:val="28"/>
          <w:rtl w:val="true"/>
          <w:lang w:bidi="ar-SA"/>
        </w:rPr>
        <w:t xml:space="preserve">ويرى ريجيس بلاشير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R.Blachere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في مقدّمة كتابه عن القرآن، أنّ الترجمة كانت بدافع الحقد الصّليبي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المرجّح أنّ بطرس الموقر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رحل إلى إسبانيا بين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فكّر بتأثيرٍ من روما ومن البابا في ترجمة القرآن إلى اللّاتينيّة، فأوعز بذلك إلى روبيرد ريتين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R.de Tetines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الذي تولّى عمل الترجمة بمساعدة بعض الرّهبان، وقد جاءت هذه البادرة بدافع من روحٍ صليبیّةٍ تدلّ على ذلك رسالة بطرس الموقّر الموجّهة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القديس برنار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نسخة من الترجمة المنجزة كما كان الدّاعي إلى هذا العمل الحاجة إلى محو أثر الإيمان من نفوس معتنقي الإيمان</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ويعني هذا أنّ الترجمة اللّاتينيّة لمعاني القرآن الكريم كانت بدافعٍ لاهوتيٍّ كنسيٍّ من أجل تفريق المسلمين، والطّعن في دينهم وعقيدتهم وكتابهم المقدّس، باسم البابويّة الحقودة التي غرضها طمس الحقيقة عن الإنسان الأوروبي، وتقييده بترّهات الرّهبان الذين حرّفوا الإنجيل من أجل خدمة أهوائهم ومصالحهم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تتّسم الترجمة الاستشراقيّة المغرضة بالتشكيك، والتشويه، والتبشير، والأدلجة، والتفكيك الهدام، والتطرف، وإثارة ما يسمّى بالصّراع الدّيني والحضاري</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935491_2870459653"/>
      <w:bookmarkStart w:id="101" w:name="_Toc37"/>
      <w:bookmarkEnd w:id="100"/>
      <w:r>
        <w:rPr>
          <w:rtl w:val="true"/>
        </w:rPr>
        <w:t>الفرع الثاني</w:t>
      </w:r>
      <w:r>
        <w:rPr>
          <w:rtl w:val="true"/>
        </w:rPr>
        <w:t xml:space="preserve">: </w:t>
      </w:r>
      <w:r>
        <w:rPr>
          <w:rtl w:val="true"/>
        </w:rPr>
        <w:t>الدّراسات القرآنيّة</w:t>
      </w:r>
      <w:r>
        <w:rPr>
          <w:rtl w:val="true"/>
        </w:rPr>
        <w:t>:</w:t>
      </w:r>
      <w:bookmarkEnd w:id="10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ظهرت في الغرب مجموعة من الكليات والجامعات والمؤسّسات والمعاهد والمراكز التي تُعنى بدراسة اللّاهوت الدّيني بصفةٍ عامةٍ، ودراسة الكتب السّماويّة بصفة خاصّة، بما فيها القرآن الكريم، وكانت تطبّق مناهج نصيّة ونقديّة في دراسة هذه الكتب الدّينيّة؛ حيث استعان الباحثون الغربيون بعلم التحقيق والتوثيق، ودراسة الكتابة والطباعة، والبحث عن مصادر هذه الكتب السّماويّة، وما تتضمّنها من حقائق وأساطير وخرافات، ودراسة اللغة والأسلوب، والبحث عن علاقتها </w:t>
      </w:r>
    </w:p>
    <w:p>
      <w:pPr>
        <w:pStyle w:val="BookText"/>
        <w:rPr/>
      </w:pPr>
      <w:r>
        <w:rPr>
          <w:rFonts w:ascii="Amiri" w:hAnsi="Amiri" w:eastAsia="Amiri" w:cs="Amiri"/>
          <w:color w:val="111111"/>
          <w:sz w:val="28"/>
          <w:sz w:val="28"/>
          <w:szCs w:val="28"/>
          <w:rtl w:val="true"/>
          <w:lang w:bidi="ar-SA"/>
        </w:rPr>
        <w:t>بالسياسة، والإعلام، والأدب، والفنّ، والمجتمع، والاقتصاد، والتاريخ، والفلسفة، والبيولوجيا، وغيرها من العلوم والمعارف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يقتصر البحث القرآني على المستشرقين والموسوعيين الغربيين فحسب، بل ساهم في ذلك مجموعةٌ من الباحثين المسلمين الذين طبّقوا المناهج العلميّة على الكتب السماويّة بما فيها القرآن الكريم، كما هو حال محمد أركون، ونصر حامد أبو زيد، وطلال أسد، وخالد أبو الفضل، وإبراهيم أبو ربيع، ونادية أبو زهرة، وأحمد سليم دلال، وسلوى العوا، وأميرة الزين، وتوفيق فهد،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هؤلاء يطبّقون منهجيّة تحليل المضمون، كما يدلّ على ذلك فهرس موسوعة ليدن للقرآن؛ حيث نجد بعض الدّراسات التي تندرج ضمن هذا الاتّجاه المنهجيّ كموضوع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التطبيقات النّقديّة المعاصرة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أركون، بالتركيز على علاقة الإسلام بالعنف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النصي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لجيمس بيلامي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James.A.Bellamy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أستاذ بجامعة ميشيغان الأمريكيّة،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البنى الأدبيّة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لعيسى بلاطة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انتشرت مؤسّساتٌ كثيرةٌ بالغرب تعتني بالدّراسات القرآنيّة والدّينيّة واللّاهوتيّة في ضوء تحليل المضمون منذ القرن الخامس عشر الميلادي إلى يومنا هذا،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أُسِّستْ كُلّيّاتٍ مكرَّسة لهذه الدّراسات في أماكن؛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1593</w:t>
      </w:r>
      <w:r>
        <w:rPr>
          <w:rFonts w:ascii="Amiri" w:hAnsi="Amiri" w:eastAsia="Amiri" w:cs="Amiri"/>
          <w:color w:val="111111"/>
          <w:sz w:val="28"/>
          <w:sz w:val="28"/>
          <w:szCs w:val="28"/>
          <w:rtl w:val="true"/>
          <w:lang w:bidi="ar-SA"/>
        </w:rPr>
        <w:t xml:space="preserve">، وروما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وأوكسفورد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افتُتحت كلّيّاتٌ في جامعاتٍ أوروبيّةٍ رئيسةٍ أخرى، وفي بعض جامعات أمريكا الشماليّة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واتّخذتْ لغات؛ من قبيل العربيّة وغيرها من اللغات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كالفارسيّة، والتركية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مركزيّةً في التعليم؛ لأنّ التمكَّن من هذه اللغات كان مُقدّمةً ضروريّة لدراسة النّصوص وغيرها من المصادر التّاريخيّة، وعليه؛ فقد تشكّل الحقل المعرفيّ للدّراسات الإسلاميّة الحديثة؛ وفقًا لنموذج الدّراسات الكلاسيكيّة على النّحو الذي تطوّرت في عصر النّهضة وبعده، وأصبح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يُعتبر دراسةً للثّقافة عبر عدسة النّصوص التي تُنتجها هذه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المنهجيّة السائدة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الإدراك بأنّ القرآن هو محور هويّة الإسلام وتطوُّره التاريخيّ، مُنح القرآن اهتمامًا دقيقًا، </w:t>
      </w:r>
    </w:p>
    <w:p>
      <w:pPr>
        <w:pStyle w:val="BookText"/>
        <w:rPr/>
      </w:pPr>
      <w:r>
        <w:rPr>
          <w:rFonts w:ascii="Amiri" w:hAnsi="Amiri" w:eastAsia="Amiri" w:cs="Amiri"/>
          <w:color w:val="111111"/>
          <w:sz w:val="28"/>
          <w:sz w:val="28"/>
          <w:szCs w:val="28"/>
          <w:rtl w:val="true"/>
          <w:lang w:bidi="ar-SA"/>
        </w:rPr>
        <w:t>وانبثقت الدّراسات القرآنيّة بوصفها فرعًا معرفيًّا رئيسًا ضمن دراسة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تأثَّرت الدّراسة غير الإسلاميّة للقرآن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كبير بنظيرها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حقل الدّراسات الإنجيليّة، حيث إنّ النّقد الإنجيليّ في القرنين الثامن عشر والتّاسع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ذاك النّقد الذي انتقل من المحيط الحاخاميّ أو الرُّهبانيّ إلى المحيط الجامعيّ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الاعتقادَ بالطابع الإلهيّ للكتابين المقدّسين اليهوديّ والمسيحيّ بين قوسين، كما اتّسع الاستعداد الذي برز في عصر النهضة لتطبيق مبادئ النقد الأدبيّ والتاريخيّ على النصوص اليونانيّة واللاتينيّة القديمة، ليشمل أحد النصوص القديمة الأخرى؛ أي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تبنّى بعضُ الباحثين نظرةً عقليّة؛ فسعى إلى التوفيق بين التعليمات الإنجيليّة والأوامر العقليّة، بينما ركّز آخرون على التناقضات بين الإنجيل وقوانين الاستقامة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تضاعفت التحقيقات السّياقيّة مع قيام العلماء بالتنقيب في الخلفيّة الثقافيّة والتاريخيّة للنصوص الإنجيليّة، ومع تتبُّعهم للتراث الأدبيّ الذي نمت منه هذه النصوص، مضافًا إلى عمليّة الصياغة التي أخرجت النصوص في شكلها النهائيّ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توجُّه العلماء المختصّين بفقه اللغة الساميّة والمتعمّقين بالدراسة التاريخيّة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النقديّة للكتاب المقدّس العبريّ والعهد الجديد إلى كتابٍ قديمٍ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أهملوا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الافتراضات العقديّة، مُعتبرين أنّها غير مُرتبطةٍ بمهام البحث العلميّ، وعليه؛ تعرّض الباحثون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الإنجيل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للتحليل النصي واللغويّ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وأُلَّفتْ في القرن التاسع عشر بعض الكتب المهمّة التي ما زالت تؤثّر في ميدان البحث القرآنيّ المعاصِر، فبرزت أسماء؛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كوستاف ویل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Gustav Weil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وتيودور نولدکه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Theodor Noldke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وأبراهام جايجر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Abraham Geiger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وهارتویغ هارشفيلد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Hartwig Hirschield</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وسُرعان ما انضمَّت إليها أسماء أقرانهم في القرن العشرين؛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أجناتس جولدتسيهر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Ignaz Goldziher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وغوستاف برجستراسر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Gotthelf Bergstra sser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وأوتو بريتزل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Otto Pretzel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وریشتارد بیل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Richard Bel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وأرثر جيفري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Arthur Jeffery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ورودي بارت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Rudi Paret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وتجدرُ الإشارة إلى أنّ بعضَ هؤلاء الباحثين قد تعامل مع القرآن؛ بوصفه أوثق مصدر لإعادة بيان حياة محمد وتاريخ المجتمع الإسلاميّ الأوّل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ويعني هذا أنّ الدّارسين والمستشرقين الغربيين قد تعاملوا مع الكتب السّماويّة، بما فيها التوارة، والإنجيل، والقرآن الكريم، مستعينين باللّغة العربيّة وغيرها من اللّغات الإسلاميّة كالتركيّة والفارسيّة، بالاطّلاع على فقه اللّغة، وعلوم التّاريخ، وعلوم الثّقافة وعلوم الآلة، وعلم الآثار، والأنثروبولوجيا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الهدف من ذلك هو البحث عن مقاصد هذه الكتب السّماوية وتحليلها وفق المناهج النّقديّة المعاصرة كتحليل المضمون الذي يبدو جليًا في مقالات موسوعة ليدن القرآنيّة، والنّقد النّصّي في كثير من الدّراسات الإنجيليّة في الجامعات الفرنسيّة والنّقد السيميائي كما عند جماعة أنتروفيرن </w:t>
      </w:r>
      <w:r>
        <w:rPr>
          <w:rStyle w:val="FootnoteAnchor"/>
          <w:rtl w:val="true"/>
        </w:rPr>
        <w:footnoteReference w:id="56"/>
      </w:r>
      <w:r>
        <w:rPr>
          <w:rFonts w:ascii="Amiri" w:hAnsi="Amiri" w:eastAsia="Amiri" w:cs="Amiri"/>
          <w:color w:val="111111"/>
          <w:sz w:val="28"/>
          <w:sz w:val="28"/>
          <w:szCs w:val="28"/>
          <w:rtl w:val="true"/>
          <w:lang w:bidi="ar-SA"/>
        </w:rPr>
        <w:t xml:space="preserve">، والنّقد التأويلي الهيرمونيطيقي عند بول ريكور </w:t>
      </w:r>
      <w:r>
        <w:rPr>
          <w:rStyle w:val="FootnoteAnchor"/>
          <w:rtl w:val="true"/>
        </w:rPr>
        <w:footnoteReference w:id="57"/>
      </w:r>
      <w:r>
        <w:rPr>
          <w:rFonts w:ascii="Amiri" w:hAnsi="Amiri" w:eastAsia="Amiri" w:cs="Amiri"/>
          <w:color w:val="111111"/>
          <w:sz w:val="28"/>
          <w:sz w:val="28"/>
          <w:szCs w:val="28"/>
          <w:rtl w:val="true"/>
          <w:lang w:bidi="ar-SA"/>
        </w:rPr>
        <w:t xml:space="preserve">، والنّقد التّاريخي كما عند طه حسين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الشعر الجاهلي</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والنّقد النّصّي التّطبيقيّ كما عند محمد أركون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فقد كان التركيز على التحليل اللّغويّ، والتّحليل النّصيّ، والبحث في خلفيات النّصّ الدّينيّ واللّاهوتيّ، وعقد المقارنات النّصيَّة بين الكُتب السّماويّة، والتنقيب عن التناقضات والمختلف فيه، أو استكشاف وحدة النّصّ الدّينيّ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فقد اعتنت دائرة المعارف بليدن بدورها، بدراسة القرآن الكريم وفق تحليل المضمون توصيفاً، وتحليلاً، وتقويماً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تقول مقدّمة موسوعة ليدن للقرآن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المفيد أن نُقدِّم وصفًا موجزًا للقرآن لمن لا يملكون معرفةً مُسبقةً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يبرزُ القرآن في مكتبة الكتب المقدَّسة ككتابٍ أقصر من غيره؛ فحينما نُقارنُ طول القرآن مع كتاب الشريعة البوذية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المخطوطات </w:t>
      </w:r>
    </w:p>
    <w:p>
      <w:pPr>
        <w:pStyle w:val="BookText"/>
        <w:rPr/>
      </w:pPr>
      <w:r>
        <w:rPr>
          <w:rFonts w:ascii="Amiri" w:hAnsi="Amiri" w:eastAsia="Amiri" w:cs="Amiri"/>
          <w:color w:val="111111"/>
          <w:sz w:val="28"/>
          <w:sz w:val="28"/>
          <w:szCs w:val="28"/>
          <w:rtl w:val="true"/>
          <w:lang w:bidi="ar-SA"/>
        </w:rPr>
        <w:t>السنسكريتيّة أو الصينيّة، نُلاحظ أنّ الاختلافات من حيث الطول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يضمّ الكتاب المقدَّس العبريّ والعهدان القديم والجديد في المسيحيّة أسفارًا أطول بكثير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القرآن نصًّا موحَّدًا بحقِّ، حيث يتألّف من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وهذه الأقسام أو الفصول تبدأ جميعها تقريبًا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تتألّفُ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وقد تضمُّ سورةٌ ما بضع آياتٍ أو مئات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الاختلاف في طول السّور جديرٌ بالملاحظة؛ لأنّ القرآن يعتمدُ على الطول معيارًا تنظيميًّا، حيث تُرتَّب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للترتيب التنازليّ في حجم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السّور الأطول في مقدّمة القرآن، بينما تأتي السور الأقصر في نهايته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مواضيعُ القرآن ،متنوِّعة ولا يُمكن تبويبها بسهولة، وهي لیست مُنظَّمة بالطريقة التي تُفضِّلها العقول المنهجيّة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تجد سورًا منفصلة تتناولُ كلُّ واحدةٍ منها على حدة البيانات اللّاهوتيّة، أو ضوابط السلوك الشخصيّ والاجتماعيّ، أو الأحكام المخصّصة للصلاة والطقوس الدينيّة، أو قصص الأنبياء، أو التحذير من يوم الحساب ووصف الجنّة والنار، أو التحديات الجدليّة الموجّهة إلى أصحاب العقائد الأخرى؛ ولكنّك تجدُ جميعَ هذه المواضيع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منسوجةً في السور المختلفة للنصِّ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الواقع، فقد ساهم التعقيد الموضوعيّ للقرآن في حثَّ المؤلّفين على إنتاج قسمِ من الكتب الإسلاميّة؛ بهدف استخلاص هذه المواضيع وتبويبها، ترومُ بعض هذه المؤلّفات تقديمَ تصنيفٍ شامل للمادّة القرآنيّة تحت عناوين رئيسة وفرعيّة متعدِّدة، بينما يهدفُ بعضُها الآخر إلى التركيز على موضوعِ 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يُكمننا أن نعثر في المكتبات الإسلاميّة على كُتب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العادل في القرآن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يوجد تنوُّعٌ موضوعيٌ في القرآن، وثمّة تنوّعٌ في الأسلوب أيضًا؛ فعلى الرّغم من أنّ القرآن يُوظَّفُ مقدارًا قليلًا نسبيًّا من الأسلوب السرديّ الذي يألفه قُرّاء الكتاب المقدّس العبريّ والعهد الجديد المسيحيّ، إذ تشكّل السّورة الثانية عشرة الحالة الوحيدة لذلك؛ فإنّ لغة القرآن قويّة ودراماتيكيّة في أغلب الأحيان، وهي </w:t>
      </w:r>
    </w:p>
    <w:p>
      <w:pPr>
        <w:pStyle w:val="BookText"/>
        <w:rPr/>
      </w:pPr>
      <w:r>
        <w:rPr>
          <w:rFonts w:ascii="IRNazanin" w:hAnsi="IRNazanin" w:eastAsia="IRNazanin"/>
          <w:color w:val="111111"/>
          <w:sz w:val="28"/>
          <w:sz w:val="28"/>
          <w:szCs w:val="28"/>
          <w:rtl w:val="true"/>
          <w:lang w:bidi="fa-IR"/>
        </w:rPr>
        <w:t>تزخر بالصور المفعمة بالحيويّة والتشبيهات المثيرة للعواطف، حيث يجتمعُ القَسَم والحوارات مع الخطاب الإلهيّ المباشَر ؛ سواءً أكان موجَّهًا إلى النبي محمّد صلّی الله علیه و آله، أم إلى المؤمنين برسالته، أم إلى أولئك الذين يرفضونها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تتعاقبُ الفقرات المقتَضَبة والموجَزة مع النصوص الاعتياديّة الأطول، وتمتزجُ الدّعوات والتنبُّؤات مع أحكام</w:t>
      </w:r>
    </w:p>
    <w:p>
      <w:pPr>
        <w:pStyle w:val="BookText"/>
        <w:rPr/>
      </w:pPr>
      <w:r>
        <w:rPr>
          <w:rFonts w:ascii="Amiri" w:hAnsi="Amiri" w:eastAsia="Amiri" w:cs="Amiri"/>
          <w:color w:val="111111"/>
          <w:sz w:val="28"/>
          <w:sz w:val="28"/>
          <w:szCs w:val="28"/>
          <w:rtl w:val="true"/>
          <w:lang w:bidi="ar-SA"/>
        </w:rPr>
        <w:t>التحريم والإرشادات الهادية لكلِّ الأفعال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لا تكونُ القوّة العارمة الكامنة في هذا التنوُّع البلاغيّ مُتاحة لأولئك الذين يقرؤون القرآن مُترجمًا، فالقرآنُ في الإسلام هو القرآن باللغة العربيّة فقط، وحينما يُترجَم فإنّه لا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 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يُصبحُ مجرّد تفسيرٍ للنصّ العربيّ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يقرأ المسلمون القرآن خلال الصلاة أو الشعائر الأخرى باللغة العربيّة دائماً على الرّغم من وجود ترجماتٍ قرآنيّةٍ عدّة إلى أغلب اللّغات الرئيسة في العالم؛ ومن ضمنها اللغة الإنكليزيّة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يتبيّن لنا أنّ موسوعة ليدن القرآنيّة قد التجأت إلى تحليل المضمون في دراسة القرآن الكريم، كما يتبيّن في ما تتضمّنه من دراسات وأبحاث ومقالات لباحثين مسلمين وغربيين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توقّفت الموسوعة عند مجموعةٍ من المفردات المرتبة، وعند مجموعةٍ من المواضيع القرآنيّة، والشّخصيات المقدّسة كالأنبياء والرّسل والأولياء الصّالحين والقديسين وصحابة الرّسل والأنبياء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الأمكنة المقدّسة، ومواضيع الفقه والعقيدة والتاريخ الإسلامي، والدّراسات النّصيّة والتّطبيقيّة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فقد انكبّت موسوعة ليدن القرآنيّة على كثير من قضايا القرآن الكريم ومباحثه وعلومه في ضوء المقاربة الموضوعاتيّة، أو تحليل المضمون،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اليوميّة في القرآن، والحواسيب والقرآن، وتعدّد المعاني في القرآن، والتّقيّة والتّشيّع والقرآن والنّسويّة والقرآن، وقرّاء القرآن، وطباعة القرآن، وترجمات القرآن، ومواضيع الدّراسات القرآنيّة قبل القرن الثامن عشر، وتقليد القرآن </w:t>
      </w:r>
    </w:p>
    <w:p>
      <w:pPr>
        <w:pStyle w:val="BookText"/>
        <w:rPr/>
      </w:pPr>
      <w:r>
        <w:rPr>
          <w:rFonts w:ascii="Amiri" w:hAnsi="Amiri" w:eastAsia="Amiri" w:cs="Amiri"/>
          <w:color w:val="111111"/>
          <w:sz w:val="28"/>
          <w:sz w:val="28"/>
          <w:szCs w:val="28"/>
          <w:rtl w:val="true"/>
          <w:lang w:bidi="ar-SA"/>
        </w:rPr>
        <w:t>والتّسلسل الزّمني والقرآن، وجمع القرآن ونسخه، والعلم والقرآن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تناولت موسوعة ليدن مباحث لم يتناولها المسلمون في مباحث علوم القرآن ومعارفه مثل مواضيع الكتابة والتوثيق والمخطوطات القرآنيّة، ومواضيع الجندر، والمواضيع السوسيولوجيّة، وقضايا التّعدّد الدّيني، وموضوع الأساطير</w:t>
      </w:r>
    </w:p>
    <w:p>
      <w:pPr>
        <w:pStyle w:val="BookText"/>
        <w:rPr/>
      </w:pPr>
      <w:r>
        <w:rPr>
          <w:rFonts w:ascii="Amiri" w:hAnsi="Amiri" w:eastAsia="Amiri" w:cs="Amiri"/>
          <w:color w:val="111111"/>
          <w:sz w:val="28"/>
          <w:sz w:val="28"/>
          <w:szCs w:val="28"/>
          <w:rtl w:val="true"/>
          <w:lang w:bidi="ar-SA"/>
        </w:rPr>
        <w:t>والسّحر والشعوذة والدواء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تسهم موسوعة ليدن في توسيع موضوعات ومباحث علوم القرآن المعاصرة، بالانفتاح على قضايا الرّاهن؛ بتجريب مناهج ومقاربات نصيّة ووصفيّة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يتبيَّن لنا أنّ موسوعة ليدن قد احتوت على دراساتٍ وأبحاث علميّة أكاديميّة دقيقة خاضعة لعلم التّوثيق، تستعين بالإحالات النّصيّة والهوامش المفيدة والمثمرة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نفسه، هناك دراساتٌ استشراقيةٌ مشبوهةٌ من خلال الموضوعات التي عالجتها؛ حيث تثير الشّكّ والتّضليل في مصدريّة القرآن الكريم كتنزيل القرآن، وترتيب سوره، والبحث عن مخطوطاته، واستكشاف طرائق جمعه وحفظه، ودراسة القرآن الكريم وفق ثنائيّة الشّفهي والتدوين، والتّوقّف عند موضوع الحرب والجهاد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ناهيك عن قضيّة العبوديّة والرقيق، ووضعيّة المرأة في الإسلام كما طرحها المصحف، والبحث عن الثّقافة المادّيّة في القرآن، والإشارة إلى النّقيّة والتّشيّع </w:t>
      </w:r>
    </w:p>
    <w:p>
      <w:pPr>
        <w:pStyle w:val="BookText"/>
        <w:rPr/>
      </w:pPr>
      <w:r>
        <w:rPr>
          <w:rFonts w:ascii="Amiri" w:hAnsi="Amiri" w:eastAsia="Amiri" w:cs="Amiri"/>
          <w:color w:val="111111"/>
          <w:sz w:val="28"/>
          <w:sz w:val="28"/>
          <w:szCs w:val="28"/>
          <w:rtl w:val="true"/>
          <w:lang w:bidi="ar-SA"/>
        </w:rPr>
        <w:t>والقرآن والتركيز على مخطوطات القرآن، وتناول موضوع الوهابيّة والقرآن، وتبيان الاستخدامات الشّعبيّة والسّحريّة للقرآن، والبحث في موضوع التعدّديّة الدّينيّة والقرآن، والوحي والإلهام، والصّوفيّة والقرآن، والكتب المقدّسة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تُظهر لنا هذه الموضوعات وغيرها من القضايا الأخرى المتعلّقة بالقرآن الكريم أنّ موسوعة ليدن لم تكن موضوعيّة وعلميّة إلى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تناول محرّروها مواضيع خطيرة ولافتة للانتباه، على الرّغم من ادّعائهم للعلميّة والحياد والإنصاف، كالتوقف عند موضوع تنزيل القرآن وترتيب السّور الذي فيه اختلاف وجدال حول عمليّة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يترتّب عن ذلك من طعن في مصداقيّة صحّة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عمليّة نقل الكتاب هل تحقّق ذلك عن طريق الرّواية الشّفهيّة أم التدوين، علمًا أنّ تدوين الكتاب لم يتحقق تاريخيًّا إلا في المرحلة المتأخّرة؟</w:t>
      </w:r>
    </w:p>
    <w:p>
      <w:pPr>
        <w:pStyle w:val="BookText"/>
        <w:rPr/>
      </w:pPr>
      <w:r>
        <w:rPr>
          <w:rFonts w:ascii="Amiri" w:hAnsi="Amiri" w:eastAsia="Amiri" w:cs="Amiri"/>
          <w:color w:val="111111"/>
          <w:sz w:val="28"/>
          <w:sz w:val="28"/>
          <w:szCs w:val="28"/>
          <w:rtl w:val="true"/>
          <w:lang w:bidi="ar-SA"/>
        </w:rPr>
        <w:t>ويعني هذا أنّ القرآن مشكوكٌ في صحّته وروايته ونقله، ما دام لم يدوّن في لحظات نزول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الواقع يكذّب ترّهات المستشرقين؛ إذ كان هناك رواة ثقات، وحفظة 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كان هناك مدوّنون وكتبة القرآن؛ والدليل على ذلك النّسخ العديدة التي رجع إليها عثمان بن عفان لتوحيد القراءة القرآنيّة من جهة، وتوحيد المصحف في جميع الأمصار والأقطار العربية والإسلامية من 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أضف إلى ذلك يرى المستشرقون أنّ القرآن الكريم يحوي أساطير وخرافات وترهات، ويُستخدم من قبل المسلمين في السّحر والشعوذة والطب الشّعبي، وهذا یسيء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يجب التمييز بين القرآن باعتباره نصًا ربّانيًّا سليمًا من الترّهات والتناقضات المخلّة، وواقع المسلمين المعاصر الذي يندى له الجبين؛ بسبب تصرّفاتهم المشينة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أن نقيس واقع هؤلاء على القرآن، وما يتضمّنه الدّين الإسلامي من تعاليم شرعيّة نصّيّة وعقلانيّة، ووصايا سمحة ومثالية، وما يحويه من أخلاقياتٍ دمثةٍ كونيّة</w:t>
      </w:r>
      <w:r>
        <w:rPr>
          <w:rFonts w:eastAsia="Amiri" w:cs="Amiri" w:ascii="Amiri" w:hAnsi="Amiri"/>
          <w:color w:val="111111"/>
          <w:sz w:val="28"/>
          <w:szCs w:val="28"/>
          <w:rtl w:val="true"/>
          <w:lang w:bidi="ar-SA"/>
        </w:rPr>
        <w:t xml:space="preserve">. </w:t>
      </w:r>
      <w:bookmarkStart w:id="102" w:name="pg8898_139203"/>
    </w:p>
    <w:p>
      <w:pPr>
        <w:pStyle w:val="BookText"/>
        <w:rPr/>
      </w:pPr>
      <w:bookmarkEnd w:id="102"/>
      <w:r>
        <w:rPr>
          <w:rFonts w:ascii="Amiri" w:hAnsi="Amiri" w:eastAsia="Amiri" w:cs="Amiri"/>
          <w:color w:val="111111"/>
          <w:sz w:val="28"/>
          <w:sz w:val="28"/>
          <w:szCs w:val="28"/>
          <w:rtl w:val="true"/>
          <w:lang w:bidi="ar-SA"/>
        </w:rPr>
        <w:t>ويرى هؤلاء المستشرقون أيضًا أنّ الإسلام يشجّع العبوديّة؛ والدليل على ذلك أنّه لم يحارب العبوديّة بشكلٍ جذريٍّ، بل تدرّج في ذلك بشكلٍ متوانٍ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إشارات مضمرة إلى وضعيّة المرأة السّيّئة في الإسلام؛ إذ لم تبلغ درجة التحرّر كما في المجتمعات الغربية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الرّدّ على ذلك أنّ الإسلام قد سوّى بين العبيد والأحرار، فقد كان بلال المؤذّن صحابيًا مقرّبًا من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فقد نفر الإسلام من العبودية بمختلف أشكالها وأنواعها، كما يتبيّن ذلك جليًّا في القرآن الكريم وأحاديث الرسول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يخصّ المرأة، فقد كرّمها الإسلام باعتبارها أنثى، وأُمَّا، وأختًا، وبنتًا، وزوجةً، وعمّةً، وخالةً، 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أعطى لها جميع الحقوق، وفرض عليها مجموعة من الواجبات، وقد شرّفها بحجابها السّاتر، ودينها الحامي، ولم يجعلها عرضة الاستغلال المادي البشع، ولم يتركها في واجهات المتاجر عاريةً عرضةً لأعين النّاس، يتلذّذون بها اشتهاءً واستهواءً وغريزةً حتى أصبحت المرأة الغربيّة كائنًا لاقيمة له، يباع في الأسواق مثل السّلع المادّيّة الرّخيصة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هذا كلّه أن ثمّة دراساتٍ وأبحاثًا كثيرةً في موسوعة ليدن القرآنيّة تتّصف بالموضوعيّة والعلميّة من جهة، وهناك دراساتٌ مغرضةٌ ومضلّلةٌ ومشوّهةً للقرآن والإسلام على حدٍّ سواء</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935493_2870459653"/>
      <w:bookmarkStart w:id="104" w:name="_Toc38"/>
      <w:bookmarkEnd w:id="103"/>
      <w:r>
        <w:rPr>
          <w:rtl w:val="true"/>
        </w:rPr>
        <w:t>ثالثًا</w:t>
      </w:r>
      <w:r>
        <w:rPr>
          <w:rtl w:val="true"/>
        </w:rPr>
        <w:t xml:space="preserve">: </w:t>
      </w:r>
      <w:r>
        <w:rPr>
          <w:rtl w:val="true"/>
        </w:rPr>
        <w:t>تفسير القرآن حسب مقدّمة موسوعة ليدن</w:t>
      </w:r>
      <w:bookmarkEnd w:id="104"/>
    </w:p>
    <w:p>
      <w:pPr>
        <w:pStyle w:val="Heading5"/>
        <w:numPr>
          <w:ilvl w:val="4"/>
          <w:numId w:val="1"/>
        </w:numPr>
        <w:rPr/>
      </w:pPr>
      <w:bookmarkStart w:id="105" w:name="__RefHeading___Toc935495_2870459653"/>
      <w:bookmarkStart w:id="106" w:name="_Toc39"/>
      <w:bookmarkEnd w:id="105"/>
      <w:r>
        <w:rPr>
          <w:rtl w:val="true"/>
        </w:rPr>
        <w:t>اشارة</w:t>
      </w:r>
      <w:bookmarkEnd w:id="10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استهلّت موسوعة ليدن للقرآن بمقدّمة تمهيديّة تناولت تفسير القرآن الكريم، فيها بعض الشّبهات التي تتعلّق مصدريّة القرآن الكريم، وما أثار ذلك من جدالٍ وخلافٍ بين العلماء المسلمين، ولا سيما فيما يتعلّق بقضيّة ترتيب سور القرآن الكريم وآياته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فقد عرف تفسير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موسوعة لیدن للقرآن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المراحل التي يمكن حصرها فيما يلي</w:t>
      </w:r>
      <w:r>
        <w:rPr>
          <w:rFonts w:eastAsia="IRNazanin" w:cs="IRNazanin"/>
          <w:color w:val="111111"/>
          <w:sz w:val="28"/>
          <w:szCs w:val="28"/>
          <w:rtl w:val="true"/>
          <w:lang w:bidi="fa-IR"/>
        </w:rPr>
        <w:t xml:space="preserve">: </w:t>
      </w:r>
      <w:bookmarkStart w:id="107" w:name="pg8898_139204"/>
    </w:p>
    <w:p>
      <w:pPr>
        <w:pStyle w:val="Heading5"/>
        <w:numPr>
          <w:ilvl w:val="4"/>
          <w:numId w:val="1"/>
        </w:numPr>
        <w:rPr/>
      </w:pPr>
      <w:bookmarkStart w:id="108" w:name="__RefHeading___Toc935497_2870459653"/>
      <w:bookmarkStart w:id="109" w:name="_Toc40"/>
      <w:bookmarkEnd w:id="107"/>
      <w:bookmarkEnd w:id="108"/>
      <w:r>
        <w:rPr>
          <w:rtl w:val="true"/>
        </w:rPr>
        <w:t>الفرع الأوّل</w:t>
      </w:r>
      <w:r>
        <w:rPr>
          <w:rtl w:val="true"/>
        </w:rPr>
        <w:t xml:space="preserve">: </w:t>
      </w:r>
      <w:r>
        <w:rPr>
          <w:rtl w:val="true"/>
        </w:rPr>
        <w:t>مرحلة شرح الكلمات والمفردات</w:t>
      </w:r>
      <w:bookmarkEnd w:id="109"/>
    </w:p>
    <w:p>
      <w:pPr>
        <w:pStyle w:val="BookText"/>
        <w:rPr/>
      </w:pPr>
      <w:r>
        <w:rPr>
          <w:rFonts w:ascii="IRNazanin" w:hAnsi="IRNazanin" w:eastAsia="IRNazanin"/>
          <w:color w:val="111111"/>
          <w:sz w:val="28"/>
          <w:sz w:val="28"/>
          <w:szCs w:val="28"/>
          <w:rtl w:val="true"/>
          <w:lang w:bidi="fa-IR"/>
        </w:rPr>
        <w:t>لقد استوجب القرآن الكريم الذي أنزل على النّبيّ محمد صلّی الله علیه و آله أن تشرح مضامينه، وتفسّر آياته، فكان من الواجب على المفسّرين والشّرّاح وعلماء الدّين والحديث التّوقّف عند سور القرآن الكريم وآياته بالشّرح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فقد شکّل شرح المفردات، وتفسير الكلمات الصعبة، المهمّة الأولى التي ينبغي أن يقوم بها المفسّرون، بالرّجوع إلى الشّعر الجاهلي الذي كان يتضمّن معاني لغة العرب الأصيلة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جمع القواميس والمعاجم لتسهيل عمليّة الشّرح والتفسير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الصّدد، تقول دائرة المعارف القرآنيّة بليدن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أنتج القرآن تُراثًا طويلًا من المعرفة، وهذا بحدّ ذاته إشارةٌ أخرى إلى التبجيل الذي يُحيطُ 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الرّغم من أنّ تاريخ الإعلان عن النصّ ونقله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علاقة هذا التّاريخ بأولى محاولات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محلَّ جدالٍ علميّ؛ فلا شكَّ في أنّ الأسئلة عن النصّ نفسه والتدبُّر في معناه كانا حاضرَين في البيئة القرآنيّة منذ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من غير المفاجئ أنْ نُلاحظ أنّ القضايا اللغويّة قد تصدّرت الأولويّة، وتمثّلتْ أولى الجهود الرّامية إلى التحليل أو التفسير بتقديم معاني الكلمات الغامضة وشرحها؛ كما هو الحال مع النّصوص المقروءة؛ حيث برزت قراءاتٌ عدّة، وأدّى عددها المتنامي وتنوّعها في النّهاية إلى اتّخاذ خطواتٍ نحو تنظيمها؛ إذ لم يكن جميعُ المستمِعين الأوائل مُجهَّزين بنحوِ مُتساوٍ لفهم طبيعة الخطاب القرآنيّ الإضماريّة أحيانًا، والتي تطلَّبتْ في بعض الآياتٍ تعليقاتٍ تفسيريّة؛ كما في الفقرات الأخرى ذات الطبيعة لتلميحيّة</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ويعني هذا أنّ القرآن الكريم يتّسم بخطابٍ تلميحيٍّ وإضماريٍّ قائمٍ على التّكثيف والإيجاز، ويتطلّب هذا معرفةً بمضامين القرآن ومعانيه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يستوجب أن تُفكّك لغته البيانيّة، وتُشرح معانيه بدقّةٍ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اتّجه تفسير القرآن الكريم، أوّلًا، إلى المشكل اللّغويّ، بكشف مفردات القرآن، واستجلاء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ظهر ما يُسمّى بشرح لغة القرآن الكريم</w:t>
      </w:r>
      <w:r>
        <w:rPr>
          <w:rFonts w:eastAsia="Amiri" w:cs="Amiri" w:ascii="Amiri" w:hAnsi="Amiri"/>
          <w:color w:val="111111"/>
          <w:sz w:val="28"/>
          <w:szCs w:val="28"/>
          <w:rtl w:val="true"/>
          <w:lang w:bidi="ar-SA"/>
        </w:rPr>
        <w:t xml:space="preserve">. </w:t>
      </w:r>
      <w:bookmarkStart w:id="110" w:name="pg8898_139205"/>
    </w:p>
    <w:p>
      <w:pPr>
        <w:pStyle w:val="Heading5"/>
        <w:numPr>
          <w:ilvl w:val="4"/>
          <w:numId w:val="1"/>
        </w:numPr>
        <w:rPr/>
      </w:pPr>
      <w:bookmarkStart w:id="111" w:name="__RefHeading___Toc935499_2870459653"/>
      <w:bookmarkStart w:id="112" w:name="_Toc41"/>
      <w:bookmarkEnd w:id="110"/>
      <w:bookmarkEnd w:id="111"/>
      <w:r>
        <w:rPr>
          <w:rtl w:val="true"/>
        </w:rPr>
        <w:t>الفرع الثاني</w:t>
      </w:r>
      <w:r>
        <w:rPr>
          <w:rtl w:val="true"/>
        </w:rPr>
        <w:t xml:space="preserve">: </w:t>
      </w:r>
      <w:r>
        <w:rPr>
          <w:rtl w:val="true"/>
        </w:rPr>
        <w:t>مرحلة التعليق على الآيات القرآنيّة</w:t>
      </w:r>
      <w:bookmarkEnd w:id="112"/>
    </w:p>
    <w:p>
      <w:pPr>
        <w:pStyle w:val="BookText"/>
        <w:rPr/>
      </w:pPr>
      <w:r>
        <w:rPr>
          <w:rFonts w:ascii="Amiri" w:hAnsi="Amiri" w:eastAsia="Amiri" w:cs="Amiri"/>
          <w:color w:val="111111"/>
          <w:sz w:val="28"/>
          <w:sz w:val="28"/>
          <w:szCs w:val="28"/>
          <w:rtl w:val="true"/>
          <w:lang w:bidi="ar-SA"/>
        </w:rPr>
        <w:t>لم يكتفِ المفسّرون بشرح الكلمات القرآنيّة الصّعبة في سياقها اللّغويّ والتّداوليّ عند العرب، بل كانوا يعلّقون على الآيات ويُفسّرونها ببعض الملاحظات والتعليقات المهمّة التي تُضيء النّصّ القرآنيّ، وتشرح حيثيّاته التّاريخيّة والسّياقيّة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التعليق تقديم ملاحظات حول الآية بشكلٍ تفسيريٍّ وتنبيهيٍّ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المستمعين الأوائل مُجهَّزين بنحوِ مُتساوٍ لفهم طبيعة الخطاب القرآنيّ الإضماريّة أحيانًا، والتي تطلَّبتْ في بعض الآيات تعليقاتٍ تفسيريّة؛ كما في الفقرات الأخرى ذات الطبيعة التلميحيّة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ويعني هذا أن هناك تعليقات من طبيعة الشروح، وتعليقات تفسيرية، وتعليقات تلميحية في شكل ملاحظات وتلميحات، وتوضيحات</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935501_2870459653"/>
      <w:bookmarkStart w:id="114" w:name="_Toc42"/>
      <w:bookmarkEnd w:id="113"/>
      <w:r>
        <w:rPr>
          <w:rtl w:val="true"/>
        </w:rPr>
        <w:t>الفرع الثالث</w:t>
      </w:r>
      <w:r>
        <w:rPr>
          <w:rtl w:val="true"/>
        </w:rPr>
        <w:t xml:space="preserve">: </w:t>
      </w:r>
      <w:r>
        <w:rPr>
          <w:rtl w:val="true"/>
        </w:rPr>
        <w:t>مرحلة التفسير العلمي</w:t>
      </w:r>
      <w:bookmarkEnd w:id="114"/>
    </w:p>
    <w:p>
      <w:pPr>
        <w:pStyle w:val="BookText"/>
        <w:rPr/>
      </w:pPr>
      <w:r>
        <w:rPr>
          <w:rFonts w:ascii="Amiri" w:hAnsi="Amiri" w:eastAsia="Amiri" w:cs="Amiri"/>
          <w:color w:val="111111"/>
          <w:sz w:val="28"/>
          <w:sz w:val="28"/>
          <w:szCs w:val="28"/>
          <w:rtl w:val="true"/>
          <w:lang w:bidi="ar-SA"/>
        </w:rPr>
        <w:t>ظهرت مرحلة التفسير العلمي للقرآن الكريم بالإجابة عن الأسئلة الكبرى المتعلقة بالقرآن الكريم، بالتّوقّف عند أسباب نزول السّور والآيات، ودراسة العلاقة التناسبيّة بين الآية والمقام التّداوليّ، ودراسة لسانيات النّصّ القرآنيّ، وفهم المعاني الظّاهرة والمضمرة، والبحث عن مدلولات الآيات ومقاصدها المباشرة وغير المباشرة، والتّوقّف عند السّياق القرآنيّ، والاهتمام بالبلاغة الإعجازيّة للقرآن الكريم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وسُرعان ما برزتْ أسئلةٌ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نزلت بعض الآيات وفي أيّ ظروف؟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إحدى الكلمات أو العبارات الغامضة ؟ إلى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ضميرٌ محدَّد؟ مَنْ هو المخاطَب في فقرةٍ معيَّنةٍ، وعلى مَنْ تنطبق هذه الفقرة؛ هل على جميع المؤمنين في الحاضر والمستقبل، أم على مجموعةٍ محدَّدة من الأفراد؟ هل معنى الآية مجازيّ أم ينبغي فهمه حرفيًّا؟ هل جميعُ أقسام القرآن قابلة للفهم بشكلٍ متساوٍ، أم إنّ الغموض والالتباس متأصِّلان في بعضها؟ هل ثمّة صِلاتٌ بين الآيات داخل السورة أو بين الآيات المنثورة في مواضع </w:t>
      </w:r>
      <w:bookmarkStart w:id="115" w:name="pg8898_139206"/>
    </w:p>
    <w:p>
      <w:pPr>
        <w:pStyle w:val="BookText"/>
        <w:rPr/>
      </w:pPr>
      <w:bookmarkEnd w:id="115"/>
      <w:r>
        <w:rPr>
          <w:rFonts w:ascii="Amiri" w:hAnsi="Amiri" w:eastAsia="Amiri" w:cs="Amiri"/>
          <w:color w:val="111111"/>
          <w:sz w:val="28"/>
          <w:sz w:val="28"/>
          <w:szCs w:val="28"/>
          <w:rtl w:val="true"/>
          <w:lang w:bidi="ar-SA"/>
        </w:rPr>
        <w:t>مُختلفة من القرآن؟ هل يُكن لفقرةٍ في مكانٍ آخر من النصِّ القرآني أنْ تُساعدنا في فهم الفقرة التي نبحثها حاليًا؟ هل ثمّة مستوياتٌ أو طبقاتٌ للمعنى في النصّ، و هل هي مُتاحة للأفراد الذين خضعوا لتدريبٍ فكريّ أو روحيّ خاصّ فقط؟ من الواضح أنّ الدافع وراء تعدُّد الأسئلة في ميدان التفسير لم يكن مجرَّد اهتمامٍ علميٍّ بالكتاب المقدَّس؛ ولذا، فقد وُجِّه الإلحاح إلى أصحاب المعرفة الكلّيّة أو الدقيقة بالقرآن؛ لتقديم إجاباتٍ عن الأسئلة المهمّة المتعلّقة بالسّلوك الفرديّ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فُهمت آيات القرآن على أنّها كلام الله المباشر، وعليه؛ فقد كانت الهادية إلى الممارسات الاجتماعيّة والدّينيّة داخل المجتمع الإسلاميّ الوليد؛ ما جعل الفهم الصحيح للنصّ القرآنيّ أمرًا ضروريًّا؛ من أجل تطبيقه بشكلٍ مناسب، على الرغم من أنّ معالم هذا التّاريخ المبكِّر ما زالت موضعَ جدلٍ علميّ</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ويعني هذا كلّه أنّ تفسير القرآن الكريم قد ارتبط بشرح الآيات، واقترن أيضًا بمبحث الالتفات، والاستعانة بأصول الفقه، ودراسة أسباب النزول، والعناية بعلوم البلاغة، والتركيز على النّحو وفقه اللّغة، والتّوقّف عند لسانيات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الانفتاح على علم النّفس وعلم الاجتماع الإنسانيّ والسّلوكيّ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أهمّ علم يستوجبه تفسير القرآن الكريم هو وضع آليات التّشريع الإسلاميّ الفقهيّ والعقديّ والعمليّ</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935503_2870459653"/>
      <w:bookmarkStart w:id="117" w:name="_Toc43"/>
      <w:bookmarkEnd w:id="116"/>
      <w:r>
        <w:rPr>
          <w:rtl w:val="true"/>
        </w:rPr>
        <w:t>رابعًا</w:t>
      </w:r>
      <w:r>
        <w:rPr>
          <w:rtl w:val="true"/>
        </w:rPr>
        <w:t xml:space="preserve">: </w:t>
      </w:r>
      <w:r>
        <w:rPr>
          <w:rtl w:val="true"/>
        </w:rPr>
        <w:t>شبهات موسوعة ليدن القرآنيّة</w:t>
      </w:r>
      <w:bookmarkEnd w:id="117"/>
    </w:p>
    <w:p>
      <w:pPr>
        <w:pStyle w:val="BookText"/>
        <w:rPr/>
      </w:pPr>
      <w:r>
        <w:rPr>
          <w:rFonts w:ascii="Amiri" w:hAnsi="Amiri" w:eastAsia="Amiri" w:cs="Amiri"/>
          <w:color w:val="111111"/>
          <w:sz w:val="28"/>
          <w:sz w:val="28"/>
          <w:szCs w:val="28"/>
          <w:rtl w:val="true"/>
          <w:lang w:bidi="ar-SA"/>
        </w:rPr>
        <w:t>لقد كان المستشرقون الغربيون، ومحرّرو موسوعة ليدن القرآنيّة، يرون، في دراسة القرآن الكريم، وسيلةً إجرائيّةً مهمّةً للتعرّف إلى الإسلام والمسلمين، بعدما انتشر الإسلام بشكلٍ كبيرٍ في معظم أصقاع العالم، بما فيها البلدان الأوروبية كإسبانيا في مرحلة الدّولة الأندلسيّة، ودول البلقان في عهد الدّولة العثمانيّة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تأكّد لديهم أنّ القرآن الكريم هو مصدر نهضتهم، ورقيّهم، ومجدهم، ووحدتهم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السّبب في توسّعهم وانتشارهم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يهدّد المدّ </w:t>
      </w:r>
    </w:p>
    <w:p>
      <w:pPr>
        <w:pStyle w:val="BookText"/>
        <w:rPr/>
      </w:pPr>
      <w:r>
        <w:rPr>
          <w:rFonts w:ascii="IRNazanin" w:hAnsi="IRNazanin" w:eastAsia="IRNazanin"/>
          <w:color w:val="111111"/>
          <w:sz w:val="28"/>
          <w:sz w:val="28"/>
          <w:szCs w:val="28"/>
          <w:rtl w:val="true"/>
          <w:lang w:bidi="fa-IR"/>
        </w:rPr>
        <w:t>الإسلامي التّوسّع المسيحي، بل يهدّد المسيحيّة حتى في عقر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قرّر المستشرقون الغربيون أن يدرسوا القرآن الكريم من مختلف جوانبه، بالنّبش في معارفه المتنوّعة، وبحوثه المتعدّدة، ومعالمه الواسعة، بالتّشكيك في القرآن الكريم، والطّعن في مصدريّة الكتاب الذي نقل شفاهيًّا من جيل لآخر، ولم يدوّن إلّا في مرحلةٍ تاريخيةٍ متأخّرةٍ على غرار أحاديث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السّعي الجاد إلى دراسة القرآن الكريم في ضوء دراساتٍ مقارنةٍ بالمصادر اليهوديّة والمسيحيّة والبوذيّة، أو مقارنة التّشريع القرآني بالقوانين الرومانيّة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يكمن هدف موسوعة ليدن القرآنيّة في إعادة النّظر في القرآن الكريم، وتفسيره تفسيرًا خاضعًا للمؤثّرات الإنجيليّة ،والتوراتيّة، والغرض من ذلك كلّه هو خدمة اللّاهوت والاستعمار والتبشير من أجل القضاء على وحدة العرب، وتمزيق لحمة الأمّة، واستغلال ثروات المسلمين بغية تعريضهم للهيمنة والتّكالب الاستعماري المباشر وغير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فقد بدأ المستشرقون الغربيون في دراسة مواضيع القرآن الكريم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والأكاديميّة الموضوعيّة، وإن كانت أغراضهم في ذلك مسيئةً ومعيبةً ومضلّلةً ومغرضةً تحرّكهم الأهواء الصليبيّة الحاقدة، وكراهيتهم للإسلام والمسلمين؛ مما جعلهم يتعمدون منهجيّة استشراقيّة ذاتيّة تدّعي الموضوعيّة ،العلميّة واعتماد المناهج المعاصرة في التحليل والتفكيك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نواياهم كانت عدوانيّةً مقيتةً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ويبدو أنّ الدّراسات والمقالات والأبحاث التي نشرتها موسوعة ليدن القرآنيّة ليست كلّها بكتابات علميّةٍ منصفةٍ حقيقيّةٍ، بل هي تأويلاتٌ وتفسيراتٌ وتعليقاتٌ وانتقاداتٌ مغرضةٌ لما يتضمّنه القرآن الكريم من محتويات ومضامين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أنّها لیست دراسات علمية أمينة للقرآن الكريم؛ لأنّ محرّري الموسوعة كانوا يفسّرون القرآن ويؤوّلونه حسب أهوائهم وأغراضهم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وينطبق هذا كلّه على ترجماتهم لمعاني القرآن الكريم وتفسيرها؛ حيث يصعب </w:t>
      </w:r>
    </w:p>
    <w:p>
      <w:pPr>
        <w:pStyle w:val="BookText"/>
        <w:rPr/>
      </w:pPr>
      <w:r>
        <w:rPr>
          <w:rFonts w:ascii="Amiri" w:hAnsi="Amiri" w:eastAsia="Amiri" w:cs="Amiri"/>
          <w:color w:val="111111"/>
          <w:sz w:val="28"/>
          <w:sz w:val="28"/>
          <w:szCs w:val="28"/>
          <w:rtl w:val="true"/>
          <w:lang w:bidi="ar-SA"/>
        </w:rPr>
        <w:t>الحديث عن إعجاز القرآن الكريم، إذا كنّا نركّز على المعنى دون الصياغة الأسلوبيّة والبيانيّة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يبدو أنّ عناوين تلك الترجمات القرآنيّة فيها مغالطات كبيرة، وبعيدة كلّ البُعد عن ترجمة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يقول محمد خروبات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جهة البحث العلمي يكون ذلك العمل من قبيل التّصرّف في المعاني التي جاء بها القرآن الكريم، خاصّة وأنّ الترجمة لا تراعي شيئًا سوى المعنى، وحين يستحضر هذا المعنى بطرقٍ معيّنةٍ يتمّ البحث في لغة من اللغات عن الألفاظ التي تتحمل ذلك المعنى، إلى هنا نستنتج استنتاجًا أوّليًّا هو أنّ هذه الأعمال هي تصرّفٌ في معاني القرآن الكريم باسم الترجمة، وأنّ الترجمة في النهاية هي ترجمة لمعاني القرآن وليست ترجمة للقرآن، إذا سلّمنا مبدئيًّا بأنّ هذه الظاهرة التي تزعّمها المستشرقون ترجمة لمعاني القرآن وليست هي القرآن، فإنّ هذا يتنافى مع البحث العلمي الدّقيق، ذلك أنّ محاولات التّصرّف في معاني قرآن المسلمين قد قيّد بضوابط وقواعد من قبل علماء المسلمين حتى يكون التّصرّف في معنى القرآن مضبوطاً، لأنّ الإخلال بهذه الوسائل من شأنه أن يُسيء إلى هذه المعاني بدلًا من خدمتها، وقد سبقت تجارب متعدّدة من قبل أهل الأهواء والمذاهب والتيّارات والفرق المشبوهة والمنحرفة، كلّها تصرّفت في المعنى، واستعملت وسائل تتماشى مع أهدافها وغاياتها في الوجود كانت كلّها محاولات للهدم، ولم تستطع أن تؤثّر في القرآن الكريم لا من قريب ولا من بعيد؛ لأنّ المسلمين تعاملوا مع هذا الإنتاج بمنطق الرّفض والرّد، وصنّفوه ضمن خانةٍ جاهزةٍ في علم التّفسير، وهي خانة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العقلي غير المقبول</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ويعني هذا كلّه أنّ ترجمات المستشرقين، أو تفسيرات محرّري موسوعة ليدن للقرآن الكريم، ليست ترجمات بالمعنى الحقيقي لكلمة الترجمة؛ لأنها مجرّد تصرّف في المعاني، وليست بالأحرى ترجمةً حرفيّةً أو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مقارباتٌ أو قراءاتٌ تأويليّةٌ لمعاني القرآن الكريم، تنطلق من ذات المستشرق التي تخضع، بدورها، للأهواء والاقتناعات والاعتقادات التي تشبّع بها المستشرق الغربي جزئيًّا أو كليًّا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نجد بعض المستشرقين يكتفون ببعض السّور، فيقومون بقراءتها وتأويلها </w:t>
      </w:r>
    </w:p>
    <w:p>
      <w:pPr>
        <w:pStyle w:val="BookText"/>
        <w:rPr/>
      </w:pPr>
      <w:r>
        <w:rPr>
          <w:rFonts w:ascii="Amiri" w:hAnsi="Amiri" w:eastAsia="Amiri" w:cs="Amiri"/>
          <w:color w:val="111111"/>
          <w:sz w:val="28"/>
          <w:sz w:val="28"/>
          <w:szCs w:val="28"/>
          <w:rtl w:val="true"/>
          <w:lang w:bidi="ar-SA"/>
        </w:rPr>
        <w:t>بمناهج مختلفة، أنثروبولوجية ونقديّة، وسوسيولوجيّة، وسيميائيّة، وموضوعاتيّة، ولاهوتيّة، ويرتّبونها حسب أهوائهم ترتيبًا موضوعاتيًّا، أو ترتيبًا تاريخيًّا، أو ترتيبًا حسب النّزول، وليس كالتّرتيب الذي يوجد في القرآن الكريم، وهدفهم من ذلك هو زعزعة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تلك المقاربات التأويليّة ليست بترجماتٍ للقرآن الكريم، ما دام التّصرّف في المعنى مقيّدًا بشروطٍ محدّدةٍ عند المسلمين، كأن لا يتعارض ذلك التّصرّف والاجتهاد مع مقاصد الشرّع الرّبّاني، وألّا يخلّ بالمعنى الكلّيّ للآية أو السّورة أو الهدف الكلي للشّريعة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تكن الترجمات الاستشراقية للقرآن الكريم ترجمات، بل هي تقريب لمعاني القرآن إمّا بطريقة مختصرة ومبتسرة، وإمّا بطريقة التحشية والإسهاب والتعليق عن طريق المقارنات التي ترجّح كفّة اللّاهوت على القرآن، بتزييف الحقائق المعطاة، وتشويه صورة الإسلام، والحكم على القرآن انطلاقاً من المصادر المسيحيّة واليهوديّة المحرّفة والمزوّرة والمشوّهة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لا تكشف هذه الترجمات لمعاني الكتاب، في الواقع، عن حقيقة الإعجاز القرآني الذي يتمثّل في بيانه وبلاغته، وتداوليته، وإيقاعه، وتنغيمه، وتأثيره المدهش بخطاب الترغيب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تكتفي التّرجمة الاستشراقيّة بإيراد المعنى الحقيقي للقرآن دون المعنى المجازي، بعزله عن سياقه المرجعي، وفصله عن سبب نزوله وتجريده من مقامه التشريعي الكلي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 فقد كانت الترجمة الاستشراقيّة مغرضةً ومنحرفةً ومضلّلةً يراد بها خدمة اللّاهوت والكنيسة الرّهبانيّة التي حرّفت الإنجيل لخدمة الأغراض الشخصيّة والمآرب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لم تخرج التّرجمة الاستشراقيّة عن التّرجمات الحرفيّة واللّفظيّة والقاموسيّة والتّفسيريّة التي تقف عند ظواهر النّصوص والآيات والسّور، دون أن تتعمّق في أبعادها الإيمانيّة والأخلاقيّة بغية تمثّل رسائلها المباشرة وغير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إنّها لم تقف عند لحظة الهداية ورسالة التبشير الموجّهة إلى النّاس كافّة، بل كانت هذه التّرجمات تقف عقبةً أمام هذه الرّسالة النّيّرة الرّشيدة، لتمنع </w:t>
      </w:r>
    </w:p>
    <w:p>
      <w:pPr>
        <w:pStyle w:val="BookText"/>
        <w:rPr/>
      </w:pPr>
      <w:r>
        <w:rPr>
          <w:rFonts w:ascii="Amiri" w:hAnsi="Amiri" w:eastAsia="Amiri" w:cs="Amiri"/>
          <w:color w:val="111111"/>
          <w:sz w:val="28"/>
          <w:sz w:val="28"/>
          <w:szCs w:val="28"/>
          <w:rtl w:val="true"/>
          <w:lang w:bidi="ar-SA"/>
        </w:rPr>
        <w:t>رحيقها العذب عن المسيحيين المغرّر بهم لكي لا يذوقوا ثمرتها الحلوة، على أساس أنّ الإسلام هو آخر دينٍ سماوي ينبغي أن يتمثّله كلّ إنسانٍ فوق هذه البسيطة لكي ينال رضا الله وجّنته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علاوة على ذلك، ترى موسوعة ليدن لمعارف القرآن أنّ الحركة التفسيريّة قد نشطت في القرن الأوّل والقرن الثاني للهجرة، وكان التفسير شفهيًّا، يعتمد على الرّواية والسّماع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أثار التفسير جدالًا إشكاليًّا في هذه الفترة الزّمنيّة يخصّ ترتيل القرآن، واختلاف القراءات، وترتيب السّور والآيات، والتشكيك في مصدريّة الكتاب لوجود مادة سرديّة تشبه سرديّة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تريد الموسوعة أن تشكّك في مصداقيّة القرآن الكريم بإثارة هذا الجدال والاختلاف حول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ناهيك عن كون القرآن سجلًّا من المقتبسات والمستنسخات من الإنجيل، والتوراة، وسير القديسين، والأساطير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تقول الموسوعة بأنّ القرآن الكريم كتابُ أساطير، فإنّها تعني أنّه كتاب فيه خرافات، وأوهام، وكلام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يردّد الكتاب ما قاله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فالإنجيل أصل، والقرآن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هذا، فالإنجيل كتاب حق، والقرآن كلام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تقول موسوعة ليدن لمعارف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حينما نعرضُ بشكل موجَزٍ المراحل المبكّرة التي شهدت الإعلان عن القرآن وتفسيره، لا تسعنا إلا الإشارة إلى الجدليّات وعدم تناولها بشكلٍ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عديدٌ من الباحثين أنّ المراحل الأولى للإعلان والتفسير القرآنيّ كانت شفهيّةً وأنّها كانت مرتبطةً بعضها ببعض</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سبيل المثال، من المحتمل أنّ القارئ كان يتوقّفُ خلال ترتيله للنصّ ويُقدِّم معاني الكلمات التي يجهلها المستمعون، وقد يربط بين قسمٍ من القرآن وغيره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ينطق بتوضيحات قصيرة من أجل تفسير الفقرات التي تبدو تلميحيّةً أو إضماريّةً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عمليّةُ سرد القصص إحدى العادات الرائجة خلال القرون الأولى، ويبدو أنّ التلاوة القرآنيّة ترافقتْ بشكلٍ مكثَّف مع سرد روایاتٍ </w:t>
      </w:r>
    </w:p>
    <w:p>
      <w:pPr>
        <w:pStyle w:val="BookText"/>
        <w:rPr/>
      </w:pPr>
      <w:r>
        <w:rPr>
          <w:rFonts w:ascii="Amiri" w:hAnsi="Amiri" w:eastAsia="Amiri" w:cs="Amiri"/>
          <w:color w:val="111111"/>
          <w:sz w:val="28"/>
          <w:sz w:val="28"/>
          <w:szCs w:val="28"/>
          <w:rtl w:val="true"/>
          <w:lang w:bidi="ar-SA"/>
        </w:rPr>
        <w:t>تستندُ إلى مخزونٍ مُشترك من المادّة الإنجيليّة وسِيَر القدّيسين والأساطير</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ذلك، تثير الموسوعة إشكال الشفهيّة والتّدوين على أساس أنّ القرآن لم يدوّن إلّا في مرحلةٍ متأخّرةٍ، وأنّه نقل بطريقة الرّواية الشّفهيّة، ولم يدوّن إلّا في مرحلةٍ زمنيّةٍ 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الطّعن واضحٌ وجليٌّ في مصداقيّة النّصّ القرآني، والتّشكيك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كان هناك من يدوّن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فقد جُمع أوراقًا في مجموعةٍ من المصاحف في عهد أبي بكر، وعمر بن الخطاب، وعثمان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هذا فقد كانت رواية القرآن الكريم متواترةً جماعةً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تميّز القرآن بقداسة الحفظ من الله تعالى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لَحفِظُونَ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يثير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الصّلة بين مرحلتي النّقل الشَّفهيّ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 وبين التّدوين وطرح السّؤال عمّ إذا كانت العمليّة مُتزامنةً أم متتالية؛ جميعَ نقاط الاهتمام المذكورة آنفًا، حيث إنّ أغلب المعرفة التّقليديّة حول هذه الحقبة تُستخرج من مصادر متأخّرةٍ زمنيًّا، وما يُصعَّبُ الأمر أكثر هو النُّدرة في المادّة المدوّنة التي يُمكن نسبتُها بشكلٍ قاطعٍ إلى القرن الإسلاميّ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بعضُ الباحثين إلى هذه الحقبة بصفتها فترةً مُثيرةً للاهتمام، حيث شهدت تغييراتٍ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سياسيّة سريعة وقد ذكرها المؤرّخون المسلمون المتأخِّرون بشكلٍ وافٍ ومُعتمَد، بينما يعتبرُ باحثون آخرون أنّها كانتْ حقبةً طُبعت بالاقتتال الطائفيّ الشَّديد، ولا يُمكن النّظر إلى تفاصيلها الزّمنيّة والجغرافيّة إلا بشكلٍ ضبابيّ، بينما هناك مجموعةٌ من الآراء البحثيّة التي تقعُ بين هذين الطرفين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فقد احتوت مقالات و دراسات وتفاسير موسوعة ليدن مجموعة من الشبهات الذّكيّة المتوارية عن الأنظار؛ حيث من الصّعب إدراكها بسهولةٍ إلّا بالتّوقّف عند الكلمات والعبارات بشكلٍ متأنّ ، وفحصها بمنهاجٍ علميًّ صارمٍ ودقيقٍ </w:t>
      </w:r>
    </w:p>
    <w:p>
      <w:pPr>
        <w:pStyle w:val="BookText"/>
        <w:rPr/>
      </w:pPr>
      <w:r>
        <w:rPr>
          <w:rFonts w:ascii="Amiri" w:hAnsi="Amiri" w:eastAsia="Amiri" w:cs="Amiri"/>
          <w:color w:val="111111"/>
          <w:sz w:val="28"/>
          <w:sz w:val="28"/>
          <w:szCs w:val="28"/>
          <w:rtl w:val="true"/>
          <w:lang w:bidi="ar-SA"/>
        </w:rPr>
        <w:t xml:space="preserve">بغية ردّ الشّبهات، والطّعن في افتراءات المستشرقين الغربيين، ومن والاهم من الباحثين المسلمين الذين كانوا يتزايدون على الإسلام، ويفترون الأكاذيب والأوهام والترّهات باسم المناهج العلميّة النّصيّة والتّطبيقيّة، كما نجد ذلك واضحًا عند محمد أركون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islamique (Paris, Maisonneuve et Larose, 1973; 2e éd. 1984); La Pensée arabe, (Paris, Que sais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PUF, 1975; 7e édition, Paris, Quadrige, PUF, 2008); Lectures du Coran (Paris, Maisonneuve et</w:t>
      </w:r>
    </w:p>
    <w:p>
      <w:pPr>
        <w:pStyle w:val="BookText"/>
        <w:rPr/>
      </w:pPr>
      <w:r>
        <w:rPr>
          <w:rFonts w:eastAsia="Times New Roman" w:cs="Times New Roman" w:ascii="Times New Roman" w:hAnsi="Times New Roman"/>
          <w:color w:val="111111"/>
          <w:sz w:val="28"/>
          <w:szCs w:val="28"/>
          <w:lang w:val="en-US" w:bidi="en-US"/>
        </w:rPr>
        <w:t>Larose, 1982; 2e éd. Tunis, Alif, 1991; 3e éd. Paris, Albin Michel, 2016); Pour une critique de la raison</w:t>
      </w:r>
    </w:p>
    <w:p>
      <w:pPr>
        <w:pStyle w:val="BookText"/>
        <w:rPr/>
      </w:pPr>
      <w:r>
        <w:rPr>
          <w:rFonts w:eastAsia="Times New Roman" w:cs="Times New Roman" w:ascii="Times New Roman" w:hAnsi="Times New Roman"/>
          <w:color w:val="111111"/>
          <w:sz w:val="28"/>
          <w:szCs w:val="28"/>
          <w:lang w:val="en-US" w:bidi="en-US"/>
        </w:rPr>
        <w:t>islamique (Paris, Maisonneuve et Larose, 1984)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وسلمان رشدي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سبيل التمثيل، لا الحصر</w:t>
      </w:r>
      <w:r>
        <w:rPr>
          <w:rFonts w:eastAsia="Amiri" w:cs="Amiri" w:ascii="Amiri" w:hAnsi="Amiri"/>
          <w:color w:val="111111"/>
          <w:sz w:val="28"/>
          <w:szCs w:val="28"/>
          <w:rtl w:val="true"/>
          <w:lang w:bidi="ar-SA"/>
        </w:rPr>
        <w:t>.</w:t>
      </w:r>
      <w:bookmarkStart w:id="118" w:name="pg8898_139213"/>
    </w:p>
    <w:p>
      <w:pPr>
        <w:pStyle w:val="Heading3"/>
        <w:numPr>
          <w:ilvl w:val="2"/>
          <w:numId w:val="1"/>
        </w:numPr>
        <w:rPr/>
      </w:pPr>
      <w:bookmarkStart w:id="119" w:name="__RefHeading___Toc935505_2870459653"/>
      <w:bookmarkStart w:id="120" w:name="_Toc44"/>
      <w:bookmarkEnd w:id="118"/>
      <w:bookmarkEnd w:id="119"/>
      <w:r>
        <w:rPr>
          <w:rtl w:val="true"/>
        </w:rPr>
        <w:t>الخاتمة</w:t>
      </w:r>
      <w:bookmarkEnd w:id="120"/>
    </w:p>
    <w:p>
      <w:pPr>
        <w:pStyle w:val="BookText"/>
        <w:rPr/>
      </w:pPr>
      <w:r>
        <w:rPr>
          <w:rFonts w:ascii="Amiri" w:hAnsi="Amiri" w:eastAsia="Amiri" w:cs="Amiri"/>
          <w:color w:val="111111"/>
          <w:sz w:val="28"/>
          <w:sz w:val="28"/>
          <w:szCs w:val="28"/>
          <w:rtl w:val="true"/>
          <w:lang w:bidi="ar-SA"/>
        </w:rPr>
        <w:t>وخلاصة القول، لقد اتّجهت دائرة معارف ليدن إلى دراسة القرآن الكريم في ضوء تحليل المضمون الذي يُعنى باستكشاف المضامين والموضوعات والتيمات التي يتضمّنها الخطاب اللّاهوتي بصفةٍ عامةٍ، والخطاب القرآني بصفةٍ خاصةٍ، بالتّوقّف عند مختلف المواضيع والقضايا التي تناولها القرآن على مستوياتٍ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دينيّة، وسياسيّة، واجتماعيّة، واقتصادية، وتاريخية، وعلميّة، وثقافيّة، وحضاريّة، وعمرانيّة، وبحثيّة، وقانونيّة، وتشريعيّة، وعقديّة، وأدبيّة، وفنّيّة، وجماليّة، وإنسانيّة، وجندريّة، وتوثيقيّة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تمثّل محرّرو موسوعة ليدن للقرآن منهجيّةً أكاديميّةً واضحةً، تتأرجح بين النّظريّة والتّطبيق، باستعمال مقاربات نصيّة وعمليّة لتحليل الخطاب القرآني في علاقةٍ وثيقةٍ بالنّصّ في حدّ ذاته من جهة، وفي علاقته الوطيدة بالإنسان والمجتمع والدين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يحضر التفكيك والتقويض والتّركيب في معظم هذه الدّراسات الاستشراقيّة الأكاديميّة الوازنة والقيّمة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تتضمّن الموسوعة القرآنيّة، بطريقةٍ مباشرةٍ وغير مباشرة، آراء تناصيّة وإحاليّة، تعزى لميشل فوكو، وجاك ديريدا،</w:t>
      </w:r>
    </w:p>
    <w:p>
      <w:pPr>
        <w:pStyle w:val="BookText"/>
        <w:rPr/>
      </w:pPr>
      <w:r>
        <w:rPr>
          <w:rFonts w:ascii="Amiri" w:hAnsi="Amiri" w:eastAsia="Amiri" w:cs="Amiri"/>
          <w:color w:val="111111"/>
          <w:sz w:val="28"/>
          <w:sz w:val="28"/>
          <w:szCs w:val="28"/>
          <w:rtl w:val="true"/>
          <w:lang w:bidi="ar-SA"/>
        </w:rPr>
        <w:t>وإدوارد سعيد، وجيل دولوز، وغيرهم من فلاسفة الاختلاف والتقويض المنهجي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تبيّن لنا أنّ موسوعة ليدن القرآنيّة قد استندت إلى منهجيةٍ علميّةٍ وأكاديميّةٍ وبحثيّةٍ دقيقةٍ، فيها نوعٌ من الموضوعيّة الرّصينة والدّقيقة، والحياد العلمي النّزيه، وفيها أيضًا نوعٌ من الإنصاف للمسلمين والقرآن الكريم على حدٍّ سواء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نفسه، هناك بعض الدّراسات الأكاديميّة المضلّلة والمغرضة التي تثير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الشّبهات والتشكيك في نفوس القرّاء الذين لم يتمكّنوا بعد من اللّغة العربیة، ومن ثقافة الإسلام وحضارته، أو قد أدركوا حقيقة الإسلام، ولكنّهم لا يستطيعون فهم مقصديات المستشرقين الظّاهرة والباطنة، واستيعاب تلميحاتهم وإشاراتهم المغرضة الذّكيَّة المتوارية عن عقول الكثير من الباحثين والدّارسين للإسلام بصفةٍ عامّةٍ، والقرآن الكريم بصفةٍ خاصّةٍ</w:t>
      </w:r>
      <w:r>
        <w:rPr>
          <w:rFonts w:eastAsia="IRNazanin" w:cs="IRNazanin"/>
          <w:color w:val="111111"/>
          <w:sz w:val="28"/>
          <w:szCs w:val="28"/>
          <w:rtl w:val="true"/>
          <w:lang w:bidi="fa-IR"/>
        </w:rPr>
        <w:t xml:space="preserve">. </w:t>
      </w:r>
      <w:bookmarkStart w:id="121" w:name="pg8898_139215"/>
    </w:p>
    <w:p>
      <w:pPr>
        <w:pStyle w:val="Heading3"/>
        <w:numPr>
          <w:ilvl w:val="2"/>
          <w:numId w:val="1"/>
        </w:numPr>
        <w:rPr/>
      </w:pPr>
      <w:bookmarkStart w:id="122" w:name="__RefHeading___Toc935507_2870459653"/>
      <w:bookmarkStart w:id="123" w:name="_Toc45"/>
      <w:bookmarkEnd w:id="121"/>
      <w:bookmarkEnd w:id="122"/>
      <w:r>
        <w:rPr>
          <w:rtl w:val="true"/>
        </w:rPr>
        <w:t>المصادر والمراجع</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برواية ورش عن نافع عن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المراجع باللغة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عمار عبد الجليل عبد الخالق، الاستشراق وصناعة الفكر الهدام، دار آمنة للنشر والتوزيع، طبعة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بول ريكور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والزمان والسرد،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الغانمي، المركز الثقافي العربي، الدار البيضاء، المغرب، الطبعة الأولى سنة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الشعر الجاهلي، دار الكتب المصرية، القاهرة، مصر، الطبعة الأولى سنة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الكريم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البحث العلمي في علوم التربية والعلوم الإنسانية، منشورات عالم التربية، مطبعة النجاح الجديدة، الدار البيضاء، المغرب، الطبعة الأولى سنة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خروبات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والعلوم الإسلامية بين نقلانية التأصيل وعقلانية التأويل، المطبعة والوراقة الوطنية، مراكش، المغرب، الطبعة الأولى سنة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المراجع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Groupe D'entrevernes: Analyse sémiotique des textes.ED.Toubkal, Casablan- ca, 1987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Janne Dammen MC Auliffe: Encyclopedia of the Quran, Leiden, Brill, Hol- lande,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Mohammed Arkoun: Essais sur la pensée islamique (Paris, Maisonneuve et Larose, 1973; 2e éd. 1984)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Mohammed Arkoun: La Pensée arabe, (Paris, Que sais-je ? PUF, 1975; 7e édition, paris, Quadrige, PUF, 2008)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Mohammed Arkoun : Pour une critique de la raison islamique (Paris, Maisonneuve et Larose, 1984)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Mohammed Arkoun : Lectures du Coran (Paris, Maisonneuve et Larose, 1982; 2e 1982; 2e éd. Tunis, (Alif, 1991; 3e éd. Paris, Albin Michel, 2016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Mohammed Arkoun : L'Islam : religion et société. Interviews dirigées par Mario Arosio. Traduit de l'italien par Maurice Borrmans (Paris, Éditions du Cerf.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Mucchielli, R: L'analyse de contenu des documents et des communica- tions.E.S.E.Paris.1977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Sir Ahmed Salman Rushdie: The Satanic Verses Published 1997 by Picador USA (first published September 26th 1988) (1988)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عابد الجابري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التراث ومشكل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المنهجية في الأدب والعلوم الإنسانية، دار توبقال للنشر، الدار البيضاء، الطبعة الأولى،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المطبوعات الجامعية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لؤي عبد الفتاح وزين العابدين حمزاوي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أساسيات في تقنيات ومناهج البحث، جامعة محمد الأول، كلية العلوم القانونية والاقتصادية والاجتماعية، وجدة، المغرب، السنة الجامعية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 مطبوع جامعي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الروابط الإلكتورنية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سبيلا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وتحديات الحداثة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موقع محمد سبيلا،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http://www.mohamed-sabila.com/maqal12.html</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القرآن، دائرة معارف ليدن القرآنية،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Leiden encyclipedie.PDF-Adobe Acrobat Reader DC</w:t>
      </w:r>
      <w:r>
        <w:rPr>
          <w:rFonts w:eastAsia="Times New Roman" w:cs="Times New Roman" w:ascii="Times New Roman" w:hAnsi="Times New Roman"/>
          <w:color w:val="111111"/>
          <w:sz w:val="28"/>
          <w:szCs w:val="28"/>
          <w:rtl w:val="true"/>
          <w:lang w:val="en-US" w:bidi="en-US"/>
        </w:rPr>
        <w:t xml:space="preserve"> </w:t>
      </w:r>
      <w:bookmarkStart w:id="124" w:name="pg8898_139217"/>
    </w:p>
    <w:p>
      <w:pPr>
        <w:pStyle w:val="Heading2"/>
        <w:numPr>
          <w:ilvl w:val="1"/>
          <w:numId w:val="1"/>
        </w:numPr>
        <w:rPr/>
      </w:pPr>
      <w:bookmarkStart w:id="125" w:name="__RefHeading___Toc935509_2870459653"/>
      <w:bookmarkStart w:id="126" w:name="_Toc46"/>
      <w:bookmarkEnd w:id="124"/>
      <w:bookmarkEnd w:id="125"/>
      <w:r>
        <w:rPr>
          <w:rtl w:val="true"/>
        </w:rPr>
        <w:t xml:space="preserve">موسوعة القرآن </w:t>
      </w:r>
      <w:r>
        <w:rPr>
          <w:rtl w:val="true"/>
        </w:rPr>
        <w:t xml:space="preserve">( </w:t>
      </w:r>
      <w:r>
        <w:rPr>
          <w:rtl w:val="true"/>
        </w:rPr>
        <w:t>ليدن</w:t>
      </w:r>
      <w:r>
        <w:rPr>
          <w:rtl w:val="true"/>
        </w:rPr>
        <w:t xml:space="preserve">) - </w:t>
      </w:r>
      <w:r>
        <w:rPr>
          <w:rtl w:val="true"/>
        </w:rPr>
        <w:t xml:space="preserve">مقاربات نقديّة في منهجيّتها ومسارات تنفيذها </w:t>
      </w:r>
      <w:r>
        <w:rPr>
          <w:rtl w:val="true"/>
        </w:rPr>
        <w:t>-</w:t>
      </w:r>
      <w:bookmarkEnd w:id="126"/>
    </w:p>
    <w:p>
      <w:pPr>
        <w:pStyle w:val="Heading3"/>
        <w:numPr>
          <w:ilvl w:val="2"/>
          <w:numId w:val="1"/>
        </w:numPr>
        <w:rPr/>
      </w:pPr>
      <w:bookmarkStart w:id="127" w:name="__RefHeading___Toc935511_2870459653"/>
      <w:bookmarkStart w:id="128" w:name="_Toc47"/>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رضائي إصفهاني </w:t>
      </w:r>
      <w:r>
        <w:rPr>
          <w:rStyle w:val="FootnoteAnchor"/>
          <w:rtl w:val="true"/>
        </w:rPr>
        <w:footnoteReference w:id="69"/>
      </w:r>
    </w:p>
    <w:p>
      <w:pPr>
        <w:pStyle w:val="Heading3"/>
        <w:numPr>
          <w:ilvl w:val="2"/>
          <w:numId w:val="1"/>
        </w:numPr>
        <w:rPr/>
      </w:pPr>
      <w:bookmarkStart w:id="129" w:name="__RefHeading___Toc935513_2870459653"/>
      <w:bookmarkStart w:id="130" w:name="_Toc48"/>
      <w:bookmarkEnd w:id="129"/>
      <w:r>
        <w:rPr>
          <w:rtl w:val="true"/>
        </w:rPr>
        <w:t>مقدمة</w:t>
      </w:r>
      <w:bookmarkEnd w:id="130"/>
    </w:p>
    <w:p>
      <w:pPr>
        <w:pStyle w:val="Heading4"/>
        <w:numPr>
          <w:ilvl w:val="3"/>
          <w:numId w:val="1"/>
        </w:numPr>
        <w:rPr/>
      </w:pPr>
      <w:bookmarkStart w:id="131" w:name="__RefHeading___Toc935515_2870459653"/>
      <w:bookmarkStart w:id="132" w:name="_Toc49"/>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 xml:space="preserve">نهدف من هذه المقالة النّظر في علميّة الموسوعة ومنهجيّتها وتقويمها؛ بوصفها جهدًا موسوعيًّا يتمحور حول القرآن الكريم، يُقدَّم إلى الباحثين والطلّاب الجامعيّن الغربيّين على أنّه نتاجٌ علميٌّ يحكي عن القرآن الكريم ومكانته الدّينيّة والتّشريعيّة عند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تصرِّح رئيسة فريق العمل جين دمن ماك أوليف في مقدّمة الموسوعة نفسها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ما تُعاني منه هذه الموسوعة من مشاكل منهجيّةٍ ومضمونيّةٍ لا يمكن القبول بها؛ ما يستلزم بذل الجهود العلميّة والبحثيّة لنقد هذه الدّراسات الواردة فيها، وتصويب دراسات أخرى وتوجيهها، وإزالة التباسات وشبهات تفرزها دراسات من نوعٍ ثالثٍ اهتمّت بها 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المناسب في البداية إيجاز الكلام في جولةٍ حول الموسوعة، يليها النّقد والتقويم لمفاصل منهجيّةٍ هامّةٍ وأساسيّةٍ في بنية الموسوعة</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935517_2870459653"/>
      <w:bookmarkStart w:id="134" w:name="_Toc50"/>
      <w:bookmarkEnd w:id="133"/>
      <w:r>
        <w:rPr>
          <w:rtl w:val="true"/>
        </w:rPr>
        <w:t>أوّلاً</w:t>
      </w:r>
      <w:r>
        <w:rPr>
          <w:rtl w:val="true"/>
        </w:rPr>
        <w:t xml:space="preserve">. </w:t>
      </w:r>
      <w:r>
        <w:rPr>
          <w:rtl w:val="true"/>
        </w:rPr>
        <w:t>تعريف دائرة معارف ليدن القرآنيّة</w:t>
      </w:r>
      <w:r>
        <w:rPr>
          <w:rtl w:val="true"/>
        </w:rPr>
        <w:t>:</w:t>
      </w:r>
      <w:bookmarkEnd w:id="134"/>
    </w:p>
    <w:p>
      <w:pPr>
        <w:pStyle w:val="Heading5"/>
        <w:numPr>
          <w:ilvl w:val="4"/>
          <w:numId w:val="1"/>
        </w:numPr>
        <w:rPr/>
      </w:pPr>
      <w:bookmarkStart w:id="135" w:name="__RefHeading___Toc935519_2870459653"/>
      <w:bookmarkStart w:id="136" w:name="_Toc51"/>
      <w:bookmarkEnd w:id="135"/>
      <w:r>
        <w:rPr/>
        <w:t>1</w:t>
      </w:r>
      <w:r>
        <w:rPr>
          <w:rtl w:val="true"/>
        </w:rPr>
        <w:t xml:space="preserve">. </w:t>
      </w:r>
      <w:r>
        <w:rPr>
          <w:rtl w:val="true"/>
        </w:rPr>
        <w:t>الموسوعة عملٌ بحثيٌّ جديدٌ للمستشرقين</w:t>
      </w:r>
      <w:r>
        <w:rPr>
          <w:rtl w:val="true"/>
        </w:rPr>
        <w:t>:</w:t>
      </w:r>
      <w:bookmarkEnd w:id="13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موسوعة القرآن أحدث عملٍ علميٍّ جماعيٍّ للمستشرقين والعلماء في جميع أنحاء العالم، وقد طبعت ونُشرت في سنة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في ستّة مجلّدات وألف مدخل </w:t>
      </w:r>
      <w:bookmarkStart w:id="137" w:name="pg8898_139218"/>
    </w:p>
    <w:p>
      <w:pPr>
        <w:pStyle w:val="BookText"/>
        <w:rPr/>
      </w:pPr>
      <w:bookmarkEnd w:id="137"/>
      <w:r>
        <w:rPr>
          <w:rFonts w:ascii="Amiri" w:hAnsi="Amiri" w:eastAsia="Amiri" w:cs="Amiri"/>
          <w:color w:val="111111"/>
          <w:sz w:val="28"/>
          <w:sz w:val="28"/>
          <w:szCs w:val="28"/>
          <w:rtl w:val="true"/>
          <w:lang w:bidi="ar-SA"/>
        </w:rPr>
        <w:t>من قبل دار بريل للنّشر في هولندا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قامت بتنقيحها جين دمن مك اوليف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جعلتها فى ألف مدخل، وكان هناك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 أُرجعت إلى المداخل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العمل بمشروع دائرة المعارف القرآنيّة في مدينة ليدن الهولنديّة على يد السيدة جين دمن ماك أوليف عام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بالتّعاون مع مختلف العلماء، وطبع الجزء الأوّل منها عام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من قبل دار نشر بريل، في ليدن الهولنديّة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تحتوي على الحرف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ويشتمل الجزء الثّاني منها على الحرف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وقد طبع عام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الجزء الثالث منها على الحرف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وقد طبع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طُبعت فى خمسة أجزاء، فضلًا عن مجلّد سادس للأعلام والفهرس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استعرضت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جين ديمن ماك أوليف</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CAULIFFE Jane Dammen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مقدّمة الجزء الأوّل إيضاحات قيّمة حول هذه الموسوعة</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935521_2870459653"/>
      <w:bookmarkStart w:id="139" w:name="_Toc52"/>
      <w:bookmarkEnd w:id="138"/>
      <w:r>
        <w:rPr/>
        <w:t>2</w:t>
      </w:r>
      <w:r>
        <w:rPr>
          <w:rtl w:val="true"/>
        </w:rPr>
        <w:t xml:space="preserve">. </w:t>
      </w:r>
      <w:r>
        <w:rPr>
          <w:rtl w:val="true"/>
        </w:rPr>
        <w:t>الكادر الإداريّ</w:t>
      </w:r>
      <w:r>
        <w:rPr>
          <w:rtl w:val="true"/>
        </w:rPr>
        <w:t>:</w:t>
      </w:r>
      <w:bookmarkEnd w:id="139"/>
    </w:p>
    <w:p>
      <w:pPr>
        <w:pStyle w:val="BookText"/>
        <w:rPr/>
      </w:pPr>
      <w:r>
        <w:rPr>
          <w:rFonts w:ascii="Amiri" w:hAnsi="Amiri" w:eastAsia="Amiri" w:cs="Amiri"/>
          <w:color w:val="111111"/>
          <w:sz w:val="28"/>
          <w:sz w:val="28"/>
          <w:szCs w:val="28"/>
          <w:rtl w:val="true"/>
          <w:lang w:bidi="ar-SA"/>
        </w:rPr>
        <w:t>يقف على رأس الكادر الإداري في هذه الموسوعة القرآنيّة السيدة جين دمن ماك أوليف الأستاذة في جامعة جورج تاون في الولايات المتحدة الأمريكية، وأربعة من المتخصّصين في الدّراسات القرآنيّة المشهورين في الغرب،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 كلود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جين دمن مك اوليف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رئيسة كلّيّة العلوم الاجتماعية في جامعة جورج تاون، وكانت أستاذة التاريخ والآداب العربيّة والتحقيقات الإسلاميّة، كما أنّها تحمل عنوان بروفيسور وتشغل منصب معاون الرئيس في جامعة ايموري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ورئيسة قسم التحقيقات الدينية وبروفيسور التحقيقات الإسلاميّة في قسم حضارات الشرق الأوسط في جامعة تورنتو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حصلت على البكالوريوس في الفلسفة في كلّيّة التثليت في واشنطن دي سي، والماجستير في التحقيقات الدينيّة، والدكتوراه في التحقيقات الإسلاميّة من جامعة تورنتو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للدكتورة مك اوليف شهرة عالميّة، وتتركّز آثارها حول محور القرآن والتفسير، وتاريخ صدر الإسلام والعلاقات متعدّدة الجوانب بين الإسلام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اضطلعت بمسؤوليّة رئيسة لجنة التنقيح في موسوعة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لايدن بأجزائها الستّة منذ سنة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والتي تعدّ من أحدث خطوات مك اوليف في مجال الأبحاث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هذه الموسوعة أوّل مرجع من نوعها في اللغات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والمؤلّفة هي أحد الأساتذة الأمريكان الخمسة في لجنة التحقيقات الأمريكيّة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البريطانية في مجال الدراسات العليا في عالم العولمة، التي أسّسها غوردن براون رئيس وزراء بريطانيا الحاليّ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للدكتورة مك اوليف حضور فعّال في المجامع والمناظرات المتعدّدة بين المسلمين والمسيحيّين، واستخدمت في لجنة الفاتيكان للعلاقة الدينيّة مع المسلمين، وقد كانت عضو الهيئة العلميّة الأكاديميّة الدينيّة الأمريكيّة ورئيسة هذه الأكاديمية في سنة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وانتُخبت السيّدة مك اوليف في تمّوز عام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رئيسة كلّيّة براين ماور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واستطاعت هذه الكلّيّة خلال السنة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برنامج لجلب المساعدات النقديّة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تجمع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دولار أمريكي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والسيّدة مك اوليف هي زوجة الدكتور دنس مك اوليف عالم الآداب الإيطاليّة في القرون الوسطى في جامعة جورج تاون، ولها أربعة أولاد</w:t>
      </w:r>
      <w:r>
        <w:rPr>
          <w:rFonts w:eastAsia="Amiri" w:cs="Amiri" w:ascii="Amiri" w:hAnsi="Amiri"/>
          <w:color w:val="111111"/>
          <w:sz w:val="28"/>
          <w:szCs w:val="28"/>
          <w:rtl w:val="true"/>
          <w:lang w:bidi="ar-SA"/>
        </w:rPr>
        <w:t xml:space="preserve">. </w:t>
      </w:r>
      <w:bookmarkStart w:id="140" w:name="pg8898_139219"/>
    </w:p>
    <w:p>
      <w:pPr>
        <w:pStyle w:val="BookText"/>
        <w:rPr/>
      </w:pPr>
      <w:bookmarkEnd w:id="140"/>
      <w:r>
        <w:rPr>
          <w:rFonts w:ascii="IRNazanin" w:hAnsi="IRNazanin" w:eastAsia="IRNazanin"/>
          <w:color w:val="111111"/>
          <w:sz w:val="28"/>
          <w:sz w:val="28"/>
          <w:szCs w:val="28"/>
          <w:rtl w:val="true"/>
          <w:lang w:bidi="fa-IR"/>
        </w:rPr>
        <w:t>جیلیوت، والأمريكي وليم جراهام، وداد قاضي من شيكاغو، واندرو ريبين من كندا، وفريق من المستشارين المرموقين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حامد أبو زيد، ومحمد أركون، وجيرهارد بورينغ من أمريكا، وجيرالد هاوتينج من إنجلترا، وفريد ليمهاوس من هولندا، وانغليكا نويورت من ألمانيا، وهيئة تحريريّة من المسلمين وغير المسلمين من مختلف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وتحظى هذه الموسوعة القرآنيّة بدعم من دار نشر بريل</w:t>
      </w:r>
      <w:r>
        <w:rPr>
          <w:rFonts w:eastAsia="IRNazanin" w:cs="IRNazanin"/>
          <w:color w:val="111111"/>
          <w:sz w:val="28"/>
          <w:szCs w:val="28"/>
          <w:rtl w:val="true"/>
          <w:lang w:bidi="fa-IR"/>
        </w:rPr>
        <w:t>.</w:t>
      </w:r>
    </w:p>
    <w:p>
      <w:pPr>
        <w:pStyle w:val="Heading5"/>
        <w:numPr>
          <w:ilvl w:val="4"/>
          <w:numId w:val="1"/>
        </w:numPr>
        <w:rPr/>
      </w:pPr>
      <w:bookmarkStart w:id="141" w:name="__RefHeading___Toc935523_2870459653"/>
      <w:bookmarkStart w:id="142" w:name="_Toc53"/>
      <w:bookmarkEnd w:id="141"/>
      <w:r>
        <w:rPr/>
        <w:t>3</w:t>
      </w:r>
      <w:r>
        <w:rPr>
          <w:rtl w:val="true"/>
        </w:rPr>
        <w:t xml:space="preserve">. </w:t>
      </w:r>
      <w:r>
        <w:rPr>
          <w:rtl w:val="true"/>
        </w:rPr>
        <w:t xml:space="preserve">مجالات موسوعة القرآن </w:t>
      </w:r>
      <w:r>
        <w:rPr>
          <w:rtl w:val="true"/>
        </w:rPr>
        <w:t xml:space="preserve">- </w:t>
      </w:r>
      <w:r>
        <w:rPr>
          <w:rtl w:val="true"/>
        </w:rPr>
        <w:t>لايدن وأهدافها</w:t>
      </w:r>
      <w:r>
        <w:rPr>
          <w:rtl w:val="true"/>
        </w:rPr>
        <w:t>:</w:t>
      </w:r>
      <w:bookmarkEnd w:id="142"/>
    </w:p>
    <w:p>
      <w:pPr>
        <w:pStyle w:val="BookText"/>
        <w:rPr/>
      </w:pPr>
      <w:r>
        <w:rPr>
          <w:rFonts w:ascii="Amiri" w:hAnsi="Amiri" w:eastAsia="Amiri" w:cs="Amiri"/>
          <w:color w:val="111111"/>
          <w:sz w:val="28"/>
          <w:sz w:val="28"/>
          <w:szCs w:val="28"/>
          <w:rtl w:val="true"/>
          <w:lang w:bidi="ar-SA"/>
        </w:rPr>
        <w:t xml:space="preserve">تمثّل موسوعة القرآن أحدث أثر علميّ جماعيّ، وقد كتبها عدد من المستشرقين البارزين من أنحاء العالم في ستّة مجلّدات بين سنتي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 وطُبعت من قبل دار بريل للنشر في مدينة لايدن في هولندا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رئيس لجنة التنقيح في هذه الموسوعة جين دمن مك اوليف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Jane DammenMcauliffe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طرحت برنامج كتابة موسوعة القرآن في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في مدينة لايدن بهدف عرض موسوعة شاملة في مجال التحقيقات القرآنيّة، وقد بدأت العمل بمعاونة أربعة من المستشرقين البارزين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قام بكتابة مداخل هذه الموسوعة مستشرقون بارزون من جامعات مهمّة في العالم لهم تخصّص في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سبيل المثال، فإنّ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كتبته السيّدة روت رادد التي كان مجال تخصصها في التحقيقات الإسلاميّة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وتدوين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برتن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وفي هذه السنة عُدَّ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التحقيقات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لونزبرو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تحوّل في التحقيق القرآنيّ الحديث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تتحدّث جين دمن مك اوليف في مقدّمة طويلة نسبيًّا عن ضرورة هذه الموسوعة وأهدافها ودورها ومخطّطها، حيث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يُخطِر في بال مليار مسلم في أنحاء العالم كلمات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سماع آياته المتلوّة والنظر إلى كلماته المكتوبة بخطّ كبير على جدران المساجد، ومسّ الصفحات التي كتبت </w:t>
      </w:r>
      <w:bookmarkStart w:id="143" w:name="pg8898_139220"/>
    </w:p>
    <w:p>
      <w:pPr>
        <w:pStyle w:val="BookText"/>
        <w:rPr/>
      </w:pPr>
      <w:bookmarkEnd w:id="143"/>
      <w:r>
        <w:rPr>
          <w:rFonts w:ascii="Amiri" w:hAnsi="Amiri" w:eastAsia="Amiri" w:cs="Amiri"/>
          <w:color w:val="111111"/>
          <w:sz w:val="28"/>
          <w:sz w:val="28"/>
          <w:szCs w:val="28"/>
          <w:rtl w:val="true"/>
          <w:lang w:bidi="ar-SA"/>
        </w:rPr>
        <w:t>فيها كلماته يخلق في أذهان المسلمين وقلوبهم شعورًا بحضوره المقدّس</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أقدمت جين دمن مك اوليف في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على تدوين هذه الموسوعة ونشرها، واستطاعت بمساعدة بعض العلماء والمستشرقين من أنحاء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أسهموا في صنع هذا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تطبع المجلّد الأوّل من هذه الموسوعة في سنة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935525_2870459653"/>
      <w:bookmarkStart w:id="145" w:name="_Toc54"/>
      <w:bookmarkEnd w:id="144"/>
      <w:r>
        <w:rPr/>
        <w:t>4</w:t>
      </w:r>
      <w:r>
        <w:rPr>
          <w:rtl w:val="true"/>
        </w:rPr>
        <w:t xml:space="preserve">. </w:t>
      </w:r>
      <w:r>
        <w:rPr>
          <w:rtl w:val="true"/>
        </w:rPr>
        <w:t>الأهداف والغايات</w:t>
      </w:r>
      <w:r>
        <w:rPr>
          <w:rtl w:val="true"/>
        </w:rPr>
        <w:t>:</w:t>
      </w:r>
      <w:bookmarkEnd w:id="145"/>
    </w:p>
    <w:p>
      <w:pPr>
        <w:pStyle w:val="BookText"/>
        <w:rPr/>
      </w:pPr>
      <w:r>
        <w:rPr>
          <w:rFonts w:ascii="Amiri" w:hAnsi="Amiri" w:eastAsia="Amiri" w:cs="Amiri"/>
          <w:color w:val="111111"/>
          <w:sz w:val="28"/>
          <w:sz w:val="28"/>
          <w:szCs w:val="28"/>
          <w:rtl w:val="true"/>
          <w:lang w:bidi="ar-SA"/>
        </w:rPr>
        <w:t>تقول مك أوليف بشأن هدفها من تأليفها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صمّمنا أن نكتب أثرًا مرجعًا يمثّل أفضل نجاح في هذا القرن في مجال التحقيقات القرآنية، وفي الوقت ذاته أردنا أن تكون هذه الموسوعة باعثة على التحقيق الأوسع في مجال القرآن في العقود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الأهمّ كان هو أن نجعل بين طبقة العلماء الأكاديميّين والقرّاء المثقّفين كمًّا كبيرًا من التحقيقات القرآنيّة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935527_2870459653"/>
      <w:bookmarkStart w:id="147" w:name="_Toc55"/>
      <w:bookmarkEnd w:id="146"/>
      <w:r>
        <w:rPr>
          <w:rtl w:val="true"/>
        </w:rPr>
        <w:t>وخلاصة الأهداف المتوخاة</w:t>
      </w:r>
      <w:r>
        <w:rPr>
          <w:rtl w:val="true"/>
        </w:rPr>
        <w:t>:</w:t>
      </w:r>
      <w:bookmarkEnd w:id="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إبداع مؤلَّف ومصدر يحقّق أفضل نجاحات القرن في مجال الدراسات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تؤدّي هذه الموسوعة في العقود القادمة إلى حافز نحو دراسات أوسع بشأن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عالم الدراسات القرآنيّة في متناول طبقة المفكّرين الأكاديميين والقرّاء المثقّفين، مع الأخذ بنظر الاعتبار الفقر العلميّ والمعلومات الناقصة وغير التامة في اللغات الأوروبيّة حول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الاتجاه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إنّ جميع مقالات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ترسمٍ بشكلٍ مباشرٍ أو غير </w:t>
      </w:r>
      <w:bookmarkStart w:id="148" w:name="pg8898_139221"/>
    </w:p>
    <w:p>
      <w:pPr>
        <w:pStyle w:val="BookText"/>
        <w:rPr/>
      </w:pPr>
      <w:bookmarkEnd w:id="148"/>
      <w:r>
        <w:rPr>
          <w:rFonts w:ascii="Amiri" w:hAnsi="Amiri" w:eastAsia="Amiri" w:cs="Amiri"/>
          <w:color w:val="111111"/>
          <w:sz w:val="28"/>
          <w:sz w:val="28"/>
          <w:szCs w:val="28"/>
          <w:rtl w:val="true"/>
          <w:lang w:bidi="ar-SA"/>
        </w:rPr>
        <w:t>مباشرٍ مجموعةً تفسيريّةً قرآنيّةً، فمع هذا الوصف فإنّ محدوديّة المشروع تحكم بأن يبقى المركز هو القرآن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قرّاء موسوعة القرآن سوف لن يجدوا قطعةً مستقلّةً حول الطبري أو فخر الدين الرّازي؛ إلّا أنّهم سيجدون إرجاعاتٍ متعدّدةً إلى آثار هؤلاء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وبالضمن، فإنّ فهرس المواضيع المتراكمة لموسوعة القرآن سيمنح القارئين هذه الفرصة، وهي أنّه في جميع المجلّدات يجدون هذه المراجع ويرصدونها ويتابعونها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رجائنا أن نؤلّف أثرًا ليكون مرجعًا ويكون بين يدي المفكّرين المحقّقين والجامعيّين على أساس سلسلة أصولٍ واسعةٍ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اجتماعيّة وبشريّة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مع زملائي مشتركين في هذا الأمل وهو أن نجمع تحقيقًا علميًا دقيقًا بشأن القرآن في موسوعة واحدة بحيث يكون هذا التحقيق مشحونًا بالآراء والمباني الاستدلاليّة المتينة</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935529_2870459653"/>
      <w:bookmarkStart w:id="150" w:name="_Toc56"/>
      <w:bookmarkEnd w:id="149"/>
      <w:r>
        <w:rPr>
          <w:rtl w:val="true"/>
        </w:rPr>
        <w:t>ثانيًا</w:t>
      </w:r>
      <w:r>
        <w:rPr>
          <w:rtl w:val="true"/>
        </w:rPr>
        <w:t xml:space="preserve">: </w:t>
      </w:r>
      <w:r>
        <w:rPr>
          <w:rtl w:val="true"/>
        </w:rPr>
        <w:t>وقفة مع مقدمة دائرة معارف ليدن</w:t>
      </w:r>
      <w:r>
        <w:rPr>
          <w:rtl w:val="true"/>
        </w:rPr>
        <w:t>:</w:t>
      </w:r>
      <w:bookmarkEnd w:id="150"/>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مع مقدمة دائرة معارف ليدن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القرآن عند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القرآن الكريم كلمات الله الحقيقية لأكثر من مليار نسمة من المسلمين الذين يعيشون على هذه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سماع آياته التي يتمّ الترنّم بها ترتيلًا وتجويدًا، والنّظر في كلماته المكتوبة على جدران المساجد وأعمدتها بخطّ قشيب، ولمس النصّ المكتوب فيه، يجسّد حضورًا مقدّسًا في أذهان المسلمين وأفئدتهم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دأبت أجيالٌ متعاقبةٌ لا تحصى على استقبال مواليدها من خلال تلاوة كلمات القرآن في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مضت قرون على افتتاح الأطفال تعليمهم الرسميّ بالقرآن وهم يتحلّقون حول أطراف معلّمهم، كي يصوغوا الكلمات العربية، ويكرّروا الكلمات والعبارات، تمهيدًا للتقدّم في حفظ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الثّقافة الدّينيّة التي تمجّد التعلّم، يحظى الذين يتمتّعون بمستوًى عالٍ من الثّقافة القرآنيّة باحترامٍ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التّعامل مع حافظ القرآن بكلّ توقير وتكريم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فإنّ هذا التكريم يضطرّ المسلمين إلى التفاعل المستمر مع القرآن سرًّا وجهرًا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العمل في دائرة المعارف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بدأ مشروع العمل على دائرة المعارف القرآنية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منذ عام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عندما التقيت بالمحرّر الرفيع بيري بيرمن بغية دراسة إمكان القيام بهذا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أعلن أربعة من العلماء الكبار،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وودي كدي، وكلود جيليوت، ووليم جراهام، وأندرو ريبين موافقتهم على الالتحاق بفريق إدارة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أخذنا على أنفسنا منذ البداية أن ننظر في عملنا في هذه الموسوعة إلى الماضي والمستقبل، فشكّل هذان الوجهان هيكل هذه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عازمين على إبداع مصدر يحقّق أكبر نجاح في القرآن حول الأبحاث والدراسات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كنّا نروم أن تخلق هذه الموسوعة حافزاً لتحقيقٍ أوسع في حقل القرآن في العقود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سياق تحقيق هذه الرغبة والأُمنية المزدوجة، عقدنا العزم على توسيع قوالب الهجائيّة المطلوبة في دائرة المعارف لتشمل سلسلة أطول وأكثر تفصيلًا من المقالات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أخذت وزملائي في إدارة المشروع هذه الأمور بوصفها تقارير مختصرة عن الوضع الرّاهن، للتحقيق بشأن البحوث الرئيسة في مجال التحقيقات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ترتيب المداخل في دائرة المعارف بأحجامٍ مختلفةٍ،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المقالة، والآراء العابرة، والتحقيقات الأصليّة في حقل الدّراسات القرآنيّة كان هو أفضل ما توصّلنا إليه مما يضمن احترامنا لمعطيات القرون المنصرمة، والترويج لإنجازات هذا القرن في الوقت نفسه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الأهميّة التي توليها هذه الرؤية إلى الماضي والمستقبل بشأن تأليف هذه الموسوعة، يبقى هناك أمر آخر أهمّ، وهو جعل البحوث والدراسات القرآنيّة في متناول طبقة واسعة من العلماء الأكاديميين والقرّاء المثقّفين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مختلف البحوث الأدبيّة قد أفضت إلى ظهور المعاجم اللغوية، ودوائر المعارف، والتفاسير، والعديد من شرح المفردات التي اختصّت بدراسة المراحل، والمناطق، والمؤلّفين، والأعمال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الحقل الديني والكتاب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خاصّ موضوعًا لمئات الموارد من هذه المؤلّفات، وبطبيعة الحال فقد تضاعف حجم هذه النسبة في الدراسات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هذه الكثرة التحقيقيّة بشأن الكتاب المقدّس مغايرة لما عليه الدراسات القرآنيّة؛ إذ بقيت على ما هي عليه في سابق عهدها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بقي عدد المصادر القرآنيّة المكتوبة </w:t>
      </w:r>
    </w:p>
    <w:p>
      <w:pPr>
        <w:pStyle w:val="BookText"/>
        <w:rPr/>
      </w:pPr>
      <w:r>
        <w:rPr>
          <w:rFonts w:ascii="Amiri" w:hAnsi="Amiri" w:eastAsia="Amiri" w:cs="Amiri"/>
          <w:color w:val="111111"/>
          <w:sz w:val="28"/>
          <w:sz w:val="28"/>
          <w:szCs w:val="28"/>
          <w:rtl w:val="true"/>
          <w:lang w:bidi="ar-SA"/>
        </w:rPr>
        <w:t>باللغات الأوروبيّة على ما هو عليه من القلّة والندرة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أكثر المعلومات المتوفّرة ناقصة وغير تامّة أو إنّها بقيت حبيسة المصادر المعقّدة التي يصعب 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وطبيعة الحال، فإنّ العلماء الذين يفهمون اللغة العربيّة الأصيلة بشكلٍ كاملٍ يمكنهم الاستفادة من آلاف الكتب والمصادر الموجودة حول القرآن، ومن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والمعاجم اللغوية، والتفاسير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الذين لا يمتلكون هذه الكفاءة، لا يتمتعون بهذه المزايا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إنّ آخر معجم لغويّ إنجليزيّ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يعود تاريخه إلى العام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 وهو يحتوي على معنى الكلمات الإنجليزيّة المطابقة للقرآن المترجَم طبقًا لنظام ترقيم الآيات الذي كان سائدًا في القرن التاسع عشر الميلادي، والذي قلّما يعوّل عليه في الترجمات الراهنة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الناطقين باللغة الإنجليزيّة من الذين يبحثون في غير الدراسات الإسلاميّة إذا أرادوا الحصول على شيء حول القرآن سواء من أجل تحقيقاتهم أو تعريفه إلى طلّابهم لن يحصلوا على أي معلومة تنفعهم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أخذنا هذه الحاجة بنظر الاعتبار عقدت وزملائي العزم على تأليف مداخل باللغة الإنجليزيّة في هذه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زملاءنا من المختصّين في الدراسات الإسلاميّة، سيدركون أنّ هذا القرار لم يكن سهلًا، ولم يخلُ من الإبداع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دائرة المعارف الإسلامية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مضى عليها مدّة مديدة موضع تداول بوصفها مصدرًا عامًّا وشاملًا في هذا المجال، تستفيد من كلمات مدخلية يُنقل عينها باللّغة العربيّة، أو إنّها تُستعمل مفردات المعجم، وإنّ هذا الاستعمال قد أُخذ بوصفه معيارًا علميًّا تحقيقيًّا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هذه المنظومة تستدعي دقّةً ضائعةً من خلال الحركة نحو لغات المعجم الإنجليزيّ، فلا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معادل دقيق لكلمة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prayer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تشير إلى عبادة دينيّة خاصّة بالمسلمين يؤدّونها خمس مرات فرضًا في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إنّ الدعاء عبادة تحكي عن رجاء وطلب في حدٍّ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الذكر فهي مفردة تستعمل للدلالة على سلسلةٍ واسعةٍ من الممارسات الصوفيّة، وكلٌّ من العربيّة التقليديّة والمعاصرة تشتمل على موارد من الكلمات ذات الصلة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في دائرة المعارف الإسلاميّة شروح حول كلّ واحدة من هذه الكلمات </w:t>
      </w:r>
    </w:p>
    <w:p>
      <w:pPr>
        <w:pStyle w:val="BookText"/>
        <w:rPr/>
      </w:pPr>
      <w:r>
        <w:rPr>
          <w:rFonts w:ascii="Amiri" w:hAnsi="Amiri" w:eastAsia="Amiri" w:cs="Amiri"/>
          <w:color w:val="111111"/>
          <w:sz w:val="28"/>
          <w:sz w:val="28"/>
          <w:szCs w:val="28"/>
          <w:rtl w:val="true"/>
          <w:lang w:bidi="ar-SA"/>
        </w:rPr>
        <w:t xml:space="preserve">الثلاث، ولكن لم يرد أيّ شيء بشأن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prayer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وبالتالي، فإنّ الدّارس أو المثقّف غير العربيّ إذا أراد أن يبحث في هذا العنوان العام، سيمضي وقتًا عصيبًا للإفادة من 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لن يواجه المشكلة ذاتها في تعاطيه مع دائرة المعارف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القرار الآخر الذي كان أكثر إثارة للجدل يتعلّق بحدود هذه الموسوعة ومجالها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بوصفه كتابًا سماويًّا رئيسًا لعقيدة دينية شاملة، خلق مجموعة هائلة من القوانين؛ فقد أوجد كلّ جيل من أجيال علماء المسلمين العديد من المجلّدات التفسيريّة حول القرآن، وفي حين إنّ أكثر هذه التفاسير مكتوبة باللغة العربيّة، هناك عدد من التفاسير المكتوبة باللغات السائدة في البلدان الإسلاميّة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الإقبال على هذا النوع من التفاسير القديمة والحديثة واضح من خلال سعة انتشارها وشرائها المتواصل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لتشاهد عمدة مؤلّفات المفسرين القدامى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والزمخشريّ، وابن كثير، والسيوطيّ في رفوف المكتبات الكبيرة في أسواق العالم الإسلاميّ، إلى جانب الكتب التفسيريّة المعتبرة المعاصرة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تفاسير المودودي، وسيد قطب، والعلّامة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لا بدّ من دراسة هذا السؤال،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الإبقاء على هذه الموسوعة بوصفها دائرة معارف قرآنيّة، أو ينبغي توسيعها لتشمل تفسير القرآن أيضًا؟ وبطبيعة الحال ليس هناك تصنيف واضح للتمييز بين هاتين المقولتين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جميع مقالات هذه الموسوعة بشكل مباشر أو غير مباشر هي تقريبًا عبارة عن سلسلة من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محدوديّة المشروع كانت تفرض علينا التمحور حول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القارئ لهذه الموسوعة سوف لا يعثر على نصّ مستقل للطبريّ أو فخر الدين الرازيّ، ولكنه سيجد الكثير من الإحالات إلى أعمال ومؤلّفات هذين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أنّ فهرسة الموضوعات المتراكمة في هذه الموسوعة سيمنح المستفيدين منها فرصة متابعة جميع المجلّدات في هذا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الرغبة العارمة في إنجاز أثر، يشكّل مصدرًا لسلسلة واسعة من الأسس العلميّة والاجتماعيّة والبشريّة، فقد أسهمتُ أنا وزملائي في إنجاز تحقيق علمي دقيق حول القرآن وإضافته إلى هذه الموسوعة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تحقيق متفرّع عن كثرة المواقف والدعائم الاستدلاليّة في هذا المجال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الكلمات المفتاحيّة في الجملة الأخيرة عبارة عن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Academic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Rigorous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وكما أسلفت ليس هناك اعتقاد علميّ بحت عن التحقيق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تحقيقات المسلمين حول القرآن الممتدة عبر قرون من الزمن قد أوجدت مسارًا زمنيًّا متداخلًا مع التحقيق المنجز على يد الأجيال الغربيّة بشأن القرآن ولا شيء من هاتين المجموعتين رغم عدم اكتمالهما لا يمثّل أسلوبًا منسجماً أو أسلوبًا استثائيَّاً 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مناظرة عنيفة ومتواصلة داخل المجموعة الواحدة وبين المجموعتين حول الأبحاث والدراسات القرآنيّة بين المسلمين والغربيين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هذان العالمان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الغربي والمسلم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تداخلٌا ملحوظًا على المستوى الجغرافي وعلى المستوى العقلانيّ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التوسّع الديموغرافيّ السريع للمسلمين في أوروبا وأمريكا الشماليّة وغيرهما من أجزاء العالم، أصبح هذا التضادّ والازدواج العنيف بين المسلمين والغرب أكثر إبهامًا من أيّ وقتٍ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تدويل التحقيق والحياة العلميّة قد أضاف سرعة إلى هذه 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تقدّم آنفًا فإنّ علماء المسلمين وغيرهم يعتلون المنابر ويتحدّثون في المؤتمرات عن القرآن بحريّة، ويترك كلّ واحد منهم تأثيراته على الآخر، سواءٌ أكان ذلك المؤتمر منعقدًا في ليدن أو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النشرات العلميّة الراهنة قد تمّ تفكيكها على نحو أقل مما كان عليه الواقع قبل جيل، وإنّ عدد العلماء المسلمين الذين يعملون في المؤسسات الأمريكية والأوروبيّة التي تخصّصت في بعض حقول البحث الإسلاميّ قد ارتفعت بشكل تصاعديّ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العمق العلميّ الآخر لا يمكن أن يكون مرتبطاً بالهويّة المذهبيّة، وإنّ البحث الجيّد في هذه الأجواء الجماعيّة في طريقه إلى النموّ والازدهار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بذل القائمون على دائرة المعارف القرآنيّة كلّ سعيهم وجهدهم من أجل إثبات الصبغة الجماعيّة في إطار صفحات هذه الموسوعة، ضمن إرادتهم بأن تتمكّن هذه الموسوعة من نشر واستعراض أوسع شعاع ممكن عن البحث العلميّ الدقيق بشأن القرآن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تطبيقات دائرة المعارف القرآنية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لقد تمّ إيراد المداخل في دائرة المعارف القرآنيّة وفقًا للنظام الهجائيّ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المداخل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يشغل الحيّز الأكبر البحوث التي تتحدّث عن النصوص المتنّوعة والمشتملة على مسائل بشأن الأشخاص والمفاهيم والأماكن والقيم والأعمال والوقائع التي يمكن العثور عليها داخل النصّ </w:t>
      </w:r>
    </w:p>
    <w:p>
      <w:pPr>
        <w:pStyle w:val="BookText"/>
        <w:rPr/>
      </w:pPr>
      <w:r>
        <w:rPr>
          <w:rFonts w:ascii="Amiri" w:hAnsi="Amiri" w:eastAsia="Amiri" w:cs="Amiri"/>
          <w:color w:val="111111"/>
          <w:sz w:val="28"/>
          <w:sz w:val="28"/>
          <w:szCs w:val="28"/>
          <w:rtl w:val="true"/>
          <w:lang w:bidi="ar-SA"/>
        </w:rPr>
        <w:t>القرآنيّ، أو أنّ لها صلة ملحوظة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Abraham</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يبحث عن شخصية موجودة داخل النصّ القرآنيّ، في حين أنّ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الإفريقيّ 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يبحث بشأن ارتباط وعُلقة أدبيّة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النوع الثاني من البحوث التي استعملت في دائرة المعارف، فهي البحوث المتعلّقة بالموضوعات المهمّة في حقل الدراسات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نكون قد ذكرنا أمثلة من الجزء الأول، نشير إلى مدخل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الفنّ والعمارة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التواريخ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طلبنا من العلماء أن تكون كتاباتهم انعكاسًا عن الماضي والحاضر بشأن هذه الموضوعات</w:t>
      </w:r>
    </w:p>
    <w:p>
      <w:pPr>
        <w:pStyle w:val="BookText"/>
        <w:rPr/>
      </w:pPr>
      <w:r>
        <w:rPr>
          <w:rFonts w:ascii="Amiri" w:hAnsi="Amiri" w:eastAsia="Amiri" w:cs="Amiri"/>
          <w:color w:val="111111"/>
          <w:sz w:val="28"/>
          <w:sz w:val="28"/>
          <w:szCs w:val="28"/>
          <w:rtl w:val="true"/>
          <w:lang w:bidi="ar-SA"/>
        </w:rPr>
        <w:t>البارزة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آنفًا، فقد كان لعزمنا على الاستفادة من المفردات الإنجليزيّة فوائده وأضراره، ففي الوقت الذي نضع تحت تصرّف العلماء أثرًا واسعًا جدًّا في الموضوعات، إلا أنّه يمنع المتخصّصين باللغة العربيّة والدراسات الإسلاميّة من العثور على أصل المفردة بصياغتها العربيّة الحرفيّة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وللتغلّب على هذه المشكلة عمدنا إلى إضافة فهرست موضوعيّ جامع يتضمّن الكلمات الإنجليزيّة والمفردات المنقولة إلى العربيّة حرفيًّا في نهاية الجزء الأخير من دائرة المعارف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الحكم في تنظيم قوائم المداخل بشأن الأمر الذي يؤسّس للمفردة الإنجليزيّة لم يكن ليستطيع أن يكون سهلًا ومفهومًا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عام، فإنّ سياسة إدارتنا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الأمر بالنسبة إلى المعاجم اللغويّة المعاصرة والمصادر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على أساس استعمال الإنجليزيّة المتداولة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بالاسم العربيّ الخاص، إذا كان له مرادف إنجليزيّ واضح، كان المستعمل ذلك الاسم الإنجليزيّ الواضح، وأما إذا لم يكن هناك مثل هذا المرادف الواضح، تكون صيغته العربيّة هي المتّبعة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الحالة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الحالة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الكفل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تمّ التأسيس لدائرة المعارف القرآنيّة كي تستعرض فهمًا وشعورًا علميًّا عن القرآن، وتعمل على ارتقائه، فقد طالبنا جميع الكتّاب بأن يعدّوا مدوّنة مكتبيّة خاصّة لبحوثهم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وسيجد القارئ هذه البحوث مدخلّا نافعًا في سياق بحث وتحقيق أكبر حول </w:t>
      </w:r>
    </w:p>
    <w:p>
      <w:pPr>
        <w:pStyle w:val="BookText"/>
        <w:rPr/>
      </w:pPr>
      <w:r>
        <w:rPr>
          <w:rFonts w:ascii="Amiri" w:hAnsi="Amiri" w:eastAsia="Amiri" w:cs="Amiri"/>
          <w:color w:val="111111"/>
          <w:sz w:val="28"/>
          <w:sz w:val="28"/>
          <w:szCs w:val="28"/>
          <w:rtl w:val="true"/>
          <w:lang w:bidi="ar-SA"/>
        </w:rPr>
        <w:t>موضوع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أنّ نقل الأدبيّات الأصليّة الأولية والفرعيّة الثانويّة، يجب أن يعمل على تطوير العلماء في بحوث أكثر جزئيّة من الموضوعات التي يباشرها في هذا الأثر، وأن تساعده في التحقيقات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 استعراض الشواهد القرآنية من خلال بيان رقم السورة يتّبعها رقم الآية، من باب المثال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النوع من نقل القول عدول عن التقليد السائد بين المسلمين والقائم على نقل اسم السورة بدلًا من رقمها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يتم التمثيل بالنسبة إلى المثال السابق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العدول عن هذه الطريقة والاقتصار على رقم السورة، يسهّل الأمر على أولئك الذين لا يعرفون أسماء السور، ويرومون العثور على عبارة في نصّ مترجم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اعتمدنا في ذلك على القرآن المطبوع في القاهرة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أكثر التفاسير الإنجليزيّة الراهنة للقرآن تتبع هذا الترقيم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استثناء جدير بالملاحظة، وهو أن ترجمة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آربري تتبع ترقيم جوستاف فلاغ المطبوع عام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وهو ترقيم يمكن أن يحتوي عدة تغييرات إيجابيّة وسلبيّة للآيات بالقياس إلى طبعة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الجهود المبذولة من أجل ضمان صحّة نقل المفاهيم القرآنية في مقالات دائرة المعارف القرآنيّة، إلا أنّ الأسلوب الكتابيّ في هذا المشروع لم يلزم الكتّاب بالتزام ترجمة بعينها، وتركت ذلك لاختيار الكُتّاب أنفسهم، فلهم كامل الحرية في اختيار أي ترجمة يرونها هي الأنسب أو يبادروا بأنفسهم إلى ترجمة النصّ القرآنيّ في مداخلهم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يمكن التوصل إلى أيّ طريقة لضمان التوفيق الكامل للمرجع مع المصادر الأصليّة في العربيّة التقليديّة، من قبيل سلسلة الأحاديث أو تفاسير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أسلوب الكتابة في دائرة المعارف القرآنيّة وإن كان قد أعدّ فهرسة عن أرجح الطبعات وأغلبها، ولكنها لا تتوفّر دائمًا في مكتبة الجامعة أو المكتبات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رغبتي تقوم على إمكان تأصيل جميع المصادر من هذا النوع، إلا أنّ الوقت اللازم لهذا الأمر سوف يعيق إصدار هذه الموسوعة لزمن طويل جدًّا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احتمال تكرار المسائل السابقة، أرغب في التأكيد على أنّ دائرة </w:t>
      </w:r>
      <w:bookmarkStart w:id="151" w:name="pg8898_139228"/>
    </w:p>
    <w:p>
      <w:pPr>
        <w:pStyle w:val="BookText"/>
        <w:rPr/>
      </w:pPr>
      <w:bookmarkEnd w:id="151"/>
      <w:r>
        <w:rPr>
          <w:rFonts w:ascii="Amiri" w:hAnsi="Amiri" w:eastAsia="Amiri" w:cs="Amiri"/>
          <w:color w:val="111111"/>
          <w:sz w:val="28"/>
          <w:sz w:val="28"/>
          <w:szCs w:val="28"/>
          <w:rtl w:val="true"/>
          <w:lang w:bidi="ar-SA"/>
        </w:rPr>
        <w:t>المعارف القرآنيّة عبارة عن خطوة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الموسوعة هي أول مجهود من أجل إيجاد أثر أصيل ومرجع في موضوع قلّ نظيره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بداية العمل في هذا المشروع التحقيقيّ، كان العاملون على هذه الموسوعة يدركون استحالة دعوى الجامعيّة بالنسبة للطبعة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أغلب القارئين والمنتقدين سيكون لديهم كثيرمن الانتقادات والمقترحات والآراء التي سننتظرها بفارغ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هذه الانتقادات والمقترحات ستنفعنا في إصدار الطبعة الثانية بشكل أفضل من الطبعة الأولى</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935531_2870459653"/>
      <w:bookmarkStart w:id="153" w:name="_Toc57"/>
      <w:bookmarkEnd w:id="152"/>
      <w:r>
        <w:rPr>
          <w:rtl w:val="true"/>
        </w:rPr>
        <w:t>ثالثًا</w:t>
      </w:r>
      <w:r>
        <w:rPr>
          <w:rtl w:val="true"/>
        </w:rPr>
        <w:t xml:space="preserve">: </w:t>
      </w:r>
      <w:r>
        <w:rPr>
          <w:rtl w:val="true"/>
        </w:rPr>
        <w:t>تقييم ونقد وومناقشة</w:t>
      </w:r>
      <w:r>
        <w:rPr>
          <w:rtl w:val="true"/>
        </w:rPr>
        <w:t>:</w:t>
      </w:r>
      <w:bookmarkEnd w:id="153"/>
    </w:p>
    <w:p>
      <w:pPr>
        <w:pStyle w:val="Heading5"/>
        <w:numPr>
          <w:ilvl w:val="4"/>
          <w:numId w:val="1"/>
        </w:numPr>
        <w:rPr/>
      </w:pPr>
      <w:bookmarkStart w:id="154" w:name="__RefHeading___Toc935533_2870459653"/>
      <w:bookmarkStart w:id="155" w:name="_Toc58"/>
      <w:bookmarkEnd w:id="154"/>
      <w:r>
        <w:rPr>
          <w:rtl w:val="true"/>
        </w:rPr>
        <w:t>تمهيد</w:t>
      </w:r>
      <w:bookmarkEnd w:id="155"/>
    </w:p>
    <w:p>
      <w:pPr>
        <w:pStyle w:val="BookText"/>
        <w:rPr/>
      </w:pPr>
      <w:r>
        <w:rPr>
          <w:rFonts w:ascii="Amiri" w:hAnsi="Amiri" w:eastAsia="Amiri" w:cs="Amiri"/>
          <w:color w:val="111111"/>
          <w:sz w:val="28"/>
          <w:sz w:val="28"/>
          <w:szCs w:val="28"/>
          <w:rtl w:val="true"/>
          <w:lang w:bidi="ar-SA"/>
        </w:rPr>
        <w:t>نشرع بالنقد والتقويم في مسألة قد تبدو غريبةً في أن يجود بها مداد مدير المشروع، ولكن قد يكون هناك نوعٌ آخر من التحقيق العمليّ الذي شاع كثيرًا في العقدين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الموضوع هو موضوع طاقة المشروع المدّخرة للبحث والجدل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 تسلّمت مسؤوليّة تأليف هذه الموسوعة، وأنا أتعرّض لسؤال من قبل الصحافة والأصدقاء والمساعدين،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أشعر بالقلق أو خطورة مثل هذا الموضوع؟ وكان جوابي على الدوام عن هذا السؤال بالنفي، ولكنّني كنت في الغالب أقرن هذه الإجابة بإظهار الأسف من أنّ المبالغة في تصوير المشاعر الإسلاميّة على خلاف ما هي عليه، هي التي تثير أمثال هذه التساؤلات؟ ولكنني في الوقت نفسه لا أنكر خطورة البحث في نصّ تقدّسه ملايين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المسلمين من يعتقد بحرمة حتى لمس هذا القرآن لغير المسلمين، فما ظنّك بقراءته 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ليس رأي أكثر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هناك بعض من يميل إلى عدم الاهتمام والتفاعل مع دراسة غير المسلم في القرآن؛ لعدم ارتباطه به، أو لضعفه، أو عدم وعيه الفطريّ به، إلا أنّ هناك من يرحّب بما يكتبه العلماء من غير المسلمين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هناك علماء من غير المسلمين جهدوا في أن يكتبوا </w:t>
      </w:r>
      <w:bookmarkStart w:id="156" w:name="pg8898_139229"/>
    </w:p>
    <w:p>
      <w:pPr>
        <w:pStyle w:val="BookText"/>
        <w:rPr/>
      </w:pPr>
      <w:bookmarkEnd w:id="156"/>
      <w:r>
        <w:rPr>
          <w:rFonts w:ascii="Amiri" w:hAnsi="Amiri" w:eastAsia="Amiri" w:cs="Amiri"/>
          <w:color w:val="111111"/>
          <w:sz w:val="28"/>
          <w:sz w:val="28"/>
          <w:szCs w:val="28"/>
          <w:rtl w:val="true"/>
          <w:lang w:bidi="ar-SA"/>
        </w:rPr>
        <w:t>عن القرآن بشكل لا يجرح مشاعر المسلمين، ولا ينتهك مقدّساتهم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باشر العمل بتصوّرٍ،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الملاحظات لا مجال لها في دائرة البحث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اختلاف في الشخصيّات والانتماءات المذهبيّة والأيديولوجيّة، والأساليب العلميّة في كلا الاتجاهين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عمدت إلى إدراج الأساليب والآراء المتواترة في تضاعيف دائرة المعارف القرآنيّة، إلا أنّني باشرت هذا المشروع وأنا على يقين من أنّ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وغير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يُجمعوا على الموافقة على هذا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المسلمين من فضّل عدم المشاركة في هذا المشروع مخافة أنّ المساهمة في دائرة المعارف القرآنيّة قد يعرّضه للتهمة وسوء الظن أو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غير المسلمين من أحجم عن المشاركة معنا للسبب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هذه الموارد لم تخرج عن دائرة الاستثناءات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أكثر العلماء الذين تمّت دعوتهم إلى الإسهام، قبلوا الدعوة بكل رغبة وسرور، مبدين فرحتهم برؤية موسوعة مرجعيّة تسهم في تقدّم واستمرار الأبحاث والدراسات القرآنيّة</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935535_2870459653"/>
      <w:bookmarkStart w:id="158" w:name="_Toc59"/>
      <w:bookmarkEnd w:id="157"/>
      <w:r>
        <w:rPr/>
        <w:t>1</w:t>
      </w:r>
      <w:r>
        <w:rPr>
          <w:rtl w:val="true"/>
        </w:rPr>
        <w:t xml:space="preserve">- </w:t>
      </w:r>
      <w:r>
        <w:rPr>
          <w:rtl w:val="true"/>
        </w:rPr>
        <w:t>فيما يلي مجموعة الملاحظات المنهجيّة والبنيويّة في الموسوعة</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شبهة مك اوليف بشأن تشتّت الموضوعات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المؤلّفة في المقدمة عشق المسلمين للقرآن وتكريمهم له وبعض المعلومات بشأن البنية الظاهريّة للقرآن وعدد السور والآيات، كما أنّ القرآن الكريم يُعدّ أصغر حجمًا بالمقارنة مع كتب الديانات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القانون البوذيّ وإنجيل سانسكريت والإنجيل الصينيّ، حتى بالنسبة إلى العهدين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الدكتورة مك أوليف في مقدّمة 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لايدن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ضرورة كتابة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محتوى القرآن ومطالبه متنوّعة ولم يتم تصنيفها، وكذلك فإنّه ليس مرتّبًا كما يرى ذلك الذّهن الحديث الذي يتطلّب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فإنّك لا تجد سورة تختصّ بالمعلومات المرتبطة بالإلهيّات والعقائد أو بالقوانين الشَّخصيّة والاجتماعيّة أو ترى سورة تختصّ بخصائص الدّعاء في الصلاة، </w:t>
      </w:r>
    </w:p>
    <w:p>
      <w:pPr>
        <w:pStyle w:val="BookText"/>
        <w:rPr/>
      </w:pPr>
      <w:r>
        <w:rPr>
          <w:rFonts w:ascii="Amiri" w:hAnsi="Amiri" w:eastAsia="Amiri" w:cs="Amiri"/>
          <w:color w:val="111111"/>
          <w:sz w:val="28"/>
          <w:sz w:val="28"/>
          <w:szCs w:val="28"/>
          <w:rtl w:val="true"/>
          <w:lang w:bidi="ar-SA"/>
        </w:rPr>
        <w:t>أو قصص الأنبياء، أو إنذارات يوم القيامة، أو خصائص الجنّة والنار، أو المواجهات الجدليّة مع أصحاب الأديان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إنّك تجد جميع هذه المطالب وكثيراً من الموضوعات الأخرى التي يزخر بها القرآن منتشرة في السّور المختلفة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الجواب عن شبهة مك أوليف بشأن تشتّت الموضوعات القرآنيّة،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كتابٌ موحىً من الله تعالى وليس كتابًا بشريًّا، ولغة هذا المتن الإلهىّ الوحيانيّ تختلف عن لغة البشر ، ولأجل فهمه يجب فهم خصائص لغة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نظم القرآن وكيفيّة ارتباط معاني الآيات يعتمد على فهم بعض المباني والظرائف واللطائف المتعلّقة بالكلام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الأسلوب البيانيّ للقرآن يكون من خلال الاهتمام بكلّ موضوع في إطار أوسع، إطار يحكي عن مجموعة منسجمة ومرتبطة بذلك الموضوع، وإنّ عدم الاهتمام بهذا الأمر المهمّ يوحي لنا بوجود الاضطراب في السّور القرآنيّة والقرآن الكريم مشحون بهذا الأسلوب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الُأسلوب المتداول عند الناس في بيان المطالب والموضوعات هو التركيز على موضوع خاصّ، وبیان جزئيّاته وتفصيلها؛ ذلك لأنّ دائرة وعي الإنسان محدودة ومقيّدة بالزمان والمكان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تصدّى للمطالب المتعلّقة بذلك الموضوع فإنّه يكون في إطار معيّن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القرآن الكريم لو كان من ترشّحات الذهن البشريّ وإنتاجه فعندها يجب أن تُطرح فيه المباحث بأسلوب بشريّ متعارف، ولأجل هذا فإنّ الأُسلوب البيانيّ للقرآن له نظم متفاوت مع النظم البيانيّ للنوع الإنسانيّ، ومن دون فهم مثل هذا الاختلاف والالتفات إليه فإنّ هناك أحكامًا غير صحيحة ستظهر تجاه القرآن،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النظم في الأسلوب البيانيّ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هذه النسب إنّما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 الآتي،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يعدّ النظم المختلف عن نظمه يساوي عدم النظم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البيان القرآنيّ يتحرّك على منصّة الماضي والحال والمستقبل والظواهر </w:t>
      </w:r>
    </w:p>
    <w:p>
      <w:pPr>
        <w:pStyle w:val="BookText"/>
        <w:rPr/>
      </w:pPr>
      <w:r>
        <w:rPr>
          <w:rFonts w:ascii="Amiri" w:hAnsi="Amiri" w:eastAsia="Amiri" w:cs="Amiri"/>
          <w:color w:val="111111"/>
          <w:sz w:val="28"/>
          <w:sz w:val="28"/>
          <w:szCs w:val="28"/>
          <w:rtl w:val="true"/>
          <w:lang w:bidi="ar-SA"/>
        </w:rPr>
        <w:t>والموضوعات المتعدّدة من ناحية الزمان والمكان، ولكنّها على بساط الوجود ترتبط فيما بينها ارتباطًا وثيقًا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متن القرآن يُظهر هذه الحقيقة ويبيّنها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الأصول الأساسيّة للتعرّف على معاني القرآن هو أنّ القرآن شبكةٌ مترابطةٌ مع بعضها، حيث إنّ كلّ مفردةٍ من هذه الشبكة يكون لها معنًى في ارتباطها بأجزاء المنظومة ومجموعتها، وربّما يكون معناها في المنظومة مختلفًا مع المعنى اللغويّ والعرقيّ لها، أو هو يحتاج إلى التأويل ليكون موافقًا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تعبير ايزوتسو، فإنّه ليس فقط مطالب القرآن بل حتى كلماته لم تستعمل لوحدها ومنعزلة عن غیرها، بل هي استُعملت بالعلاقة القريبة مع غيرها، وأعطت معناها المحسوس غيرها، بل هي والملموس دقيقًا من مجموع النّظام الارتباطيّ الذي تمتلكه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عدّ المرحوم العلّامة الطباطبائي مجموعة معارف القرآن مثل هرمِ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يرى أنّ مجموعة المعارف الإلهيّة تفصيل للتوحيد، والتوحيد إجمال لهذا التفصيل، ويذكر بهذا الصدد أنّ الآيات القرآنيّة بهذه المعارف الإلهيّة التفصيليّة والحقائق الحقّة تعتمد على حقيقةٍ واحدةٍ وهي أصل، وبقيّة المعارف غصونه وأوراقه، وهذا الأصل هو توحيد الله تعالى، وهذا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ما فيه من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جميع تفاصيل المعاني القرآنيّة وجزئيّاتها،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التّوحيد أصل إذا قمنا بتشريحه فإنّه يصير هذه التفاصيل، وإذا جمعنا هذه التفاصيل فإنّها تعود إلى أصلٍ واحدٍ </w:t>
      </w:r>
      <w:r>
        <w:rPr>
          <w:rStyle w:val="FootnoteAnchor"/>
          <w:rtl w:val="true"/>
        </w:rPr>
        <w:footnoteReference w:id="8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وجود كثير من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جملتها مثل هذه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وجود اختلافات بين لغة القرآن واللّغة البشريّة، ومن جملة هذه الاختلافات أنّه من الممكن من خلال نظرةٍ أوّليّةٍ غير عميقةٍ أن يبدو النّظم العجيب </w:t>
      </w:r>
    </w:p>
    <w:p>
      <w:pPr>
        <w:pStyle w:val="BookText"/>
        <w:rPr/>
      </w:pPr>
      <w:r>
        <w:rPr>
          <w:rFonts w:ascii="Amiri" w:hAnsi="Amiri" w:eastAsia="Amiri" w:cs="Amiri"/>
          <w:color w:val="111111"/>
          <w:sz w:val="28"/>
          <w:sz w:val="28"/>
          <w:szCs w:val="28"/>
          <w:rtl w:val="true"/>
          <w:lang w:bidi="ar-SA"/>
        </w:rPr>
        <w:t>للآيات وكأنّه نوعٌ من التّشتّت، وأنّ الارتباط الهندسيّ والمعقّد، والترابط والانسجام في معاني الآيات في نظرة غير تحقيقيّة يبدو كأنّه عدم نظم ظاهريّ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سبيل المثال، عندما يكون التوحيد والصفات والأسماء الإلهيّة لبّ جمیع حقائق کتاب الوجود وروحها، وكذلك أصل وجذور جميع حقائق الكتاب السماويّ المنطبق على حقائق الوجود، فمن البديهيّ عندما يبحث عن أصل أخلاقي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 بالأعمال الجوانحيّة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أصل عمليّ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يتعلّق بالأعمال الجوارحيّة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أسماء الله وصفاته تُذكر إلى جانبها، أو أنّه إذا كان الحديث عن المجال الاجتماعيّ فمن ناحية النظر إلى العلاقة العميقة لهذه المسائل مع مجال المباحث التوحيديّة فإنّ الكلام ينجرّ إلى الأصل الاعتقاديّ المتناسب معه إلى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لا يكون له معرفة بروح حقائق الدين وتقارب طبقاته المختلفة لعلّه يظنّ أنّ تفكيك البحوث الاجتماعيّة عن مجال البحوث التوحيديّة والاعتقاديّة وجعلها في مجال واحدٍ مستقلّ ومجزّء يكون سببًا للنظم الظاهريّ، إلّا أنّ هذا النظم الظاهريّ يمكن أن يكون متداولًا في اللغة البشريّة، أمّا بالنسبة إلى خالق البشر الذي ينزل كلامه من العرش إلى الفرش ومن اللّاهوت إلى النّاسوت ينظر إلى جمیع العلاقات الباطنيّة للحقائق بحسب الظاهر متفكّكة ومنفصمة وأنّ كلامه مع جميع العلاقات التكوينيّة والحقيقيّة والباطنيّة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ارتباط الآيات والانسجام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استمرّت بالنّزول خلال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 الإعجاب، بل هو من وجوه 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الوصول إلى وجوه الإعجاز هذه يحتاج إلى تعمّقٍ، ولا يكفي فيه نظرة سطحيّة عابرة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تبيين هذا الانسجام والارتباط بين الآيات يمكن الإشارة إلى قضيّة الارتباط بين معاني الآيات في الجمل وداخل السّوَر والارتباط الموضوعيّ بينها، ومن ثمّ رجوع بعض الآيات إلى البعض الآخر وانعطافها على بعضها، وكذلك هدفيّة جميع الآيات واتّصافها جميعًا بوحدة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هذه الخصائص تحكي النّظم في القرآن، وتُعدّ من أبعاد إعجاز القرآن الكريم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آية الله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القرآن أُنزل لهداية البشر، وسوقهم إلى سعادتهم في الأُولى والأُخرى، وليس هو بكتاب تاريخ أو فقه، أو أخلاق، أو ما يشبه ذلك ليعقد لكلِّ من هذه الجهات بابًا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فى أنّ أسلوبه هذا أقرب الأساليب إلى حصول النتيجة المقصودة، فإنّ القارئ لبعض سور القرآن يمكنه أن يحيط بكثير من أغراضه وأهدافه في أقرب وقت وأقلّ كلفة، فيتوجّه نظره إلى المبدأ والمعاد، ويطّلع على أحوال الماضين فيعتبر بهم، ويستفيد من الأخلاق الفاضلة، والمعارف العالية، ويتعلّم جانبًا من أحكامه في عباداته ومعاملاته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حفظ نظام الكلام، وتوفية حقوق البيان، ورعاية مقتضى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الفوائد لا يمكن حصولها من القرآن إذا كان مبوّبًا؛ لأنّ القارئ لا يحيط بأغراض القرآن إلّا حين يتمّ تلاوة القرآن جميعه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للقرآن فإنّ الكتب البشريّة من ناحية سعة الموضوع هي محدودة بالموضوع أو الموضوعات الخاصّة، وكذلك من ناحية الترتيب والتصنيف والتفصيل لها أسلوب معروف؛ ذلك لأنّ اقتضاء المحدوديّة الحاكمة على فكر المؤلّف من ناحية، وتمايز مفاد كلّ فرع من فروع العلم من ناحية أخرى لا يسمح بالتصدّي الموضوعات أُخرى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القرآن فإنّ أسلوبه يجب أن يتوافق مع هدفه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هداية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يتطلّب مزج الموضوعات مع اتصافها بكمال الارتباط والانسجام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النّظم والهندسة العجيبين بين الحقائق القرآنيّة مع بعضها و مع العلاقات التكوينيّة لعوالم الوجود تؤدّي إلى منع النظرة السطحيّة عن إدراك عمق تلك الحقائق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الجوادي الآملي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جميع آيات القرآن التي يفوق عددها ستة آلاف آية منسجمة مع بعضها، وهي بمنزلة كلام واحد؛ ذلك لأنّ القرآن </w:t>
      </w:r>
      <w:bookmarkStart w:id="159" w:name="pg8898_139234"/>
    </w:p>
    <w:p>
      <w:pPr>
        <w:pStyle w:val="BookText"/>
        <w:rPr/>
      </w:pPr>
      <w:bookmarkEnd w:id="159"/>
      <w:r>
        <w:rPr>
          <w:rFonts w:ascii="Amiri" w:hAnsi="Amiri" w:eastAsia="Amiri" w:cs="Amiri"/>
          <w:color w:val="111111"/>
          <w:sz w:val="28"/>
          <w:sz w:val="28"/>
          <w:szCs w:val="28"/>
          <w:rtl w:val="true"/>
          <w:lang w:bidi="ar-SA"/>
        </w:rPr>
        <w:t>نزل من مبدأ الحكمة، وبعد الإحكام وكونه حكيمًا تمّ تفصيله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ورد في كلمات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عدم التطابق الظاهريّ في مجال محتوى الآيات ومعانيها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دقيقة فيها إشارة إلى أنّ الاتصال الباطنيّ كامن خلف الانفصال والتفكّك الظاهريّ لفقرات الآيات، ومن جملتها ماروي عن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الآية يكون أوّلها في شيء وأوسطها في شيء وآخرها في شيء وهو كلام متصل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ريب في أنّ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لغته الخاصّة ولا يمكن قياسها باللغة الرائجة في مجموعة بشريّة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الانسجام بين الألفاظ، والمعاني استقلال المطالب وترابطها، الوئام التامّ في مجموعة الكلام، الاستفادة من الأساليب المتنوّعة، والاحتواء على المطالب والأسرار العجيبة في عين بساطة اللغة ووضوح البيان الذي هو الفصاحة والبلاغة يُعدّ إعجازًا وفوق قدرة البشر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935537_2870459653"/>
      <w:bookmarkStart w:id="161" w:name="_Toc60"/>
      <w:bookmarkEnd w:id="160"/>
      <w:r>
        <w:rPr/>
        <w:t>2</w:t>
      </w:r>
      <w:r>
        <w:rPr>
          <w:rtl w:val="true"/>
        </w:rPr>
        <w:t xml:space="preserve">. </w:t>
      </w:r>
      <w:r>
        <w:rPr>
          <w:rtl w:val="true"/>
        </w:rPr>
        <w:t>دعوى التّحقيق الدّقيق التي جاءت في مقدّمة هذه الموسوعة</w:t>
      </w:r>
      <w:r>
        <w:rPr>
          <w:rtl w:val="true"/>
        </w:rPr>
        <w:t>:</w:t>
      </w:r>
      <w:bookmarkEnd w:id="16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دعوى التحقيق الدقيق التي جاءت في مقدّمة هذه الموسوعة لاتنسجم مع ما قام به الكتّاب في بعض المقالات؛ حيث عمد كلود جيليوت في 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في المرحلة القديمة</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إلى اعتبار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 في متشابه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تفاسير المعتزلة، كما عرّف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بوصفهما مفسّرين شيعيّين معتزلتّين، في حين أنّه لم يلتفت إلى أنّ العالم الإسلامي يضمّ ثلاثة تيّارات كلاميّة رئيسة،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التيّار الكلامي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التيّار الكلامي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التيّار الكلامي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التيّار الثالث وإن كان لا يتقاطع مع التيار المعتزلي في بعض المسائل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العقلانيّة، إلا أنّ كلّ واحدٍ منهما تيّارٌ مستقلٌ عن الآخر، وله خصائصه التي تميّزه عنه؛ حيث يذهب الشيعة إلى استمرار النبوّة في الإمامة، خلافًا للمعتزلة الذين لا يوافقون الشيعة في هذه العقيدة الكلاميّة المهمّة، أو إنّ المعتزلة يذهبون إلى القول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 بين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يرفضها الكلام الشيعيّ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 الحسن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تجريد الاعتقاد، تحـ إبراهيم الزنجاني،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منشورات شکوری،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الإيجي،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المواقف، تحـ عبد الرحمن عميرة، ط ا ، بيروت، دار الجیل،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هذا الخطأ الذي ارتكبته دائرة معارف ليدن ناتج عن كتب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التفسير والمفسّرون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الذهبي؛ إذ سبقهم في توجيه هذه النسبة إلى السيد المرتضى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ليس هناك من يشك في كون السيد المرتضى من كبار علماء الشيعة الإمامية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فى ذات المقالة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آندرو 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بأنّ تفسير أبي الفتوح الرازي من أضخم التفاسير الروائيّة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أضخم التفاسير الرّوائيّة الشيعيّة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والبرهان للمحدّث البحراني، ونور الثّقلين للعروسي الحويزي، والصافي للفيض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تفسير أبي الفتوح الرّازي فهو عبارة عن ترجمة فارسيّةٍ تقريبًا لتفسير التبيان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وبطبيعة الحال فإنّه لا يخلو من بعض الإضافات من قبل أبي الفتوح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أسلوب هذين التفسيرين اجتهادي، وليس روائيًا محضًا، وهذا يتّضح من خلال أدنى تدقيقٍ في هذين التفسيرين</w:t>
      </w:r>
      <w:r>
        <w:rPr>
          <w:rFonts w:eastAsia="Amiri" w:cs="Amiri" w:ascii="Amiri" w:hAnsi="Amiri"/>
          <w:color w:val="111111"/>
          <w:sz w:val="28"/>
          <w:szCs w:val="28"/>
          <w:rtl w:val="true"/>
          <w:lang w:bidi="ar-SA"/>
        </w:rPr>
        <w:t xml:space="preserve">. </w:t>
      </w:r>
      <w:bookmarkStart w:id="162" w:name="pg8898_139236"/>
    </w:p>
    <w:p>
      <w:pPr>
        <w:pStyle w:val="Heading5"/>
        <w:numPr>
          <w:ilvl w:val="4"/>
          <w:numId w:val="1"/>
        </w:numPr>
        <w:rPr/>
      </w:pPr>
      <w:bookmarkStart w:id="163" w:name="__RefHeading___Toc935539_2870459653"/>
      <w:bookmarkStart w:id="164" w:name="_Toc61"/>
      <w:bookmarkEnd w:id="162"/>
      <w:bookmarkEnd w:id="163"/>
      <w:r>
        <w:rPr/>
        <w:t>3</w:t>
      </w:r>
      <w:r>
        <w:rPr>
          <w:rtl w:val="true"/>
        </w:rPr>
        <w:t xml:space="preserve">. </w:t>
      </w:r>
      <w:r>
        <w:rPr>
          <w:rtl w:val="true"/>
        </w:rPr>
        <w:t>الأخطاء المنهجيّة في التّعريف بالتّفاسير</w:t>
      </w:r>
      <w:r>
        <w:rPr>
          <w:rtl w:val="true"/>
        </w:rPr>
        <w:t>:</w:t>
      </w:r>
      <w:bookmarkEnd w:id="16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راترود ويلانت في 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في المرحلة المعاصرة</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Exegesis of the Quran: Early Modern and contemporary - Rotraud Wielandt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القول بأنّ التّفسير العقلانيّ منحصرٌ بالتّفسير الاجتهاديّ لأشخاصٍ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خان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تجْمَعُ هذه التفاسير بين الحضارة والعلم الغربييّن وبين القرآن، والملفت أنّه ينسب في ذات المقالة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والعرفان في تفسير القرآن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أبو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إنّ هذا الكتاب ليس لأبي زيد، بل هو للسيد أحمد خان الهنديّ، فضلاً أنّ هذا الكتاب يعدّ من التفاسير العلميّة وليس العقليّة، مع الإشارة إلى أنّ التّفسير العقليّ لا ينحصر بالتفسير الاجتهاديّ، بل إنّ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التفسيرية تستعمل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البرهانيّ، الذي يعمد إلى تفسير القرآن من خلال توظيف البراهين العقليّة، كما 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بالالتفات إلى البرهان العقليّ القائل باستحالة أن يكون لله جسمٌ، فيتمّ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بالقدرة، ويصرف النظر عن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الذي هو عبارة عن القوّة المدركة، وقوّة الفكر التي تدخل في مختلف أساليب العمليّة التفسيريّة؛ حيث يتمّ توظيف العقل للتدبّر وفهم الآيات وقرائنها والجمع بينها، والاستنباط منها، والاجتهاد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الأخير هو الذي يسمى بالتفسير الاجتهادي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التفاسير العقليّة لا تنحصر بتفسير محمد عبده المصريّ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أحمد خان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لهذا النوع من التفسير </w:t>
      </w:r>
      <w:bookmarkStart w:id="165" w:name="pg8898_139237"/>
    </w:p>
    <w:p>
      <w:pPr>
        <w:pStyle w:val="BookText"/>
        <w:rPr/>
      </w:pPr>
      <w:bookmarkEnd w:id="165"/>
      <w:r>
        <w:rPr>
          <w:rFonts w:ascii="Amiri" w:hAnsi="Amiri" w:eastAsia="Amiri" w:cs="Amiri"/>
          <w:color w:val="111111"/>
          <w:sz w:val="28"/>
          <w:sz w:val="28"/>
          <w:szCs w:val="28"/>
          <w:rtl w:val="true"/>
          <w:lang w:bidi="ar-SA"/>
        </w:rPr>
        <w:t xml:space="preserve">جذورًا تعود لألف سنة، حيث بدأه الشيخ الطوسيّ والطبرسيّ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تفسير الشيخ محمد عبده يحتوي على إبداعات،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بالنزعة الاجتماعيّة في التفسير، وكذلك الاهتمام بالأسلوب العلميّ، ودور العلوم الحديثة في التفسير، وهو واضح من خلال دراسة تفسير الجزء الأخير من القرآن، وكذلك تفسير المنار لتلميذه محمد رشید 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راترود ويلانت في 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في المرحلة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بأنّ التفسير العلميّ للقرآن قد بدأ بالفخر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من خلال استخراج العلوم من القرآن، ثمّ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والطنطاوي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هناك يعترف بأنّ التفسير العلمي للقرآن يثبت إعجاز القرآن، ويجعل من القرآن سلاحًا ماضيًّا بيد المسلمين في مواجهة الغرب، ولكنّه لم يلتفت إلى أنّ هذا التفسير العلميّ للقرآن قد بدأ منذ عصر الشيخ الرئيس ابن سينا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كان على نحو الأساليب الثلاثة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استخراج العلوم من القرآن اعتمادًا على فهمٍ خاطئ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الْكِتَبَ تِبْيَنَا لِكُلِّ شَيْءٍ</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إذ یُفهم من ظاهره أنّ جميع العلوم؛ موجودة في القرآن، وهو النهج الذي سار عليه الغزالي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تحميل النظريّات العلميّة على القرآن الكريم، وهو الأسلوب الذي مال إليه المغرمون بالعلوم الحديثة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نوفل المصريّ في العديد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استخدام العلوم من القرآن الكريم، وهو أسلوب صحيح، وقد أراد بعضهم من أمثال الشيخ محمد عبده سلوكه</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935541_2870459653"/>
      <w:bookmarkStart w:id="167" w:name="_Toc62"/>
      <w:bookmarkEnd w:id="166"/>
      <w:r>
        <w:rPr/>
        <w:t>4</w:t>
      </w:r>
      <w:r>
        <w:rPr>
          <w:rtl w:val="true"/>
        </w:rPr>
        <w:t xml:space="preserve">. </w:t>
      </w:r>
      <w:r>
        <w:rPr>
          <w:rtl w:val="true"/>
        </w:rPr>
        <w:t>اجترار التُهم التي وجّهها المستشرقون للقرآن الكريم</w:t>
      </w:r>
      <w:r>
        <w:rPr>
          <w:rtl w:val="true"/>
        </w:rPr>
        <w:t>:</w:t>
      </w:r>
      <w:bookmarkEnd w:id="16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أنّ الأسلوب السائد في هذه الموسوعة يبتعد عن الأبحاث </w:t>
      </w:r>
    </w:p>
    <w:p>
      <w:pPr>
        <w:pStyle w:val="BookText"/>
        <w:rPr/>
      </w:pPr>
      <w:r>
        <w:rPr>
          <w:rFonts w:ascii="Amiri" w:hAnsi="Amiri" w:eastAsia="Amiri" w:cs="Amiri"/>
          <w:color w:val="111111"/>
          <w:sz w:val="28"/>
          <w:sz w:val="28"/>
          <w:szCs w:val="28"/>
          <w:rtl w:val="true"/>
          <w:lang w:bidi="ar-SA"/>
        </w:rPr>
        <w:t>السابقة للمستشرقين إلى حدٍّ كبير، إلا أنّ بعض الكُتّاب فيها ينسجون على ذات المنوال الذي نسج عليه من سبقهم من المستشرقين، فكانت مقالاتهم خاليةً من أي إبداعٍ جديدٍ، فهي تكرارٌ لما قاله مستشرقون سابقون، وفيما يلي نشير إلى بعض النماذج من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أندرو ريبين في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أخطأ القرآن في اعتبار أمّ عيسى علیها السّلام أختًا لهارون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أُخْتَ هَارُونَ</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في حين أنّ هارون قد توفي قبل قرون من ولادة أمّ عيسى، وقد جاء في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لهارون اخت اسمها مريم، وإنّها كانت تعيش في عصر هارون وموسى وليس في عصر عيسى</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أنّ أندرو ريبين كان قد راجع تفاسير الشيعة والسنة المهمّة، لأدرك أنّ هذه العبارة التي وردت في القرآن على لسان أعداء مريم، إنّما هي من الأمثال التي كانت سائدة بين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عن النبي الأكرم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هارون هذا كان رجلًا صالحًا في بني إسرائيل، يُنسب إليه كلّ من عُرفَ بالصلاح</w:t>
      </w:r>
      <w:r>
        <w:rPr>
          <w:rFonts w:eastAsia="IRNazanin" w:cs="IRNazanin"/>
          <w:color w:val="111111"/>
          <w:sz w:val="28"/>
          <w:szCs w:val="28"/>
          <w:rtl w:val="true"/>
          <w:lang w:bidi="fa-IR"/>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الهفوة التي يرتكبها أندرو ريبين في عدم فهم القرآن، وعدم رجوعه إلى التفاسير والروايات التفسيريّة تشكّل خللاً علميًّا لهذه الموسوعة يتحمّلها جميع العاملين والمحقّقين والمشرفين عليها؛ إذ إنّها تحكي عن عدم متابعتهم واهتمامهم  بتحقيقات المستشرقين المتقدّمين، وردود المسلمين عليهم، فكلام أندرو ريبين ليس شيئًا جديدًا، بل اجترار لما سبق أن ذكره المسستشرقون المتقدّمون، فإنّ أوّل من ذكر هذه الشَّبهة هو شخص يدعى أدريان ريلاند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ردّ عليه المسلمون مرارًا وتكرارًا، ومن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عن القرآن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والعجيب أن نرى اجترار هذه الشّبهة في هذه الموسوعة حتى بعد </w:t>
      </w:r>
      <w:bookmarkStart w:id="168" w:name="pg8898_139239"/>
    </w:p>
    <w:p>
      <w:pPr>
        <w:pStyle w:val="BookText"/>
        <w:rPr/>
      </w:pPr>
      <w:bookmarkEnd w:id="168"/>
      <w:r>
        <w:rPr>
          <w:rFonts w:ascii="Amiri" w:hAnsi="Amiri" w:eastAsia="Amiri" w:cs="Amiri"/>
          <w:color w:val="111111"/>
          <w:sz w:val="28"/>
          <w:sz w:val="28"/>
          <w:szCs w:val="28"/>
          <w:rtl w:val="true"/>
          <w:lang w:bidi="ar-SA"/>
        </w:rPr>
        <w:t>مرور أربعة عشر عامًا من صدور كتاب عبد الرحمن بدوي، دون أن تتمّ الإشارة إلى الإجابة عنها</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935543_2870459653"/>
      <w:bookmarkStart w:id="170" w:name="_Toc63"/>
      <w:bookmarkEnd w:id="169"/>
      <w:r>
        <w:rPr/>
        <w:t>5</w:t>
      </w:r>
      <w:r>
        <w:rPr>
          <w:rtl w:val="true"/>
        </w:rPr>
        <w:t xml:space="preserve">. </w:t>
      </w:r>
      <w:r>
        <w:rPr>
          <w:rtl w:val="true"/>
        </w:rPr>
        <w:t>التناقضات الدّاخلية في دائرة معارف ليدن القرآنيّة</w:t>
      </w:r>
      <w:r>
        <w:rPr>
          <w:rtl w:val="true"/>
        </w:rPr>
        <w:t>:</w:t>
      </w:r>
      <w:bookmarkEnd w:id="170"/>
    </w:p>
    <w:p>
      <w:pPr>
        <w:pStyle w:val="BookText"/>
        <w:rPr/>
      </w:pPr>
      <w:r>
        <w:rPr>
          <w:rFonts w:ascii="Amiri" w:hAnsi="Amiri" w:eastAsia="Amiri" w:cs="Amiri"/>
          <w:color w:val="111111"/>
          <w:sz w:val="28"/>
          <w:sz w:val="28"/>
          <w:szCs w:val="28"/>
          <w:rtl w:val="true"/>
          <w:lang w:bidi="ar-SA"/>
        </w:rPr>
        <w:t>يجب في كلّ كتاب ألّا يشتمل على أمورٍ متناقضةٍ، خاصّة فيما يتعلق بالمسائل التاريخيّة التي تنسب إلى الأديان والكتب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نشاهد مثل هذه التناقضات أحيانًا في دائرة معارف ليدن؛ وفق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جوین بول في مقالته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في تحريف القرآن، منها ما جاء عن السيوطيّ أنّ آية الرجم قد نزلت على النبي محمد صلّی الله علیه و آله، ولكنّها لم تدرج في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استبدالها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وينسب إلى الشيعة أنّهم يقولون بأنّ سورة الأحزاب كانت في الأصل أطول من سورة البقرة، ولكنّها تعرّضت للتغيير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الشيعة قد فسّروا القراءات السبع للقرآن باستنباط الفتاوى الفقهية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أنّ يونباي عمد في 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نفي مسألة التحريف في ذات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الظاهرة تثبت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التناقض الداخليّ في دائرة معارف ليدن، وهذه الحقيقة تضاعف من مسؤوليّة رئيسة التحقيق في هذه الموسوعة؛ كي تبذل كلّ ما بوسعها من أجل الحيلولة دون جمع البحوث المتناقضة في موسوعة وكتاب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روايات التحريف قد رفضت مرارًا وتكرارًا وانتقدت من قبل الشيعة والسنّة؛ لأنّ كثيرًا منها مخالف للقرآن، وكلّ ما يخالف القرآن فهو ساقط عن الاعتبار، كما </w:t>
      </w:r>
      <w:bookmarkStart w:id="171" w:name="pg8898_139240"/>
    </w:p>
    <w:p>
      <w:pPr>
        <w:pStyle w:val="BookText"/>
        <w:rPr/>
      </w:pPr>
      <w:bookmarkEnd w:id="171"/>
      <w:r>
        <w:rPr>
          <w:rFonts w:ascii="Amiri" w:hAnsi="Amiri" w:eastAsia="Amiri" w:cs="Amiri"/>
          <w:color w:val="111111"/>
          <w:sz w:val="28"/>
          <w:sz w:val="28"/>
          <w:szCs w:val="28"/>
          <w:rtl w:val="true"/>
          <w:lang w:bidi="ar-SA"/>
        </w:rPr>
        <w:t>إنّ سند هذه الروايات مخدوش أيضًا، وإنّ بعضها يشير إلى الموضوعات التفسيريّة واختلاف القراءات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من بين الذين صنّفوا الكتاب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آية الله العظمى قدّس سرّه السيد أبو القاسم الخوئي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الله الشيخ محمد هادي معرفة قدّس سرّه تنت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القرآن عن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والدكتور نجار زادكان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القرآن من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أعيد طبع هذا الكتاب الأخير مع بعض الإضافات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مسألة زيادة أصل سورة الأحزاب، وكونها أطول من سورة البقرة نسبت في مصادر أهل السنّة إلى أبيّ بن كعب وعائشة </w:t>
      </w:r>
      <w:r>
        <w:rPr>
          <w:rStyle w:val="FootnoteAnchor"/>
          <w:rtl w:val="true"/>
        </w:rPr>
        <w:footnoteReference w:id="99"/>
      </w:r>
      <w:r>
        <w:rPr>
          <w:rFonts w:ascii="Amiri" w:hAnsi="Amiri" w:eastAsia="Amiri" w:cs="Amiri"/>
          <w:color w:val="111111"/>
          <w:sz w:val="28"/>
          <w:sz w:val="28"/>
          <w:szCs w:val="28"/>
          <w:rtl w:val="true"/>
          <w:lang w:bidi="ar-SA"/>
        </w:rPr>
        <w:t>، فلماذا يعمد الكاتب إلى نسبة هذه التهمة إلى الشيعة؟ هذا في حين أنّنا أسلفنا أنّ أصل هذه المسألة باطل وغير صحيح من الأساس؛ إذ يُجمع علماء الفريقين على رفض مسألة التحريف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القراءات السبع للقرآن التي حكيت في بعض الروايات، مخدوشة عند الشيعة من حيث السند والدلالة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إنّها غير متواترة ولا يثبت القرآن بها، لا يمكن أن تشكّل دليلًا على استنباط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اهتمام بقراءة حفص عن عاصم لتطابقها الكبير مع القراءة المتواترة بين جمهور المسلمين، وإنّ المصاحف الراهنة تطبع في العالم الإسلاميّ طبقًا لهذه القراءة</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935545_2870459653"/>
      <w:bookmarkStart w:id="173" w:name="_Toc64"/>
      <w:bookmarkEnd w:id="172"/>
      <w:r>
        <w:rPr/>
        <w:t>6</w:t>
      </w:r>
      <w:r>
        <w:rPr>
          <w:rtl w:val="true"/>
        </w:rPr>
        <w:t xml:space="preserve">. </w:t>
      </w:r>
      <w:r>
        <w:rPr>
          <w:rtl w:val="true"/>
        </w:rPr>
        <w:t>عدم جمع كافّة المعلومات المهمّة في مجالٍ واحدٍ</w:t>
      </w:r>
      <w:r>
        <w:rPr>
          <w:rtl w:val="true"/>
        </w:rPr>
        <w:t>:</w:t>
      </w:r>
      <w:bookmarkEnd w:id="17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مهمة دائرة المعارف أن تأتي بجميع المعلومات الضروريّة حول موضوع ما بشكل مختصر يغني القارئ عن الرجوع إلى الكتب الأخرى، إلا أنّ دائرة معارف ليدن لم تقم بهذا الأمر؛ حيث جاء في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للسيدة جين دمن ماك </w:t>
      </w:r>
    </w:p>
    <w:p>
      <w:pPr>
        <w:pStyle w:val="BookText"/>
        <w:rPr/>
      </w:pPr>
      <w:r>
        <w:rPr>
          <w:rFonts w:ascii="IRNazanin" w:hAnsi="IRNazanin" w:eastAsia="IRNazanin"/>
          <w:color w:val="111111"/>
          <w:sz w:val="28"/>
          <w:sz w:val="28"/>
          <w:szCs w:val="28"/>
          <w:rtl w:val="true"/>
          <w:lang w:bidi="fa-IR"/>
        </w:rPr>
        <w:t xml:space="preserve">أوليف أنّ مفسّري القرآن يذهبون إلى نزول الآية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والآية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السيدة فاطمة علیها السّلام، ثم نقلت عن تفسير الطبريّ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سورة الأحزاب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وفاطمة وعلي والحسن والحسين علیهم السّلام ولكن ينقل عن عكرمة أنّ المراد منه زوجات النّبي الأكرم صلّی الله علیه و آله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حين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الآيات المتعلقة بالسيّدة فاطمة الزهراء علیها السّلام تترواح بين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إلى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وبطبيعة الحال فإنّ بعض هذه الموارد في شأن نزول هذه الآيات بحق فاطمة علیها السّلام، وفي بعضها فسّرت السيدة فاطمة علیها السّلام على أنّها من مصاديقه، أو تأويلها، أو بطنه،ا أو تفسيرها، وإنّ بعض الآيات موضع إجماع من قبل المفسّرين من الشيعة والسنّة، من ذلك سورة الكوثر </w:t>
      </w:r>
      <w:r>
        <w:rPr>
          <w:rStyle w:val="FootnoteAnchor"/>
          <w:rtl w:val="true"/>
        </w:rPr>
        <w:footnoteReference w:id="103"/>
      </w:r>
      <w:r>
        <w:rPr>
          <w:rFonts w:ascii="Amiri" w:hAnsi="Amiri" w:eastAsia="Amiri" w:cs="Amiri"/>
          <w:color w:val="111111"/>
          <w:sz w:val="28"/>
          <w:sz w:val="28"/>
          <w:szCs w:val="28"/>
          <w:rtl w:val="true"/>
          <w:lang w:bidi="ar-SA"/>
        </w:rPr>
        <w:t xml:space="preserve">، وآيات النذر في سورة 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وجدير بالذكر أنّ هناك أكثر من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مؤلّف بشأن السيّدة فاطمة الزهراء علیها السّلام </w:t>
      </w:r>
      <w:r>
        <w:rPr>
          <w:rStyle w:val="FootnoteAnchor"/>
          <w:rtl w:val="true"/>
        </w:rPr>
        <w:footnoteReference w:id="105"/>
      </w:r>
      <w:r>
        <w:rPr>
          <w:rFonts w:ascii="IRNazanin" w:hAnsi="IRNazanin" w:eastAsia="IRNazanin"/>
          <w:color w:val="111111"/>
          <w:sz w:val="28"/>
          <w:sz w:val="28"/>
          <w:szCs w:val="28"/>
          <w:rtl w:val="true"/>
          <w:lang w:bidi="fa-IR"/>
        </w:rPr>
        <w:t>، وقد تحدّث الكثير منها عن الآيات القرآنية التي نزلت بحقّ السيّدة فاطمة علیها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عدم الالتفات إلى هذا التّراث الضخم في مصادر أهل السنّة والشيعة فيما يتعلّق بالآيات المرتبطة بالسيّدة فاطمة الزهراء علیها السّلام، لا يمكن التّسامح معه خاصّة أنّه من قِبل مؤلّفة بوزن رئيسة فريق المحقّقين في دائرة معارف ليدن القرآنية، وقد يعمد بعضهم من أجل ذلك إلى اتّهامها بقلّة المعرفة</w:t>
      </w:r>
      <w:r>
        <w:rPr>
          <w:rFonts w:eastAsia="IRNazanin" w:cs="IRNazanin"/>
          <w:color w:val="111111"/>
          <w:sz w:val="28"/>
          <w:szCs w:val="28"/>
          <w:rtl w:val="true"/>
          <w:lang w:bidi="fa-IR"/>
        </w:rPr>
        <w:t xml:space="preserve">. </w:t>
      </w:r>
      <w:bookmarkStart w:id="174" w:name="pg8898_139242"/>
    </w:p>
    <w:p>
      <w:pPr>
        <w:pStyle w:val="BookText"/>
        <w:rPr/>
      </w:pPr>
      <w:bookmarkEnd w:id="174"/>
      <w:r>
        <w:rPr>
          <w:rFonts w:ascii="IRNazanin" w:hAnsi="IRNazanin" w:eastAsia="IRNazanin"/>
          <w:color w:val="111111"/>
          <w:sz w:val="28"/>
          <w:sz w:val="28"/>
          <w:szCs w:val="28"/>
          <w:rtl w:val="true"/>
          <w:lang w:bidi="fa-IR"/>
        </w:rPr>
        <w:t>ويجب على كاتب دائرة المعارف أن يقدّم تقريرًا كاملًا عن الآراء في خصوص کل موضوع من المواضيع، وإذا نقل موقف شخص يجب أن ينقل إلى جانبه موقف المخالف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يتعلق بالمثال المذكور عندما ينقل حديث عكرمة، كان يجب أن يشار إلى ضعفه وضعف راويه، خاصة وأنّ كبار علماء علم الرجال من أهل السنّة والشيعة قد ضعّفوا عكرمة وعدّوه من الخوارج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وثّق عكرمة، ولكنّه مع ذلك شكّك في إسناد هذه الرواية له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عليه أيضًا الإشارة إلى ضعف مع دلالة الحديث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في نساء النبي صلّی الله علیه و آله خاصّة </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إذ إنّ آية التطهير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أشار بعض المفسرين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الطهارة من جميع أنواع الذنوب،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تدلّ على عصمة أهل البيت علیهم السّلام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يمكن أن يصدّق على جميع نساء النبي صلّی الله علیه و آله اللاتي نزلت الآيات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التحريم في مطالبتهنّ بالتوبة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935547_2870459653"/>
      <w:bookmarkStart w:id="176" w:name="_Toc65"/>
      <w:bookmarkEnd w:id="175"/>
      <w:r>
        <w:rPr/>
        <w:t>7</w:t>
      </w:r>
      <w:r>
        <w:rPr>
          <w:rtl w:val="true"/>
        </w:rPr>
        <w:t xml:space="preserve">. </w:t>
      </w:r>
      <w:r>
        <w:rPr>
          <w:rtl w:val="true"/>
        </w:rPr>
        <w:t>نقل الإسرائيليات دون نقدها</w:t>
      </w:r>
      <w:r>
        <w:rPr>
          <w:rtl w:val="true"/>
        </w:rPr>
        <w:t>:</w:t>
      </w:r>
      <w:bookmarkEnd w:id="176"/>
    </w:p>
    <w:p>
      <w:pPr>
        <w:pStyle w:val="BookText"/>
        <w:rPr/>
      </w:pPr>
      <w:r>
        <w:rPr>
          <w:rFonts w:ascii="Amiri" w:hAnsi="Amiri" w:eastAsia="Amiri" w:cs="Amiri"/>
          <w:color w:val="111111"/>
          <w:sz w:val="28"/>
          <w:sz w:val="28"/>
          <w:szCs w:val="28"/>
          <w:rtl w:val="true"/>
          <w:lang w:bidi="ar-SA"/>
        </w:rPr>
        <w:t xml:space="preserve">من باب المثال ؛ قال كرنليا شاك في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خلق آدم وحوّاء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خلقكم من نفس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وخلق منها زوجها؛ أي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خلق حوّاء من أسفل أضلاع آدم أو من جانبه الأيسر</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يشير الكاتب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الَّذِي خَلَقَكُم مِّن نَّفْسٍ وَاحِدَةٍ وَخَلَقَ مِنْهَا زَوْجَهَا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هذه الآية ولا في غيرها من آيات القرآن ما يصرح بخلق حواء من</w:t>
      </w:r>
      <w:bookmarkStart w:id="177" w:name="pg8898_139243"/>
    </w:p>
    <w:p>
      <w:pPr>
        <w:pStyle w:val="BookText"/>
        <w:rPr/>
      </w:pPr>
      <w:bookmarkEnd w:id="177"/>
      <w:r>
        <w:rPr>
          <w:rFonts w:ascii="Amiri" w:hAnsi="Amiri" w:eastAsia="Amiri" w:cs="Amiri"/>
          <w:color w:val="111111"/>
          <w:sz w:val="28"/>
          <w:sz w:val="28"/>
          <w:szCs w:val="28"/>
          <w:rtl w:val="true"/>
          <w:lang w:bidi="ar-SA"/>
        </w:rPr>
        <w:t>الضلع الأيسر لآدم؛ من هنا فإنّ نسبة هذا القول إلى القرآن الكريم مخالف للأمانة في نقل المطالب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فَأَوْقَعَ الرَّبُّ الإِلهُ سُبَاتًا عَلَى آدَمَ فَنَامَ، فَأَخَذَ وَاحِدَةً مِنْ أَضْلاعِهِ وَمَلاً مَكَانَهَا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الرَّبُّ الإِلهُ الضّلْعَ الَّتِي أَخَذَهَا مِنْ آدَمَ امْرَأَةً وَأَحْضَرَهَا إِلَى آدَمَ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الآنَ عَظْمٌ مِنْ عِظَامِي وَلَحْمٌ مِنْ لَحْمِي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تُدْعَى امْرَأَةً لأَنَّهَا مِنِ امْرِءٍ أُخِذَتْ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فهذه إنما هي من قصص الكتاب المقدّس التي علقت في 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كرنليا 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عمدت إلى إسقاطها في مقالتها على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الكاتب نظر في تفاسير المسلمين بشأن آيات خلق آدم لما سقط في مثل هذه الهفوة؛ فإن العلامة الطباطبائي قد صرّح بهذه الحقيقة في الميزان، ورفض أن تكون الرواية التي نقلت هذا الشيء صحيحة، وقال بأنها ذات جذور إسرائيلية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935549_2870459653"/>
      <w:bookmarkStart w:id="179" w:name="_Toc66"/>
      <w:bookmarkEnd w:id="178"/>
      <w:r>
        <w:rPr/>
        <w:t>8</w:t>
      </w:r>
      <w:r>
        <w:rPr>
          <w:rtl w:val="true"/>
        </w:rPr>
        <w:t xml:space="preserve">. </w:t>
      </w:r>
      <w:r>
        <w:rPr>
          <w:rtl w:val="true"/>
        </w:rPr>
        <w:t>نسبة بعض الأمور غير اللائقة إلى الأنبياء علیهم السّلام</w:t>
      </w:r>
      <w:r>
        <w:rPr>
          <w:rtl w:val="true"/>
        </w:rPr>
        <w:t>:</w:t>
      </w:r>
      <w:bookmarkEnd w:id="179"/>
    </w:p>
    <w:p>
      <w:pPr>
        <w:pStyle w:val="BookText"/>
        <w:rPr/>
      </w:pPr>
      <w:r>
        <w:rPr>
          <w:rFonts w:ascii="IRNazanin" w:hAnsi="IRNazanin" w:eastAsia="IRNazanin"/>
          <w:color w:val="111111"/>
          <w:sz w:val="28"/>
          <w:sz w:val="28"/>
          <w:szCs w:val="28"/>
          <w:rtl w:val="true"/>
          <w:lang w:bidi="fa-IR"/>
        </w:rPr>
        <w:t xml:space="preserve">من قبيل ما جاء في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يعدّ آزر أبًا لإبراهيم علیه السلام، كما يتمّ التعريف بإبراهيم في قصّة الطيور معترضًا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ذات المدخل ينسب الشرك وعبادة الأصنام إلى أجداد النبيّ الأكرم صلّی الله علیه و آله وآبائه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في حين أنّ مفسّري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في مجمع البيان والميزان والأمثل وغيرها من المصادر المتخصّصة بتنزيه الأنبياء، قد أشاروا إلى هذه المسائل في تفسير الآيات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التوبة، والآية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الممتحنة، والآية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مريم، والآية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الشعراء، وقاموا بتأويلها أو نفيها، وبيّنوا أنّ آزر إنما هو عمّ النبيّ إبراهيم، وإنّ الحديث المنسوب إلى النبي موضوع ، وإنّ هناك الكثير من الشواهد التي تثبت إيمان آباء النبي صلّی الله علیه و آله وأجداده</w:t>
      </w:r>
      <w:r>
        <w:rPr>
          <w:rFonts w:eastAsia="IRNazanin" w:cs="IRNazanin"/>
          <w:color w:val="111111"/>
          <w:sz w:val="28"/>
          <w:szCs w:val="28"/>
          <w:rtl w:val="true"/>
          <w:lang w:bidi="fa-IR"/>
        </w:rPr>
        <w:t xml:space="preserve">. </w:t>
      </w:r>
      <w:r>
        <w:rPr>
          <w:rStyle w:val="FootnoteAnchor"/>
          <w:rtl w:val="true"/>
        </w:rPr>
        <w:footnoteReference w:id="115"/>
      </w:r>
      <w:bookmarkStart w:id="180" w:name="pg8898_139244"/>
    </w:p>
    <w:p>
      <w:pPr>
        <w:pStyle w:val="Heading5"/>
        <w:numPr>
          <w:ilvl w:val="4"/>
          <w:numId w:val="1"/>
        </w:numPr>
        <w:rPr/>
      </w:pPr>
      <w:bookmarkStart w:id="181" w:name="__RefHeading___Toc935551_2870459653"/>
      <w:bookmarkStart w:id="182" w:name="_Toc67"/>
      <w:bookmarkEnd w:id="180"/>
      <w:bookmarkEnd w:id="181"/>
      <w:r>
        <w:rPr/>
        <w:t>9</w:t>
      </w:r>
      <w:r>
        <w:rPr>
          <w:rtl w:val="true"/>
        </w:rPr>
        <w:t xml:space="preserve">. </w:t>
      </w:r>
      <w:r>
        <w:rPr>
          <w:rtl w:val="true"/>
        </w:rPr>
        <w:t>عدم توظيف المتخصصين في دراسة القرآن</w:t>
      </w:r>
      <w:r>
        <w:rPr>
          <w:rtl w:val="true"/>
        </w:rPr>
        <w:t>:</w:t>
      </w:r>
      <w:bookmarkEnd w:id="182"/>
    </w:p>
    <w:p>
      <w:pPr>
        <w:pStyle w:val="BookText"/>
        <w:rPr/>
      </w:pPr>
      <w:r>
        <w:rPr>
          <w:rFonts w:ascii="Amiri" w:hAnsi="Amiri" w:eastAsia="Amiri" w:cs="Amiri"/>
          <w:color w:val="111111"/>
          <w:sz w:val="28"/>
          <w:sz w:val="28"/>
          <w:szCs w:val="28"/>
          <w:rtl w:val="true"/>
          <w:lang w:bidi="ar-SA"/>
        </w:rPr>
        <w:t>إنّ توظيف مختلف المؤلفين من كافة أنحاء العالم يعدّ من النقاط الإيجابية لهذه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هناك حاليًّا في الشرق الأوسط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ولبنان والعراق وإيران وباكستان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الباحثين والمتخصّصين في الشأن القرآني، وإنّ بعضهم قد الّف عشرات المجلّدات في تفسير القرآن، أو إنّ لهم كتابات موسّعة في علوم القرآن، إلا إنّ أصحاب دائرة معارف ليدن القرآنيّة لم يطرقوا أبواب هؤلاء المشهود لهم، واختاروا من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السادة محمد علي أمير معزّي، ومحسن ذاكري، وهما غير معروفين حتّى على مستوى المجمع العلميّ للقرآن والمحقّقين المتخصّصين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هناك كثير من الباحثين المرموقين في الشأن القرآني في إيران،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الشيخ مكارم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تفسير الأمثل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الله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التفسير الأثري الجامع والتمهيد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وعشرات العلماء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طبيعة الحال أن يكون بعض الباحثين في الشأن القرآنيّ في البلدان الآسيوية غير متمكّنين من اللغة الإنجليزيّة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يمكن تجاوز مكانتهم العلميّة ومعرفتهم بالمصادر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إمكان ترجمة أعمالهم، كما ترجم تفسير الأمثل إلى لغات حيّة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أنّ هذه الموسوعة قد استعانت ببعض الكتّاب السائرين على خلاف الاتّجاه العام في دراسة القرآن في العالم المعاصر، بل هناك كثير من الملاحظات العلميّة في أفكارهم وأطروحاتهم الإسلامية والقرآنيّة وقد نقدها المسلمون أنفسهم ولم يوافقوا عليها،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حامد أبو زيد، ومحمد أركون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بإمكان رئيسة المحقّقين في هذه الموسوعة أن تستعين إلى جانب هؤلاء، بالمخالفين لهم ليعملوا على نقد مقالاتهم وآرائهم، ونشر كافة الأفكار في موضع واحد أو على نحو تلفيقيّ؛ لتكتمل الصورة، فتحافظ الموسوعة بذلك على حياديّتها وتبتعد عن الانحياز لجانب دون آخر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إشكالاتٌ جوهريةٌ أخرى على دائرة معارف ليدن القرآنية تناولتها أبحاث نخبة من المتخصّصين والباحثين في العالم الإسلامي</w:t>
      </w:r>
      <w:r>
        <w:rPr>
          <w:rFonts w:eastAsia="Amiri" w:cs="Amiri" w:ascii="Amiri" w:hAnsi="Amiri"/>
          <w:color w:val="111111"/>
          <w:sz w:val="28"/>
          <w:szCs w:val="28"/>
          <w:rtl w:val="true"/>
          <w:lang w:bidi="ar-SA"/>
        </w:rPr>
        <w:t xml:space="preserve">. </w:t>
      </w:r>
      <w:bookmarkStart w:id="183" w:name="pg8898_139245"/>
    </w:p>
    <w:p>
      <w:pPr>
        <w:pStyle w:val="Heading3"/>
        <w:numPr>
          <w:ilvl w:val="2"/>
          <w:numId w:val="1"/>
        </w:numPr>
        <w:rPr/>
      </w:pPr>
      <w:bookmarkStart w:id="184" w:name="__RefHeading___Toc935553_2870459653"/>
      <w:bookmarkStart w:id="185" w:name="_Toc68"/>
      <w:bookmarkEnd w:id="183"/>
      <w:bookmarkEnd w:id="184"/>
      <w:r>
        <w:rPr>
          <w:rtl w:val="true"/>
        </w:rPr>
        <w:t>المصادر والمراجع</w:t>
      </w:r>
      <w:bookmarkEnd w:id="185"/>
    </w:p>
    <w:p>
      <w:pPr>
        <w:pStyle w:val="BookText"/>
        <w:rPr/>
      </w:pPr>
      <w:r>
        <w:rPr>
          <w:rFonts w:ascii="Amiri" w:hAnsi="Amiri" w:eastAsia="Amiri" w:cs="Amiri"/>
          <w:color w:val="111111"/>
          <w:sz w:val="28"/>
          <w:sz w:val="28"/>
          <w:szCs w:val="28"/>
          <w:rtl w:val="true"/>
          <w:lang w:bidi="ar-SA"/>
        </w:rPr>
        <w:t>المصادر والمراجع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بُستي،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رسائل في إعجاز القرآن، لا ط، القاهرة، دار المعارف،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الخوئي،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في تفسير القرآن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قم، چاپ علمية،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الطباطبائي، 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قم، دفتر انتشارات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المكتبة الاسلامية، ط الخامسة،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الشيرازي،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الأمثل في تفسير كتاب الله المنزل، طهران، دار الكتب الاسلامية،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القرطبي،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،تهران، انتشارات ناصر خسرو،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الثقلين، عبد علي بن جمعة الحويزي العروسي، قم، المطبعة العلمية، الطبعة الثانية،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حنبل، أحمد، مسند أحمد، دار احياء التراث العربي، الطبعة الثالثة،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الاتقان في علوم القرآن، العلامة جلال الدين عبد الرحمن السيوطي، دار الكتاب العربي، بيروت، طبعة 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احياء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غزالي، أبو حامد،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 المعرفة، بيروت، أربع مجلدات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القرآن، عبد الحسين شبستري، مرکز انتشارات دفتر تبلیغات 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والمفسّرون، محمد حسين الذهبي، دار الكتب الحديث، ط الثانية،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التمهيد فى علوم القرآن، محمد هادي معرفت، قم، مؤسّسه النشر الاسلامی،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في تفسير القرآن، طنطاوي جوهري، لا مكان، دار الفکر،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دائرة المعارف، قاموس عام لكل فن ومطلب، فؤاد افرام البستاني، بيروت،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القرآنية لايدن، رئيسة المحرّرين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جین دمن مک اولیف، مكتبة بريل، ليدن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هولنديا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محمد علي الحلو؛ فاطمه الزهراء فى القرآن، سید صادق حسینی شيرازي، قم، دليل ما،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البخاريي، محمد بن اسماعيل البخارى، بیروت، دار احیاء الثراث العربي،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طبري، أبوجعفر محمد بن جرير، جامع البيان عن تاويل آي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ابو عبدالله محمد بن عمر، 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داراحياء التراث العربي،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فاطمه في الذكر الحكيم، شيخ على حيدر مؤيد؛ قم، مكتبة الحيدرية،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 تستری، محمد تقی، تهران، بلاتا، بلامک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مصطلحات قرآنية، صالح عضيمة، الجامعة العالمية للعلوم الإسلامية، لندن،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الاعتدال، الذهبي، بيروت، دارالفکر،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القرآن، السيد علي أكبر القرشي، دار الكتب الإسلامية،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القرآني، حسن محمد موسى، مطبعة خليل ابراهيم،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المراجع الفارسية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ایزوتسو، توشی هیکو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وانسان در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آرام،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تهران، دفتر نشر فرهنگ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تسنيم،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نشر اسراء،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علی؛ علوی مهر،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دارالمعارفهای قرآنی، هفده گفتار قرآن پژوهی،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تهران وزارت فرهنگ و ارشاد اسلامی،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سعیدی روشن،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زبان قرآن و روش شناسی فهم آن،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انتشارات پژوهشگاه فرهنگ و اندیشه اسلامی،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صادقی،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خاورشناسان به قرآن،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فرهنگ گستر،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گلخانی امیرخیز، 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اندازی بر سبك بیانی قرآن،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قرآن در آینه پژوهش، دفتر سوم،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نشر هستى نما،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فرهنگ و معارف قرآن، دائرة المعارف قرآن کریم، بوستان کتاب،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قم، انتشارات دفتر تبلیغات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نویورث، انجلیکا، هفت آسمان،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هادوی تهرانی،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کلامی اجتهاد در برداشت از قرآن کریم،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قم، مؤسسه فرهنگ خانه خرد،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پژوهشي در تاریخ قرآن کریم، سید محمد باقر حجتي، تهران، دفتر نشر فرهنگ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درآمدی بر تفسیر علمی قرآن، دکتر محمد علي رضايي الاصفهاني، انتشارات اسوه، ط الأولى، عام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درسنامه روشها و گرایشهای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رضایی اصفهانی، انتشارات مرکز جهانی علوم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در آئینه کتاب، اسماعیل انصاري زنجاني خوئيني ،قم، انتشارات الهادى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نامه قرآنی، گروه فرهنگ و ادب بنیاد پژوهشهای اسلامی آستان قدس رضوي، مشهد،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مقدس، انجمن کتاب مقدس ایران،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يشتمل على التوراة والإنجيل وملحقاتهما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قرآن کریم، محمود عادل، دفتر نشر فرهنگ اسلامی،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علی اکبر دهخدا، تهران، مؤسسه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المراجع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Scholer, Marco Post Enlightment Academic Study Of Th Quran EQ Vol. ε. Leiden</w:t>
      </w:r>
      <w:bookmarkStart w:id="186" w:name="pg8898_139249"/>
    </w:p>
    <w:p>
      <w:pPr>
        <w:pStyle w:val="Heading2"/>
        <w:numPr>
          <w:ilvl w:val="1"/>
          <w:numId w:val="1"/>
        </w:numPr>
        <w:rPr/>
      </w:pPr>
      <w:bookmarkStart w:id="187" w:name="__RefHeading___Toc935555_2870459653"/>
      <w:bookmarkStart w:id="188" w:name="_Toc69"/>
      <w:bookmarkEnd w:id="186"/>
      <w:bookmarkEnd w:id="187"/>
      <w:r>
        <w:rPr>
          <w:rtl w:val="true"/>
        </w:rPr>
        <w:t>هیئة القرآن و بُنیته دراسة نقدیّة لآراء أنجلیکا نویفرت</w:t>
      </w:r>
      <w:bookmarkEnd w:id="188"/>
    </w:p>
    <w:p>
      <w:pPr>
        <w:pStyle w:val="Heading3"/>
        <w:numPr>
          <w:ilvl w:val="2"/>
          <w:numId w:val="1"/>
        </w:numPr>
        <w:rPr/>
      </w:pPr>
      <w:bookmarkStart w:id="189" w:name="__RefHeading___Toc935557_2870459653"/>
      <w:bookmarkStart w:id="190" w:name="_Toc70"/>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 xml:space="preserve">الشيخ محمود سرائب </w:t>
      </w:r>
      <w:r>
        <w:rPr>
          <w:rStyle w:val="FootnoteAnchor"/>
          <w:rtl w:val="true"/>
        </w:rPr>
        <w:footnoteReference w:id="116"/>
      </w:r>
    </w:p>
    <w:p>
      <w:pPr>
        <w:pStyle w:val="Heading3"/>
        <w:numPr>
          <w:ilvl w:val="2"/>
          <w:numId w:val="1"/>
        </w:numPr>
        <w:rPr/>
      </w:pPr>
      <w:bookmarkStart w:id="191" w:name="__RefHeading___Toc935559_2870459653"/>
      <w:bookmarkStart w:id="192" w:name="_Toc71"/>
      <w:bookmarkEnd w:id="191"/>
      <w:r>
        <w:rPr>
          <w:rtl w:val="true"/>
        </w:rPr>
        <w:t>خلاصة المقال</w:t>
      </w:r>
      <w:r>
        <w:rPr>
          <w:rtl w:val="true"/>
        </w:rPr>
        <w:t>:</w:t>
      </w:r>
      <w:bookmarkEnd w:id="192"/>
    </w:p>
    <w:p>
      <w:pPr>
        <w:pStyle w:val="BookText"/>
        <w:rPr/>
      </w:pPr>
      <w:r>
        <w:rPr>
          <w:rFonts w:ascii="IRNazanin" w:hAnsi="IRNazanin" w:eastAsia="IRNazanin"/>
          <w:color w:val="111111"/>
          <w:sz w:val="28"/>
          <w:sz w:val="28"/>
          <w:szCs w:val="28"/>
          <w:rtl w:val="true"/>
          <w:lang w:bidi="fa-IR"/>
        </w:rPr>
        <w:t xml:space="preserve">تتناول المقالة دراسةً نقديّةً لآراء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أنجيلكا نويفرت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هيئة القرآن وبُنيته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وتعرّضنا في بداية المقال إلى المعالم والخلفيات الفكريّة لأنجليكا نويفرت، ثمّ تعرّضنا للآراء القرآنيّة لها، ضمن العناوين الآتية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في السّور متعدّدة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تؤمن بتطوّر بنية السور القرآنيّة، وتعتبر أنّ بعض السّور قد صيغت مرات عدّة، وكما هو توجّه أكثر المستشرقين تؤكّد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اقتباس القرآن من الكتب السّماويّة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وتميّز بين نوعين من القرآن،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الشفاهي، والقرآن المدوّن، والمنهج الذي اعتمدته هو منهج النّقد الأدبي والدّراسة البنيويّة للنّصّ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وترى القرآن نصَّا شعائريًّا، وفي دراسة لها تُحاول أن تثبت أنّ القرآن جزءٌ من التّراث الأوربي كالكتاب المقدّس، وتحلّل نويفرت في دراستها السّور المكيّة بهدف اكتشاف بنيتها التي استخدمها النّبيّ ليكوَّن السّورة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المقالة مورد النّقد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هيئة القرآن وبُنيته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تناولنا مقالتها دراسةً ونقدًا؛ أوّلًا من خلال عرض أبرز أفكارها فى هيئة القرآن وبنيته،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وقسّمنا النّقد إلى ثلاثة أقسام،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المصادر، نقد المنهج، نقد المضمون</w:t>
      </w:r>
      <w:r>
        <w:rPr>
          <w:rFonts w:eastAsia="Amiri" w:cs="Amiri" w:ascii="Amiri" w:hAnsi="Amiri"/>
          <w:color w:val="111111"/>
          <w:sz w:val="28"/>
          <w:szCs w:val="28"/>
          <w:rtl w:val="true"/>
          <w:lang w:bidi="ar-SA"/>
        </w:rPr>
        <w:t xml:space="preserve">. </w:t>
      </w:r>
      <w:bookmarkStart w:id="193" w:name="pg8898_139250"/>
    </w:p>
    <w:p>
      <w:pPr>
        <w:pStyle w:val="BookText"/>
        <w:rPr/>
      </w:pPr>
      <w:bookmarkEnd w:id="193"/>
      <w:r>
        <w:rPr>
          <w:rFonts w:ascii="IRNazanin" w:hAnsi="IRNazanin" w:eastAsia="IRNazanin"/>
          <w:color w:val="111111"/>
          <w:sz w:val="28"/>
          <w:sz w:val="28"/>
          <w:szCs w:val="28"/>
          <w:rtl w:val="true"/>
          <w:lang w:bidi="fa-IR"/>
        </w:rPr>
        <w:t>کلمات رئیسة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الهیئة والبنیة،القافیة</w:t>
      </w:r>
      <w:r>
        <w:rPr>
          <w:rFonts w:eastAsia="IRNazanin" w:cs="IRNazanin"/>
          <w:color w:val="111111"/>
          <w:sz w:val="28"/>
          <w:szCs w:val="28"/>
          <w:rtl w:val="true"/>
          <w:lang w:bidi="fa-IR"/>
        </w:rPr>
        <w:t>.</w:t>
      </w:r>
    </w:p>
    <w:p>
      <w:pPr>
        <w:pStyle w:val="Heading3"/>
        <w:numPr>
          <w:ilvl w:val="2"/>
          <w:numId w:val="1"/>
        </w:numPr>
        <w:rPr/>
      </w:pPr>
      <w:bookmarkStart w:id="194" w:name="__RefHeading___Toc935561_2870459653"/>
      <w:bookmarkStart w:id="195" w:name="_Toc72"/>
      <w:bookmarkEnd w:id="194"/>
      <w:r>
        <w:rPr>
          <w:rtl w:val="true"/>
        </w:rPr>
        <w:t>موضوع المقالة</w:t>
      </w:r>
      <w:r>
        <w:rPr>
          <w:rtl w:val="true"/>
        </w:rPr>
        <w:t>:</w:t>
      </w:r>
      <w:bookmarkEnd w:id="195"/>
    </w:p>
    <w:p>
      <w:pPr>
        <w:pStyle w:val="Heading4"/>
        <w:numPr>
          <w:ilvl w:val="3"/>
          <w:numId w:val="1"/>
        </w:numPr>
        <w:rPr/>
      </w:pPr>
      <w:bookmarkStart w:id="196" w:name="__RefHeading___Toc935563_2870459653"/>
      <w:bookmarkStart w:id="197" w:name="_Toc73"/>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المقالة تناولت بالشّرح والنّقد فكرة بنية القرآن وتأليفه، وتحديدًا السّورة باعتبارها الوحدة التركيبيّة الأساسيّة للقرآن، ولنظريّة نويفرت في التركيب العامّ للسّورة والأجزاء المكوّنة لها</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935565_2870459653"/>
      <w:bookmarkStart w:id="199" w:name="_Toc74"/>
      <w:bookmarkEnd w:id="198"/>
      <w:r>
        <w:rPr>
          <w:rtl w:val="true"/>
        </w:rPr>
        <w:t>أوّلًا</w:t>
      </w:r>
      <w:r>
        <w:rPr>
          <w:rtl w:val="true"/>
        </w:rPr>
        <w:t xml:space="preserve">: </w:t>
      </w:r>
      <w:r>
        <w:rPr>
          <w:rtl w:val="true"/>
        </w:rPr>
        <w:t xml:space="preserve">تعريف بأنجيلكا نويت </w:t>
      </w:r>
      <w:r>
        <w:rPr>
          <w:rtl w:val="true"/>
        </w:rPr>
        <w:t>(</w:t>
      </w:r>
      <w:r>
        <w:rPr/>
        <w:t>Angelika Neuwirth</w:t>
      </w:r>
      <w:r>
        <w:rPr>
          <w:rtl w:val="true"/>
        </w:rPr>
        <w:t>)</w:t>
      </w:r>
      <w:bookmarkEnd w:id="199"/>
    </w:p>
    <w:p>
      <w:pPr>
        <w:pStyle w:val="BookText"/>
        <w:rPr/>
      </w:pPr>
      <w:r>
        <w:rPr>
          <w:rFonts w:ascii="Amiri" w:hAnsi="Amiri" w:eastAsia="Amiri" w:cs="Amiri"/>
          <w:color w:val="111111"/>
          <w:sz w:val="28"/>
          <w:sz w:val="28"/>
          <w:szCs w:val="28"/>
          <w:rtl w:val="true"/>
          <w:lang w:bidi="ar-SA"/>
        </w:rPr>
        <w:t xml:space="preserve">أنجليكا نويفرت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بالألمانية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Angelika Neuwirth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هي مستعربة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ألمانية، ولدت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نينبورغ في ألمانيا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أشهر الباحثين الألمان والأوروبيين المعاصرين في الدّراسات القرآنيّة والإسلاميّة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تجيد لغاتٍ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الإنجليزيَّة ،الفرنسيَّة، الألمانيَّة،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أستاذة الدّراسات السّامية والعربية في جامعة برلين الحرّة، درست الدّراسات السّامية والعربية والفيلولوجي في جامعات برلين وميونيخ وطهران، عملت كأستاذ ومحاضر في عدد من الجامعات،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برلين وميونيخ وبامبرغ، كما عملت كأستاذة زائرة في بعض الجامعات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عمان بالأردن، وجامعة عين شمس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وتتركّز أبحاث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القرآن، تفسيراته، والأدب العربي الحديث في شرق البحر الأبيض المتوسّط، ولها عدد من الكتابات والدّراسات المهمّة في مجال القرآن و دراساته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ومناهج التفسير القرآني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المستعرب هو شخص يكون متأثر بالعرب من عدة نواحي إما لغوية أو اجتماعية أو اعتقادية والمستعرب غالبا يكون من أصول غير عربية يعيش في وسط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عند الإسبان الإسباني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Mozárabe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للاطلاع على مقالات أنجليكا نوريث يمكن الرجوع اليها عبر الروابط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 موقع ويكيبيديا باللغة الإنجليزية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https://en.wikipedia.org/wiki/Angelika_Neuwirth</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رابط موقع أكاديميا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1133978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http://www.academia-net.org/profil/prof-dr-angelika-neuwirth</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كنصّ من العصور القديمة المتأخرة، مقاربة أوروبية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Der Koran als Text der Spätantike: Ein europäischer Zugang, 2010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حول تركيب السّور المكّيّة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Scripture, Poetry, and the Making of a Community: Reading the Qur'an as a Literary Text, 2014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من حيث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تحقيقات تاريخيّة وأدبية في البيئة الأدبيّة</w:t>
      </w:r>
    </w:p>
    <w:p>
      <w:pPr>
        <w:pStyle w:val="BookText"/>
        <w:rPr/>
      </w:pPr>
      <w:r>
        <w:rPr>
          <w:rFonts w:eastAsia="Times New Roman" w:cs="Times New Roman" w:ascii="Times New Roman" w:hAnsi="Times New Roman"/>
          <w:color w:val="111111"/>
          <w:sz w:val="28"/>
          <w:szCs w:val="28"/>
          <w:lang w:val="en-US" w:bidi="en-US"/>
        </w:rPr>
        <w:t>Neuwirth, Angelika; Sinai, Nicolai; Marx, Michael 2010. The Quran</w:t>
      </w:r>
    </w:p>
    <w:p>
      <w:pPr>
        <w:pStyle w:val="BookText"/>
        <w:rPr/>
      </w:pPr>
      <w:r>
        <w:rPr>
          <w:rFonts w:eastAsia="Times New Roman" w:cs="Times New Roman" w:ascii="Times New Roman" w:hAnsi="Times New Roman"/>
          <w:color w:val="111111"/>
          <w:sz w:val="28"/>
          <w:szCs w:val="28"/>
          <w:lang w:val="en-US" w:bidi="en-US"/>
        </w:rPr>
        <w:t>in context: historical and literary investigations into the Quranic milieu. Leiden: Brill. ISBN 9004176888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المقدَّس، الشعر وصناعة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بوصفه نصًّا أدبيًّا</w:t>
      </w:r>
    </w:p>
    <w:p>
      <w:pPr>
        <w:pStyle w:val="BookText"/>
        <w:rPr/>
      </w:pPr>
      <w:r>
        <w:rPr>
          <w:rFonts w:eastAsia="Times New Roman" w:cs="Times New Roman" w:ascii="Times New Roman" w:hAnsi="Times New Roman"/>
          <w:color w:val="111111"/>
          <w:sz w:val="28"/>
          <w:szCs w:val="28"/>
          <w:lang w:val="en-US" w:bidi="en-US"/>
        </w:rPr>
        <w:t>Neuwirth, Angelika 2014. Scripture, Poetry and the Makin of a Community: Reading the Qur'an as a Literary Text. Oxford: OUP. ISBN 9780198701644.5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القرآن في الفضاء المعرفيّ للعصور القديمة</w:t>
      </w:r>
    </w:p>
    <w:p>
      <w:pPr>
        <w:pStyle w:val="BookText"/>
        <w:rPr/>
      </w:pPr>
      <w:r>
        <w:rPr>
          <w:rFonts w:eastAsia="Times New Roman" w:cs="Times New Roman" w:ascii="Times New Roman" w:hAnsi="Times New Roman"/>
          <w:color w:val="111111"/>
          <w:sz w:val="28"/>
          <w:szCs w:val="28"/>
          <w:lang w:val="en-US" w:bidi="en-US"/>
        </w:rPr>
        <w:t>Location The Quran In The Epistemic Space Of Late Antiquity</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كوربس كورانيكوم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Corpus Coranicum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مشروع بحثي من أكاديمية برلين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براندنبورغ للعلوم والعلوم الإنسانية نحو طبعة نقدية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ويهدف هذا المشروع إلى توثيق النّص القرآني من خلال مخطوطاته، ومن خلال نقله مشافهةً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ويرمي إلى استقراءٍ شاملٍ لشهادات المخطوطات الأولى، وكذلك للقراءات القرآنيّة التي تم حفظها والتي وثّقها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نظام كتابة المخطوطات القرآنيّة القديمة يتيح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خلوّه من النقط والإعجام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تعدّدا في الدلالة، فقد تم اختيار الفصل بين نتائج البحث </w:t>
      </w:r>
      <w:bookmarkStart w:id="200" w:name="pg8898_139252"/>
    </w:p>
    <w:p>
      <w:pPr>
        <w:pStyle w:val="BookText"/>
        <w:rPr/>
      </w:pPr>
      <w:bookmarkEnd w:id="200"/>
      <w:r>
        <w:rPr>
          <w:rFonts w:ascii="Amiri" w:hAnsi="Amiri" w:eastAsia="Amiri" w:cs="Amiri"/>
          <w:color w:val="111111"/>
          <w:sz w:val="28"/>
          <w:sz w:val="28"/>
          <w:szCs w:val="28"/>
          <w:rtl w:val="true"/>
          <w:lang w:bidi="ar-SA"/>
        </w:rPr>
        <w:t>في المخطوطات، ونتائج البحث الخاصّة بالقراءات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وفق ذلك فإنّ التوثيق النّصّي سوف يتّخذ شكل العرض المزدوج والمتوازي للطريقتين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تقديمُ تفسيرٍ مستفيضٍ يضع القرآن في سياقات ظهوره التاريخي وبالآتي يكون التفسير المروم سيدرس القرآن من منظورٍ 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تعاقبيٍّ أي؛ باعتباره نصّاً نشأ بالتدريج عبر عقدين من الزمان، باحثًا عن التّطوّرات الشّكليّة والمضمونيّة والمفهوميّة، وكذلك ما طرأ على النّصوص القرآنيّة الأولى من إعادة تأويلٍ أو تغييرٍ في الدّلالة عبر إحالاتٍ أو إضافاتٍ 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التفسير يعتمد على مقاربةٍ تنظر للسورة باعتبارها وحدةً، وأنّ السّور المكيّة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اتّفاقها الثّابت مع الأنماط البنائيّة المعهودة وأشكال الخطاب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وحداتٌ 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ويعتمد هذا التفسير كذلك على استقراءٍ واسعٍ للنصوص الموازية، يهوديّةً كانت أم مسيحيّةً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935567_2870459653"/>
      <w:bookmarkStart w:id="202" w:name="_Toc75"/>
      <w:bookmarkEnd w:id="201"/>
      <w:r>
        <w:rPr>
          <w:rtl w:val="true"/>
        </w:rPr>
        <w:t>ثانيًا</w:t>
      </w:r>
      <w:r>
        <w:rPr>
          <w:rtl w:val="true"/>
        </w:rPr>
        <w:t xml:space="preserve">: </w:t>
      </w:r>
      <w:r>
        <w:rPr>
          <w:rtl w:val="true"/>
        </w:rPr>
        <w:t>الخلفيات الفكرية لأنجيلكا نويفرت</w:t>
      </w:r>
      <w:r>
        <w:rPr>
          <w:rtl w:val="true"/>
        </w:rPr>
        <w:t>:</w:t>
      </w:r>
      <w:bookmarkEnd w:id="202"/>
    </w:p>
    <w:p>
      <w:pPr>
        <w:pStyle w:val="BookText"/>
        <w:rPr/>
      </w:pPr>
      <w:r>
        <w:rPr>
          <w:rFonts w:ascii="IRNazanin" w:hAnsi="IRNazanin" w:eastAsia="IRNazanin"/>
          <w:color w:val="111111"/>
          <w:sz w:val="28"/>
          <w:sz w:val="28"/>
          <w:szCs w:val="28"/>
          <w:rtl w:val="true"/>
          <w:lang w:bidi="fa-IR"/>
        </w:rPr>
        <w:t xml:space="preserve">يتّضح من خلال قراءة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هيئة القرآن وبُنيته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بالإضافة إلى مقالات وكتب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لنويفرت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بوصفه نصًّا من العصور الكلاسيكية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أوروبية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حول تركيب السّور المكية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يتّضح أنّ هذه الباحثة لم تحيد عن منهج المدرسة الألمانيّة الاستشراقيّة، التي وضعها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تيودور نولدکه</w:t>
      </w:r>
      <w:r>
        <w:rPr>
          <w:rFonts w:eastAsia="IRNazanin" w:cs="IRNazanin"/>
          <w:color w:val="111111"/>
          <w:sz w:val="28"/>
          <w:szCs w:val="28"/>
          <w:rtl w:val="true"/>
          <w:lang w:bidi="fa-IR"/>
        </w:rPr>
        <w:t>»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ملحوظات نقديّة حول التركيب والأسلوب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فكثيراً ما نجدها تختار سورةً محدّدةً مثل سورة يوسف، أو سورة الفاتحة، أو سورة الرحمن، وتكتب عنها، على شاكلة ما دعا إليه نولدكه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النّماذج التي توضّح مدى تأثّرها بل تبنّيها لآراء نولدكه هو ما قالته في المقالة مورد الدّراسة تحت عنوان </w:t>
      </w:r>
      <w:r>
        <w:rPr>
          <w:rFonts w:eastAsia="Times New Roman" w:cs="Times New Roman" w:ascii="Times New Roman" w:hAnsi="Times New Roman"/>
          <w:color w:val="111111"/>
          <w:sz w:val="28"/>
          <w:szCs w:val="28"/>
          <w:lang w:val="en-US" w:bidi="en-US"/>
        </w:rPr>
        <w:t>canonization and the problem of the Sura as unite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التقديس ومشكلة السّورة كوحدة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مقال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form and structure of the Quran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فاعتبرت أنّ المشكلة تكمن في تقديس ترتيب وتأليف السّور واعتباره وحيانيًا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الخلفيّة الفكريّة والآراء المسبقة للكاتبة، فإنّ كتابات إنجليكا نويفرت تصبّ في معظمها في المنحى الذي لا يُؤمن بالمصدريّة الإلهيّة للقرآن الكريم، بل يرجع القرآن الكريم إلى شخص النبي صلّی الله علیه و آله والمجتمع الأوّل من المؤمنين، وهذا المنهج هو ما يطلق عليه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تاريخيّة النّص القرآني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وتعتبر أنّ القرآن تأثّر في صياغته بالتراث اليهودي والمسيحي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الدّراسات البحثيّة القرآنيّة يلاحظ بأنّها كانت تسعى إلى ترسيخ نتائج بحثيّةٍ حول القرآن تتمايز بها عن بقية المستشرقين حسب نظرها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تكن متعارفة الدّراسات الاستشراقية،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تعتبر أنّ القرآن نشأ داخل الجماعة الإسلاميّة أي من خلال الحوار بين النبي والمؤمنين، فهذا الحوار أنتج النّصّ القرآني، بينما كان المستشرقون ينسبون القرآن إلى شخص النّبيّ أو إلى الكتب المقدّسة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القرآن ليس فقط نصًّا إسلاميًّا، بل هو جزءٌ لا يتجزّأ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الثّقافة القديمة المتأخّرة والنّقاش الذي كان محتدمًا بين تيّاراتها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القرآني على وفق هذه الرؤية هو نتاجٌ لثقافة العصور المتأخرة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بعض السّور قد صيغت مرات عدّة، كما في سورة ص؛ حيث تعتبر أنّ السّورة قد خضعت لمراجعاتٍ عديدةٍ وقد تمّت صياغتها لا أقل من مرّة واحدة، فهي تعتبر أنّ صورة ابليس لم تكتمل فيها، وترى في سورة ص تطوّرًا لفكرة ابليس ورفضه السّجود لآدم علیه السّلام وهذا يعني تطوّرًا في وصول القرآن إلى مرحلة التقنين، إذ ما يزال يطلق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وَالْقُرْءَانِ ذِى الذِّكرِ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وتزعم نويفرت أنّ الصورة لم تكتمل إلا في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هذه المقالة تحاول نويفرت البرهنة على كيفيّة تحوّل النّصّ القرآنيّ من نصٍّ متلوٍّ بين الجماعة إلى نصٍّ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تريد أن تفصل بين مرحلتين للقرآن القرآن الشّفوي أي المنقول مشافهة، والقرآن الكتبي أي المدوّن في المصاحف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البحث نفسه، ولتُأكّد أنّ بعض القرآن مقتبسٌ من التوراة والإنجيل زعمت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تِلْكَ آيَاتُ الْكِتَبِ وَقُرْءَانٍ مُّبِينٍ</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المقصود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ذكر في السّورة من أمورٍ مقتبسةٍ من الكتاب المقدّس،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القصص المكملة والتي ليس لها وجود في الكتاب القدس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فاعتبرت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مكمّل،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 من الكتب الأخرى، في حين أنّ القرآن نفسه وفي ثلاثة مواضع يُعبّر عن الكتاب بأنّه مبين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تِلْكَ ايَتُ الْكِتَبِ الْمُبِينِ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فهي تحاول في دراساتها إسقاط تصوّر العهدين على القرآن الكريم؛ لأنّها تعتبر أنّ القرآن في بعده المكّي تبليغٌ لما سبق، ولكن بلغةٍ جديدةٍ،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بحسب السّور المكيّة لا يريد تقديم جديدٍ، بل يمنح ما سبق تبليغه لغةً جديدةً</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مقالة لها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رؤيتا التاريخ والمستقبل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الوعود الإلهية في القرآن والكتاب المقدس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Journal of Quranic studies, vol. 5, issue 1, 2005, pp-16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نقلا عن موقع المجلة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https://www.euppublishing.com/toc/jqs/1/5</w:t>
      </w:r>
    </w:p>
    <w:p>
      <w:pPr>
        <w:pStyle w:val="BookText"/>
        <w:rPr/>
      </w:pPr>
      <w:r>
        <w:rPr>
          <w:rFonts w:ascii="Amiri" w:hAnsi="Amiri" w:eastAsia="Amiri" w:cs="Amiri"/>
          <w:color w:val="111111"/>
          <w:sz w:val="28"/>
          <w:sz w:val="28"/>
          <w:szCs w:val="28"/>
          <w:rtl w:val="true"/>
          <w:lang w:bidi="ar-SA"/>
        </w:rPr>
        <w:t xml:space="preserve">، تركّز نويفرت رؤيتها العامّة عن القرآن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شعائريّ ملقى منذ البداية، ولذلك فهو يجمع بين التدوين الذي يفترض الانضباط، والشّفويّة التي تحيله إلى تقليدٍ حي، أو نصٍّ متلوٍّ، </w:t>
      </w:r>
      <w:r>
        <w:rPr>
          <w:rFonts w:eastAsia="Times New Roman" w:cs="Times New Roman" w:ascii="Times New Roman" w:hAnsi="Times New Roman"/>
          <w:color w:val="111111"/>
          <w:sz w:val="28"/>
          <w:szCs w:val="28"/>
          <w:lang w:val="en-US" w:bidi="en-US"/>
        </w:rPr>
        <w:t>Recitation -Text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وتوضّح نويفرت في بحث لها معنى الدراسة التاريخية للقرآن،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الدراسة التاريخية للقرآن تعني بحث القرآن في فترة نشأته أي قبل تدوينه، ومن خلال هذا النهج يتم توضيح الإجابة على الأسئلة المطروحة في ذلك الوقت والتعامل المعتقدات الدّينيّة للأديان الأخرى التي تم قبولها جزئيًّا أو تمّ التّفاوض عليها وتعديلها جزئيًا أو التي تم رفضها أيضًا واستبدالها بأخرى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وكنموذج على</w:t>
      </w:r>
    </w:p>
    <w:p>
      <w:pPr>
        <w:pStyle w:val="BookText"/>
        <w:rPr/>
      </w:pPr>
      <w:r>
        <w:rPr>
          <w:rFonts w:ascii="Amiri" w:hAnsi="Amiri" w:eastAsia="Amiri" w:cs="Amiri"/>
          <w:color w:val="111111"/>
          <w:sz w:val="28"/>
          <w:sz w:val="28"/>
          <w:szCs w:val="28"/>
          <w:rtl w:val="true"/>
          <w:lang w:bidi="ar-SA"/>
        </w:rPr>
        <w:t xml:space="preserve">شعائريّة القرآن الكريم والترانيم المقدّسة تعطي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نموذجًا، وهو أجزاء من سورة العلق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واحدة من أقدم السّور، سورة العلق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على الشكل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أقرأْ بِاسْمِ رَبِّكَ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وَرَبُّكَ الأَكْرَمُ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الْإِنسَنَ مَا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فتعتبر أنّ هذه الآيات هي آيات إنشاديّة، مأخوذة من مصدر المزمور؛ لقد ظهر الخلق هنا بوصفه الحدث الإلهي الأكثر احتفالًا به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أنّها تعتبر أنّ القرآن جزءٌ من التّراث الأوربي كالكتاب المقدس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نشأة القرآن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نتاج جدلٍ لاهوتيٍّ مع الثّقافة أو الثّقافات التي ظهر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يؤكّد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بوصفه نصًّا من العصور الكلاسيكيّة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قراءةٌ نسقيّةً تضع القرآن في سياقه الذي نشأ فيه، وتعني كلمة السّياق هنا الثّقافة الشّرق أوسطيّة للعصور الكلاسيكيّة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وبلغةٍ أخرى إنّها لا تنظر إلى القرآن، كنصٍّ ينتمي إلى التراث الإسلامي فحسب، ولكن كنصٍّ تاريخيٍّ، ووثيقة لتكوّن جماعة جديدةٍ في فضاء تسوده أفكارٌ مسيحيّةٌ ويهوديّة وأفكارٌ فلسفيّةٌ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كنص يشترك فيه الأوروبي غير المسلم والمسلم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وتستنكر نويفرت النّظرة التقليديّة الأوروبيّة للنّصّ القرآني التي ترى أنّ النّبيّ محمد هو الطرف الفاعل الوحيد المسؤول عن نشاة القرآن وتشكيل الأمة الإسلامية، معتبرةً أنّ هذه النّظرة أغفلت جانبًا مهمًّا داخل النّصّ القرآني، وهو العلاقة بين المبلّغ والجماعة الإسلاميّة الأولى، وهذا البُعد هو أكبر شهادة على التّطوّر الداخلي للنص القرآني وعلى الظهور التدريجي للكتاب والجماعة المصاحبة له، فالقرآن لا </w:t>
      </w:r>
      <w:bookmarkStart w:id="203" w:name="pg8898_139256"/>
    </w:p>
    <w:p>
      <w:pPr>
        <w:pStyle w:val="BookText"/>
        <w:rPr/>
      </w:pPr>
      <w:bookmarkEnd w:id="203"/>
      <w:r>
        <w:rPr>
          <w:rFonts w:ascii="IRNazanin" w:hAnsi="IRNazanin" w:eastAsia="IRNazanin"/>
          <w:color w:val="111111"/>
          <w:sz w:val="28"/>
          <w:sz w:val="28"/>
          <w:szCs w:val="28"/>
          <w:rtl w:val="true"/>
          <w:lang w:bidi="fa-IR"/>
        </w:rPr>
        <w:t>يمكن فهمه بوصفه نصًّا لمؤلف واحد، بل بوصفه نقاشًا جماعيًا يعبّر عن عصر النّبيّ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فالبحث في الدّراسات القرآنيّة هو جزءٌ من البحث في العصور القديمة المتأخّرة التي يجب أن تأخذ في عين الاعتبار هذا الّتراث اليهودي والمسيحي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أنّ القرآن نشأ في بيئةٍ مليئةٍ بالتّراث اليهودي والمسيحي والتي تعدّ طبقًا لنويفرت إرثًا أوربيًّا، فإنّ القرآن جزءٌ من العصور القديمة المتأخّرة لأوروبا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قراءة القرآن بخلفية العصور القديمة المتأخرة يعني انتماء القرآن إلى الثّقافة اليهوديّة والمسيحيّة التي تُعتبر أوروبيّة</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 التي يمكن فهمها من دراسات نويفرت المختلفة أنّ النّبيّ ليس وحده المسؤول عن تشكيل النّصّ القرآني، بل للجماعة الأولى التي كانت حوله دورٌ في ذلك، وحيث كانت لهم خلفياتٌ مسيحيّةٌ ويهوديّةً، فقد انعكست داخل النّص القرآني، فهي بهذه النتيجة لا تختلف عن غيرها من المستشرقين في النّظر إلى بشريّة النّصّ القرآني وإن كانت تعتبره نصّا حواريًا وتفاعليًّا مع النّبيّ والجماعة الأولى، فهي لا تنظر إليه كنصِّ أحاديّ الطّرف كما هو سائدٌ في النّظرة الغربيّة للنّصّ القرآني</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935569_2870459653"/>
      <w:bookmarkStart w:id="205" w:name="_Toc76"/>
      <w:bookmarkEnd w:id="204"/>
      <w:r>
        <w:rPr>
          <w:rtl w:val="true"/>
        </w:rPr>
        <w:t>مقالة نويفرت في</w:t>
      </w:r>
      <w:r>
        <w:rPr>
          <w:rtl w:val="true"/>
        </w:rPr>
        <w:t xml:space="preserve">: </w:t>
      </w:r>
      <w:r>
        <w:rPr>
          <w:rtl w:val="true"/>
        </w:rPr>
        <w:t>هيئة القرآن وبُنيته</w:t>
      </w:r>
      <w:r>
        <w:rPr>
          <w:rtl w:val="true"/>
        </w:rPr>
        <w:t>:</w:t>
      </w:r>
      <w:bookmarkEnd w:id="205"/>
    </w:p>
    <w:p>
      <w:pPr>
        <w:pStyle w:val="Heading4"/>
        <w:numPr>
          <w:ilvl w:val="3"/>
          <w:numId w:val="1"/>
        </w:numPr>
        <w:rPr/>
      </w:pPr>
      <w:bookmarkStart w:id="206" w:name="__RefHeading___Toc935571_2870459653"/>
      <w:bookmarkStart w:id="207" w:name="_Toc77"/>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نتناول بالبحث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القرآن وبُنيته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ونقدًا، من خلال عرض أبرز أفكارها في هيئة القرآن وبنية القرآن الكريم، ثم النّقد والمناقشة، وسنقسّم النّقد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المصادر، نقد المنهج، نقد المضمون</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935573_2870459653"/>
      <w:bookmarkStart w:id="209" w:name="_Toc78"/>
      <w:bookmarkEnd w:id="208"/>
      <w:r>
        <w:rPr>
          <w:rtl w:val="true"/>
        </w:rPr>
        <w:t>أوّلاً محتوى المقال</w:t>
      </w:r>
      <w:r>
        <w:rPr>
          <w:rtl w:val="true"/>
        </w:rPr>
        <w:t>:</w:t>
      </w:r>
      <w:bookmarkEnd w:id="209"/>
    </w:p>
    <w:p>
      <w:pPr>
        <w:pStyle w:val="BookText"/>
        <w:rPr/>
      </w:pPr>
      <w:r>
        <w:rPr>
          <w:rFonts w:ascii="Amiri" w:hAnsi="Amiri" w:eastAsia="Amiri" w:cs="Amiri"/>
          <w:color w:val="111111"/>
          <w:sz w:val="28"/>
          <w:sz w:val="28"/>
          <w:szCs w:val="28"/>
          <w:rtl w:val="true"/>
          <w:lang w:bidi="ar-SA"/>
        </w:rPr>
        <w:t>وقد تضمّنت المقالة أفكارًا عدّة، يمكن تلخيصها بالنقاط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المنهجيّة المعتمدة على النّقد الأدبي ونقد الشّكل ونقد النّوع والنّقد التّحريري، وأبدت إصرارًا على المقصد الأدبي الكائن في النصّ</w:t>
      </w:r>
    </w:p>
    <w:p>
      <w:pPr>
        <w:pStyle w:val="BookText"/>
        <w:rPr/>
      </w:pPr>
      <w:r>
        <w:rPr>
          <w:rFonts w:ascii="Amiri" w:hAnsi="Amiri" w:eastAsia="Amiri" w:cs="Amiri"/>
          <w:color w:val="111111"/>
          <w:sz w:val="28"/>
          <w:sz w:val="28"/>
          <w:szCs w:val="28"/>
          <w:rtl w:val="true"/>
          <w:lang w:bidi="ar-SA"/>
        </w:rPr>
        <w:t>نفسه، وعلى الباحث أن يدرس حقيقة تركيب القرآن بوصفها جزءًا ذا معنًى من المقصد الأدبي العامِّ للنصّ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حدّدت نويفرت السّورة باعتبارها الوحدة التركيبيّة الأساسيّة للقرآن، فوفقًا لها، تعمل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السّور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كنوعٍ أدبيٍّ تامِّ الفرادة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دراساتها في منتصف التسيعنيات، تصف طوال السّور بأنّها سلاسل تجميعٍ لآياتٍ منفصلةٍ، وقد يكون حصل عندها تغيير في الموقف نوعًا ما بعد أن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زاهنسير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وحدة السّور الطوال، ولكن رغم ذلك ما زالت تصرّ أنّ بعض المواضع في سورة البقرة حتى سورة يونس، ليست ذات بنيةٍ متّسقةٍ، وإنّما نتيجة جمعٍ لم يتسنّ لنا الوصول إلى إعادة تشكيل لها حتى الآن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اعتبرت أنّه يمكن عن طريق تحليل السّورة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كلَّ من طولها وبِنيتها ومحتواها وشكلها الأدبي والتسلسل الزمني الخاصّ المقدّر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للباحث الحديث أن يقف على الأنماط المميّزة التي يطبّقها على السّور الأخرى، ولذا يتوجّب علينا فهم النصّ من خلال النصّ؛ أي استخدام النصّ أداةً انعكاسيّةً لتحليلٍ 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تصوير القرآن على أنّه صلاةٌ طقوسيّةٌ وتلاوةٌ شعائريّةٌ، مشيرة إلى القرآن باعتباره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Rezitationstext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نصًّا ليتورجيًّا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ضرورة فهم قصار السّور القرآنيّة على أنّها كلٌّ شعائريٌّ وُضع بعنايةٍ لغرض التّلاوة في مجلسٍ واحدٍ طبعًا هذا التّوجّه في قبال من يرى أنّ السّور القرآنيّة باعتبارها وحداتٍ كلّ سورةٍ تشكّل وحدةً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اتِّباعها التسلسل الزّمني للسّور الذي أسّسه نولدکه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Nöldeke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فعمدت نويفرت إلى صوغ تحليلها بتقسيم السّور المكّيّة إلى مجموعاتٍ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مبكرة ووسطى ومتأخرة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اتّجهت إلى تحليل تقسيم الآية، وتراكيب القافية، وتراكيب </w:t>
      </w:r>
    </w:p>
    <w:p>
      <w:pPr>
        <w:pStyle w:val="BookText"/>
        <w:rPr/>
      </w:pPr>
      <w:r>
        <w:rPr>
          <w:rFonts w:ascii="Amiri" w:hAnsi="Amiri" w:eastAsia="Amiri" w:cs="Amiri"/>
          <w:color w:val="111111"/>
          <w:sz w:val="28"/>
          <w:sz w:val="28"/>
          <w:szCs w:val="28"/>
          <w:rtl w:val="true"/>
          <w:lang w:bidi="ar-SA"/>
        </w:rPr>
        <w:t>الآية والمكوّنات الدّاخليّة للسّورة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طرح ثيودور نولدكه تسلسلاً زمنيًّا شاملًا لأجزاء القرآن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مدنيّة، والباقي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تفصيلًا للسّور المكّيّة من خلال التمييز بين ثلاث فتراتٍ متتاليةٍ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 مبكرة، مكيّة وسطى، مكيّة 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الميزات الأسلوبيّة والمحتوى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وتتميّز السّور في الفترة المكّيّة المبكرة بشكلها الشّعري القويّ مع صورٍ جريئةٍ وقوافي قصيرةٍ وإيقاعيّةٍ، وكذلك عن طريق استهلالها بالقسم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الفترة المكّيّة الوسطى، ازدادت الآيات طولًا تدريجيًّا، وأصبح اسم الرحمن لله شائعًا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الفترة المكّيّة المتأخّرة، تصبح الآيات أطول، ويسير الإسلوب باتّجاه النّثر أكثر، وبالتالي يقترب من أسلوب الفترة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عام، يبدو التسلسل الزّمني لسور نولدكه على الشكل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الفترة المكية المبكرة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الفترة المكية الوسطى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الفترة المكية المتأخرة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الفترة المدنية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بالنسبة إلى تقسيم الآية، فإنّها ترى القافية وتركيب الجملة كأقفال، في مفهومٍ تدعوه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Reimpotenz</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بحثها حول تركيب القافية، تميّزت نويفرت عن أسلافها في التّعامل مع القافية القرآنيّة كشيءٍ مختلفٍ كليًّا عن القافية الشّعريّة والسّجع، ووصلت إلى نتائج مهمّة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تصنِّف نويفرت القوافي الخاصّة بسور الفترة المكيّة المبكرة إلى ثمانين نوعًا مختلفاً من القوافي، وسبع عشرة قافية للفترة المتوسّطة، وثمانٍ للفترة المكية المتأخرة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تتطرّق نويفرت إلى التركيب العامّ للسورة والأجزاء المكونة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الضدّ </w:t>
      </w:r>
      <w:bookmarkStart w:id="210" w:name="pg8898_139259"/>
    </w:p>
    <w:p>
      <w:pPr>
        <w:pStyle w:val="BookText"/>
        <w:rPr/>
      </w:pPr>
      <w:bookmarkEnd w:id="210"/>
      <w:r>
        <w:rPr>
          <w:rFonts w:ascii="Amiri" w:hAnsi="Amiri" w:eastAsia="Amiri" w:cs="Amiri"/>
          <w:color w:val="111111"/>
          <w:sz w:val="28"/>
          <w:sz w:val="28"/>
          <w:szCs w:val="28"/>
          <w:rtl w:val="true"/>
          <w:lang w:bidi="ar-SA"/>
        </w:rPr>
        <w:t>من النظرة التقليدية لنزول الوحي بضعَ آياتٍ في المرة الواحدة، تفهم نويفرت أنّه حتى السّور الأطول قد وُجدت كوحدةٍ تركيبيّةٍ واحدةٍ؛ وبالتالي لا يكون طول السّورة وليد الصّدفة، بل إنّ ذلك يعكس عوامل المقاصد التركيبيّة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وتتمثّل المعايير التي اقترحتها لتحديد البنية والعناصر التركيبية 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الآية وطولها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السمات الأسلوبيّة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الصوت أو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الترابط الممكن بين أيٍّ من المعايير المذكورة بالأعلى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تكمن الفكرة في الوصول إلى ملاحظةٍ بواسطة دمج بعض تلك المعايير، وبذلك يتقدّم تحليل الأجزاء المؤسّسة للسّورة، كما أنّه لا يمكن التّغاضي عن أنّ المقارنة لا يجب أن تقام داخل السّورة الواحدة بل بين سورٍ عدّة</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935575_2870459653"/>
      <w:bookmarkStart w:id="212" w:name="_Toc79"/>
      <w:bookmarkEnd w:id="211"/>
      <w:r>
        <w:rPr>
          <w:rtl w:val="true"/>
        </w:rPr>
        <w:t>ثانيًا</w:t>
      </w:r>
      <w:r>
        <w:rPr>
          <w:rtl w:val="true"/>
        </w:rPr>
        <w:t xml:space="preserve">: </w:t>
      </w:r>
      <w:r>
        <w:rPr>
          <w:rtl w:val="true"/>
        </w:rPr>
        <w:t>نقد المقالة</w:t>
      </w:r>
      <w:r>
        <w:rPr>
          <w:rtl w:val="true"/>
        </w:rPr>
        <w:t>:</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المهمّة في المقالات العلميّة هي المصادر التي يعتمد عليها الباحث في بحثه، ومن البداهة بمكان أن تكون هذه المصادر ذات صلةٍ، بالبحث، وذات قيمةٍ كونها مصادر أساسيّة، وإنّ تجاهل المصادر الأساسيّة والاعتماد على مصادر ثانويّةٍ أو كتبٍ ومقالاتٍ غير عربيّةٍ كما هو السّائد في أكثر الدّراسات الاستشراقيّة يضعّف البحث كما لا يخفى ويحرّفه عن الوصول إلى مبتغاه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اعتمدت الكاتبة على نوعين من المصادر كما أوضحت في بداية مقالاتها،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الأوليّة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preliminary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والمصادر الثانويّة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Secondary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نقاط الضّعف الواضحة في دراسة أنجليكا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وبنية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اقتصرت على مصدرٍ واحدٍ من المصادر الأصليّة، وذلك حسب المثبت في الترجمة الفارسيّة للموسوعة،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القيم الجوزية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تصنيفه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المصادر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أقسام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من كتب التفسير، ألّفه ابن قيم الجوزية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فيه جميع المواضع التي ورد فيها القسم صريحًا أو ضمنا في القرآن الكريم، مبتدئًا بالآيات وعرضها من آخر المصحف إلى أوّله مناقشًا ومبيّنًا تفسير الآيات في السّور القصيرة التي تبتدئ بالقسم حتى نهايتها، وموضّحًا علاقة القسم في السّورة بالمقسم عليه وجواب القسم، وعلاقة القسم بالسّورة نفسها وما ورد فيها من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ضمّن المؤلف كتابه هذا اختلافات المفسّرين واللّغويين في الآيات المذكورة عند القسَم مرجّحًا بعض الأوجه على بعض، وقد يستطرد في بعض الآيات فيخرج إلى معانٍ أخرى خارجة عن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ما صنّفته من المصادر الأصليّة لا يرتبط بشكلٍ مباشرٍ ببنية القرآن وهيئته وإن أشار أحيانًا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ووقعت الكاتبة في نفس إشكالية المصادر عندما تعرّضت لبحث القافية في المقال أي فواصل الآي، ولم تستند على المصادر الأصليّة أيضًا في هذا المجال، مع التّنويه بأهميّة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بابه وأنّه مفيدٌ للبحث، ولكن تجاهل باقي المصادر يؤدّي إلى ضعفٍ علميًّ في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من النّاحية العلميّة تجاوز الكتب التي ألّفت في مجال مناسبات الآيات كموسوعة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 في تناسب الآيات والسور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لبرهان الدين البقاعي، أو ما كتبه فيما بعد السيوطي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طرح علم من علوم القرآن الكريم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المناسبات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وبغضّ النّظر عن الرأي العلمي في هذه المباحث فإنّ مناسبات السّور وعلاقاتها مع بعضها بالإضافة إلى مناسبات الآيات في السّورة أي روابطها داخل السّورة الواحدة من المباحث ذات الصّلة المباشرة بهئية القرآن الكريم وبنيته، بل هناك من يذهب إلى أكثر من المناسبة إلى نظام القرآن الكريم كما هو رأي عبد الحميد الفراهي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المعارف قرآن، الترجمة الفارسية،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شكل وساختار قرآن، انتشارات حکمت، 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الواضح أنّ عدم الرّجوع إلى هذه الدّراسات أو المصادر أدّى إلى خللٍ واضحٍ في جسم المقالة ونتائجها التي توصّلت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المصادر المهمّة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الفواصل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إحكام الراي في أحكام الآي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الصائغ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أطلعنا على الكتاب جلال الدين السيوطي، ويمكن القول إنّ السيوطي نقل في كتابه الإتقان خلاصة كتاب ابن الصائغ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كتب و دراسات أخرى تتعلّق بعدد آي القرآن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عد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الداني، وأرجوزة للشاطبي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ناظمة الزهر في علم الفواصل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سعادة الدارين في بيان وعدّ آي معجزة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خلف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أضفنا ما كتبه العلماء حول الفواصل القرآنية في ثنايا كتبهم سنصل إلى عشرات الأبحاث في هذا المجال، على سبيل المثال نذكر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للفراء المتوفى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أوّل من فتح باب تغيُّر النّطم واختلافه لمناسبة الفواصل، وقد ذكر نماذج متعدّدة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هذه النماذج أنّ الفرّاء كان يعتقد أنّ القرآن الكريم كأنّما كان يعمد إلى تحقيق النّسق الصّوتي بغضّ النّظر عن تسجيل ملاحظات على هذه الدّراسة، ولكن النّسق الصّوتي والنّبرة وما شاكل ذلك كانت مطروحةً من مئات السنين، وهي مورد جدل بين العلماء، فقد أنكر على سبيل المثال ابن قتيبة بعض كلمات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ونرى بحثًا تفصيليًا للفرق بين الفواصل القرآنية والأسجاع عند الرماني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في 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أهمّ الأبحاث حول الفاصلة القرآنيّة ما كتبه الزمخشري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الجمال المعنوي واللفظي للفاصلة القرآنية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السيوطي فله كلام عن الفواصل في كتبه المتعدّدة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التحبير في علم </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معترك الأقران في 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أضفنا إلى هذه الدّراسات الكتب التي أهتمّت بمباحث متشابه القرآن وبالتحديد علم المتشابه اللّفظي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حمزة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التنزيل وغرّة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الإسكاني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والبرهان في توجيه متشابه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حمزة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المرتاب وغاية الحفاظ والطلاب في متشابه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التأويل القاطع بذوي الإلحاد والتعطيل في توجيه المتشابه اللفظي من آي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الزبير الغرناطي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المعاني في المتشابه من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بدر الدين 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الكتب في هذا المجال، وبالإضافة إلى كتب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الأوّل الموجّه إلى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تمّ تجاهل كلّ هذه المصادر والرّكون إلى مصدر واحد، وهو بنظرنا لا علاقة له بمورد البحث، والذي هو بنية القرآن والروابط المنطقية بين الآيات والفواصل القرآنية؟ نعم الكتاب أساس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جزء من المقالة، فقد تعرّضت الكاتبة 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المقال بعنوان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Oaths and oath clusters introductory and intra-textual sections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وهذا العنوان لا شكّ أنّ المصدر الأصلي له هو كتاب التبيان لابن القيم الجوزية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منهج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النّقد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المناهج التي أفرزتها الدّراسات الاستشراقية وبالأخص النّقد الأدبي الحديث، ونظريّة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من المناهج المهمّة في مجال نقد وتحليل النصوص البشريّة غير الإلهيّة، فالنّصّ البشريّ في هذه الحالة يشكّل مجالًا خصبًا للممارسة النّقديّة في ضوء المناهج الحديثة؛ لأنّ ظروف تشكّل النّصّ تسمح بهكذا نوع من الدّراسات، فعلى سبيل المثال عندما نُعمل المنهج اللّساني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التناص، تعود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 السميوطيقي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يقرر أن النص يشير إلى نصوص أخرى، وهذه الخاصية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مقترحة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جوليا كرستيفا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إنها تتضمن أن أي ملمح في الخطاب يرتد إلى نصوص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في الأمثال الشعبيّة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تختلف من بيئةٍ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سنجد أنّ أمثال المجتمع اللّبناني مثلاً تختلف عن أمثال المجتمعات العربيّة الأخرى فضلاً عن المجتمعات غير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نتأمّل في كيفيّة تشكّل مدلولات هذه الأمثال الشّعبيّة بناءً على الخلفيّة الاجتماعيّة، فإنّنا سنخرج حتمًا بنتائج صحيحةٍ ودقيقةٍ، فكم من مثلٍ أو عبارة أو لفظة أو جملة لها دلالة إيجابيّة في مجتمعٍ ما، بينما هي نفسها لها دلالة سلبيّة في مجتمع آخر، فهناك اتّفاق في دوالٍ معيّنةٍ بينما يكون الاختلاف في المدلولات؛ وذلك لأنّه لا يمكن للنّصّ البشري أن ينفك عن مؤثّرات ساعدت أو أثرت في تشكّله أيًّا كان هذا التّأثّر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الشّروط البديهيّة لتطبيق أيّ منهجٍ أن يكون النّصّ أو العيّنة مورد الدّراسة قابلةً لذلك، وفي مورد بحثنا لكي نطبّق منهج النقد الأدبي على نص معيّن لا بد أن يكون النّصّ يقبل بطبعه هذا المنهج كأيّ نصّ بشري، ولكن عندما يكون البحث عن النّصّ القرآني فنحن أمام نصٍّ إلهيٍّ؛ لأنّ القرآن الكريم نزل بلفظه ومعناه على رسول الله كما يعتقد المسلمون أصحاب النّصّ أنفسهم، وهذا يعني أنّ المنهج الذي ينطبق على النّصّ البشري لا ينطبق على النّصّ القرآني بتاتًا، خاصّة وأنّ إعمال منهج النّقد هو نوع من التحميل على النّصّ، فالإشكال على المنهج الأدبي النّقديّ هو إشكالٌ فلسفيٌّ معرفيٌّ، بمعنى أنّ طبيعة النّصّ القرآني لا تسمح بذلك، والدليل عندنا على هذه التّفرقة بين القرآن وغيره من النّصوص الأخرى حتى نصوص النّبيّ صلّی الله علیه و آله وأهل البيت علیهم السّلام هو الإعجاز اللفظي والبياني للقرآن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هذا لا يعني أنّنا نوافق أو لا نوافق على دراسة السّنّة النّبويّة بهذا المنهج فهذا بحث آخر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لا يصحّ النّظر إلى القرآن والسّنّة المطهّرة على أنّهما جزءٌ من النّصوص الأدبيّة المحضة، بل لا بدّ من مراعاة الوضع الأصلي المقدّس لكليهما، بحيث لا نحكم ولا نقيّم أيًا منهما بالمقاييس الأدبيّة ذات الوضع البشري المحدود، والتي لا يمكننا من خلالها الحكم على النّصّ القرآني، نعم يمكن الاستفادة من هذه الآليات في شرح وتفسير وتحليل وإثبات إعجاز النّصّ المقدّس دون إصدار حكم وتقييم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الخلط المنهجي والخطورة بمكان اعتبار دراسة النّصّ القرآني ضمن الناتج البشري، أي التّراث الإنساني أو النّظر إليه كأحد إبداعات النّصّ الأدبي الإسلامي كما نرى بالفعل في دراسات بعض الباحثين المعاصرين </w:t>
      </w:r>
      <w:r>
        <w:rPr>
          <w:rStyle w:val="FootnoteAnchor"/>
          <w:rtl w:val="true"/>
        </w:rPr>
        <w:footnoteReference w:id="131"/>
      </w:r>
      <w:r>
        <w:rPr>
          <w:rFonts w:ascii="Amiri" w:hAnsi="Amiri" w:eastAsia="Amiri" w:cs="Amiri"/>
          <w:color w:val="111111"/>
          <w:sz w:val="28"/>
          <w:sz w:val="28"/>
          <w:szCs w:val="28"/>
          <w:rtl w:val="true"/>
          <w:lang w:bidi="ar-SA"/>
        </w:rPr>
        <w:t xml:space="preserve">، فالصحيح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الدّراسة الأدبيّة للقرآن الكريم والحديث النّبويّ الشرّيف ضرورة قصوى، ولكن على أن يتمّ ذلك في سياقهما الخاصّ من حيث مراعاة وضعهما المقدّس من حيث المصدر والصياغة، وأن تكون الدّراسة من خلال منهج ومصطلحات تتّفق مع طبيعة هذا السّياق وتراعي خصوصياته دون أن تخلط بينه وبين النتاج البشري</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المستشرقة الإيطالية،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لورافيشيا فتغليري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ثمة أيما نمط لهذا الأسلوب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أسلوب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الأدب العربي الذي تحدر إلينا من العصور التي سبقته، والأثر الذي يحدثه في النّفس البشريّة إنما يتمّ من غير أيما عون عرضي، أو إضافي، من خلال سموه السليقي، إنّ آياته كلّها على مستوى واحد من البلاغة عندما تعالج موضوعات لا بد أن تؤثّر في نفسها وجرسها، كموضوع الوصايا والنواهي وما إليها</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المنهج البنيوي في دراسة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البنيوي باختصار هو النّظر في التصميم الداخلي للأعمال الأدبيّة بما يشمله من عناصر رئيسةٍ تتضمّن الكثير من الرّموز والدّلالات، بحيث يتّبع كلّ عنصر عنصرًا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مفهوم البنية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structure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المنهج البنيوي في النّقد الأدبي على قضايا عدّة متّصلة بالنّقد الأدبي، هي حسب بياجيه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الوجود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فالبنية موجودة في الكلّ لا في الأجزاء، وكان هذا التّصوّر الكليّ، هو جوهر النّظريّة البنيويّة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الحركة الدّاخليّة للبنية، التي تحفظ لها ثراءها داخل النّصّ الأدبي، دون حاجتها للعودة إلى عناصر 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التناسق في كيان البنية، من خلال قوانين داخلية لها، تنظّم حركتها وتطوّرها ونموّها</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وقد حاول البنيويّون في المنهج البنيوي في النقد الأدبي التقليل من المعلومات المتصلة بالمؤلف، والبيانات المحيطة به، بحيث لا تصبح نقطة الارتكاز الأساسيّة في دراسة الأدب، إنّما على الدراسة الأدبية الانطلاق من النص ذاته، وبالنظر داخل النص الأدبي فقط، ينظر إلى النص الأدبي في المنهج البنيوي في النقد الأدبي على أنه نص مغلق، وهذا النص يتمتع بقيمة ذاتية، وبالتالي هو مستقل بذاته متحرر من التبعية الخارجية، وهو يقوم على نظام من الانضباط، يظهر من خلال ما تتميز به بنيته من نظام كليّ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مقالة لنويفرت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Qur'an and History - a Disputed Relationship. Some Reflections on Qur'anic History and History in .https://www.euppublishing.com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نقلًا عن موقع المجلة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Qur'an.Volume Issue 1pp. 1-18 ,April</w:t>
      </w:r>
    </w:p>
    <w:p>
      <w:pPr>
        <w:pStyle w:val="BookText"/>
        <w:rPr/>
      </w:pP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الجدل تحاول أن تكتشف العلاقة الحقيقيّة بين القرآن والتاريخ، وتؤكّد أنّه لا بدّ من دراسة القرآن دراسةً بنيويّةً، أي من داخل النص لا من خارجه؛ كي نفهم حقيقة تطوّره، وتنتقد المحاولات الاستشراقية الأخرى التي قام بها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وانسبرا، ولالينغ، ولوكسمبرغ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وتؤكّد حصول تطوّر ما في النّصّ القرآني، وأنّ قرآن ما قبل التّدوين يستحيل علينا معرفة حقيقته، وكلّ ما يمكننا فعله هو اكتشاف هذا التطوّر من بنية النّصّ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تؤكّد أنّ الاختلاف يتمركز اليوم حول القضيّة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القرآن يمثل حقيقة ما قاله النبي أمام مستمعيه؟ أم أنّه كتابٌ كتب في أزمانٍ لاحقةٍ انبثقت من بيئات الفرق الإسلاميّة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وتعتبر نويفرت أنّ الدّراسة البنيويّة للنّصّ هي أفضل وسيلة لمعرفة تطوّره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وبهذه الطريقة يمكن معرفة مرحلة ما قبل </w:t>
      </w:r>
      <w:r>
        <w:rPr>
          <w:rFonts w:eastAsia="Times New Roman" w:cs="Times New Roman" w:ascii="Times New Roman" w:hAnsi="Times New Roman"/>
          <w:color w:val="111111"/>
          <w:sz w:val="28"/>
          <w:szCs w:val="28"/>
          <w:lang w:val="en-US" w:bidi="en-US"/>
        </w:rPr>
        <w:t>PREHISTORY OF QURANIC .CANONISTION OF THE TEXT</w:t>
      </w:r>
      <w:r>
        <w:rPr>
          <w:rFonts w:ascii="IRNazanin" w:hAnsi="IRNazanin" w:eastAsia="IRNazanin"/>
          <w:color w:val="111111"/>
          <w:sz w:val="28"/>
          <w:sz w:val="28"/>
          <w:szCs w:val="28"/>
          <w:rtl w:val="true"/>
          <w:lang w:bidi="fa-IR"/>
        </w:rPr>
        <w:t xml:space="preserve">أو </w:t>
      </w:r>
      <w:r>
        <w:rPr>
          <w:rFonts w:eastAsia="Times New Roman" w:cs="Times New Roman" w:ascii="Times New Roman" w:hAnsi="Times New Roman"/>
          <w:color w:val="111111"/>
          <w:sz w:val="28"/>
          <w:szCs w:val="28"/>
          <w:lang w:val="en-US" w:bidi="en-US"/>
        </w:rPr>
        <w:t>TEXT</w:t>
      </w:r>
    </w:p>
    <w:p>
      <w:pPr>
        <w:pStyle w:val="BookText"/>
        <w:rPr/>
      </w:pPr>
      <w:r>
        <w:rPr>
          <w:rFonts w:ascii="Amiri" w:hAnsi="Amiri" w:eastAsia="Amiri" w:cs="Amiri"/>
          <w:color w:val="111111"/>
          <w:sz w:val="28"/>
          <w:sz w:val="28"/>
          <w:szCs w:val="28"/>
          <w:rtl w:val="true"/>
          <w:lang w:bidi="ar-SA"/>
        </w:rPr>
        <w:t>لا يوجد دراسات نقدية بين المسلمين عن تاريخ النّصّ القرآني وتطوّره كما حدث لتاريخ دراسة الكتاب المقدس في أوروبا؛ إذ أدّت الدّراسات الأوروبيّة النّقديّة للكتاب المقدّس إلى نشر الفكر العلماني وتخفيف قبضة الكنيسة و احتكارها لفهم النّصّ التوراتيّ والإنجيلي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كيف يمكن أن نحلّل أو أن ندرس القرآن بواسطة النّظريات التّاريخية الحديثة؟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برأيي هناك علومٌ عديدةٌ يجب أن نستخدمها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وعلم الآثار واللّاهوت وغيرها؛ لدراسة القرآن، على أنّه ضمن الإرث الهلينستي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وقد استحدث مصطلح هلنستية المؤرخ يوهان جوستاف دريزن في منتصف القرن التاسع عشر، صاغ المصطلح الهلنستي للإشارة إلى الفترة التي انتشرت فيها الثقافة اليونانية في العالم غير اليوناني بعد غزو الإسكندر في عمله الكلاسيكي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Geschichte des Hellenismus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تاريخ الهلنستية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https://ar.wikipedia.org/wiki</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يدعيه هولاء أن الحضارة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للتراث الهيليني، وأن الإبداع العلمي الإسلامي هو صناعة إغريقية استوردها المسلمون من دون أي 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والإرث السائد في الشرق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والدّراسة يجب أن تركّز على النّصّ وليس على الأحداث التي كانت خارج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الاتّجاه هو عكس الاتّجاه السائد الذي يبحث عن أصول القرآن خارج النّصّ</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الدّراسة البنيويّة للنّصّ هي أفضل وسيلة لمعرفة تطوّره، وما يرتبط ببحثا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البنيويّة في مجال النقد الأدبي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يرى المنهج البنيوي أنّ بنية العمل الأدبيّ كلّ مكوَّنٌ من عناصر متماسكةٍ، تتوقف هويّة كلُّ منها وفاعليّته على ما عداه، ولا يمكن أن يكون ما هو إلا بفضل علاقاته بما عداه، هذا التّصوّر الكلّيّ يعني أنّ القصيدة على سبيل المثال، ليست مجموعةً من الأبيات، وإنّما هي بنيةٌ كليّةٌ تركبيّةٌ تتشكَّل من بنى جزئيّة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الإيقاعية، المعجميّة، التركبيّة، </w:t>
      </w:r>
    </w:p>
    <w:p>
      <w:pPr>
        <w:pStyle w:val="BookText"/>
        <w:rPr/>
      </w:pPr>
      <w:r>
        <w:rPr>
          <w:rFonts w:ascii="Amiri" w:hAnsi="Amiri" w:eastAsia="Amiri" w:cs="Amiri"/>
          <w:color w:val="111111"/>
          <w:sz w:val="28"/>
          <w:sz w:val="28"/>
          <w:szCs w:val="28"/>
          <w:rtl w:val="true"/>
          <w:lang w:bidi="ar-SA"/>
        </w:rPr>
        <w:t xml:space="preserve">المجازيّة، الرمزيّة،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تحكُّم ذاتي، تتعاضد، وفي حركة تشكُّلٍ تُفضي إلى تشكّل بنيةٍ كليةٍ تنطق بالدّلالة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هذا أنَّ النَّص نفسه، بوصفه بنيةً كليةً تتشكُّل من بنياتٍ جزئيّةٍ، هو موضوع الدّراسة البنيوية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في النّقد البنيوي إعطاء أيّ قيمةٍ لأيّ عنصرٍ خارج الوضع الذي يشغله في البنية الكليّة، فالتحليل البنيوي يحدِّد موقع هذا العنصر في هذه البنية وفاعليته في تشكيلها، ويتدرّج تحليل النّصّ الشّعريّ، على مستوى التّزامن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البنية الكليّة ومكوِّناتها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 الصوتي، وزن، تنغيم، ونبر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 الصَّرفي، الوحدات الصّرفية وأبنيتها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 المعجمي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وهوياتها وحقولها وخصائصها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 التركيبي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وأنواعها وخصائصها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أنواع المجاز، والانزياح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 الرمزي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المفضي إلى مدلول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شعريَّة النص والدلالة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تدرس هذه المكوِّنات البنية الأدبيّة الكماليّة الدَّلاليّة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ويفضي هذا النّوع من التّحليل إلى تمييز النّصّ الشّعري، في المقام الأوّل، فإن هيمن المكوَّن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المجازي كان النّصّ شعرًا منثورًا، وإن أحكم بناء هذا النّوع، وتضمَّن عنصر القصد إلى الإحكام كان النّصّ قصيدة نثر، وإن هيمن المكوَّن الصّوتي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وقافية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النّصّ نظمًا، وإن هيمن المكونان الصّوتي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المجازي والدّلالي، كان النَّصّ شعرًا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تستخدم نويفرت في المسائل المنهجيّة كلامًا واضحًا غير متوارٍ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أن ينصبّ </w:t>
      </w:r>
    </w:p>
    <w:p>
      <w:pPr>
        <w:pStyle w:val="BookText"/>
        <w:rPr/>
      </w:pPr>
      <w:r>
        <w:rPr>
          <w:rFonts w:ascii="Amiri" w:hAnsi="Amiri" w:eastAsia="Amiri" w:cs="Amiri"/>
          <w:color w:val="111111"/>
          <w:sz w:val="28"/>
          <w:sz w:val="28"/>
          <w:szCs w:val="28"/>
          <w:rtl w:val="true"/>
          <w:lang w:bidi="ar-SA"/>
        </w:rPr>
        <w:t>اهتمام المُفسر على النصّ القرآني نفسه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وتُولي هذه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اهتمامًا لشكل النصّ وتكوينه وأساليبه وبلاغته وغيرها من الخصائص التي ترتكز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تُعارِض هذه الدراسات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تبدأ خارج النصّ وتفرض عليه هياكل أو قواعد غريبة، وتنتج تفسيراتٍ غير دقيقةٍ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يقوم المنهج البنيوي على حصر القيمة في النّصّ ذاته بما هو معطى من دلائل، ومن ثَمَّ يدرس هذا النّصّ، ولا يهم مؤلفه وكاتبه ولا مقاصده ولا أوضاعه التي أنتج فيها خطابه، المهم هنا النّصّ الموجود، ندرسه من خلال العلاقات القائمة بين أجزائه وتراكيبه وجُمله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المنهج البنيوي في دراسة القرآن العديد من الإشكالات والسلبيات تجعل الاستفادة منه في فهم وتفسير القرآن الكريم غير دقيقة ومن هذه الإشكالات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البنيويّة كما يُفهم من لفظها تعتمد على بنية النّصّ، وبيان العلاقات التي تربط بين كيانه اللّفظي والمادي؛ لتصل إلى حكمٍ أدبيٍّ، فهي وإن كانت لا تُهمل الدّراسة العلائقيّة للألفاظ، فإنّها تُهمل الوحدة الموضوعيّة ودوافع إبداعه وأثر المبدع فيه، ومن هنا تقع في خطر ميكانيكيّة 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الإشكالات التي تواجهها البنيويّة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المغالطة الشكلانيّة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وتعني عدم الاهتمام بالمعنى أو المحتوى، ورفض الاعتراف بحضور العالم الثّقافي خارج العمل الأدبي، وتلك ناتجة من عدم الاعتراف بأنّ مظاهر البنية المدروسة ليست هي المظاهر الوحيدة، ولا هي وحدها التي تعمل في نظامٍ مغلقٍ دون أن تتأثّر بالعالم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البنيويّة في إهمالها للمعنى، فهي تناهض وتعادي النّظريّة التأويلية، وإن كانت تسلّم بأنّ النّصّ متعدّد المعاني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البنيويّة ليست علمًا، وإنّما هي شبه علم يستخدم لغة ومفردات معقّدة ورسومًا بيانيّةً وجداول متشابكة، ومن هذا المنطلق تجاهلت البنيويّة التّاريخ، فهي وإن كانت إجرائيّة فاعلة جيّدة في توصيفها، إلّا أنّها تفشل في معالجتها</w:t>
      </w:r>
    </w:p>
    <w:p>
      <w:pPr>
        <w:pStyle w:val="BookText"/>
        <w:rPr/>
      </w:pPr>
      <w:r>
        <w:rPr>
          <w:rFonts w:ascii="Amiri" w:hAnsi="Amiri" w:eastAsia="Amiri" w:cs="Amiri"/>
          <w:color w:val="111111"/>
          <w:sz w:val="28"/>
          <w:sz w:val="28"/>
          <w:szCs w:val="28"/>
          <w:rtl w:val="true"/>
          <w:lang w:bidi="ar-SA"/>
        </w:rPr>
        <w:t>للظاهرة الزّمانيّة، ولهذا فقد يكون هذا مقبولاً مع الظّواهر المؤقّتة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الصّعيد الأدبي تُعرِّف البنيويّة الأدب بأنّه جسدٌ لغويٌّ أو مجموعةٌ من الجمل وهذا تعريف رولان بارت، وهو تعريف يُثير كثير من التّساؤلات، ومنها أن كون اللّفظ مادة الأدب لا يعني بحال أنّ الأدب هو اللّغة، فالحجر مادة التمثال لكن التمثال ليس مجرّد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 أهم المخاطر الناتجة عن البنيوية، أنّها تُلغي التّطوّر وتهتمّ بالنّظام فإنّها تنظر إلى التّاريخ نظرةً سكونيّةً؛ إذ ترى أنّ التّاريخ مسيّر بمجموعةٍ من الأنظمة التي تعجز الإرادة الإنسانيّة عن إحداث أيّ خدش في تشكيلها أو مسارها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التحليل البنيويّ يقف عاجزًا أمام التّفريق بين الأعمال الأدبيّة الجيّدة والرّديئة، القديمة والجديدة، والسبب في ذلك أنّه تحليلٌ وصفيٌّ صوريٌّ لا يهتم بالقيمة، وهذا بدوره يؤدّي إلى تشويه الأعمال الأدبيّة وإلغاء خصوصيّتها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ليست البنيويّة سوى صورة محرّفة للنّقد الجديد الذي عرفناه من خلال التعامل مع النص، كما لو أنّه مقطوع عن موضوعهِ، مستقل عن موضوع القراءة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منهج المزواجة بين الدياكروني والسانكروني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دراسة النّصّ القرآني منهج المزاوجة المنهجيّة بين الاتجاهين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السانكروني</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التزامني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التعاقبي أو التّاريخي التّطوري الذي سيطر على الدرس الاستشراقي منذ بداياته والاتّجاه السانكروني هو الذي قدّم الأفكار حول وجود بنيةٍ واضحةٍ للنّصّ القرآني، تحتاج للاستكشاف، بعدما كان النّظر المتّبع من قبل الدياكرونيين هو أنّ النّصّ خالٍ من أيّ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والاتّجاه السانكروني قد وظّفه فردناندديّ سوسير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Ferdinand de saussure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ليميّز به الدراسات اللسانيّة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 xml:space="preserve">تُعنى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بالعلاقات المنطقيّة والنفسيّة بين الألفاظ المتعايشة، والتي تشكّل نسقًا أو 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اللسانيّات السانكرونيّة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التزامنيّة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محاولةُ وضع المبادئ الأساسيّة التي تنتظم كلّ نسق لسانيّ، والعوامل المشكّلة لكلّ وضعيّة لسانيّة ،محدّدة، وذلك بمنأى عن حركة تشكّلها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فالتزامنيّ يحيل إلى نظام تجاور الألفاظ، وإلى علاقات التضايف والتزامن القائمة بينها، وليس إلى تعاقبها أو انتظامها في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فنحن أمام ثلاثة اتجاهاتٍ في دراسة بنية السّور القرآنيّة،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السانكروني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التزامني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الدياكروني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التعاقبي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المزواجة بين الاتجاهين وهو ما يذهب إليه جملة من المستشرقين وعلى رأسهم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إمكانيّة الدّمج بين العناصر التّزامنيّة والتّعاقبيّة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على المنهج التزامني والتعاقبي في دراسة القرآن أنّه من الصّعوبة بمكان الجمع بين المنهجين؛ لأنّ المنهج التاريخي النّقدي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التعاقبي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الدياكروني انطلق من فرضيّة أنّ النصّ القرآني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مركَّبًا من أجزاء ليست متّسقة ولا مرتَّبة بذات الطريقة الخطيّة المعهودة في الكتابات بصورةٍ عامّةٍ، ومِن ثَمّ لجؤوا لذلكم المنهج في مقاربة القرآن باعتباره الأنسب لتتبع تاريخ أجزاء النّصوص والكشف عن مصادرها التي رُكَّبت منها؛ ومن هاهنا دارت المشاغل البحثية لدراسات الاستشراق حول القرآن على البحث في تاريخه وملابسات تدوينه والتطوّرات التي لحقت به، والاهتمام بالنّظر في ترتيب سوره وآياته زمنيًّا، ومحاولة الكشف عن أصوله التي استُقِي منها، والاجتهاد في تبيّن العلاقات بينه وبين البيئة التي نزل فيها ووجوه أثرها، وكذلك الصلات بينه وبين النّصوص السّابقة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السّيطرة الكبيرة للمنهج التّعاقبي في دراسة القرآن على معظم مفاصل الدرس الغربي للقرآن، حتى إنّ هذه المقاربة الدّياكرونيّة صارت عَلَمًا وعنوانًا </w:t>
      </w:r>
    </w:p>
    <w:p>
      <w:pPr>
        <w:pStyle w:val="BookText"/>
        <w:rPr/>
      </w:pPr>
      <w:r>
        <w:rPr>
          <w:rFonts w:ascii="Amiri" w:hAnsi="Amiri" w:eastAsia="Amiri" w:cs="Amiri"/>
          <w:color w:val="111111"/>
          <w:sz w:val="28"/>
          <w:sz w:val="28"/>
          <w:szCs w:val="28"/>
          <w:rtl w:val="true"/>
          <w:lang w:bidi="ar-SA"/>
        </w:rPr>
        <w:t xml:space="preserve">على التّناول الغربي للقرآن بصورة عامّة، إلا أنّه ظهر مؤخّرًا في الدّراسة الغربيّة منهج مختلف، وهو التّناول التزامني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السانكروني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ينطلق من فرضيّةٍ معاكسة تمامًا للفرضيّة التي ألجأتْ لاستحضار المنهج التاريخي النقدي لدى غالب المستشرقين؛ وهي القول بأنّ النّصّ القرآني كما هو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متّسقٌ وله بنْيَة تحتاج للكشف عنها والبحث فيها لفهمها، ومِن ثَمّ استثمار المنهج التزامني لا التّعاقبي في الكشف عن هذه البنية وفهم 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من المزواجة بين المنهجين هو توظيفهما في الكشف عن البنية الموجودة في النّصّ القرآني ولذا ركّزت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بنية السّورة كوحدةٍ 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أسباب بروز المنهج التزامني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السانكروني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هو تطوّر مناهج دراسة النّصوص ذاتها في الفكر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كظهور البنيويّة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تهتم باستكشاف بُنَى النّصوص لا دراسة أصلها ومصدرها كالمنهج الدياكروني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تطوّر مناهج دراسة النّصوص الدّينيّة ذاتها في الغرب، ومحاولة استفادتها من المناهج التزامنيّة وتحقيقها الكثير من النتائج اللّافتة للنّظر من خلالها، والتي حفّزت بالتالي المستشرقين لمحاولة تطبيقها على القرآن، خصوصًا في إثر تنامي الرّغبة الأوسع في نقل دراسة القرآن لحقل دراسات اللّاهوت ومحاولة إيجاد منهجٍ أكثر ملاءمةً يستطيع تلافي بعض الإشكالات التي طالما لابست المنهج التّعاقبي في دراسته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هذا السّياق، فإنّ الدّراسة السانكرونيّة للقرآن استطاعت تجاوز فکرتین أساسيّتين لطالما رافقتا الدّراسة الدياكرونيّة للقرآن حتى صارتا معتمَدًا للفكر الاستشراقي في تعامله مع القرآن، 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نظريّة التأثّر والتأثير والبحث عن أصول ومصادر النّصّ القرآني والتي شكّلت إطار الدّرس لكثيرٍ من الكتابات الاستشراقيّة الكلاسيكيّة، على رأسها کتاب جيجر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أخذ محمد عن اليهودية؟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استشكال بُنية النّصّ القرآني من جهة كونها غير خطّيّة وكذلك غير </w:t>
      </w:r>
    </w:p>
    <w:p>
      <w:pPr>
        <w:pStyle w:val="BookText"/>
        <w:rPr/>
      </w:pPr>
      <w:r>
        <w:rPr>
          <w:rFonts w:ascii="Amiri" w:hAnsi="Amiri" w:eastAsia="Amiri" w:cs="Amiri"/>
          <w:color w:val="111111"/>
          <w:sz w:val="28"/>
          <w:sz w:val="28"/>
          <w:szCs w:val="28"/>
          <w:rtl w:val="true"/>
          <w:lang w:bidi="ar-SA"/>
        </w:rPr>
        <w:t xml:space="preserve">موضوعيّة، وبالتالي اعتبار الترتيب التّاريخي للقرآن هو المفتاح الوحيد لفهمه عبر ربطه بواقع الدعوة، وأنّ الترتيب الموضوعي للنّص هو المفتاح الوحيد لجعل أفكار النصّ جليّةً للقارئ الغربي، حيث انطلقت الدّراسات السانكرونية في مقابل هذا من تعقد بنية النصّ القرآني في عمليات الاستعادة والتكرار والتوظيف، وكون أسلوبه الذي ربما لا يتفق مع الأسلوب الخطي أو الموضوعي هو أسلوب خاصّ يحتاج للاستكشاف ولدراسة أبعاده ومزاياه بدلًا من محاولة إخضاع النصّ لأسلوب لا يتفق معه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أهم نتائج المنهج التزامني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السانكروني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التحليل البلاغي للقرآن ومن خلاله يتم استكشاف نظم النصّ القرآني ومعانيه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تقسيم القرآن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تعتمد على 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يمكن العمل على نقد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خلاله يتبيّن ضعف البناء الذي اعتمدت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السّور، وذلك بالإشارة إلى بعض الأمور التي ذكرها نولدكه وإلا فالنّقد التّفصيلي يحتاج إلى دراسةٍ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قسّم نولدكه كما تقدّم القرآن إلى أربع طبقاتٍ أو مراحل، وقد قام بتقديم أسلوبٍ جديدٍ في ترتيب وتأريخ السّور القرآنيّة متجاهلًا للرّوايات الصّحيحة الواردة في المقام والمنقولة عن صحابة النبيّ والشّاهدة بنفسها على نزول الوحي الإلهيّ والواضحة الدّلالة على زمان نزوله ومكانه متجاهلاً لكلّ مباحث أسباب النّزول، ولا سيما ما صحّ من هذه الأسباب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وتعتبر محاولة نولدكه من أكثر المحاولات التي سعت إلى تغيير شكل القرآن الكريم من خلال إعادة ترتيب السّور القرآنيّة، أو محاولة تقديم ترتيب تأريخي للآيات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المحاولات الناتجة عن نظريّة تاريخ النّصّ عند نولدكه </w:t>
      </w:r>
    </w:p>
    <w:p>
      <w:pPr>
        <w:pStyle w:val="BookText"/>
        <w:rPr/>
      </w:pPr>
      <w:r>
        <w:rPr>
          <w:rFonts w:ascii="Amiri" w:hAnsi="Amiri" w:eastAsia="Amiri" w:cs="Amiri"/>
          <w:color w:val="111111"/>
          <w:sz w:val="28"/>
          <w:sz w:val="28"/>
          <w:szCs w:val="28"/>
          <w:rtl w:val="true"/>
          <w:lang w:bidi="ar-SA"/>
        </w:rPr>
        <w:t xml:space="preserve">وفلهاوزن وجولد تسهير، وسيل، وبل، وهيرشفيلد، وكاشتاليفا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السّور في ضمن طبقاتٍ مختلفةٍ على أساس النحو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السّور النّازلة أوائل الوحى في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 أنَّ السّور المرتبطة بالمرحلة الأولى من الوحي المكيّ تُشير في أغلبها إلى شدّة اضطراب النّبيّ وتشنّجه وقد كان هذا التشنّج والانفعال يبلغ من الشدّة إلى حدّ عدم تمكّن النّبيّ من اختیار كلماته بل كانت تصدر من دون قصد على لسانه</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هذا الكلام ليس إلّا مجرّد توهّم وإدّعاءٍ فارغٍ من غير دليلٍ، فالقرآن الكريم ذكر ثلاث آیات فقط </w:t>
      </w:r>
      <w:r>
        <w:rPr>
          <w:rStyle w:val="FootnoteAnchor"/>
          <w:rtl w:val="true"/>
        </w:rPr>
        <w:footnoteReference w:id="145"/>
      </w:r>
      <w:r>
        <w:rPr>
          <w:rFonts w:ascii="Amiri" w:hAnsi="Amiri" w:eastAsia="Amiri" w:cs="Amiri"/>
          <w:color w:val="111111"/>
          <w:sz w:val="28"/>
          <w:sz w:val="28"/>
          <w:szCs w:val="28"/>
          <w:rtl w:val="true"/>
          <w:lang w:bidi="ar-SA"/>
        </w:rPr>
        <w:t>تذكّر النّبي بعدم الاستعجال، ولا يفهم منها على الاطلاق أنّ النّبيّ لم يكن يمتلك قدرة التّسلّط على اختيار كلماته، وأنّه تخرج منه من فمه بشكلٍ لا إراديٍّ، بل مفاد هذه الآيات يدلّ على أنّ النبيّ كان يكرّر بسرعة ما يلقى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ادّعاه من أنّ اضطراب النّبي وانفعاله في أوائل الوحي أمرٌ في غاية الضّعف ولا يمكن القبول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سور تلك المرحلة من الوحي تشبه الأقوال الغيبيّة للكهنة، ولم تكن بالسّور الطوال أبداً، بل كانت تحوي الجمل القصيرة التي طرأ عليها أسلوب السجع</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ما هو إلا إدّعاء لا صحّة لها على الإطلاق، بل لا يمكن إغفال الاختلاف الموجود بين القرآن والكهانة، إذ إنّ الكهانة فيها التكلّف والكذب والأباطيل والأراجيف وهذا لا وجود له في القرآن الكريم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فالقول بأنّ لغة القرآن الكريم تشبه إلى حد كبير لغة الكهان والمنجمين، وأسلوبهم، فهذا ما لم يقل به أحد، ولم يقبله حتى صناديد العرب القريشيين، مع كونهم أشدّ النّاس عداوة لمحمد صلّی الله علیه و آله وأحرصهم على الطّعن في القرآن الكريم، ولعلّ قول الوليد بن المغيرة خير دليلٍ على ذلك، فقد رأينا كيف رفض بكلّ حزمٍ وجدّيّةٍ، </w:t>
      </w:r>
    </w:p>
    <w:p>
      <w:pPr>
        <w:pStyle w:val="BookText"/>
        <w:rPr/>
      </w:pPr>
      <w:r>
        <w:rPr>
          <w:rFonts w:ascii="Amiri" w:hAnsi="Amiri" w:eastAsia="Amiri" w:cs="Amiri"/>
          <w:color w:val="111111"/>
          <w:sz w:val="28"/>
          <w:sz w:val="28"/>
          <w:szCs w:val="28"/>
          <w:rtl w:val="true"/>
          <w:lang w:bidi="ar-SA"/>
        </w:rPr>
        <w:t>أن تكون لغة القرآن على شاكلة لغة الكهان،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هو بكاهن، لقد رأينا الكهان فما هو بزمزمة الكاهن ولا سجعه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تخرّصات أخرى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السّور في أواسط المرحلة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يعتبر أنّه في هذه المرحلة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أسلوب التخيّل بشكل 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وأسلوب التخيّل هو الاستفادة من أنواع المجاز، ولا دليل على أنّ الاستعارة والتمثيل في القرآن كانت في مرتبة أعلى ثم تدنّت إلى الأسفل وبشكلٍ تدريجيٍّ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القرآن الكريم نزل على أساس مقتضى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يمكن القول بأنّ الاستفادة من أمثال هذه الأمور شائعٌ ومتداولٌ في كلّ الألسنة والتي من جملتها اللّسان العربيّ الذي نزل القرآن بلغته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قاله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السّور ورغم استمرار حالة الحماس والاندفاع فيها إلا أنّها ومن حيث المجموع تعمل وبشكلٍ ملحوظٍ على تخفيف حالة الاضطراب عند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هذا الكلام من دون ذكر دليل أو شاهد على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نزول سورة الفاتحة مرتبطًا بالمرحلة الوسطى للوحي المكّي وخصّص لها في مقام الترتيب والتعداد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أنّنا نعلم بأنّ سورة الفاتحة جزءٌ لا ينفك عن الصلاة ومن المسلّم به أنّ الصلاة من أوائل الأحكام الشّرعيّة التي صرّح بوجوبها في صدر الإسلام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السّور في المرحلة النّهائيّة للوحي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 هذه المرحلة جاءت وبشكلٍ كاملٍ تقريبًا بشكلٍ نثري واحتوى بعضها على التسجيع، وشيئًا فشيئًا بدأت تأخذ لنفسها قالبًا وشكلاً معينًا عادة ما يختم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قلَّ فيها أسلوب التمثيل والخيال، واتَّخذت آيات الوحي أسلوب الخطابة، وقد تكرّر فيها ذكر قصص الأنبياء والأفكار والعقائد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هذه السّور كبيرٌ بشكلٍ لافتِ، </w:t>
      </w:r>
      <w:bookmarkStart w:id="213" w:name="pg8898_139275"/>
    </w:p>
    <w:p>
      <w:pPr>
        <w:pStyle w:val="BookText"/>
        <w:rPr/>
      </w:pPr>
      <w:bookmarkEnd w:id="213"/>
      <w:r>
        <w:rPr>
          <w:rFonts w:ascii="Amiri" w:hAnsi="Amiri" w:eastAsia="Amiri" w:cs="Amiri"/>
          <w:color w:val="111111"/>
          <w:sz w:val="28"/>
          <w:sz w:val="28"/>
          <w:szCs w:val="28"/>
          <w:rtl w:val="true"/>
          <w:lang w:bidi="ar-SA"/>
        </w:rPr>
        <w:t>وكذلك فإنَّ بعض الآيات في هذه السّور أكبر بالمقايسة إلى آيات السّور في المرحلة السّابقة، وأحيانًا تبرز فيها أطياف من القوّة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الطائفة من السّور والتي يصل عددها إلى إحدى وعشرين سورةً أيضًا، يمكن اعتبارها مظهرًا لغضب النبي وتألَّمه في مقابل ردّة فعل بعض أفراد قبيلته في مكة على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السّور في مرحلة الوحي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أسلوب السّور المدنيّة يشبه إلى حدٍّ بعيدٍ السّور في المرحلة النّهائيّة للوحي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أغلب نثرها يشاهد مظاهر الفصاحة وجمالها بكثرة، وتحتوي على بعض الصّور الباهرة والجذّابة وخاصة في تلك الآيات التي تخاطب المجاهدين المؤمنين، إنّ هذه السّور التي يصل تعدادها إلى أربعة وعشرين سورة بترتيبها التاريخيّ واحدة تلو الأُخرى تُبيّن تعاظم القدرة السياسيّة للنبيّ وتشكيل النّطاق الاجتماعيّ للأمّة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فقد أصبح النبي في مجتمع المدينة قائدًا على المستوى الدينيّ والاجتماعيّ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غيرها من الكلمات التي لا أرىّ أيّ قيمةٍ علميّةٍ لها، وعلى كلّ الأحوال يمكن مراجعة الكتب والمقالات التي ردّت على نولدكه وأفكاره</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935577_2870459653"/>
      <w:bookmarkStart w:id="215" w:name="_Toc80"/>
      <w:bookmarkEnd w:id="214"/>
      <w:r>
        <w:rPr>
          <w:rtl w:val="true"/>
        </w:rPr>
        <w:t>ثالثًا</w:t>
      </w:r>
      <w:r>
        <w:rPr>
          <w:rtl w:val="true"/>
        </w:rPr>
        <w:t xml:space="preserve">: </w:t>
      </w:r>
      <w:r>
        <w:rPr>
          <w:rtl w:val="true"/>
        </w:rPr>
        <w:t>القَسَم في القرآن</w:t>
      </w:r>
      <w:r>
        <w:rPr>
          <w:rtl w:val="true"/>
        </w:rPr>
        <w:t>:</w:t>
      </w:r>
      <w:bookmarkEnd w:id="215"/>
    </w:p>
    <w:p>
      <w:pPr>
        <w:pStyle w:val="BookText"/>
        <w:rPr/>
      </w:pPr>
      <w:r>
        <w:rPr>
          <w:rFonts w:ascii="Amiri" w:hAnsi="Amiri" w:eastAsia="Amiri" w:cs="Amiri"/>
          <w:color w:val="111111"/>
          <w:sz w:val="28"/>
          <w:sz w:val="28"/>
          <w:szCs w:val="28"/>
          <w:rtl w:val="true"/>
          <w:lang w:bidi="ar-SA"/>
        </w:rPr>
        <w:t>تناولت نويفرت بحث القَسَم في المقالة، وهو نوعٌ مهمٌّ من الرّوابط في السّور، وسنقصر الكلام في النّقد على النّقاط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البنية والهيئة التأليفيّة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 أو الفاصلة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البنية والهيئة التأليفية للقرآن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ارتباط آي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 وهيئة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ارتباط آي القرآن</w:t>
      </w:r>
    </w:p>
    <w:p>
      <w:pPr>
        <w:pStyle w:val="BookText"/>
        <w:rPr/>
      </w:pPr>
      <w:r>
        <w:rPr>
          <w:rFonts w:ascii="Amiri" w:hAnsi="Amiri" w:eastAsia="Amiri" w:cs="Amiri"/>
          <w:color w:val="111111"/>
          <w:sz w:val="28"/>
          <w:sz w:val="28"/>
          <w:szCs w:val="28"/>
          <w:rtl w:val="true"/>
          <w:lang w:bidi="ar-SA"/>
        </w:rPr>
        <w:t>بعضها ببعض حتى تكون كالكلمة الواحدة، يندرج تحته الفنون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التّناسق الموضوعي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الموضوعيّة</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يقول الزركشي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ينبغي في كلّ آيةٍ أن يبحث أوّل كلّ شيء عن كونها مكمّلة لما قبلها أو مستقلّة، ثم المستقلّة ما وجه مناسبتها لما قبلها، ففى ذلك علمٌ جمٌ، وهكذا فى السّور يُطلب وجه اتّصالها بما قبلها وما سيقت له</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أنواع المناسبات التي تذكر في هذا العلم داخليّة وخارجيّة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المناسبات الدّاخليّة، وهي الأنواع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مناسبات ترتيب آيات السّورة الواحدة، وتعلّق بعضها ببعض، وارتباطها وتلاحمها وتناسقها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مطلع السّورة للمقصد الذي سيقت له، وذلك براعة الاستهلال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ختام السّورة لمطلعها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فواصل الآي للآية التي ختمت بها، ومنه مناسبة أسماء الله الحسنى للآية التي ختمت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موضوع مقطع من الآيات في السورة لمقطع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المناسبات الخارجية، وهي الأنواع التالية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مناسبة السورة لما قبلها ولما بعدها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ختام السورة لمطلع السورة التالية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مطلع السورة لمطلع السورة التي تليها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موضوع مجموعة من السور لمجموعة من السور، أو 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الخطوات المنهجية لعلم المناسبة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فضائل كلّ سورة، مكيّها ومدنيّها، وعدد آيها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مقصود كلّ سورةٍ ثم علاقة اسمها بالأهداف والمقاصد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السّورة للسّورة التي تليها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المناسبة بين فاتحة السورة وختامها، وختام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المناسبة بين خاتمة السورة وفاتحة 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إجمال السورة لتفصيل ما بعدها، وتفصيل السورة لإجمال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التناسب بين موضوعات السورة ومحورها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الموضوع الذي ترتكز عليه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التناسب بين القصص إن وجدت وبين موضوع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المناسبة تشمل الوحدة الموضوعيّة لكلّ سورة؛ فضلاً عن وحدة موضوعات السّور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مناسباتٌ عامّة لكلّ سورةٍ ومناسباتٌ خاصّة، منها ما هو ظاهرٌ ومنها ما هو خفيٌّ، وأغلبها تناسبات يحكمها الذّوق تتراءى للمجتهد في التفسير القائم اجتهاده على التَّدبّر؛ لأنّ النّظم الترتيبي عند البقاعي أعلى من النظم التركيبي، فيدعو إلى المناسبات الذّهنيّة وليس القواعديّة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السّور في مضامينها، فقد تكون إحدى السّور مقابلة للأخرى على </w:t>
      </w:r>
    </w:p>
    <w:p>
      <w:pPr>
        <w:pStyle w:val="BookText"/>
        <w:rPr/>
      </w:pPr>
      <w:r>
        <w:rPr>
          <w:rFonts w:ascii="Amiri" w:hAnsi="Amiri" w:eastAsia="Amiri" w:cs="Amiri"/>
          <w:color w:val="111111"/>
          <w:sz w:val="28"/>
          <w:sz w:val="28"/>
          <w:szCs w:val="28"/>
          <w:rtl w:val="true"/>
          <w:lang w:bidi="ar-SA"/>
        </w:rPr>
        <w:t>ما ذكر السّيوطي أنّ سورة الكوثر تقابل ما قبلها من سورة الماعون، وقد تتناسب السّور لاتّحاد الموضوع، وهناك من السّور مما يكون معترضًا بين السّور الأخرى كما يذكر السّيوطي أنّ سورة المائدة وإن جاءت بعد سورة النّساء من حيث الترتيب العثماني ومع وجود المناسبة القويّة بينها وبين النساء، إلّا أنّ لها اعتلاقًا بسورة البقرة وآل عمران، وهذا ما لا يتحقّق في التفسير الموضوعي كوجهٍ من وجوه المناسبات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الآيات فيما بينها تناسبًا ترتيبيًّا وتركيبيًّا؛ لأنّ مهمّة علم المناسبة البحث عن مواطن انقطاع الآي، وإيجاد العلاقات التي تحكم المناسبات بين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التّناسب الدّلالي بين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التّناسب في الآية الواحدة ويشمل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التّناسب بين صدر الآية وخاتمة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التّناسب بين صدر الآية وما قبلها من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التّناسب بين جزء الآية وصدرها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التّناسب بين ختام الآية وصدرها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التّناسب بين ختام الآية ومضمون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التّناسب بين ختام الآية وختام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التناسب بين الآيات في مضامنيها ويشمل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وتفصيل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وبرهان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ونتيجة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تكميل وتوضيح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التناسب في النظم المعنوي والتركيبي للآيات ويشمل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التّناسب في الألفاظ والمعاني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التّناسب في الصياغة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التّناسب في التقديم والتأخير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التّناسب في التعريف والتنكير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التّناسب في الحذف والذكر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التّناسب في التصوير والتناسق الفني ويتناول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هيئة 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هيئة الاستعارة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الأضداد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التقابل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الفواصل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التكرار</w:t>
      </w:r>
      <w:r>
        <w:rPr>
          <w:rFonts w:eastAsia="Amiri" w:cs="Amiri" w:ascii="Amiri" w:hAnsi="Amiri"/>
          <w:color w:val="111111"/>
          <w:sz w:val="28"/>
          <w:szCs w:val="28"/>
          <w:rtl w:val="true"/>
          <w:lang w:bidi="ar-SA"/>
        </w:rPr>
        <w:t xml:space="preserve">. </w:t>
      </w:r>
      <w:r>
        <w:rPr>
          <w:rStyle w:val="FootnoteAnchor"/>
          <w:rtl w:val="true"/>
        </w:rPr>
        <w:footnoteReference w:id="151"/>
      </w:r>
      <w:bookmarkStart w:id="216" w:name="pg8898_139280"/>
    </w:p>
    <w:p>
      <w:pPr>
        <w:pStyle w:val="Heading3"/>
        <w:numPr>
          <w:ilvl w:val="2"/>
          <w:numId w:val="1"/>
        </w:numPr>
        <w:rPr/>
      </w:pPr>
      <w:bookmarkStart w:id="217" w:name="__RefHeading___Toc935579_2870459653"/>
      <w:bookmarkStart w:id="218" w:name="_Toc81"/>
      <w:bookmarkEnd w:id="216"/>
      <w:bookmarkEnd w:id="217"/>
      <w:r>
        <w:rPr>
          <w:rtl w:val="true"/>
        </w:rPr>
        <w:t>نظرية التناسب بين الآيات والسور</w:t>
      </w:r>
      <w:r>
        <w:rPr>
          <w:rtl w:val="true"/>
        </w:rPr>
        <w:t>:</w:t>
      </w:r>
      <w:bookmarkEnd w:id="218"/>
    </w:p>
    <w:p>
      <w:pPr>
        <w:pStyle w:val="BookText"/>
        <w:rPr/>
      </w:pPr>
      <w:r>
        <w:rPr>
          <w:rFonts w:ascii="Amiri" w:hAnsi="Amiri" w:eastAsia="Amiri" w:cs="Amiri"/>
          <w:color w:val="111111"/>
          <w:sz w:val="28"/>
          <w:sz w:val="28"/>
          <w:szCs w:val="28"/>
          <w:rtl w:val="true"/>
          <w:lang w:bidi="ar-SA"/>
        </w:rPr>
        <w:t xml:space="preserve">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نظريّة التناسب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أنّ المشكلة هي في تقديس الترتيب الموجود في المصحف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المقال </w:t>
      </w:r>
      <w:r>
        <w:rPr>
          <w:rStyle w:val="FootnoteAnchor"/>
          <w:rtl w:val="true"/>
        </w:rPr>
        <w:footnoteReference w:id="152"/>
      </w:r>
      <w:r>
        <w:rPr>
          <w:rFonts w:ascii="Amiri" w:hAnsi="Amiri" w:eastAsia="Amiri" w:cs="Amiri"/>
          <w:color w:val="111111"/>
          <w:sz w:val="28"/>
          <w:sz w:val="28"/>
          <w:szCs w:val="28"/>
          <w:rtl w:val="true"/>
          <w:lang w:bidi="ar-SA"/>
        </w:rPr>
        <w:t>لوحت أنجليكا إلى شبهةٍ مفادها أنّ تقديس ترتيب وتأليف السور واعتباره وحيانيًّا ورسميًا جعل من المسألة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يعتبر المسلمون السّورة وحدة وكتلة وترنيمة دينيّة بينما من جهة أخرى تتضمّن أمورًا متفاوتةً بحيث يجعل من الصّعب الإقرار بأنّها كتلةٌ واحدةٌ، فمن المستصعب اعتبارها واحدةً لعدم وجود الرّابط الواضح بين المواضيع، تفتقد التواصل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تقرّ بأنّ هذا من مواصفات السّور المدنيّة</w:t>
      </w:r>
    </w:p>
    <w:p>
      <w:pPr>
        <w:pStyle w:val="BookText"/>
        <w:rPr/>
      </w:pPr>
      <w:r>
        <w:rPr>
          <w:rFonts w:ascii="IRNazanin" w:hAnsi="IRNazanin" w:eastAsia="IRNazanin"/>
          <w:color w:val="111111"/>
          <w:sz w:val="28"/>
          <w:sz w:val="28"/>
          <w:szCs w:val="28"/>
          <w:rtl w:val="true"/>
          <w:lang w:bidi="fa-IR"/>
        </w:rPr>
        <w:t>الطوال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النتيجة ترى كون تقسيم السّور بالنحو المشهور غير ذي فائدة، ولا يعني شيئًا، فهو ليس تقسيماً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بهذا تلمّح إلى أنّ المشكلة تكمن في تقديس الترتيب والتقسيم المتعارف للقرآن واعتبار كلّ سورةٍ وحدةً غير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الدراسات الحديثة ركّزت على مشكلة ترتيبه وتقديس هذا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في ذات الوقت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ذلك فإنّ بنيته الكليّة ووزنه وأهمّيته الاجتماعيّة وكتلته المعياريّة وما استبطنه من أيديولوجيّة لتحديد الهويّة الاجتماعيّة تفوّقت على بنيته المجهريّة المتنوّعة التي تعود إلى تطوّره خارجًا عن التّواصل الدّيني والتي يحومها الإبهام</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الآن حصل تقدّم قاطع بالنسبة إلى الترتيب العثماني فيما يتعلّق ببنيته، برّزت التطوّرات المشكلة ويخصّ بالذكر الجامع والقاسم المشترك لتصنيف العناصر الفاقدة للرابطة وأحيانًا غير المؤطّرة، نظريًّا تواصلات معزولة، هكذا مواصفات السّور المدنيّة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البنية المتعدّدة المواضيع وتقنيات الحفظ وقطع معقّدة تشمل السّور الصغار والمتوسّطة نتجت في أكثر </w:t>
      </w:r>
    </w:p>
    <w:p>
      <w:pPr>
        <w:pStyle w:val="BookText"/>
        <w:rPr/>
      </w:pPr>
      <w:r>
        <w:rPr>
          <w:rFonts w:ascii="Amiri" w:hAnsi="Amiri" w:eastAsia="Amiri" w:cs="Amiri"/>
          <w:color w:val="111111"/>
          <w:sz w:val="28"/>
          <w:sz w:val="28"/>
          <w:szCs w:val="28"/>
          <w:rtl w:val="true"/>
          <w:lang w:bidi="ar-SA"/>
        </w:rPr>
        <w:t>الموارد المتعدّدة الخواص والمجموعات المؤلّفة حقيقة، وهي لا تبقى دون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تجتمع هذه العناصر وتتجانس لتشكّل كتلةً متلاصقةً ومتقاربةً، لكن في نفس المصحف هناك كتلة صنّفت ودوّنت كسورةٍ ذات محتوى ومكوّن غير مترابط من وجهة نظر 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يفقدها ككتلةٍ أدبيةٍ واحدةٍ تواكب رسائلها وخطاباتها وتعكس كلّ واحدة من مراحل 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 ذلك، أحيانًا تكون هناك أجزاء للنصّ تقع في درجةٍ واحدةٍ وغير متسلسلةٍ انتخبت بشكلٍ اعتباطيٍّ، وبذلك تكون بعض المقاطع مفكّكةً عمليًّا ومسلوبةَ التّرابط، بحيث تفقد وحدات النّصّ معانيها الحقيقية، وقد تستعمل للتكرار فحسب</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تعليلها للترتيب الفعلي للقرآن ترى الضغوط السياسيّة والاستعجال في الجمع هو الذي جعل الترتيب الفعلي غير مترابطٍ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وفي سياق النّقاش لما طرحته، يردُ أنّ من وجهة نظر المسلمين الذين يعتبرون أنّه من الخصائص التي انفرد بها النّظم القرآني عن غيره من النّظم تناسب آیاته وسوره، وكونه وحدةً موضوعيّةً جامعةً لأهدافه ومقاصده، ومن يتدبّر خصائص هذا النّظم يبحث عن سرّ ترابط الآية بالآية والسّورة بالسّورة ضمن علمٍ من علوم القرآن الكريم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يوقفنا على بيان الصّلات بين الآيات بعضها ببعض، وبين السّور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فعلم المناسبة إذًا من العلوم القرآنيّة التي تعني لغةً واصطلاحًا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الرّابطة بين شيئين بأيّ وجهٍ من الوجوه في كتاب الله تعالى، وتعني ارتباط السّورة بما قبلها وما بعدها، وفي الآيات تعني وجه الارتباط في كلّ آية بما قبلها وما بعدها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العلماء في علم المناسبة بين الآيات والسور، ومن بين هذه الاتّجاهات الاتّجاه الذي يقول بالمناسبة ويمثّل جمهور الذين بحثوا في هذا الموضوع، وهم </w:t>
      </w:r>
    </w:p>
    <w:p>
      <w:pPr>
        <w:pStyle w:val="BookText"/>
        <w:rPr/>
      </w:pPr>
      <w:r>
        <w:rPr>
          <w:rFonts w:ascii="Amiri" w:hAnsi="Amiri" w:eastAsia="Amiri" w:cs="Amiri"/>
          <w:color w:val="111111"/>
          <w:sz w:val="28"/>
          <w:sz w:val="28"/>
          <w:szCs w:val="28"/>
          <w:rtl w:val="true"/>
          <w:lang w:bidi="ar-SA"/>
        </w:rPr>
        <w:t>يرون أنّ هذا العلم قد خفي على كثيرٍ من المفسرين لدقّته، يقول الفخر الرازي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لطائف القرآن مودعة في الترتيبات والرّوابط</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الرازي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المناسبات علم عظيم أودعت فيه أكثر لطائف القرآن وروائعه، وهو أمر معقول، إذا عرض على العقول تلقته بالقبول</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بكر بن العربي في سراج المريدين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ارتباط آي القرآن بعضها ببعض حتى تكون كالكلمة الواحدة متّسقة المعاني منتظمة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عظيم لم يتعرّض له إلّا عالم واحد عمل فيه سورة البقرة ، ثم فتح الله لنا فيه، فلما لم نجد له حملة ورأينا الخلق بأوصاف البطلة ختمنا عليه وجعلناه بيننا وبين الله ورددناه إليه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هو الذي درج عليه أكثر المفسّرين قديمًا وحديثًا، فمنهم المقلّ ومنهم المكثر، ومنهم المصرّح بالمناسبة ومنهم الذّاكر لمضمونها من غير 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قسّموا البحث فيها إلى أقسامٍ مختلفةٍ ووجوهٍ متعدّدةٍ، فذكروا المناسبة بين اسم السّورة وموضوعها، والمناسبة بين آياتها، والمناسبة بين الآية وفاصلتها، والمناسبة بين فاتحة السّورة وخاتمتها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إطار السّورة الواحدة، وذكروا أيضًا المناسبات بين السّور المتعدّدة فجعلوها أقسامًا؛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المناسبة بين فاتحة السّورة وفاتحة ما قبلها، والمناسبة بين فاتحة السّورة وخاتمة ما قبلها،  والمناسبة بين مضمون السّورة ومضمون ما قبلها، والمناسبة بين خاتمة السّورة وفاتحة ما قبلها، والمناسبة بين خاتمة السّورة وخاتمة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يقول بأكثر من المناسبة أنّه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تعتبر المناسبة جزءًا من أجزائه وفرعًا من فروعه، ويمثّل هذا الاتّجاه عبد الحميد الفراهي الهندي، وقد تقدّم الكلام حول منهج الفراهي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الفراهي في معرض بيان الفرق بين المناسبة والنظام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صنّف بعض </w:t>
      </w:r>
    </w:p>
    <w:p>
      <w:pPr>
        <w:pStyle w:val="BookText"/>
        <w:rPr/>
      </w:pPr>
      <w:r>
        <w:rPr>
          <w:rFonts w:ascii="Amiri" w:hAnsi="Amiri" w:eastAsia="Amiri" w:cs="Amiri"/>
          <w:color w:val="111111"/>
          <w:sz w:val="28"/>
          <w:sz w:val="28"/>
          <w:szCs w:val="28"/>
          <w:rtl w:val="true"/>
          <w:lang w:bidi="ar-SA"/>
        </w:rPr>
        <w:t>العلماء في تناسب الآي والسّور وأما الكلام في نظام القرآن فلم أطلع عليه، والفرق بينهما أن التناسب إنّما هو جزءٌ من النّظام فإنّ التّناسب بين الآيات بعضها مع بعض لا يكشف عن كون الكلام شيئًا واحدًا مستقلًّا بنفسه، وطالب التّناسب ربما يقنع بمناسبةٍ ما وربّما يغفل عن المناسبة التي ينتظم بها الكلام فيصير شيئًا واحدًا، وربّما يطلب المناسبة بين الآيات المتجاورة مع عدم اتّصالها، فإنّ الآية التالية ربما تكون متّصلةً بالتي قبلها على بعد منها ولولا ذلك لما عجز الأذكياء عن إدراك التناسب فأنكروه، فإنّ عدم الاتّصال بين آياتٍ متجاورةٍ يوجد كثيرًا، ومنها ما ترى فيه اقتضابًا بيّنًا وذلك إذا كانت الآية أو جملة من الآيات متّصلة بالتي على بعد منها، وبالجملة فمردانا بالنّظام أن تكون السورة كلامًا واحدًا ثم تكون ذات مناسبةٍ بالسّورة السّابقة واللّاحقة أو بالتي قبلها أو بعدها على بعد ما، كما قدّمنا في نظم الآيات بعضها مع بعض، فكما أنّ الآيات ربما تكون معترضةً، فكذلك ربما تكون السّور معترضةً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الأصل ترى القرآن كلّه كلامًا واحدًا ذا مناسبةٍ وترتيبٍ أجزائه من الأوّل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مما تقدّم أنّ النّظام شيءٌ زائدٌ على المناسبة وترتيب الأجزاء</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ويوضح الفراهي هذه الفكرة في كتابه الذي ألّفه لهذا الغرض والمسمّى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يثبت أنّ للترتيب والنّظام حظًّا وافرًا في كلّ مركبٍ لا سيّما في الكلام البليغ ولا سيّما في هذا القرآن الكريم، والذين يزعمون خلاف ذلك فإنّهم قد أخطأوا في زعمهم ولم ينصفوا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صرّح بعد ذلك بأنّ القرآن الحكيم كلامٌ منظمٌ ومرتّبٌ من أوّله إلى آخره على غاية حسن النّظم والتّرتيب وليس فيه شيءٌ من الاقتضاب لا في آياته ولا في سوره، بل آياته مرتبّةٌ في كلّ سورةٍ كالفصوص في الخواتم، وسوره منظّمة في سلكٍ واحدٍ كالدرر في القلائد، حتى لو قُدّم ما أُخّر أو أُخر ما قُدّم لبطل النّظام، وفسدت بلاغة الكلام بل ربما يعود إلى قريب من الهذيان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السّؤال المهم بغضّ النّظر عن النتائج التي توصّلت إليها نويفرت، لماذا الكاتبة لم تتعرّض لأيّ بحثٍ أو فكرةٍ حول نظريّة هيئة تأليف القرآن عند علماء المسلمين أو نظرية النظام واكتفت بعرض رأيها اعتمادًا على التقسيمات التي اعتمدها نولدكه للسّور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بهذا لم تقدّم أيّ دليلٍ على أنّ السّور هي أمور متناثرة أو ليست كتلة واحدة، ولم تتعرّض لأيّ من النّظريات الأخرى في هذا المجال، في الوقت الذي توجد فيه دراسات متعدّدة عند المسلمين في مجال تقديم نظريّة الوحدة الموضوعيّة أو النّسقيّة أو البنائيّة أو غير ذلك من الآراء لتبيّن أنّ السّورة القرآنيّة أشبة بكتلةٍ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والعبرة ليست في تقديس الترتيب الموجود فعلًا في المصحف، بل في وجود تناسقٍ و تناسبٍ بين الآيات، أي بين بداية السورة ونهايتها ووسطها وبين الآيات أنفسها، فلا بدّ من توجيه النّقد إلى ذلك فعلًا، فمع وجود ذلك يمكن قبول فكرة أنّ السّورة ليست وحدةً متكاملةً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الإشارة إلى أنّ الاهتمام بالوحدة الموضوعيّة للسّورة القرآنيّة من الأبحاث التي أهتم بها القدماء و المعاصرين أيضًا، وكان على الكاتبة أن تطّلع على هذه الأمور وفي حال رفضها لكلّ هذه الدّراسات المتقدّمة والمتأخّرة يحقّ لها طرح نظريّتها في هذا البحث، أما أن تأتي وتطرح ما يحلو لها من دون الاطّلاع والدّراسة الكافية، واعتبار أنّ هذا طرح علميُّ وعلينا التسليم بروحيّتها العلميّة ففي الحقيقة هذا خروجٌ عن إطار وروح البحث العلمي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القدماء الذين اهتمّوا بهذا النحو من البحث الزمخشري، الفخر الرازي، والشاطبي، وغيرهم، ويعتبر من أبرزهم في هذا المجال برهان الدين البقاعي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 في تناسب الآيات والسور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مصاعد النظر للإشراف على مقاصد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يقول البقاعي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عرف المراد من اسم السورة عرف مقصودها ومن حقق المقصود منها عرف تناسب آيها وقصصها وجميع 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سورة لها مقصد واحد يدار عليه أوّلها وآخرها ويستدلّ عليه </w:t>
      </w:r>
      <w:bookmarkStart w:id="219" w:name="pg8898_139285"/>
    </w:p>
    <w:p>
      <w:pPr>
        <w:pStyle w:val="BookText"/>
        <w:rPr/>
      </w:pPr>
      <w:bookmarkEnd w:id="219"/>
      <w:r>
        <w:rPr>
          <w:rFonts w:ascii="Amiri" w:hAnsi="Amiri" w:eastAsia="Amiri" w:cs="Amiri"/>
          <w:color w:val="111111"/>
          <w:sz w:val="28"/>
          <w:sz w:val="28"/>
          <w:szCs w:val="28"/>
          <w:rtl w:val="true"/>
          <w:lang w:bidi="ar-SA"/>
        </w:rPr>
        <w:t>فيها، فترتّب المقدّمات الدّالة عليه على أكمل وجه وأبدع منهج، وإذا كان فيها شيء يحتاج دليلًا استدلّ عليه وهكذا في دليل الدليل وهلم جرا</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الشاطبي في بيان الوحدة الموضوعية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فسورة البقرة مثلا كلام واحد باعتبار النّظم </w:t>
      </w:r>
      <w:r>
        <w:rPr>
          <w:rStyle w:val="FootnoteAnchor"/>
          <w:rtl w:val="true"/>
        </w:rPr>
        <w:footnoteReference w:id="162"/>
      </w:r>
      <w:r>
        <w:rPr>
          <w:rFonts w:ascii="Amiri" w:hAnsi="Amiri" w:eastAsia="Amiri" w:cs="Amiri"/>
          <w:color w:val="111111"/>
          <w:sz w:val="28"/>
          <w:sz w:val="28"/>
          <w:szCs w:val="28"/>
          <w:rtl w:val="true"/>
          <w:lang w:bidi="ar-SA"/>
        </w:rPr>
        <w:t>، واحتوت على أنواعٍ من الكلام بحسب ما بثّ فيها، منها ما هو كالمقدمات والتمهيدات بين يدي الأمر المطلوب، ومنها ما هو كالمؤكّد والمتمّم، ومنها ما هو المقصود في الإنزال، وذلك تقرير الأحكام على تفاصيل الأبواب، ومنها الخواتم العائدة على ما قبلها بالتأكيد والتثبيت وما أشبه ذلك</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العصر الحديث ممن اعتنوا بهذا النّحو من التفسير الأستاذ سعيد حوى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وسيد قطب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من أهم الدّراسات في هذا المجال هي دراسة الدكتور محمود البستاني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السورة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وأهمية هذه الدّراسة الأخيرة أنّها تبحث عن قوانين تحدّد الأساس الموضوعي الذي يقوم عليه بناء السّورة القرآنيّة من خلال القرآن الكريم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الإشارة إلى أنّ فكرة التفسير الموضوعي للسّورة تستند إلى عددٍ من المفاهيم الجوهريّة التي تشكّل جوهر هذا النّوع التفسيري وغايته، وتحدّد مجاله وموضوعه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لا مجال للتعرض لها في هذه المقالة</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935581_2870459653"/>
      <w:bookmarkStart w:id="221" w:name="_Toc82"/>
      <w:bookmarkEnd w:id="220"/>
      <w:r>
        <w:rPr>
          <w:rtl w:val="true"/>
        </w:rPr>
        <w:t>النقطة الثانية</w:t>
      </w:r>
      <w:r>
        <w:rPr>
          <w:rtl w:val="true"/>
        </w:rPr>
        <w:t xml:space="preserve">: </w:t>
      </w:r>
      <w:r>
        <w:rPr>
          <w:rtl w:val="true"/>
        </w:rPr>
        <w:t>القافية القرآنيّة</w:t>
      </w:r>
      <w:r>
        <w:rPr>
          <w:rtl w:val="true"/>
        </w:rPr>
        <w:t>.</w:t>
      </w:r>
      <w:bookmarkEnd w:id="22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نويفرت في القافية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العديد من دراساتها على أهميّة الإيقاع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دراسةٍ بنيويّةٍ للسّور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اختيار مصطلح القافية ينسجم مع النّظرة الشّاعريّة والأدبيّة للنّصّ القرآني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فهي تعتبر أنّ هناك سمات شعريّة في النّصّ القرآني، وإلى الأساليب الشّعريّة السّابقة للإسلام والتي تلقي الضوء على سمات قرآنيّة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الرّبط بين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الأمم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القصيدة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تلفت الانتباه إلى غير ذلك من الأمثلة،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معارضة النبيّ في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صورة شخصيّة اللائم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الشعر الجاهلي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ينتقد البطل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الصعلوك على المخاطرة من منظور عملي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من التنويه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عدم الدّقّة في التصنيفات المبكرة للقافية القرآنيّة استنادًا للمقطع الأخير فقط من كلّ آيةٍ، وتلاحظ أنّ الأنماط التي تأتي معًا، وبالتالي تتّفق في القافية في السّور المكّيّة المتوسّطة لا تأتي مقترنةً في السّور المكّيّة المبكرة وبالتالي لا تتّفق في القافية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تفصيل الموضوع على الشكل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السور المكيّة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فيها شذوذاً مفاجئًا في السلسلة الإيقاعية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يتزامن مع تغيّر بسيط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تقترح على سبيل المثال وحدات فرعيّة موضوعية دقيقة عند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تَكُونُ السَّمَاءُ كَالْمُهْلِ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الْجَبَالُ كَالْعِهْنِ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يَنثَلُ حَمِيدُ جَمِيمًا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سورة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وَنَسِيرُ الْجِبَالُ 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يَوْمَيذٍ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خَوضِ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يُدَعُونَ إِلَى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الَّتي 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أَصْلَوهَا فَأَصْبَرُوا أَوْ لَا تَصْبِرُوا سَوَاءٌ عَلَيْكُمْ إِنَّمَا تَجْزَوْنَ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التحوّل العابر في النظام الإيقاعي فيدلّ بالنسبة لها على قرب نهاية وحدة 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 المكية 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 التّغيّرات في النّظام الإيقاعي السّائد يمكن أن يتزامن أو يأتي قريبًا من الفواصل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على السّور المكيّة المتوسّطة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عبس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وَفَكِهَةٌ وَأَنَّاً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مَنَعًا لَكُمْ وَلأَنْعَمكُم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السور المكية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وكمثال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تعجب فعجب قَوْهُمْ أَءِ ذَا كُنَّا تُرَبًا أَعِنَّا لَفِي خَلْقٍ جَدِيدٍ أُوْلَبِكَ الَّذِينَ كَفَرُوا بِرَهِمْ وَأَوْلَبِكَ الْأَعْلَلُ فِى أَعْنَاقِهِمْ وَأَوْلَيْكَ أصْحَبُ النَّارِ هُمْ فِيهَا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وَيَسْتَعْجِلُونَكَ بِالسَّيِّئَةِ قَبْلَ الْحَسَنَةِ وَقَدْ خَلَتْ مِن قَبْلِهِمُ المَثلتُ وَإنَّ رَبَّكَ لَذو مَغْفِرَةِ لِلنَّاسِ عَلَى ظُلْمِهِمْ وَإِنَّ رَبَّكَ لَشَدِيدُ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ويورد بعض الباحثين على هذا التفصيل الذي أوردته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وجود الفواصل الموضوعيّة بشكلٍ يفوق مواضع التّحوّلات في القافية التي حدّدتها، ولأنّ تعريفها لما يشكّل تغييرًا في نظام القافية يعتمد في الأساس على القافية السّائدة، وهذه الشذوذات العابرة في القافية في سور المرحلة المكيّة المتوسطة في تقديرها مجردة من أيّ أهميّة بنيويّة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وتصوغ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نظامها الخاصّ في التّحقّق من وجود الإيقاع القرآني استنادًا إلى ثلاثة معايير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النمط الصوتي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للمقاطع الثلاثة الأخيرة في كلمة الروي، مع مراعاة المقطع الأخير في كلمة الروي هل هو مقطع مفتوح أم مغلق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تسير نويفرت على منهج نولدكه في التمييز بين كلمات الروي على أساس التأثير المسجوع للجذر الأخير، وترى أنّ غالبيّة السّور المكّيّة التي نزلت في المرحلة الأولى أو المتوسّطة تفضّل نمطًا سائدًا أو حتى حصريًّا للصائت إما أن تكون انفجاريّةً أو احتكاكيّةً أو شبه متحرّكةٍ أو شبه متحرّكةٍ في الموضع الأخير ولا تتبع نمطًا عشوائيًا إلا في مواضع نادرة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وتستعمل نويفرت مصطلحين متقابلين لنولدكه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تغيير 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تنوع 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لوصف نوعين من التحوّل الصّوتي</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الاعتبارات الإيقاعيّة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بنية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عرض رأي نويفرت في هذا المجال نتعرّف على رأي علماء المسلمين في مصطلح القافية الذي تطلقه نويفرت على نهاية الآيات؛ ليتّضح بشكلٍ جليٍّ أنّها لم تبحث هذه القضيّة على ضوء ما يطرحه علماء المسلمين، واستندت على تحقيقات المستشرقين، وهذا غاية اللّا موضوعيّة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يطلق علماء المسلمين على نهاية الآيات مصطلح الفاصلة القرآنيّة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 الفاصلة في القرآن الكريم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على الحروف المتجانسة، والآخر على الحروف المتقاربة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فالحروف المتجانسة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الْقُرْءَانَ لِتَشْقَى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تَذْكِرَةً لِمَن يَخْشَى</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الحروف المتقاربة فكالميم من النون،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او كالدال من الباء،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وَالْقُرْءَانِ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أَن جَاءَهُم مُنذِرُ مِنْهُمْ فَقَالَ الْكَفِرُونَ هَذَا شَيْءٍ عَجيب</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وإنما حسن في الفواصل الحروف المتقاربة؛ لأنه يكتنف الكلام من البيان ما يدل على المراد في تمييز الفواصل والمقاطع، لما فيه من البلاغة، وحسن العبارة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رفض كثير من العلماء أنّ يطلق وصف السّجع على الفاصلة القرآنية، يقول أبو بكر الباقلاني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يوجد في القرآن كلامٌ على معنى السّجع، وليس المراد السجع، لأنّ معاني القرآن لا ترتبط بمواضع عقد السجع، فخرج بذلك أن يكون سجعا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رسائل في 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الفواصل حروف متشاكلةٌ في المقاطع توجب حسن إفهام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والفواصل بلاغة، والأسجاع عيب، وذلك أن الفواصل تابعة للمعاني، وأما الأسجاع فالمعاني تابعة لها، وهو قلب ما توجبه الحكمة فى الدلالة</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علماء الإسلام يرفضون إطلاق كلمة سجع على الفاصلة القرآنية، ويرفضون رفضًا باتًا إطلاق كلمة القافية على الفاصلة أيضًا؛ لأنّ القافية تشكّل عنصرًا هامًا في الشّعر العربي، بل بها يتقوّم الشّعر، ويتميّز عن بقيّة الأجناس الأدبيّة الأخرى، وبما أنّ القرآن في لغته يباين الشّعر في معناه ومبناه، فقد رفض علماء الإسلام إطلاق القافية على الفاصلة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ويوضّح ابن خلدون سبب هذا الرّفض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القرآن وإن كان من النثور إلا أنّه خارج عن الوصفين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bookmarkStart w:id="222" w:name="pg8898_139290"/>
    </w:p>
    <w:p>
      <w:pPr>
        <w:pStyle w:val="BookText"/>
        <w:rPr/>
      </w:pPr>
      <w:bookmarkEnd w:id="222"/>
      <w:r>
        <w:rPr>
          <w:rFonts w:ascii="Amiri" w:hAnsi="Amiri" w:eastAsia="Amiri" w:cs="Amiri"/>
          <w:color w:val="111111"/>
          <w:sz w:val="28"/>
          <w:sz w:val="28"/>
          <w:szCs w:val="28"/>
          <w:rtl w:val="true"/>
          <w:lang w:bidi="ar-SA"/>
        </w:rPr>
        <w:t>السجع والمرسل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يسمّى مرسلًا مطلقًا ولا مسجعًا، بل تفصيل آيات تنتهي إلى مقاطع يشهد الذّوق بانتهاء الكلام عندها، ثم يعاد الكلام في الآية الأخرى بعدها، ويثني من غير التزام حرف يكون سجعا ولا قافية</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لنا من هذا كلّه، أنّ القرآن، فعلًا، جنسٌ متفرّدٌ في أدبه ولغته وأسلوبه، ونظمه، وخارجٌ عن قواعد الشّعر العربي وقيوده</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935583_2870459653"/>
      <w:bookmarkStart w:id="224" w:name="_Toc83"/>
      <w:bookmarkEnd w:id="223"/>
      <w:r>
        <w:rPr>
          <w:rtl w:val="true"/>
        </w:rPr>
        <w:t>الثالثة</w:t>
      </w:r>
      <w:r>
        <w:rPr>
          <w:rtl w:val="true"/>
        </w:rPr>
        <w:t xml:space="preserve">: </w:t>
      </w:r>
      <w:r>
        <w:rPr>
          <w:rtl w:val="true"/>
        </w:rPr>
        <w:t>القسم في القرآن</w:t>
      </w:r>
      <w:r>
        <w:rPr>
          <w:rtl w:val="true"/>
        </w:rPr>
        <w:t>:</w:t>
      </w:r>
      <w:bookmarkEnd w:id="224"/>
    </w:p>
    <w:p>
      <w:pPr>
        <w:pStyle w:val="BookText"/>
        <w:rPr/>
      </w:pPr>
      <w:r>
        <w:rPr>
          <w:rFonts w:ascii="Amiri" w:hAnsi="Amiri" w:eastAsia="Amiri" w:cs="Amiri"/>
          <w:color w:val="111111"/>
          <w:sz w:val="28"/>
          <w:sz w:val="28"/>
          <w:szCs w:val="28"/>
          <w:rtl w:val="true"/>
          <w:lang w:bidi="ar-SA"/>
        </w:rPr>
        <w:t xml:space="preserve">تقوم نويفرت بتحليل سلسلة الأقْسَام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مفتتح كثير من السّور المكيّة، والتي تربط بين الأفكار التي استحضرتها الأقسَام وبين الأفكار المقدّمة في هياكل وبُنى تلك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تشير أنجليكا إلى ظاهرة القسم في القرآن وبعد ما تذكر إحصائيات عن الأقسام في القرآن والسور التي وردت فيها الأقسام، توحي إلى انعدام التّرابط بين القسم وفحوى ما أقسم به وعلاقته بالسّورة بنحوٍ مجملٍ،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ثلاثة وأربعين سورة عزاها نولدكه إلى الحقبة الأولى من مكّة تصدّر القسم سبعة عشرة واحدة منها، وفي ثمانية منها ظهر القسم وسط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الفصل بين نوعين من القسم، أوّلهما المتصدّر بواو القسم، وثانيهما المتصدّر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 تكرّر ثمانية عشرة مرة، خمسة عشر مرة منها متصدرًا السّورة وثلاثة مرّات ضمن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تصدّر سورتين وخمس مرات ضمن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تُناقش الأهميّة العمليّة لما تتصدّر به السّور في مجمل انشائها على أيٍّ من المستويات المنهجيّة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الآن البحوث في مجال بدايات السور ومقدّماتها أنتجت فرضيات بعيدة المنال حول نوعية نبوّة محمد، كالتي تقول بأنّ السور الأوائل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تكشف عن علاقة قريبة عمّا كان يتفوّه به الكهنة قبل الإسلام، وقد تعتبر الشاهد الأكثر وثوقًا على كلام الكاهن نفسه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تقول بإمكانيّة تصنيف القسم إلى ثلاثة أصناف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الصنف الذي يكون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والفاعلات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الصنف من القسم لم يصرح القرآن فيه بمرجع القسم وبما أقسم به لكنّه تضمّن معنى الحركة لما أقسم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تشير إلى مسألة تعزوها للمسلمين والغربيين معًا،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 هذا القسم من الموارد التي يصعب حلّها من قبل المفسرين المسلمين وكذا علماء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عرض القرآن هنا لغة كنائيّة تختلف عمّا أثرناه في باقي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بها لأن تعرف كونها مبهمةً عمليًّا، ليس كثيرًا بسبب ما تضمّنت من بعض الابهامات اللغوية والنّحويّة، بل بسبب الصعوبة المبدئيّة الأكثر، أي أنّ التصريح بها يعدّ نوع تدنيسٍ في مثل الحصن التي في طريقها إلى الهجوم، أو كونها مخالفة لفحوى السورة كوثيقة لحديث ديني في مثل السحب المليئة بالمطر؟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الأقسام التي تشير إلى المواقع والأماكن المقدسة وعظمة الخلق مثل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الأماكن المذكورة تعود إلى تجلٍّ إلهي محدّد، ولذلك توظّف كرمزٍ وإرشادٍ إلهيٍّ مكّة من الأماكن التي يتحدّث عنها القرآن باستمرار، فقد تطرح لوحدها كما في السورة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تطرح مقترنة بطور سيناء كموقعٍ ثانٍ، كما في السورة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وتحكم على هذا الصنف من القسم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جميع موارد القسم الثلاثة </w:t>
      </w:r>
    </w:p>
    <w:p>
      <w:pPr>
        <w:pStyle w:val="BookText"/>
        <w:rPr/>
      </w:pPr>
      <w:r>
        <w:rPr>
          <w:rFonts w:ascii="Amiri" w:hAnsi="Amiri" w:eastAsia="Amiri" w:cs="Amiri"/>
          <w:color w:val="111111"/>
          <w:sz w:val="28"/>
          <w:sz w:val="28"/>
          <w:szCs w:val="28"/>
          <w:rtl w:val="true"/>
          <w:lang w:bidi="ar-SA"/>
        </w:rPr>
        <w:t>المذكورة تفتقد العلاقة الدّلاليّة المباشريّة بين صيغة القسم والفقرة اللّاحقة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ويتأخّر حلّ اللغز ولا ينكشف إلّا في نهاية السّورة وتجلّي الإله، كالتّواصل الرّباني الذي يوجب تقديم الأداء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الأقسام التي تعود إلى الظواهر الكونيّة والأوقات والأزمنة العباديّة في الليل والنهار، ونجدها في بدايات عدد من السور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نشاهدها ضمن سورتين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تشير إلى صنف آخر من القسم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 لاحقةٍ تطوّر القسم وأصبح واضح الفحوى مباشرة دون التعليق على نهاية السورة أو ما شابه، ولا نجد لغوًا فيه، لكنّه تحوّل من فاعلي توظيفي إلى جمال وحلية تستفاد لرفع المستوى الجمالي للنصّ، وذلك مثل الموارد التالية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225" w:name="pg8898_139293"/>
    </w:p>
    <w:p>
      <w:pPr>
        <w:pStyle w:val="Heading3"/>
        <w:numPr>
          <w:ilvl w:val="2"/>
          <w:numId w:val="1"/>
        </w:numPr>
        <w:rPr/>
      </w:pPr>
      <w:bookmarkStart w:id="226" w:name="__RefHeading___Toc935585_2870459653"/>
      <w:bookmarkStart w:id="227" w:name="_Toc84"/>
      <w:bookmarkEnd w:id="225"/>
      <w:bookmarkEnd w:id="226"/>
      <w:r>
        <w:rPr>
          <w:rtl w:val="true"/>
        </w:rPr>
        <w:t>المصادر و المراجع</w:t>
      </w:r>
      <w:bookmarkEnd w:id="227"/>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أنجليكا 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بوصفه نصًا من نصوص العصور القديمة المتأخرة، ترجمة بدري الحاكيمي، مؤسسة مؤمنون بلا حدود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بوطیب، 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آنجيليكا نويفيرت والقرآن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القراءة وحدودها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قراءة في كتابها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بوصفه نصاً من العصور الكلاسيكية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أوروبية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https://ar.qantara.de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 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في علوم القرآن،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الكتاب العربي،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السيرة النبوية، ط ا، لام، المطبعة الخيرية،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اسکندرلو،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الآيات والسور القرآنية في دراسات المستشرقين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وتحليل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دراسات إستشراقية،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السنة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شتاء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الزركشي،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في علوم القرآن، بيروت، دار إحياء الكتب العربیة،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العبيدي، زهراء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علم المناسبة والتفسير الموضوعي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منهجية مقارنة، المجلة العالمية لبحوث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علمية إلكترونية محكمة تعنى بنشر البحوث القرآنية، تصدر عن مركز بحوث القرآن جامعة مالایا، العدد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البقاعي، إبراهيم بن عمر بن حسن الرباط بن علي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الدرر في تناسب الآيات ،والسور ،لاط القاهرة، دار الكتاب الإسلامي، </w:t>
      </w:r>
      <w:r>
        <w:rPr>
          <w:rFonts w:eastAsia="Amiri" w:cs="Amiri" w:ascii="Amiri" w:hAnsi="Amiri"/>
          <w:color w:val="111111"/>
          <w:sz w:val="28"/>
          <w:szCs w:val="28"/>
          <w:lang w:bidi="ar-SA"/>
        </w:rPr>
        <w:t>1984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الفراهي،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النظام،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الهند، الدائرة الحميدية بالهند،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يعد القرآن جزءًا من العصور القديمة المتأخرة لأوربا؟ قراءة في الاستشراق الإلماني، مجلة كلية الشريعة والدراسات الإسلامية، مجلد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جامعة قطر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أبو موسى،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القرآنية في تفسير الزمخشري،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مصر، مكتبة وهبة،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عبد الرازق،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الإسلامي في النقد الأدبي،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الفكر المعاصر،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لورافيشيا، فاغليري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عن الإسلام،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البعلبكي، لا ط، بيروت، دار العلم،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الدراسات القرآنية، المجلد الخامس، 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زراقط، عبد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الأدبي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 ومساره التّاريخي ومناهجه، العتبة العباسية المقدسة، المركز الإسلامي للدراسات الاستراتيجية،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كلار، ماريانا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لبنية السورة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القراءتين التزامنية والتعاقبية لسورة البقرة،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صبري، ومحمود 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Neuwrith, Form and structure..., E.Q. vol.2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Two Views of History and Human Future: Qur'anic and Biblical Renderings of Divine Promises Journal of Quranic studies, vol. 5, issue 1, 2005</w:t>
      </w:r>
      <w:r>
        <w:rPr>
          <w:rFonts w:eastAsia="Times New Roman" w:cs="Times New Roman" w:ascii="Times New Roman" w:hAnsi="Times New Roman"/>
          <w:color w:val="111111"/>
          <w:sz w:val="28"/>
          <w:szCs w:val="28"/>
          <w:rtl w:val="true"/>
          <w:lang w:val="en-US" w:bidi="en-US"/>
        </w:rPr>
        <w:t xml:space="preserve"> </w:t>
      </w:r>
      <w:bookmarkStart w:id="228" w:name="pg8898_139295"/>
    </w:p>
    <w:p>
      <w:pPr>
        <w:pStyle w:val="Heading2"/>
        <w:numPr>
          <w:ilvl w:val="1"/>
          <w:numId w:val="1"/>
        </w:numPr>
        <w:rPr/>
      </w:pPr>
      <w:bookmarkStart w:id="229" w:name="__RefHeading___Toc935587_2870459653"/>
      <w:bookmarkStart w:id="230" w:name="_Toc85"/>
      <w:bookmarkEnd w:id="228"/>
      <w:bookmarkEnd w:id="229"/>
      <w:r>
        <w:rPr>
          <w:rtl w:val="true"/>
        </w:rPr>
        <w:t xml:space="preserve">لغة القرآن وأسلوبه في موسوعة القرآن </w:t>
      </w:r>
      <w:r>
        <w:rPr>
          <w:rtl w:val="true"/>
        </w:rPr>
        <w:t>(</w:t>
      </w:r>
      <w:r>
        <w:rPr>
          <w:rtl w:val="true"/>
        </w:rPr>
        <w:t>ليدن</w:t>
      </w:r>
      <w:r>
        <w:rPr>
          <w:rtl w:val="true"/>
        </w:rPr>
        <w:t xml:space="preserve">) </w:t>
      </w:r>
      <w:r>
        <w:rPr>
          <w:rtl w:val="true"/>
        </w:rPr>
        <w:t>عرضًا ونقدًا</w:t>
      </w:r>
      <w:bookmarkEnd w:id="230"/>
    </w:p>
    <w:p>
      <w:pPr>
        <w:pStyle w:val="Heading3"/>
        <w:numPr>
          <w:ilvl w:val="2"/>
          <w:numId w:val="1"/>
        </w:numPr>
        <w:rPr/>
      </w:pPr>
      <w:bookmarkStart w:id="231" w:name="__RefHeading___Toc935589_2870459653"/>
      <w:bookmarkStart w:id="232" w:name="_Toc86"/>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أبو المجد </w:t>
      </w:r>
      <w:r>
        <w:rPr>
          <w:rStyle w:val="FootnoteAnchor"/>
          <w:rtl w:val="true"/>
        </w:rPr>
        <w:footnoteReference w:id="176"/>
      </w:r>
    </w:p>
    <w:p>
      <w:pPr>
        <w:pStyle w:val="Heading3"/>
        <w:numPr>
          <w:ilvl w:val="2"/>
          <w:numId w:val="1"/>
        </w:numPr>
        <w:rPr/>
      </w:pPr>
      <w:bookmarkStart w:id="233" w:name="__RefHeading___Toc935591_2870459653"/>
      <w:bookmarkStart w:id="234" w:name="_Toc87"/>
      <w:bookmarkEnd w:id="233"/>
      <w:r>
        <w:rPr>
          <w:rtl w:val="true"/>
        </w:rPr>
        <w:t>المقدّمة</w:t>
      </w:r>
      <w:bookmarkEnd w:id="234"/>
    </w:p>
    <w:p>
      <w:pPr>
        <w:pStyle w:val="BookText"/>
        <w:rPr/>
      </w:pPr>
      <w:r>
        <w:rPr>
          <w:rFonts w:ascii="Amiri" w:hAnsi="Amiri" w:eastAsia="Amiri" w:cs="Amiri"/>
          <w:color w:val="111111"/>
          <w:sz w:val="28"/>
          <w:sz w:val="28"/>
          <w:szCs w:val="28"/>
          <w:rtl w:val="true"/>
          <w:lang w:bidi="ar-SA"/>
        </w:rPr>
        <w:t>الحمد لله، والصلاة والسلام على رسول الله، وآله ومن ولاه، وبعد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شكّ أنّ كلّ من يُطالع موسوعة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يلاحظ فيها أخطاءً، عظيمةً، ولا سيّما المتخصّصون الذين يفحصون ويدقّقون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ونشكر إدارة المؤتمر التي انتبهت لهذه الموسوعة، وخصّصت لها مؤتمرًا، يتناول عرض ونقد جلّ ما جاء فيها من أخطاءٍ يجب مواجهتها، خاصّة أنّ الموسوعة شهيرةٌ ، ويُقبل عليها الباحثون الغربيون والمستعربون ودارسو الدّراسات القرآنيّة بثقة، وأوجدت الموسوعة لنفسها مكانةً ونالت شعبيّةً على شبكة الإنترنت، وارتفعت نسبة زيارتها ارتفاعًا ملحوظًا في الآونة الأخيرة، 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كما وصفنا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 علينا دراستها وفحصها، ببحوثٍ علميّةٍ موضوعيّةٍ رصينةٍ؛ تقيّم نهجها وموضوعيّتها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البحث نتناول لغة القرآن وأسلوبه في موسوعة القرآن عرضًا ونقدًا؛ حيث كنّا نتوقّع من العنوان بأننا سنجد في المضامين شيئًا عن لغة القرآن معناها ومبناها، وكذا أساليبه التي بهرت وأعجزت أرباب الفصاحة، إلّا أنّه لم يبيّن محرّرا المادة عن هذا شيئًا، ولم نجد لغةً ولا أسلوبًا، غير أقوالٍ للمستشرقين، وجدالٍ بينهم، وتفضيلٍ لبعضهم؛ لأجل أن يحسموا الأمر في مفهومٍ عامٍ، وهو أنّ لغة القرآن لغةٌ غير أصيلةٍ، تستقي كثير من أصولها من لغات أخرى، ولا يمكن فهمها إلّا في ضوء اللّغات الأخرى، مع تفضيل فهمها بالسريانيّة، وأنّ أسلوب القرآن لا يرقَ إلى الدرجة الثانية، فضلاً عن التّطاول على فهم المفسرين وذم فهمهم، واعتبروهم يُضلّون ويُضلّلون في استيعاب القرآن؛ </w:t>
      </w:r>
    </w:p>
    <w:p>
      <w:pPr>
        <w:pStyle w:val="BookText"/>
        <w:rPr/>
      </w:pPr>
      <w:r>
        <w:rPr>
          <w:rFonts w:ascii="Amiri" w:hAnsi="Amiri" w:eastAsia="Amiri" w:cs="Amiri"/>
          <w:color w:val="111111"/>
          <w:sz w:val="28"/>
          <w:sz w:val="28"/>
          <w:szCs w:val="28"/>
          <w:rtl w:val="true"/>
          <w:lang w:bidi="ar-SA"/>
        </w:rPr>
        <w:t>وذلك لأنّهم لم يفهموا المقاصد السريانيّة، التي لا يمكن أن يُفهم القرآن إلَّا في 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مقدرتهم العلميّة لم ينجحوا في إخفاء ما في صدورهم من غلٍّ وحقدٍ وكراهيةٍ للعرب والإسلام، ففي ثنايا توضيحهم للسّياق يعملون لغة تقنع الطّالب أنّ لغة القرآن لغةٌ مرقّعةٌ ومعقّدةٌ، تعتمد على استعارة الكلمات، ويدخلها الشّذوذ أكثر من اعتمادها على القواعد، وإذا صادف وذكروا قاعدة تخصّ الأسلوب، إما أن ينالوا منه، أو يقلّلوا من أهمّيته، ويُفهم في السياق أنّهم يلمّحون على عدم جدواه، كما سنبيّن ذلك بالأمثلة، ولم أعثر على بحث ألّفه هؤلاء المستشرقين إلا وفيه أمثال هذه الضغائن تجسدت في كتاباتهم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يذكرني ما أحدثه جيليو ولارشر من تقطيع مضلّلٍ مخلٍّ، بالنكتة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دائماً ما يحمل ضباط شرطة شرق فريزيا مقصًا؟ لقطع طريق المجرمين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قطعوا الطريق على القرّاء فلم يسمحوا لهم بقراءة لغة القرآن وأسلوبه، فضلًا عن خطئهم في ترتيب القصاصات </w:t>
      </w:r>
      <w:r>
        <w:rPr>
          <w:rStyle w:val="FootnoteAnchor"/>
          <w:rtl w:val="true"/>
        </w:rPr>
        <w:footnoteReference w:id="177"/>
      </w:r>
      <w:r>
        <w:rPr>
          <w:rFonts w:ascii="Amiri" w:hAnsi="Amiri" w:eastAsia="Amiri" w:cs="Amiri"/>
          <w:color w:val="111111"/>
          <w:sz w:val="28"/>
          <w:sz w:val="28"/>
          <w:szCs w:val="28"/>
          <w:rtl w:val="true"/>
          <w:lang w:bidi="ar-SA"/>
        </w:rPr>
        <w:t>حيث لم يرتبوا قصاصاتهم والتي انتزعت ليس من خارج السياق فقط، بل اختاروا التضليل في فهم القرآن، وهو أحد العوامل التي أعاقتهم في تقييم الأصوات المختلفة ولم يرتّبوها بشكلٍ صحيحٍ</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العديد من وجهات النّظر حول لغة القرآن وأسلوبه </w:t>
      </w:r>
      <w:r>
        <w:rPr>
          <w:rStyle w:val="FootnoteAnchor"/>
          <w:rtl w:val="true"/>
        </w:rPr>
        <w:footnoteReference w:id="178"/>
      </w:r>
      <w:r>
        <w:rPr>
          <w:rFonts w:ascii="Amiri" w:hAnsi="Amiri" w:eastAsia="Amiri" w:cs="Amiri"/>
          <w:color w:val="111111"/>
          <w:sz w:val="28"/>
          <w:sz w:val="28"/>
          <w:szCs w:val="28"/>
          <w:rtl w:val="true"/>
          <w:lang w:bidi="ar-SA"/>
        </w:rPr>
        <w:t xml:space="preserve">، فضلاً عن الآراء المتضاربة، فقد عرضوا مجموعةً متنوّعةً من المستشرقين، ومع ذلك لم يسمحوا إلّا بواحدٍ من المسلمين فقط، وهو بيكثال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بريطاني اعتنق الإسلام، مقابل ثلاثة عشر مستشرقاً، ولا ننكر بأنّ هناك العديد من الأشياء الإيجابيّة التي ينبغي أن تُقال عن محاولتهم في استخدام قدرٍ من المنهجيّة المتّسقة، حرصًا على تزويد القارئ بمجموعةٍ من الآراء المتضاربة والمحيّرة حول القرآن، بحيث لا تزيده إلا حيرةً وارتباكًا، منها ما نقلاه عن المستشرق النمساوي بورجشتال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القرآن ليس فقط كتاب الشّريعة الإسلاميّة، بل هو أيضًا تحفةٌ من الفنّ الشّعريّ </w:t>
      </w:r>
      <w:bookmarkStart w:id="235" w:name="pg8898_139297"/>
    </w:p>
    <w:p>
      <w:pPr>
        <w:pStyle w:val="BookText"/>
        <w:rPr/>
      </w:pPr>
      <w:bookmarkEnd w:id="235"/>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تحليل بورجشتال للجانب الشّعري للقرآن معيبٌ؛ لأنّه لا يمكن وصف القرآن ببساطة بالشعر، فضلًا عن أنّ آياته لا تتماشى مع أيّ بحرٍ من بحور الشّعر، والتي ينتظم فيها إيقاع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فشل جيليو ولارشر في فهم أنّ القرآن ليس شعرًا، 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ليس وزنًا شعريًا، بل آياتٌ بليغةٌ ساحرةٌ بإيقاعٍ تلقائيٍّ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فليتهم سمحوا للقرآن بالتّحدث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عَلَّمْنَهُ الشِّعْرَ وَمَا يَنْبَغِي لَهُ إِنْ هُوَ إِلَّا ذِكْرٌ وَقُرْهَانٌ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يس ، 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هذا البحث نتناول تعليقاتهم، التي تبدو مرارًا وتكرارًا قلقةً بشأن كيفيّة تأثّر استنتاجاتهم بافتراضاتهم وخلفيّاتهم، فكان ينبغي عليهما أن يقدّما الحقيقة حتى ولو اختلفت مع وجهة النّظر التي حرصوا عليها بإصرارٍ شديدٍ، ذلك لتجنّب هذا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معظم أوراقهم، والتي انعكست بشكلٍ مباشرٍ وغير مباشرٍ في الموسوعة، ويستطيع أن يؤكّد الباحث أنّ جلّ المادة كتبها جيليو، واستطاع في السّياق أن يلمّع بعض أوراقه وبحوثه، على حساب مادة المضامين، وعندما يتضمّن هذا التفكير في السّياق يمكن للقرّاء وبأنفسهم متابعة العمليّة التفسيريّة وتقييمها بسهولة، ومن المستحسن تحديد نهجهم من حيث نقد إدوارد سعيد للاستشراق، ويجب استخدام طريقة كانتويل سميث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المرء أن يفهم الأديان والشخصيات المؤسّسة لها في ضوء كيف ينظر أتباعها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 سميث هذا هدف إلى كتابة عالم خارجي عن القرآن بما يتوافق مع رؤية المسلمين، هذا المبدأ ينبغي أن يكون منهجًا للدّراسات الاستشراقيّة، وينبغي أن يكون شعارًا</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935593_2870459653"/>
      <w:bookmarkStart w:id="237" w:name="_Toc88"/>
      <w:bookmarkEnd w:id="236"/>
      <w:r>
        <w:rPr>
          <w:rtl w:val="true"/>
        </w:rPr>
        <w:t xml:space="preserve">سبب اختيار مادة </w:t>
      </w:r>
      <w:r>
        <w:rPr>
          <w:rtl w:val="true"/>
        </w:rPr>
        <w:t>«</w:t>
      </w:r>
      <w:r>
        <w:rPr>
          <w:rtl w:val="true"/>
        </w:rPr>
        <w:t>لغة القرآن وأسلوبه</w:t>
      </w:r>
      <w:r>
        <w:rPr>
          <w:rtl w:val="true"/>
        </w:rPr>
        <w:t xml:space="preserve">» </w:t>
      </w:r>
      <w:r>
        <w:rPr>
          <w:rtl w:val="true"/>
        </w:rPr>
        <w:t>للنقد</w:t>
      </w:r>
      <w:bookmarkEnd w:id="23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اختيارنا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القرآن وأسلوبه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أسبابٍ، لعلّ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تمثله المادّة المتوقّعة من أهميّةٍ في حمل العنوان والتعبير المتوسّع لمضامين لغة القرآن وأسلوبه، فضلًا عن فحص ما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جيليو ولارشر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مضامين هذه المادة، في سياق بحوثهما وأوراقهما، هل استمرّ نهجهما كعادته أم أن هناك تغييرًا طرأ يمكن قياسه والوقوف على أبعاد تحولاته ومحاولة تقييم المضامين، والوقوف على حقيقتها، ومعرفة مدى إيجابياتها وسلبيتها؟ </w:t>
      </w:r>
      <w:bookmarkStart w:id="238" w:name="pg8898_139298"/>
    </w:p>
    <w:p>
      <w:pPr>
        <w:pStyle w:val="Heading3"/>
        <w:numPr>
          <w:ilvl w:val="2"/>
          <w:numId w:val="1"/>
        </w:numPr>
        <w:rPr/>
      </w:pPr>
      <w:bookmarkStart w:id="239" w:name="__RefHeading___Toc935595_2870459653"/>
      <w:bookmarkStart w:id="240" w:name="_Toc89"/>
      <w:bookmarkEnd w:id="238"/>
      <w:bookmarkEnd w:id="239"/>
      <w:r>
        <w:rPr>
          <w:rtl w:val="true"/>
        </w:rPr>
        <w:t>تساؤلات البحث</w:t>
      </w:r>
      <w:r>
        <w:rPr>
          <w:rtl w:val="true"/>
        </w:rPr>
        <w:t>:</w:t>
      </w:r>
      <w:bookmarkEnd w:id="240"/>
    </w:p>
    <w:p>
      <w:pPr>
        <w:pStyle w:val="BookText"/>
        <w:rPr/>
      </w:pPr>
      <w:r>
        <w:rPr>
          <w:rFonts w:ascii="Amiri" w:hAnsi="Amiri" w:eastAsia="Amiri" w:cs="Amiri"/>
          <w:color w:val="111111"/>
          <w:sz w:val="28"/>
          <w:sz w:val="28"/>
          <w:szCs w:val="28"/>
          <w:rtl w:val="true"/>
          <w:lang w:bidi="ar-SA"/>
        </w:rPr>
        <w:t xml:space="preserve">تنبيه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أهميّة الموضوع، وضرورة توفّر دراسة تفصيليّة تهدف إلى دراسة لغة القرآن في الموسوعة بطريقةٍ وافيةٍ؛ لهذا بدأ الباحث في قراءة مادة هذا البحث وفحصها، وفي ضوء ما سبق يمكن أن تتحدّد مشكلة البحث من خلال التّساؤلات الرئيسة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لغة القرآن وأسلوبه في موسوعة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مضامين مادة لغة القرآن وأسلوبه في هذه الموسوعة؟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مدى موضوعيتها؟</w:t>
      </w:r>
    </w:p>
    <w:p>
      <w:pPr>
        <w:pStyle w:val="Heading3"/>
        <w:numPr>
          <w:ilvl w:val="2"/>
          <w:numId w:val="1"/>
        </w:numPr>
        <w:rPr/>
      </w:pPr>
      <w:bookmarkStart w:id="241" w:name="__RefHeading___Toc935597_2870459653"/>
      <w:bookmarkStart w:id="242" w:name="_Toc90"/>
      <w:bookmarkEnd w:id="241"/>
      <w:r>
        <w:rPr>
          <w:rtl w:val="true"/>
        </w:rPr>
        <w:t>أهداف البحث</w:t>
      </w:r>
      <w:r>
        <w:rPr>
          <w:rtl w:val="true"/>
        </w:rPr>
        <w:t>:</w:t>
      </w:r>
      <w:bookmarkEnd w:id="242"/>
    </w:p>
    <w:p>
      <w:pPr>
        <w:pStyle w:val="BookText"/>
        <w:rPr/>
      </w:pPr>
      <w:r>
        <w:rPr>
          <w:rFonts w:ascii="Amiri" w:hAnsi="Amiri" w:eastAsia="Amiri" w:cs="Amiri"/>
          <w:color w:val="111111"/>
          <w:sz w:val="28"/>
          <w:sz w:val="28"/>
          <w:szCs w:val="28"/>
          <w:rtl w:val="true"/>
          <w:lang w:bidi="ar-SA"/>
        </w:rPr>
        <w:t>يتطلّع البحث إلى تحقيق أهدافٍ رئيسةٍ؛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الأطروحات الاستشراقيّة الواردة في مادة لغة القرآن، وبيان النّقاط الإيجابيّة والسلبيّة مضمونًا ومنهجًا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جميع شبهات الاستشراق حول لغة القرآن وأسلوبه في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منهجٍ علميٍّ في مواجهة استدلالات الاستشراق في مادة لغة القرآن وأسلوبه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الوصفيّ التّحليليّ؛ بحسبانه أفضل المناهج لطبيعة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البحث على حصر شبهات الاستشراق في مادة لغة القرآن وأسلوبه ودحضها، وليته ينجح في تغطية النّقد؛ إذ إنّ الحاجة ماسّة لبحوث وبحوث</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935599_2870459653"/>
      <w:bookmarkStart w:id="244" w:name="_Toc91"/>
      <w:bookmarkEnd w:id="243"/>
      <w:r>
        <w:rPr>
          <w:rtl w:val="true"/>
        </w:rPr>
        <w:t>تبويب البحث</w:t>
      </w:r>
      <w:r>
        <w:rPr>
          <w:rtl w:val="true"/>
        </w:rPr>
        <w:t>:</w:t>
      </w:r>
      <w:bookmarkEnd w:id="244"/>
    </w:p>
    <w:p>
      <w:pPr>
        <w:pStyle w:val="Heading4"/>
        <w:numPr>
          <w:ilvl w:val="3"/>
          <w:numId w:val="1"/>
        </w:numPr>
        <w:rPr/>
      </w:pPr>
      <w:bookmarkStart w:id="245" w:name="__RefHeading___Toc935601_2870459653"/>
      <w:bookmarkStart w:id="246" w:name="_Toc92"/>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يتكوّن البحث من مقدّمة، وثلاثة مباحث، وخاتمة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أهميّة البحث، وتساؤلاته، وأهدافه، ومنهجه، وحدوده، وتبويبه</w:t>
      </w:r>
      <w:r>
        <w:rPr>
          <w:rFonts w:eastAsia="Amiri" w:cs="Amiri" w:ascii="Amiri" w:hAnsi="Amiri"/>
          <w:color w:val="111111"/>
          <w:sz w:val="28"/>
          <w:szCs w:val="28"/>
          <w:rtl w:val="true"/>
          <w:lang w:bidi="ar-SA"/>
        </w:rPr>
        <w:t xml:space="preserve">. </w:t>
      </w:r>
      <w:bookmarkStart w:id="247" w:name="pg8898_139299"/>
    </w:p>
    <w:p>
      <w:pPr>
        <w:pStyle w:val="BookText"/>
        <w:rPr/>
      </w:pPr>
      <w:bookmarkEnd w:id="247"/>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القرآن وأسلوبه نظرةً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القرآن وأسلوبه بين التّفوّق والإعجاز</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فرضيات المستشرقين حول لغة القرآن وأسلوبه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وتشتمل على نتائج البحث، وتوصياته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بتمامها وقبولها والنّفع بها، وما توفيقي إلا بالله، عليه توكلت، وإليه أنيب، وصلى الله على سيدنا محمد، وعلى آله، والحمد لله رب العالمين</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935603_2870459653"/>
      <w:bookmarkStart w:id="249" w:name="_Toc93"/>
      <w:bookmarkEnd w:id="248"/>
      <w:r>
        <w:rPr>
          <w:rtl w:val="true"/>
        </w:rPr>
        <w:t>أوّلًا</w:t>
      </w:r>
      <w:r>
        <w:rPr>
          <w:rtl w:val="true"/>
        </w:rPr>
        <w:t xml:space="preserve">: </w:t>
      </w:r>
      <w:r>
        <w:rPr>
          <w:rtl w:val="true"/>
        </w:rPr>
        <w:t>لغة القرآن وأسلوبه نظرة عامة</w:t>
      </w:r>
      <w:r>
        <w:rPr>
          <w:rtl w:val="true"/>
        </w:rPr>
        <w:t>.</w:t>
      </w:r>
      <w:bookmarkEnd w:id="249"/>
    </w:p>
    <w:p>
      <w:pPr>
        <w:pStyle w:val="Heading5"/>
        <w:numPr>
          <w:ilvl w:val="4"/>
          <w:numId w:val="1"/>
        </w:numPr>
        <w:rPr/>
      </w:pPr>
      <w:bookmarkStart w:id="250" w:name="__RefHeading___Toc935605_2870459653"/>
      <w:bookmarkStart w:id="251" w:name="_Toc94"/>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 xml:space="preserve">كتب المادة المستشرقان الفرنسيان كلود جيليو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كان أستاذا في جامعة اكس </w:t>
      </w:r>
      <w:r>
        <w:rPr>
          <w:rFonts w:eastAsia="Times New Roman" w:cs="Times New Roman" w:ascii="Times New Roman" w:hAnsi="Times New Roman"/>
          <w:color w:val="111111"/>
          <w:sz w:val="28"/>
          <w:szCs w:val="28"/>
          <w:lang w:val="en-US" w:bidi="en-US"/>
        </w:rPr>
        <w:t>ATX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قرب مرسيليا جنوب فرنسا ابتداء من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تقاعده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أشرف على عدد من طلبة الدّراسات العليا من فرنسا والعالم الإسلامي المتخصّصين في تفسير القرآن وفي غيره، وهو في الأصل راهب بدرجة قسيس ،دومنيكاني ظل جيليو حريصًا على المؤتمرات المتخصّصة بالغرب، وحرص أيضًا على مواكبة التظاهرات الثقافية خاصة معرض القاهرة للكتاب، حيث كان ينزل ضيفًا على خلانه في معهد الرهبان الدومنيكان للأبحاث الشرقية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IDEO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بمنطقة العباسية، ومجلة هذا المعهد </w:t>
      </w:r>
      <w:r>
        <w:rPr>
          <w:rFonts w:eastAsia="Times New Roman" w:cs="Times New Roman" w:ascii="Times New Roman" w:hAnsi="Times New Roman"/>
          <w:color w:val="111111"/>
          <w:sz w:val="28"/>
          <w:szCs w:val="28"/>
          <w:lang w:val="en-US" w:bidi="en-US"/>
        </w:rPr>
        <w:t>MIDEO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حافلة بمتابعاته لجديد المنشورات المتصلة بالتفسير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للمزيد موقع ملتقى أهل التفسير، عبد الرزاق بن اسماعیل هرماس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 المصدر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http://vb.tafsir.net/tafsir39923/.V7yA0FsrKM8</w:t>
      </w:r>
    </w:p>
    <w:p>
      <w:pPr>
        <w:pStyle w:val="BookText"/>
        <w:rPr/>
      </w:pPr>
      <w:r>
        <w:rPr>
          <w:rFonts w:ascii="Amiri" w:hAnsi="Amiri" w:eastAsia="Amiri" w:cs="Amiri"/>
          <w:color w:val="111111"/>
          <w:sz w:val="28"/>
          <w:sz w:val="28"/>
          <w:szCs w:val="28"/>
          <w:rtl w:val="true"/>
          <w:lang w:bidi="ar-SA"/>
        </w:rPr>
        <w:t>له بحوث كثيرة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Le Coran, production littéraire de l'Antiquité tardive ou Mahomet interprète dans le «lectionnairearbe» de la Mecque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وبيير لارشر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راجع الباحث الموضوع في الموسوعة طبعة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والطبعة الحديثة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إضافات وتحديثات، نتناول النسخة الحديثة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edited by Jane Dammen McAuliffe (genral editor), Claude Gilliot, William A. Graham, Wadad Kadi, Andrew Rippin, 6 vols., Leiden; Brill, 2001 -2006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III, 2003, pp. 109 -35</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لا تزال في الخدمة، وبشأن منهجيّة الباحث في دحض شبهات المستشرقين، نبدأ بالرّدّ مستشهدين بما أقرّ به بعض المستشرقين بأنفسهم، وإن تعذّر ذلك، ندحض بالاستدلالات النقليّة واللغويّة؛ إذ</w:t>
      </w:r>
      <w:bookmarkStart w:id="252" w:name="pg8898_139300"/>
    </w:p>
    <w:p>
      <w:pPr>
        <w:pStyle w:val="BookText"/>
        <w:rPr/>
      </w:pPr>
      <w:bookmarkEnd w:id="252"/>
      <w:r>
        <w:rPr>
          <w:rFonts w:ascii="Amiri" w:hAnsi="Amiri" w:eastAsia="Amiri" w:cs="Amiri"/>
          <w:color w:val="111111"/>
          <w:sz w:val="28"/>
          <w:sz w:val="28"/>
          <w:szCs w:val="28"/>
          <w:rtl w:val="true"/>
          <w:lang w:bidi="ar-SA"/>
        </w:rPr>
        <w:t>تتسلسل المباحث طبقًا لترتيب المضامين، فتناول المبحث الأوّل مواقف عامّة حول لغة القرآن وأسلوبه وأطروحة إلهيّة لغة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استعرض الباحثان اللّغة بمعنى طريقة التّحدّث، واتّهماها بأنّها غائبةٌ تمامًا في القرآن، وتعمّدا البحث عن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إذ ذُكر في خمس آياتٍ، واللّغو كلُّ ما هو مطروح من الكلام ولا يعتدّ به،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 العبثي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المؤمنون،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فصلت،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غير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عرجا على الحقل الدّلالي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ثلاثة جذورٍ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والجدير بالإشارة هنا، إلى أنّ الباحثين حصرا معنى اللّغة في طريقة التّحدّث، واستدلا على ذلك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العربية الصريحة 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معنى هذه الآيات وفقًا للتفسير المتّبع في معظم الترجمات، مشكلةٌ عويصةٌ؛ لأنّ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اللغة الإنجليزية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 التّكافؤ يتضمّن مظاهرَ شفويّةً وكتابيّةً، وزعم الباحثان أنّ التّفاعل بين هذين المظهرين للغة في تكوين سور القرآن غير مفهوم تمامًا، وافترضا أنّ هذا الموقف يؤدّي إلى تباينٍ في التفسير وتنافرٍ لسمات معيّنة في لغة القرآن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الحصيف بأنّ طريقة العرض مجحفةٌ؛ حيث يضيّق الباحثان معنى اللغة في القرآن ويختصرانها في اللّغو فقط، ويتوسّعان في الحديث عن اللغو مع ذكر كل الآيات التي تتحدّث عنه، ولكنّهما لم يبذلا مجهودًا لتوضيح المعاني الأخرى للّغة</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935607_2870459653"/>
      <w:bookmarkStart w:id="254" w:name="_Toc95"/>
      <w:bookmarkEnd w:id="253"/>
      <w:r>
        <w:rPr/>
        <w:t>1</w:t>
      </w:r>
      <w:r>
        <w:rPr>
          <w:rtl w:val="true"/>
        </w:rPr>
        <w:t xml:space="preserve">. </w:t>
      </w:r>
      <w:r>
        <w:rPr>
          <w:rtl w:val="true"/>
        </w:rPr>
        <w:t>مواقف عامّة متنوّعة حول لغة القرآن وأسلوبه</w:t>
      </w:r>
      <w:bookmarkEnd w:id="25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أظهر الباحثان تباين وجهات النّظر العديدة والمتعارضة حول لغة القرآن وأسلوبه، وذلك من خلال مجموعةٍ مختارةٍ من اقتباسات العلماء المسلمين وغير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وصف بيكثال مترجم معاني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بريطاني اعتنق الإسلام أنّ </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سيمفونيّة لا تقهر، وأصواته تثير الرجال وتحركهم إلى البكاء والنشوة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رأی جورج سيل، مترجم إنجليزي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أسلوب القرآن جميلٌ وعميقٌ عمومًا وخصوصًا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الباحثان فقد اتّهما القرآن بأنّه يقلّد طريقة النّبوّة وعبارات الكتاب المقدّس إلّا أنّه مختصرٌ، وغالبًا ما يكتنف عباراته الغموض، ومزيّنة بزخرفة الذّوق الشّرقيّ، تنبض بالحيويّة وبأنماطٍ تعبيريّةٍ زاهيةٍ وعاطفيّةٍ، ولا سيّما عندما يتناول وصف جلال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 إذ يتناوله بسامية وروعة، واستشهدا بستينجاس الذي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عملٌ يستدعي مشاعر قويّةً للغاية وإن كانت غير متوافقةٍ على ما يبدو حتى للقارئ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 زمنه، إلّا أنّه يثير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لا يقتصر على التغلّب على حالة الاشمئزاز الذي تستشعره عندما تبدأ في قراءته، ولكنّه يحوّل هذا الشعور المعاكس إلى دهشة وإعجاب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 جاك بيرك إيجاد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دبلوماسي في مواجهة اللغة والأسلوب المميزين للقرآن، حيث 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شكله المتشابك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والتأثيرات السيمفونيّة والارتباطات الداخليّة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وتظهر هذه الشهادات غير العادية صعوبة في التعبير عن حكمٍ إيجابيٍّ دائمٍ،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الضروري أن يكون المسلم حسّاسًا بالجمال الرّائع لهذا النّصّ، وقيمته العالميّة المدهشة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أخرى، لاحظ بيل أنّ العلماء الغربيين لفتوا الانتباه منذ فترةٍ طويلةٍ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التجاوزات النّحويّة وانقطاع المعنى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وحقيقة لأنّ نولدكه باعتباره عالم الدّراسات القرآنيّة والسّامية كان مؤهّلًا بالفعل للغة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اعتبرها لغةً مصمّمةً معظمها متوسّطة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أجزاءً كثيرةً من القرآن بلا شكّ لها قوّة بلاغيّة كبيرة، حتى تأثيرها على القارئ غير المسلم، إلَّا أنّ الكتاب يُعتبر نصًّا جماليًّا، وإن كان لا يَرق بأي حال إلى الدّرجة الأولى، وكتب نولدكه أيضًا في ستراسبورغ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 أن المعنى اللغوي العربي السليم منعهم تمامًا من تقليد نقاط الضّعف والوهن في لغة القرآن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بارث ذلك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العلاقات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السور، واعتقد منغانا أنّ </w:t>
      </w:r>
      <w:bookmarkStart w:id="255" w:name="pg8898_139302"/>
    </w:p>
    <w:p>
      <w:pPr>
        <w:pStyle w:val="BookText"/>
        <w:rPr/>
      </w:pPr>
      <w:bookmarkEnd w:id="255"/>
      <w:r>
        <w:rPr>
          <w:rFonts w:ascii="Amiri" w:hAnsi="Amiri" w:eastAsia="Amiri" w:cs="Amiri"/>
          <w:color w:val="111111"/>
          <w:sz w:val="28"/>
          <w:sz w:val="28"/>
          <w:szCs w:val="28"/>
          <w:rtl w:val="true"/>
          <w:lang w:bidi="ar-SA"/>
        </w:rPr>
        <w:t xml:space="preserve">أسلوب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يعاني من الإعاقات التي تميّز دائماً المحاولة الأولى بلغةٍ أدبيّةٍ جديدةٍ، والتي تخضع لتأثير أدب أقدم وأكثر ثباتًا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ويرى نيكولسون المتخصّص في الأدب العربي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التّرتيب الزائف للمصحف مسؤولٌ بشكلٍ رئيس عن الرأي الذي يتبنّاه النّقّاد الأوروبيون بأنّ القرآن غامضٌ ومجهدٌ وغير مهم؛ وبه مجموعة كبيرة من الروايات الطويلة التي وردت في العهد القديم والوصايا المشجعة، والتي لا تستحق أن تُذكر إذا ما قورنت بكتب العهد القديم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واستمرّ الباحثان في أسلوبهما الجائر غير المنصف والضاغط الذي يستفزّ القارىء ويعصف بذهنه، بحيث لا يسمح له بتكوين وجهة نظرٍ غير التي يقصدها جيليو، ولم ينصف الباحثان؛ إذ لم يعرضا إلا رأي مسلم واحد، ولم يتطرّقا لما قاله المستشرقون الآخرون المتحمسون، والذين اندهشوا من عمق لغة القرآن واقرّوا بذلك، بل وسّعا المجال لآراء المستشرقين التي جاءت في جملتها انطباعات تضلّل القارئ، ولا يسمحا مطلاقًا بتمرير رأيٍ كرأي كارن آرمسترونغ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جميل جدًا، لا يمكن ترجمة جماله، وكما تفسد أصوات شكسبير بالترجمة إلى الفرنسية،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ورقةٍ بحثيةٍ مثل هذه، لا يمكن دحض كل الشبهات فضلاً عن جلّها، وعليه نحاول دحض أهمّ الشبهات لعلّ الورقة تغطي وتطيق</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935609_2870459653"/>
      <w:bookmarkStart w:id="257" w:name="_Toc96"/>
      <w:bookmarkEnd w:id="256"/>
      <w:r>
        <w:rPr/>
        <w:t>2</w:t>
      </w:r>
      <w:r>
        <w:rPr>
          <w:rtl w:val="true"/>
        </w:rPr>
        <w:t xml:space="preserve">. </w:t>
      </w:r>
      <w:r>
        <w:rPr>
          <w:rtl w:val="true"/>
        </w:rPr>
        <w:t>التجاوزات النّحويّة</w:t>
      </w:r>
      <w:bookmarkEnd w:id="25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يلمّح الباحثان بما توهماه من أخطاءٍ نحويّةٍ في القرآن،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العلاقات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واتّهما أسلوب 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يعاني من الإعاقات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يذكرا ما ذكره ميشيل كويبرس، الذي أقرّ بالتنظيم الدّاخلي للسّور وأنّ الترتيب المصحفي ترتيبٌ صائبٌ ومترابطٌ، وترتب الجمل جنبًا إلى جنب دون التزام، بالتزامن، وقد تُربط بحرف العطف، والأمر يتعلق أيضًا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القفز من شخص لآخر بقصد تعميق التناظر والعودة لنفس الشخص، ويمكن أن تمتد </w:t>
      </w:r>
    </w:p>
    <w:p>
      <w:pPr>
        <w:pStyle w:val="BookText"/>
        <w:rPr/>
      </w:pPr>
      <w:r>
        <w:rPr>
          <w:rFonts w:ascii="Amiri" w:hAnsi="Amiri" w:eastAsia="Amiri" w:cs="Amiri"/>
          <w:color w:val="111111"/>
          <w:sz w:val="28"/>
          <w:sz w:val="28"/>
          <w:szCs w:val="28"/>
          <w:rtl w:val="true"/>
          <w:lang w:bidi="ar-SA"/>
        </w:rPr>
        <w:t xml:space="preserve">في القفز من قفزة إلى أخرى دون الانتقاليّة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بحث في الالتفات قدّمه محمد عبد الحليم بيّن فيه وفصّل بشكلٍ يُقارب من فصل الخطاب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يكتفيا بذلك، بل يضيفان يتردّد المثقّفون الغربيون الآخرون بين ردود أفعالٍ تتباين بين الاشمئزاز والجاذبيّة في قراءة القرآن، وفي هذه الفئة غوته يقولا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يعيد نفسه من سورة إلى سورة بكلّ ألوان الفخامة والضخامة والجموح، والتكرار الذي يشكّل نصّ هذا الكتاب المقدّس، واتهم القرآن بالبغض، والدهشة والجاذبية، وفي النهاية يفرض عظمته وتبجيله، أسلوب القرآن، وفقًا لمحتوياته وهدفه، صارم، ،وفخم، ورهيب، فيه سامية حقًا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واصل محرّرا المادة بطريقةٍ تثير التبلبل واختتم برأي جوته، وثمة وقفة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في نهاية الفقرة، ما كان ينبغي تناولها فهي ليست في موضع مدح، وجاءت في ظلّ تقسيمٍ مجحفٍ لا يزال يظهر على استحياء إن تجاوزه البحث العلمي في هذا القرن، على سبيل المثال ذم نيكولاي سيناي </w:t>
      </w:r>
      <w:r>
        <w:rPr>
          <w:rFonts w:eastAsia="Amiri" w:cs="Amiri" w:ascii="Amiri" w:hAnsi="Amiri"/>
          <w:color w:val="111111"/>
          <w:sz w:val="28"/>
          <w:szCs w:val="28"/>
          <w:lang w:bidi="ar-SA"/>
        </w:rPr>
        <w:t>4</w:t>
      </w:r>
      <w:r>
        <w:rPr>
          <w:rStyle w:val="FootnoteAnchor"/>
          <w:rtl w:val="true"/>
        </w:rPr>
        <w:footnoteReference w:id="186"/>
      </w:r>
      <w:r>
        <w:rPr>
          <w:rFonts w:ascii="Amiri" w:hAnsi="Amiri" w:eastAsia="Amiri" w:cs="Amiri"/>
          <w:color w:val="111111"/>
          <w:sz w:val="28"/>
          <w:sz w:val="28"/>
          <w:szCs w:val="28"/>
          <w:rtl w:val="true"/>
          <w:lang w:bidi="ar-SA"/>
        </w:rPr>
        <w:t xml:space="preserve">التقسيم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السامية وغير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 نظريات الخردة العنصريّة التي ظهرت في القرن التّاسع عشر ولا يزال يتردّد صداها في المجال الثّقافي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تناولا مفهومين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يفعل في العالم الإسلامي، والمفهوم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الأنثروبولوجي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خارج عالم الإسلام، ويتبنّاه بعض المسلمين، وإن كانوا 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وعادة لا يعيشون في الدول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أيضًا القرآن يحتفظ بهذا المفهوم، </w:t>
      </w:r>
      <w:bookmarkStart w:id="258" w:name="pg8898_139304"/>
    </w:p>
    <w:p>
      <w:pPr>
        <w:pStyle w:val="BookText"/>
        <w:rPr/>
      </w:pPr>
      <w:bookmarkEnd w:id="258"/>
      <w:r>
        <w:rPr>
          <w:rFonts w:ascii="Amiri" w:hAnsi="Amiri" w:eastAsia="Amiri" w:cs="Amiri"/>
          <w:color w:val="111111"/>
          <w:sz w:val="28"/>
          <w:sz w:val="28"/>
          <w:szCs w:val="28"/>
          <w:rtl w:val="true"/>
          <w:lang w:bidi="ar-SA"/>
        </w:rPr>
        <w:t>والذين يحصرونه في المفهوم الأوّل، يرون أنّ القرآن خطاب الله الأبدي، بالنسبة لأولئك الذين يحتفظون بالمفهوم الأخير، فإنّ القرآن نصُّ من شأنه أن يفكّك</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935611_2870459653"/>
      <w:bookmarkStart w:id="260" w:name="_Toc97"/>
      <w:bookmarkEnd w:id="259"/>
      <w:r>
        <w:rPr/>
        <w:t>3</w:t>
      </w:r>
      <w:r>
        <w:rPr>
          <w:rtl w:val="true"/>
        </w:rPr>
        <w:t xml:space="preserve">. </w:t>
      </w:r>
      <w:r>
        <w:rPr>
          <w:rtl w:val="true"/>
        </w:rPr>
        <w:t>أطروحة لاهوتيّة لغة القرآن</w:t>
      </w:r>
      <w:bookmarkEnd w:id="260"/>
    </w:p>
    <w:p>
      <w:pPr>
        <w:pStyle w:val="BookText"/>
        <w:rPr/>
      </w:pPr>
      <w:r>
        <w:rPr>
          <w:rFonts w:ascii="Amiri" w:hAnsi="Amiri" w:eastAsia="Amiri" w:cs="Amiri"/>
          <w:color w:val="111111"/>
          <w:sz w:val="28"/>
          <w:sz w:val="28"/>
          <w:szCs w:val="28"/>
          <w:rtl w:val="true"/>
          <w:lang w:bidi="ar-SA"/>
        </w:rPr>
        <w:t xml:space="preserve">يقول الباحثان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التوضيح المفهوم، يجب أوّلاً تقديم هذه الأطروحة بطريقةٍ عامةٍ ونظريّةٍ، وبإسهاب أكثر تفصيلًا لبعض النّقاط الواردة فيها، فالصياغة العامة للرسالة الإلهيّة، يقصدا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الأطروحة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الموقف الذي فرض نفسه بشكلٍ قاطعٍ في الإسلام منذ حوالي القرن الرّابع 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ميلادي، وكان موجودًا بالفعل منذ نهاية القرن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وبداية القرن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وإن بدأ بمثل هذا الشّكل النّظري الرّسمي، بدأ بالتأكيد بأنّ لغة القرآن اللّغة العربيّة، لكن أيّ لغةٍ عربيةٍ؟</w:t>
      </w:r>
    </w:p>
    <w:p>
      <w:pPr>
        <w:pStyle w:val="BookText"/>
        <w:rPr/>
      </w:pPr>
      <w:r>
        <w:rPr>
          <w:rFonts w:ascii="Amiri" w:hAnsi="Amiri" w:eastAsia="Amiri" w:cs="Amiri"/>
          <w:color w:val="111111"/>
          <w:sz w:val="28"/>
          <w:sz w:val="28"/>
          <w:szCs w:val="28"/>
          <w:rtl w:val="true"/>
          <w:lang w:bidi="ar-SA"/>
        </w:rPr>
        <w:t>إجابة هذا السؤال في العقيدة الإسلاميّة؛ حيث اتّبعت طريقة القرآن في تفسير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 لِيُبَيِّنَ لَهُم فَيُضِلُّ اللَّهُ مَن يَشَاءُ وَيَهْدِى مَن يَشَاءُ وَهُوَ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إبراهيم،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يستنتج المفسّرون من هذه الآية أنّ لغة القرآن لغة محمد صلّی الله علیه و آله وأصحابه، لیست أكثر من لهجةٍ حجازيّةٍ، وتحديدًا قريشيّةٍ، هذا التعريف الأوّل، العربيّة القرآنيّة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ينشأ هذا التعريف في النص القرآني وفي المفهوم الإسلامي للقرآن، كما يظهر في أعمال ابن فارس وفي القرآن نفسه، ليست لغة، لكنها الفصحى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وَأَخِي هَارُونُ هُوَ أَفْصَحُ مِنِّي لِسَانًا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القصص الآية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توضّح هذه الآية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الفصحى نوعيّة الشّخص الذي يتحدّث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هناك درجاتٍ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نُقلت هذه النّوعيّة إلى اللّغة بشكلٍ مجهول الهويّة، وفي هذه الحالة من </w:t>
      </w:r>
    </w:p>
    <w:p>
      <w:pPr>
        <w:pStyle w:val="BookText"/>
        <w:rPr/>
      </w:pPr>
      <w:r>
        <w:rPr>
          <w:rFonts w:ascii="Amiri" w:hAnsi="Amiri" w:eastAsia="Amiri" w:cs="Amiri"/>
          <w:color w:val="111111"/>
          <w:sz w:val="28"/>
          <w:sz w:val="28"/>
          <w:szCs w:val="28"/>
          <w:rtl w:val="true"/>
          <w:lang w:bidi="ar-SA"/>
        </w:rPr>
        <w:t xml:space="preserve">خلال مواصفات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قواعد اللّغة العربيّة المتميّزة؛ هنا لسانًا يشير إلى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نجد صدًا للتركيبة القرآنيّة في التأكيد التالي لأحد علماء الرأي نقله 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قريشًا أفصح العرب ألسنة وأصفاهم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لهذا التأكيد لا يوجد مبرّر، باستثناء أنّه تعبيرٌ عقديٌّ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اختارهم وانتخبهم من بين جميع العرب واصطفاهم، ومن بينهم اختار نبيّ الرّحمة صلّی الله علیه و آله، ومرّة أخرى في كتاب النّحويّ ابن جنّي الذي تحدّث عن لغة الحجاز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أنقى وأرقى وأصفى وأوفى من كلّ لغات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تظهر فكرةٌ ثالثةٌ، تربط الأفضليّة بالأسبقيّة أو العصور القديمة، وهو موجود بالفعل في كتاب سيبويه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اللبغة الأولى والأقدم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يمكن أن يكون هذا الإعلان استيفاء لاحق، إنّه مؤهّل لعالم اللّغة، نظير 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اللغة عرضة للفساد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أمر معترف به ولكن أيضًا لإدانة التغيير اللّغويّ، الذي يحدث كحتميّةٍ تاريخيّةٍ يُنظر إلى تفوّق قريش اللّغويّ على أنّه نتيجة لمكانتها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لذلك فإنّ لهجتها كانت اللّهجة العربية الأصح والأكثر نقاءً؛ لأنّ قريشًا كانوا بعيدين من كلّ الجوانب عن أراضي غير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ابن فارس يعتبر هذا التفوّق نتاجًا لاختيار أفضل العناصر في اللّهجات العربية المختلفة، وهو الاختيار الذي أصبح مقنعًا بسبب حقيقة أنّ مكّة كانت ولا تزال مركزًا للحج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يجادل لارشر بأنّ الفصحى نوعيّة الشّخص الذي يتحدّث، ويوهم بأنّ هذه النّوعيّة نقلت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بشكلٍ مجهول الهويّة، وهذا ما يتناقض مع ما ذكره من تمیّزٍ في مواصفات قواعد اللّغة العربيّة المتميّزة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هذا الطرح فإنّ الباحثين يحاولان حصر البلاغة اللّغويّة في لباقة الشّخص تحديدًا لا في عمق اللّغة سعتها ورحابتها، ويجادل المحرّران بأنّ الفُصحى وصفٌ لشخصٍ، والصّواب وصفٌ لِمَا ينطق به الشّخص، فهي صفةٌ للّغة، ولا بدّ من تحقّق شروطٍ في اللّغة لتتّصف بالفصحى، وسياق البحث لا يسمح بتناولها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يهاجم الباحثان الفصاحة بطريقةٍ مغرضةٍ، ويستشهدان بمغالطةٍ مكشوفةٍ، وهي فصاحة هارون وكأنّه دليلٌ </w:t>
      </w:r>
      <w:bookmarkStart w:id="261" w:name="pg8898_139306"/>
    </w:p>
    <w:p>
      <w:pPr>
        <w:pStyle w:val="BookText"/>
        <w:rPr/>
      </w:pPr>
      <w:bookmarkEnd w:id="261"/>
      <w:r>
        <w:rPr>
          <w:rFonts w:ascii="IRNazanin" w:hAnsi="IRNazanin" w:eastAsia="IRNazanin"/>
          <w:color w:val="111111"/>
          <w:sz w:val="28"/>
          <w:sz w:val="28"/>
          <w:szCs w:val="28"/>
          <w:rtl w:val="true"/>
          <w:lang w:bidi="fa-IR"/>
        </w:rPr>
        <w:t>على ما أقرّ به القرآن، ففصاحة هارون هنا تأتي مقارنة بين لغته ولغة موسى علیه السلام فقط، وهذه حالة مقصورة عليهما فقط، لا يمكن تعميمها، لخصوصيّتها</w:t>
      </w:r>
      <w:r>
        <w:rPr>
          <w:rFonts w:eastAsia="IRNazanin" w:cs="IRNazanin"/>
          <w:color w:val="111111"/>
          <w:sz w:val="28"/>
          <w:szCs w:val="28"/>
          <w:rtl w:val="true"/>
          <w:lang w:bidi="fa-IR"/>
        </w:rPr>
        <w:t>.</w:t>
      </w:r>
    </w:p>
    <w:p>
      <w:pPr>
        <w:pStyle w:val="Heading4"/>
        <w:numPr>
          <w:ilvl w:val="3"/>
          <w:numId w:val="1"/>
        </w:numPr>
        <w:rPr/>
      </w:pPr>
      <w:bookmarkStart w:id="262" w:name="__RefHeading___Toc935613_2870459653"/>
      <w:bookmarkStart w:id="263" w:name="_Toc98"/>
      <w:bookmarkEnd w:id="262"/>
      <w:r>
        <w:rPr>
          <w:rtl w:val="true"/>
        </w:rPr>
        <w:t>ثانيًا</w:t>
      </w:r>
      <w:r>
        <w:rPr>
          <w:rtl w:val="true"/>
        </w:rPr>
        <w:t xml:space="preserve">: </w:t>
      </w:r>
      <w:r>
        <w:rPr>
          <w:rtl w:val="true"/>
        </w:rPr>
        <w:t>لغة القرآن بين التفوّق والإعجاز</w:t>
      </w:r>
      <w:r>
        <w:rPr>
          <w:rtl w:val="true"/>
        </w:rPr>
        <w:t>.</w:t>
      </w:r>
      <w:bookmarkEnd w:id="263"/>
    </w:p>
    <w:p>
      <w:pPr>
        <w:pStyle w:val="Heading5"/>
        <w:numPr>
          <w:ilvl w:val="4"/>
          <w:numId w:val="1"/>
        </w:numPr>
        <w:rPr/>
      </w:pPr>
      <w:bookmarkStart w:id="264" w:name="__RefHeading___Toc935615_2870459653"/>
      <w:bookmarkStart w:id="265" w:name="_Toc99"/>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تناول الباحثان لغة القرآن وتفوّق اللّغة العربيّة، فضلًا عن امتيازها وآيات الإعجاز، تناولاها بطريقةٍ تستفزّ القارئ، ومن ناحيةٍ أخرى هاجما هذا التّفوّق والامتياز واعتبراه شوفينيّةً زائدةً</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935617_2870459653"/>
      <w:bookmarkStart w:id="267" w:name="_Toc100"/>
      <w:bookmarkEnd w:id="266"/>
      <w:r>
        <w:rPr/>
        <w:t>1</w:t>
      </w:r>
      <w:r>
        <w:rPr>
          <w:rtl w:val="true"/>
        </w:rPr>
        <w:t xml:space="preserve">. </w:t>
      </w:r>
      <w:r>
        <w:rPr>
          <w:rtl w:val="true"/>
        </w:rPr>
        <w:t>لغة القرآن وأسلوبه</w:t>
      </w:r>
      <w:r>
        <w:rPr>
          <w:rtl w:val="true"/>
        </w:rPr>
        <w:t>:</w:t>
      </w:r>
      <w:bookmarkEnd w:id="267"/>
    </w:p>
    <w:p>
      <w:pPr>
        <w:pStyle w:val="BookText"/>
        <w:rPr/>
      </w:pPr>
      <w:r>
        <w:rPr>
          <w:rFonts w:ascii="IRNazanin" w:hAnsi="IRNazanin" w:eastAsia="IRNazanin"/>
          <w:color w:val="111111"/>
          <w:sz w:val="28"/>
          <w:sz w:val="28"/>
          <w:szCs w:val="28"/>
          <w:rtl w:val="true"/>
          <w:lang w:bidi="fa-IR"/>
        </w:rPr>
        <w:t>اختار الباحثان بدقّةٍ الاستدلالات، ووصفاها بطريقةٍ تبلبل الفكر وتشوّشه، وتجاهلا الآراء الإيجابيّة جميعها، ومنها ما قالته ـ على سبيل المثال ـ كارين آرمسترونغ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أجمل خطابٍ مذهلٍ، تعجز في نقله التّرجمة، لكنّه بالعربيّة مدهشٌ ومثيرٌ ويحقّق استجاباتٍ كبيرةً، عندما سمع المسلمون الأوائل القرآن، اعتنقوا رسالة النّبيّ صلّی الله علیه و آله لقوّة لفظه فضلًا عن عمق معناه</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https://www.pbs.org/muhammad/transcripts/armstrong.html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قول آرمسترونغ هذا ردًّا على ما طرحه الباحثان من أسئلةٍ ومحاكماتٍ عقليّةٍ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لسان عربي؟ نظرًا لأن القرآن عبارة عن نصٍّ مرجعيٍّ ذاتيٍّ جدًا، وغالبًا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 ذاتيّ إلى حدّ ما فيما يتعلّق بلغته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تقدّم التعليقات على لغته الخاصّة، وأسلوبه المتميّز، وربّما لترتيبه، ويدعم هذا الرأي، أوّلاً وقبل كلّ شيءٍ، التأهيل القرآني الواضح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عربية واضحة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يبدو أنّ معظم حالات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تشير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كجهاز صوتيٍّ، مثل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الزمر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قُرْءَانَّا عَرَبِيًّا غَيْرَ ذِي عِوَجٍ لَعَلَّهُمْ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لغةٌ عربيّةٌ، لا تتلوّى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وأقحم الباحثان في السياق استدعاء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سيدي، أنا لستُ بليغًا، حتى الآن، ولا لأنّك تتحدّث مع عبدك، </w:t>
      </w:r>
    </w:p>
    <w:p>
      <w:pPr>
        <w:pStyle w:val="BookText"/>
        <w:rPr/>
      </w:pPr>
      <w:r>
        <w:rPr>
          <w:rFonts w:ascii="Amiri" w:hAnsi="Amiri" w:eastAsia="Amiri" w:cs="Amiri"/>
          <w:color w:val="111111"/>
          <w:sz w:val="28"/>
          <w:sz w:val="28"/>
          <w:szCs w:val="28"/>
          <w:rtl w:val="true"/>
          <w:lang w:bidi="ar-SA"/>
        </w:rPr>
        <w:t>لكنّني بطيءٌ في الكلام، ولغتي بطيئة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وقالا بأنّ القرآن أيضًا يروي هذه القصّة، كما يتّضح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القصص،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وَأَخِي هَرُونُ هُوَ أَفَصَحُ مِنِي لِسَانًا فَأَرْسِلْهُ مَعِيَ رِدْءًا يُصَدِّقُنِى إِنّي أَخَافُ أَن يُكَذِبُونِ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وَاحْلُلْ عُقْدَةً مِّن لِسَانِي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 هَرُونُ هُوَ أَفَصَحُ مني لِسَانًا فَأَرْسِلْهُ مَعِيَ رِدْءًا يُصَدِّقُ إِنِّي أَخَافُ أَن يُكَذِّبُونِ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عكس ما هو موجود في سفر الخروج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هارون أخاك؟ أعرف أنّه يستطيع التّحدّث</w:t>
      </w:r>
    </w:p>
    <w:p>
      <w:pPr>
        <w:pStyle w:val="BookText"/>
        <w:rPr/>
      </w:pPr>
      <w:r>
        <w:rPr>
          <w:rFonts w:ascii="Amiri" w:hAnsi="Amiri" w:eastAsia="Amiri" w:cs="Amiri"/>
          <w:color w:val="111111"/>
          <w:sz w:val="28"/>
          <w:sz w:val="28"/>
          <w:szCs w:val="28"/>
          <w:rtl w:val="true"/>
          <w:lang w:bidi="ar-SA"/>
        </w:rPr>
        <w:t xml:space="preserve">جيّدًا وستتحدّث معه، وتضع كلمات في فمه وسأكون مع فمك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تناقضٌ بين أعجميٍّ ومبينٍ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معظم حالات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تشير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كجهازٍ صوتيٍّ، وهذا ادّعاءٌ مخالفٌ للحقيقة، وقد صاغه الباحثان بأسلوبٍ تغليبيٍّ، وعند حصر مادة لسان ومراجعتها في المصحف يتبيّن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أربع عشرة مرّة، ولم تُذكر كجهازٍ صوتيٍّ إلّا مرّتان فقط، في الآيتين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إِسْرَاءِيلَ عَلَى لِسَانِ دَاوُدَ وَعِيسَى ابْنِ مَرْيَمَ ذَلِكَ بِمَا عَصَواْ وَكَانُوا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 لِيُبَيِّنَ لَهُمْ فَيُضِلُّ اللَّهُ مَن يَشَاءُ وَيَهْدِى مَن يَشَاءُ وَهُوَ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ابراهيم،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وَهَذَا 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لَهُم مِّن رَّحْمَتِنَا وَجَعَلْنَا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يَسَّرْنَهُ بِلِسَانِكَ لِتُبَشِّرَ بِهِ الْمُتَّقِينَ وَتُنذِرَ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وَيَضِيقُ صَدْرِى وَلَا يَنطَلِقُ لِسَانِي فَأَرْسِلْ إِلَى 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الآية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الآية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 هَارُونُ هُوَ أَفْصَحُ مِنّى لِسَانًا فَأَرْسِلْهُ مَعِيَ رِدْءًا يُصَدِّقُنِي إِنِّي أَخَافُ أَن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القصص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يَسَّرْنَاهُ بِلِسَانِكَ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الدخان، 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كِتَابُ مُوسَى إِمَامًا وَرَحْمَةٌ وَهَذَا كِتَابٌ مُّصَدِّقٌ لِسَانًا عَرَبِيًّا لِيُنذِرَ الَّذِينَ ظَلَمُوا وَبُشْرَى لِلْمُحْسِنِينَ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الأحقاف،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القيامة،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وَلِسَانًا وَشَفَتَيْنِ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البلد،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أقحم الباحثان في السياق فصاحة هارون ووظّفاها مستشهدين بآيتين، ليؤكّدا بجدلهما بأنّ الفصاحة صفةٌ للشّخص وليست للغة،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يَسَرْنَاهُ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تجدر الإشارة إلى أنّ التعبير نفسه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الدخان، الآية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ترجمه بيكثال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سبب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 بشكلٍ مختلفٍ، على 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بلغتك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يصبح هذا الموضوع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القمر، الآيات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 جعلنا القرآن سهل التذكر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تدعم الفرضيّة القائلة بأنّ التلميحات اللّغويّة في القرآن ليست باللّغة العربيّة، بل مهمّة التّواصل النّبويّ</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يطعن الباحثان طعنةً كبيرةً، ويتحمّسان لفرية مهمّة التّواصل النّبويّ، ويقصدان بذلك أنّ لغة القرآن وأسلوبه من فعل النّبيّ صلّی الله علیه و آله، ويجعلاها في جملةٍ تقريريّةٍ، حتى يبعدان الجدال فيها، لكأنّها حقيقةٌ ثابتةٌ، ويقولان بأنّ الأسباب التي تجعل القرآن يصرّ على جودة لغته وقيمتها حالةٌ جدليّةً ودعويّةٌ، يجب طرح الحجة المتعلّقة بطابعها العربي،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كل شيء، فيما يتعلق بآية سورة إبراهيم،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 أن تفهم هذه الآية، من خلال التأكيد على لغة هذا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كإعلانٍ للطبيعة الإثنيّة لهذه المهمّة النّبويّة، ولكن أيضًا كدليلٍ إلهيٍّ على عالميّتها، تتحدّى لغة القرآن 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المقدّسة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أيضًا السريانيّة، أو بشكلٍ عام الآراميّة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الأسباب التي تجعل القرآن يصرّ على جودة لغته وقيمتها حالةٌ جدليّةٌ ودعويّة، بهذه المغالطة وهذا الاختزال والتبرير يحاول الباحثان جاهدين أن يسلبا القرآن من صفته الإلهيّة، ويحاولا فهم الآية فهمًا خارج سياقها؛ لأنّ حكمها عام، ويحاول المحرّر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جيليو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باعتباره المحرّر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يخصّصه، ويقصد بالمهمّة النّبويّة مهمّة جهده في تأليف القرآن، وقد كرّرها ليؤكّد عليها، وسبق أن ذكرها في الفقرة قبل السابقة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مهمة التّواصل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ليُيسّر الإقناع بها، وعلى الرّغم من أنّ الآية التي استشهد بها ليس فيها تحدٍّ للعبريّة ولا لغيرها من اللّغات، إلّا أنّ جيليو أقحم التّحدّي في السّياق استفزازًا، وهاجم فهم القرآن عربيًّا، مدّعيًا أنّ فهمه بالسريانيّة أعمق وأشمل، واستدلّ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وَهَذَا 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النحل،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يشرح المفسّرون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مولع بالميل عن الحق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معنى لحد بالعربيّة، ولا يقتنع بذلك الفهم والتفسير، ويرى أنّ السّياق اللّغويّ والاجتماعيّ الذي تشير إليه هذه الآية يمكن أن يكون على الأرجح متكيّفا مع </w:t>
      </w:r>
    </w:p>
    <w:p>
      <w:pPr>
        <w:pStyle w:val="BookText"/>
        <w:rPr/>
      </w:pPr>
      <w:r>
        <w:rPr>
          <w:rFonts w:ascii="Amiri" w:hAnsi="Amiri" w:eastAsia="Amiri" w:cs="Amiri"/>
          <w:color w:val="111111"/>
          <w:sz w:val="28"/>
          <w:sz w:val="28"/>
          <w:szCs w:val="28"/>
          <w:rtl w:val="true"/>
          <w:lang w:bidi="ar-SA"/>
        </w:rPr>
        <w:t>السريانيّة، بمعنى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للتحدّث بغموض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للتلميح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الجذر العربي لغز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ويحاول أن يؤكّد بذلك على تناقض عربيّة القرآن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قُرْآنًا أَعْجَمِيّا لَقَالُوا لَوْلَا فُصِّلَتْ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فصلت،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أنّ ذلك يتناقض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عربيّ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وردت في الآيتين،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الشعراء ، الآية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الَّذِي يُلْحِدُونَ إِلَيْهِ أَعْجَمِيٌّ وَهَذَا لِسَانُ عَرَبِى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ادّعى بأنّ الحاجة ماسّةً لمزيدٍ من التفكير متعلّلًا بالتّرجمة، فترجمات العبارة أحدثت تضليلاً، من وجهة نظره، وارتباكًا في دلالات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وخلُص إلى أنّ هناك تناقضًا بين أعجميٍّ التي وردت في آية سورة النحل،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والتفسير العربي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العربي يتناقض مع اللّغة العربيّة الصّافية النّقيّة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 ۖ وَذَرُوا الَّذِينَ يُلْحِدُونَ فِي أَسْمَابِهِ سَيُجْزَوْنَ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وَهَذَا لِسَانُ عَرَبِيٌّ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يُلْحِدُونَ فِي آيَاتِنَا لَا يَخْفَوْنَ عَلَيْنَا أَفَمَن يُلْقَى فِي النَّارِ خَيْرٌ أَم مَّن يَأْتِي آمِنًا يَوْمَ الْقِيَامَةِ اعْمَلُوا مَا شِئْتُمْ إِنَّهُ 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فصلت،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الرَّدَّ على هذه الفرية وفنّدها إبراهيم عوض يلحد مأخوذة من الكلمة السريانيّة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I'ez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بإبهام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يخلط الأمور خلطًا شنيعًا، أين الدليل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السريانيّة؟ </w:t>
      </w:r>
      <w:bookmarkStart w:id="268" w:name="pg8898_139311"/>
    </w:p>
    <w:p>
      <w:pPr>
        <w:pStyle w:val="BookText"/>
        <w:rPr/>
      </w:pPr>
      <w:bookmarkEnd w:id="268"/>
      <w:r>
        <w:rPr>
          <w:rFonts w:ascii="Amiri" w:hAnsi="Amiri" w:eastAsia="Amiri" w:cs="Amiri"/>
          <w:color w:val="111111"/>
          <w:sz w:val="28"/>
          <w:sz w:val="28"/>
          <w:szCs w:val="28"/>
          <w:rtl w:val="true"/>
          <w:lang w:bidi="ar-SA"/>
        </w:rPr>
        <w:t xml:space="preserve">إنّ الكلمتين لا تتطابقان صوتيًّا، وليس هناك دليل على أنّ العين والزاي في الكلمة السّريانيّة قد تحوّلتا إلى حاء ودال فى العربيّة، وفوق هذا فمعنى الكلمتين مختلفٌ، فالقرآن لا يريد أن يقول إنّ اتّهام المشركين للنّبيّ كان مبهمًا، بل كان منحرفًا عن الحقِّ؛ إذ يتركون الصّواب وينحرفون إلى مثل تلك الاتّهامات الكاذبة، وهذا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اللحد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افترضنا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فى السّريانيّة وأنّ هذا هو معنى الكلمة فيها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935619_2870459653"/>
      <w:bookmarkStart w:id="270" w:name="_Toc101"/>
      <w:bookmarkEnd w:id="269"/>
      <w:r>
        <w:rPr/>
        <w:t>2</w:t>
      </w:r>
      <w:r>
        <w:rPr>
          <w:rtl w:val="true"/>
        </w:rPr>
        <w:t xml:space="preserve">. </w:t>
      </w:r>
      <w:r>
        <w:rPr>
          <w:rtl w:val="true"/>
        </w:rPr>
        <w:t>سبب اختلاف القراءات</w:t>
      </w:r>
      <w:bookmarkEnd w:id="270"/>
    </w:p>
    <w:p>
      <w:pPr>
        <w:pStyle w:val="BookText"/>
        <w:rPr/>
      </w:pPr>
      <w:r>
        <w:rPr>
          <w:rFonts w:ascii="IRNazanin" w:hAnsi="IRNazanin" w:eastAsia="IRNazanin"/>
          <w:color w:val="111111"/>
          <w:sz w:val="28"/>
          <w:sz w:val="28"/>
          <w:szCs w:val="28"/>
          <w:rtl w:val="true"/>
          <w:lang w:bidi="fa-IR"/>
        </w:rPr>
        <w:t xml:space="preserve">على الرّغم من أنّ القرآن أُنزل على سبعة أحرفٍ إلّا أنّ الباحثَين حاولا الطّعن في لغة قريش مدّعين بأنّه لا يوجد مجمع صوتيٌّ لطريقة تحدّث لغة قريش؛ لأنّ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قريش سلسٌ، ليّنٌ،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متميّزٌ، وكلام العرب المتأخّرين غير حضاريّ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متوحّش، غير عادي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غامض، والنتيجة، فإنّ التَّفوّق المزعوم للّهجة الحجازيّة لا أساس له، وسبّب هذا الخيار عواقب وخيمة بين القراءات المختلفة للقرآن، وفي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تحتل لهجة النّبيّ صلّی الله علیه و آله أو موطنها مكانًا معيّنًا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القراءات القرآنيّة، ولكن بدلاً من ذلك حاول النحاة والمفسّرون الحفاظ على استقلالٍ علميٍّ معيّنٍ في هذا الصدد، لهذا السبب، انّهم بعض العلماء المسلمين المعاصرين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القراءات القرآنيّة، على سبيل المثال الكتاب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عن القراءات في مواجهة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أنصاري ضيفا القراءات المتواترة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يسبّب هذا الخيار عواقب وخيمةً بين القراءات؛ لأنّ أمر القراءات مقنّنٌ ومحسومٌ، ولو لديهما إحاطة كافية ما ذكرا هذه الفرية السّاذجة التي تدلّل على سطحيّة معرفتهم باللّهجة القريشيّة فضلاً عن القراءات، أمّا اتّهام بعض علماء المسلمين المعاصرين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القرآنيّة، فهو</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عدم دقّة؛ لأنّ الكتاب ليس للأنصاريّ كما ذكر محرّرا الموسوعة، </w:t>
      </w:r>
      <w:bookmarkStart w:id="271" w:name="pg8898_139313"/>
    </w:p>
    <w:p>
      <w:pPr>
        <w:pStyle w:val="BookText"/>
        <w:rPr/>
      </w:pPr>
      <w:bookmarkEnd w:id="271"/>
      <w:r>
        <w:rPr>
          <w:rFonts w:ascii="Amiri" w:hAnsi="Amiri" w:eastAsia="Amiri" w:cs="Amiri"/>
          <w:color w:val="111111"/>
          <w:sz w:val="28"/>
          <w:sz w:val="28"/>
          <w:szCs w:val="28"/>
          <w:rtl w:val="true"/>
          <w:lang w:bidi="ar-SA"/>
        </w:rPr>
        <w:t>بل من تأليف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لبيب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عن القراءات في مواجهة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مساعد الطيّار بهدم ما ذهب إليه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https://vb.tafsir.net/tafsir991/.Xl1aGR8zbIU</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935621_2870459653"/>
      <w:bookmarkStart w:id="273" w:name="_Toc102"/>
      <w:bookmarkEnd w:id="272"/>
      <w:r>
        <w:rPr/>
        <w:t>3</w:t>
      </w:r>
      <w:r>
        <w:rPr>
          <w:rtl w:val="true"/>
        </w:rPr>
        <w:t xml:space="preserve">. </w:t>
      </w:r>
      <w:r>
        <w:rPr>
          <w:rtl w:val="true"/>
        </w:rPr>
        <w:t>تفوّق اللّغة العربيّة وامتياز لغة القرآن</w:t>
      </w:r>
      <w:r>
        <w:rPr>
          <w:rtl w:val="true"/>
        </w:rPr>
        <w:t>:</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يدّخر العلماء المسلمون جهدًا في تعزيز دراسة القرآن في مختلف علومه، وحتى علماء اللّغة القدماء لم يدّخروا جهدًا في تعزيز تفوّق اللّغة العربيّة المزعوم على اللّغات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الألسنة مذهبًا، وأكثرها ألفاظاً، ولا نعلمه يحيط بجميع علمه إنسان غيرُ نبيّ، ولكنّه لا يذهب منه شيء إلى عامتها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تفوّق خطاب قريش وتميّزه، بناءً على الحج وقدرتهم على الاختيار الجيّد وإضافته للهجتهم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محاوره الوهمي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جاءهم القدر والجمال؛ لأنّ العرب اعتادوا القدوم إلى الحرم للحجّ والعمرة، نساء ورجالًا على حد سواء، فاختارهم بالتعيين والفكر كرامة وجمالًا، وبذلك اكتسبوا تفوّقًا لغويًا فضلًا عن الصّفات التي تميّزوا بها بشكلٍ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بالطريقة نفسها اعتادوا على سماع لهجات قبائل العرب؛ حتى تمكّنوا من الاختيار من بين كلّ لهجةٍ ما هو الأفضل، وأضافوه إلى كلامهم وهكذا أصبح كلامهم أنيقًا ولم يختلط به أيّ من أشكال الكلام المبتذلة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باختصار، فإنّ قريشًا من خلال دقّتهم في اختيار ما يسمعون ويضيفون للهجتهم هذا جعلهم أكثر تميّزاً، وكانوا على استعدادٍ ليصبحوا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العربيّة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على العكس من ذلك، نجد الجاحظ باعتباره من علماء العقيدة ومعتزلي المذهب لم يؤكّد تفوّق لهجة قريش، بل أكّد على تفوّق الشّعر العربيّ وتفوّق العرب في كتابة الشّعر ولسان العرب متميّز، فمن المستحيل أن يُترجم الشّعر العربيّ، ولا يمكن نقله إلى لغة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يُمكن نقل ذلك عبر التّرجمة لعمق المعنى، والإيقاع، والترتيب، ولو تُرجم يدمّر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الجميع بما فيهم الجاحظ، </w:t>
      </w:r>
      <w:bookmarkStart w:id="274" w:name="pg8898_139315"/>
    </w:p>
    <w:p>
      <w:pPr>
        <w:pStyle w:val="BookText"/>
        <w:rPr/>
      </w:pPr>
      <w:bookmarkEnd w:id="274"/>
      <w:r>
        <w:rPr>
          <w:rFonts w:ascii="Amiri" w:hAnsi="Amiri" w:eastAsia="Amiri" w:cs="Amiri"/>
          <w:color w:val="111111"/>
          <w:sz w:val="28"/>
          <w:sz w:val="28"/>
          <w:szCs w:val="28"/>
          <w:rtl w:val="true"/>
          <w:lang w:bidi="ar-SA"/>
        </w:rPr>
        <w:t xml:space="preserve">على درايةٍ بصعوبة ترجمة الشّعر، ولكن بالنّسبة لعالم العقيدة هذا، فإنّ العرب هم من لديهم شعر بمعنى الكلمة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ويتّفقون على قواعده، فالغرض هو تفوق اللغة العربية كافتراض مسبق لتفوّق لغة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يمكننا أن نستمرّ في اقتباس كلماتٍ لعددٍ من علماء اللّغة والمفسّرين وعلماء الدّين حول تفوّق اللّغة العربية وتفوّق لغة القرآن، وهذه المسألة مستمرّة وممتدّة، استمرّت في كلّ فترات التّاريخ الإسلامي ولا تزال قضيّةً ملحّةً حتى يومنا هذا؛ لكن هذه العيّنات كافية لإلقاء نظرةٍ ثاقبةٍ عن السّمات الرئيسة لهذا الخطاب الدّعويّ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الرّغم من أنّه تناول تفوّق اللّغة إلّا أنّه من ناحيةٍ أخرى تناول تفوّق الشّعر العربيّ الجاهليّ، وفي الوقت الذي يمكن ترجمة معاني القرآن يؤكّد على صعوبة ترجمة الشّعر العربيّ، ومن خلال تأكيده هذا يريد أن يقول بأنّ هذا الشّعر أعلى وأسمى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إذ لم يأتني أجلي حتى اتّخذت من الإسلام سربالا</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935623_2870459653"/>
      <w:bookmarkStart w:id="276" w:name="_Toc103"/>
      <w:bookmarkEnd w:id="275"/>
      <w:r>
        <w:rPr/>
        <w:t>4</w:t>
      </w:r>
      <w:r>
        <w:rPr>
          <w:rtl w:val="true"/>
        </w:rPr>
        <w:t xml:space="preserve">. </w:t>
      </w:r>
      <w:r>
        <w:rPr>
          <w:rtl w:val="true"/>
        </w:rPr>
        <w:t>آيات الإعجاز</w:t>
      </w:r>
      <w:bookmarkEnd w:id="27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يرى المتخيّل الدِّينيّ آيات الإعجاز التي ذُكرت في سورة البقرة، الآية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وسورة يونس، الآية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وسورة هود، الآية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وسورة الإسراء، الآية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سورة الطور، الآيتان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يرى أنّها لعبت دورًا رئيسًا في صياغة مفهوم لغة الأسرار المقدّسة، ولا تزال هذه الآيات تشكّل موضوعًا مهمًّا في علوم الانتصار للقرآن، وأفضل شرحٍ لهذه الآيات يكون في سياق الجدل مع اليهود، لا في سياق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أنّ اعتراض خصوم محمد صلّی الله علیه و آله عبيد الله هنا لم يكن له أيّة علاقة باللّغة، كما ردّ القرآن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تُشير الآية أيضًا إلى اللّغة، وبفحص هذا الإعجاز، نجد ثلاث آیاتٍ ردّت على اتّهام محمد صلّی الله علیه و آله بالتزوير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سورة يونس، الآية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سورة هود، الآية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وردت في سورة الطور، الآية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ويشير الإطار إلى اختبار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حكماء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الإسراء، الآية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لَّبِنِ اجْتَمَعَتِ الْإِنسُ وَالْجِنُّ </w:t>
      </w:r>
      <w:bookmarkStart w:id="277" w:name="pg8898_139317"/>
    </w:p>
    <w:p>
      <w:pPr>
        <w:pStyle w:val="BookText"/>
        <w:rPr/>
      </w:pPr>
      <w:bookmarkEnd w:id="277"/>
      <w:r>
        <w:rPr>
          <w:rFonts w:ascii="Amiri" w:hAnsi="Amiri" w:eastAsia="Amiri" w:cs="Amiri"/>
          <w:color w:val="111111"/>
          <w:sz w:val="28"/>
          <w:sz w:val="28"/>
          <w:szCs w:val="28"/>
          <w:rtl w:val="true"/>
          <w:lang w:bidi="ar-SA"/>
        </w:rPr>
        <w:t>عَلَى أَن يَأْتُوا بِمِثْلِ هَذَا الْقُرْآنِ لَا يَأْتُونَ بِمِثْلِهِ وَلَوْ كَانَ بَعْضُهُمْ لِبَعْضٍ ظَهِيرًا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يتأثّر عامّة العرب أبدًا بما جاء به محمد صلّی الله علیه و آله، ولم يجدوا القرآن متماسكًا بشكل خاصٍّ كالتوراة والإنجيل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لَوْلَا نُزِّلَ عَلَيْهِ الْقُرْآنُ جُمْلَةٌ وَاحِدَةً كَذَلِكَ لِنُثَبِّتَ بِهِ فُؤَادَكَ وَرَتِّلْنَاهُ تَرْتِيلًا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سورة الفرقان،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935625_2870459653"/>
      <w:bookmarkStart w:id="279" w:name="_Toc104"/>
      <w:bookmarkEnd w:id="278"/>
      <w:r>
        <w:rPr/>
        <w:t>5</w:t>
      </w:r>
      <w:r>
        <w:rPr>
          <w:rtl w:val="true"/>
        </w:rPr>
        <w:t xml:space="preserve">. </w:t>
      </w:r>
      <w:r>
        <w:rPr>
          <w:rtl w:val="true"/>
        </w:rPr>
        <w:t>الترتيل مشكلةٌ أهو اسمٌ أصليٌّ أم اسمٌ مستعارٌ؟</w:t>
      </w:r>
      <w:bookmarkEnd w:id="279"/>
    </w:p>
    <w:p>
      <w:pPr>
        <w:pStyle w:val="BookText"/>
        <w:rPr/>
      </w:pPr>
      <w:r>
        <w:rPr>
          <w:rFonts w:ascii="Amiri" w:hAnsi="Amiri" w:eastAsia="Amiri" w:cs="Amiri"/>
          <w:color w:val="111111"/>
          <w:sz w:val="28"/>
          <w:sz w:val="28"/>
          <w:szCs w:val="28"/>
          <w:rtl w:val="true"/>
          <w:lang w:bidi="ar-SA"/>
        </w:rPr>
        <w:t>فسّر الكثير من المفسرين القدماء معنى 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بتمهّل، تنطق نطقًا واضحًا، تلاوة جزءٍ تلو الآخر، وفضلاً عن ذلك، يمكن فهمه في سياق آخر على أنّه تلاوةُ أو ترديدُ القرآن في تلاوةٍ نموذجيّةٍ ، وترجم أربري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المزمل،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ردّد القرآن بشكلٍ متميّزٍ جدًا وتلاوة القرآن بطريقةٍ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الأخيرة تؤكّد أيضًا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القرآن متميّزٌ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تشير إلى جهد محمد في تأليف القرآن، ويمكن أن تشير أيضًا إلى أسلوب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معنى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سورة الفرقان،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معروفٍ تمامًا، لكن من المحتمل أن تشير إلى القافية التي لا يمكن إنكار وجودها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شرحها بشكلٍ أفضل يكون في سياق الجدل مع اليهوديّة لا في سياق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التي نوّه عليها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فِي رَيْبٍ مِّمَّا نَزَّلْنَا عَلَى عَبْدِنَا فَأْتُوا بِسُورَةٍ مِّن مِّثْلِهِ وَادْعُوا شُهَدَاءَكُم مِّن دُونِ اللَّهِ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فَأْتُوا بِسُورَةٍ مِثْلِهِ وَادْعُوا مَنِ اسْتَطَعْتُم مِّن دُونِ اللَّهِ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صَبَرُوا وَعَمِلُوا الصَّالِحَاتِ أُولئِكَ لَهُم مَّغْفِرَةٌ وَأَجْرٌ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 الآية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لَّبِنِ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تَقَوَّلَهُ بَل لَّا يُؤْمِنُونَ فَلْيَأْتُوا بِحَدِيثٍ مِثْلِهِ إِن كَانُوا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الطور، الآيتان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ما أوردناه يتّضح أنّه لا يوجد دقّة في النّقل؛ لأنّ آية سورة هود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صَبَرُوا وَعَمِلُوا الصَّالِحَاتِ أُولَيكَ لَهُم مَّغْفِرَةٌ وَأَجْرٌ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ليست من آيات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وبتدبّر هذه الآيات التي ذكرها المحرّر غير آية سورة هود، الآية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كلّها في سياق التّحدّي لأرباب الفصاحة واللّغة، وما ادّعاه من أنّ السّياق في مقام تحدي اليهوديّة هو خطأٌ كبيرٌ، ولم يكن اليهود ببلاغة قريش حتى يتوجّه التّحدّي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يتأثّر خصوم محمد القريشيون إطلاقًا، لا بلغة القرآن ولا حتى بالنبوءة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أَضْغَاثُ أَحْلامٍ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أَضْغَاثُ أَحْلَامٍ بَلِ افْتَرَاهُ بَلْ هُوَ شَاعِرٌ فَلْيَأْتِنَا بِآيَةٍ كَمَا أُرْسِلَ الْأَوَّلُونَ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الشّكوك الواضحة للمدقّقين الأصليين فيما يتعلّق بتفوّق اللّغة القرآنيّة، فقد فتحت تفسيرات المسلمين وعلماء الدّين والشّريعة والعقيدة الباب واسعًا لتوضيح المشاعر المقدّسة والتعابير الأسطوريّة للّغة العربيّة، والتَّفوّق المزعوم وإعجاز لغة القرآن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يتأثّر خصوم محمد القريشيون إطلاقًا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يُخالف الحقيقة، فقد تأثر كبارهم فضلًا عن صغارهم، على سبيل المثال لا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أتى إلى رسول الله صلّی الله علیه و آله فقرأ رسول الله صلى الله عليه و آله عليه القرآن، قرأ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أعد، فأعاد النّبيّ صلّی الله علیه و آله، فقال الوليد بن المغيرة قولته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له لحلاوة وإنّ عليه لطلاوة وإنّ أعلاه لمثمرٌ وإنّ أسفله لمغدقٌ وما يقول هذا بشر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فكأنّما رقّ له، فبلغ ذلك أبا جهل فأتاه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قومك يريدون أن يجمعوا لك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ليعطوكه، فإنّك أتيت محمدًا لتعرض ما قبله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قريش أنّي من أكثرها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في القرآن قولاً يبلغ قومك أنّك منکره،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أقول؟ فوالله ما منكم أحد ألهم بالأشعار مني، ولا أعلم برجزه ولا بقصيده مني، ولا بأشعار الجن، والله ما يشبه الذي يقول شيئًا من هذا، والله إنّ لقوله لحلاوة وإن عليه لطلاوة وإنه لمثمر أعلاه ومغدق أسفله وإنه ليعلو ولا يعلى عليه، وما هو من قول البشر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وعتبة بن ربيعة؛ كان عتبة بن ربيعة من سادة قريش، كان سيّدًا حليمًا، أرسلته قریش إلی رسول الله صلى الله عليه و آله ليفاوضه، بعد إن استمع النّبيّ صلّی الله علیه و آله إلى عروضه السّخيّة التي لا يقاومها إلّا نبيّ، حتى إذا فرغ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فرغت يا أبا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وَنَذِيرًا فَأَعْرَضَ أَكْثَرُهُمْ فَهُمْ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قُلُوبُنَا فِي أَكِنَّةٍ مِّمَّا تَدْعُونَا إِلَيْهِ وَفِي آذَانِنَا وَقْرُ وَمِن بَيْنِنَا وَبَيْنِكَ حِجَابٌ فَاعْمَلْ إِنَّنَا عَامِلُونَ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فصلت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سمعها عتبة أنصت إليه، وألقى يديه خلف ظهره معتمدًا عليهما يستمع منه حتى انتهى رسول الله صلّی الله علیه و آله إلى السجدة منها فسجد وسجد معه عتبة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يا أبا الوليد ما سمعت فأنت وذاك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عتبة إلى أصحابه، فقال بعضهم لبعض، لقد جاءكم أبو الوليد بغير الوجه الذي ذهب به فلّما جلس،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ورائي أنّي سمعت قولاً والله ما سمعت بمثله قط، وما هو بالشّعر ولا بالسّحر ولا بالكهانة، يا معشر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أطيعوني، خلّوا بين الرجل وبين ما هو فيه فاعتزلوه، فوالله ليكوننّ لقوله الذي سمعت منه 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سحرك بلسانه،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رأيي فاصنعوا ما بدا لكم</w:t>
      </w:r>
      <w:r>
        <w:rPr>
          <w:rFonts w:eastAsia="IRNazanin" w:cs="IRNazanin"/>
          <w:color w:val="111111"/>
          <w:sz w:val="28"/>
          <w:szCs w:val="28"/>
          <w:rtl w:val="true"/>
          <w:lang w:bidi="fa-IR"/>
        </w:rPr>
        <w:t xml:space="preserve">)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ما ذكرنا يوجد أدلّة كثيرة وعظيمة، </w:t>
      </w:r>
      <w:bookmarkStart w:id="280" w:name="pg8898_139324"/>
    </w:p>
    <w:p>
      <w:pPr>
        <w:pStyle w:val="BookText"/>
        <w:rPr/>
      </w:pPr>
      <w:bookmarkEnd w:id="280"/>
      <w:r>
        <w:rPr>
          <w:rFonts w:ascii="Amiri" w:hAnsi="Amiri" w:eastAsia="Amiri" w:cs="Amiri"/>
          <w:color w:val="111111"/>
          <w:sz w:val="28"/>
          <w:sz w:val="28"/>
          <w:szCs w:val="28"/>
          <w:rtl w:val="true"/>
          <w:lang w:bidi="ar-SA"/>
        </w:rPr>
        <w:t>لكنّ محرّر المادة لا يسمح بتمريرها فضلًا عن مناقشتها</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935627_2870459653"/>
      <w:bookmarkStart w:id="282" w:name="_Toc105"/>
      <w:bookmarkEnd w:id="281"/>
      <w:r>
        <w:rPr>
          <w:rtl w:val="true"/>
        </w:rPr>
        <w:t>ثالثًا</w:t>
      </w:r>
      <w:r>
        <w:rPr>
          <w:rtl w:val="true"/>
        </w:rPr>
        <w:t xml:space="preserve">: </w:t>
      </w:r>
      <w:r>
        <w:rPr>
          <w:rtl w:val="true"/>
        </w:rPr>
        <w:t>فرضيات المستشرقين حول لغة القرآن</w:t>
      </w:r>
      <w:r>
        <w:rPr>
          <w:rtl w:val="true"/>
        </w:rPr>
        <w:t>:</w:t>
      </w:r>
      <w:bookmarkEnd w:id="282"/>
    </w:p>
    <w:p>
      <w:pPr>
        <w:pStyle w:val="Heading5"/>
        <w:numPr>
          <w:ilvl w:val="4"/>
          <w:numId w:val="1"/>
        </w:numPr>
        <w:rPr/>
      </w:pPr>
      <w:bookmarkStart w:id="283" w:name="__RefHeading___Toc935629_2870459653"/>
      <w:bookmarkStart w:id="284" w:name="_Toc106"/>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تناول المحرّران تحت هذا العنوان، الكلمات الأجنبيّة في القرآن وبإصرار على تأكيدها، ثم أسهبا في عرض بعض فرضيات المستشرقين شرحًا ومناقشةً، ثم دلفا على التأثيرات السريانيّة في لغة القرآن باعتبارها حقائق مسلّم بها، ثم عرجا على القضايا غير اللّغويّة، كالتأثيرات المسيحيّة في القرآن فضلًا عن الطقوس السريانيّة</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935631_2870459653"/>
      <w:bookmarkStart w:id="286" w:name="_Toc107"/>
      <w:bookmarkEnd w:id="285"/>
      <w:r>
        <w:rPr/>
        <w:t>1</w:t>
      </w:r>
      <w:r>
        <w:rPr>
          <w:rtl w:val="true"/>
        </w:rPr>
        <w:t xml:space="preserve">. </w:t>
      </w:r>
      <w:r>
        <w:rPr>
          <w:rtl w:val="true"/>
        </w:rPr>
        <w:t>الكلمات الأجنبيّة</w:t>
      </w:r>
      <w:r>
        <w:rPr>
          <w:rtl w:val="true"/>
        </w:rPr>
        <w:t>:</w:t>
      </w:r>
      <w:bookmarkEnd w:id="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الكلمات الأجنبيّة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وجود كلماتٍ أجنبيّةٍ في القرآن قضيّةٌ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المحرّران بأنّ القرآن يحتوي على كلماتٍ من جميع اللّهجات العربيّة، فضلًا عن اللّغات الأعجميّة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اليونانيّة والفارسيّة والإثيوبيّة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الممكن أن يكون للأحاديث النّبوية تأثيرٌ لإبراز تفوّق القرآن على كتب الوحي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القرآن على سبعة أحرف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يتجاهل المحرّران أنّ هذه الكلمات اُستخدمت وعُرّبت، وظاهرة وجود كلماتٍ أجنبيّةٍ لا تخلوا منها لغة، والعرب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أرادوا أن يُعربوه، ألحقوه ببناء كلامهم، كما يُلحقون الحروف بالحروف العربيّة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وطريقة عرض جيليو ولارش طريقة مغرضة تريد النيل من لغة القرآن، وبطريقةٍ جائرةٍ ذكرا بأنّها لغةٌ فقيرةٌ بحاجةٍ ماسّةٍ لغيرها لفظًا وأسلوبًا</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935633_2870459653"/>
      <w:bookmarkStart w:id="288" w:name="_Toc108"/>
      <w:bookmarkEnd w:id="287"/>
      <w:r>
        <w:rPr/>
        <w:t>2</w:t>
      </w:r>
      <w:r>
        <w:rPr>
          <w:rtl w:val="true"/>
        </w:rPr>
        <w:t xml:space="preserve">. </w:t>
      </w:r>
      <w:r>
        <w:rPr>
          <w:rtl w:val="true"/>
        </w:rPr>
        <w:t>مشاكل قواعد لغة القرآن</w:t>
      </w:r>
      <w:bookmarkEnd w:id="28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يمنعه النحويون، على الرّغم من استخدامه في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جمعها </w:t>
      </w:r>
    </w:p>
    <w:p>
      <w:pPr>
        <w:pStyle w:val="BookText"/>
        <w:rPr/>
      </w:pPr>
      <w:r>
        <w:rPr>
          <w:rFonts w:ascii="Amiri" w:hAnsi="Amiri" w:eastAsia="Amiri" w:cs="Amiri"/>
          <w:color w:val="111111"/>
          <w:sz w:val="28"/>
          <w:sz w:val="28"/>
          <w:szCs w:val="28"/>
          <w:rtl w:val="true"/>
          <w:lang w:bidi="ar-SA"/>
        </w:rPr>
        <w:t xml:space="preserve">بشكلٍ منهجيٍّ خلال النّصف الثاني من القرن الثاني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الميلادي والثالث 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التاسع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عنوان مشاكل قواعد لغة القرآن تناول الباحثان قضيّة وجود أخطاء لغويّةٍ نحوًا وصرفًا في لغة القرآن، وصالا وجالا، في محاولةٍ لهزّ لغة القرآن لُغويًّا، وإعطاء انطباعٍ عامٍّ لدى القارئ بأنّها لغةٌ أضعف من اللّغة العربيّة، لدرجة أنّها تخفق في الالتزام بقواعدها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manuscript form; but thefigure "700" in Baghawi, Ma'alim, iv, 266 has to be corrected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للباحث بمراجعة تفسيري الثعلبي والبغوي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ويؤخّرون جمع القرآن إلى النّصف الثّاني من القرن الثاني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الميلادي، وهذه نظرةٌ غير موضوعيّةٍ وتخالف تاريخ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وتكلّم اثنى عشر منهم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وشيث بن آدم، وهود، وصالح، وإسماعيل، وشعيب، والخضر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والثلاثة الذين ذكروا في سورة يس، الآية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ويونس، وخالد بن سنان العبسي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lang w:bidi="ar-SA"/>
        </w:rPr>
        <w:t>700000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وأفضل ما تحدّث به اللغة العربية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مصدرهما ما ذكره عبد الملك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المؤرخ القرطبي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وبالعودة إلى المصدر الذي استقيا منه </w:t>
      </w:r>
      <w:r>
        <w:rPr>
          <w:rStyle w:val="FootnoteAnchor"/>
          <w:rtl w:val="true"/>
        </w:rPr>
        <w:footnoteReference w:id="207"/>
      </w:r>
      <w:r>
        <w:rPr>
          <w:rFonts w:ascii="Amiri" w:hAnsi="Amiri" w:eastAsia="Amiri" w:cs="Amiri"/>
          <w:color w:val="111111"/>
          <w:sz w:val="28"/>
          <w:sz w:val="28"/>
          <w:szCs w:val="28"/>
          <w:rtl w:val="true"/>
          <w:lang w:bidi="ar-SA"/>
        </w:rPr>
        <w:t>، لم نجد ذلك، وبفحص الكتاب، تبينّ أنّه حصر ألسن الأنبياء في ثلاثة 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والسريانيّة والعبرية، الأخيرة لسان جميع بني إسرائيل، وتكلم اثنى عشر منهم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وشيث بن آدم، وهود وصالح، وإسماعيل، وشعيب والخضر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والثلاثة الذين ذكروا في سورة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ويونس وخالد بن سنان </w:t>
      </w:r>
    </w:p>
    <w:p>
      <w:pPr>
        <w:pStyle w:val="BookText"/>
        <w:rPr/>
      </w:pPr>
      <w:r>
        <w:rPr>
          <w:rFonts w:ascii="IRNazanin" w:hAnsi="IRNazanin" w:eastAsia="IRNazanin"/>
          <w:color w:val="111111"/>
          <w:sz w:val="28"/>
          <w:sz w:val="28"/>
          <w:szCs w:val="28"/>
          <w:rtl w:val="true"/>
          <w:lang w:bidi="fa-IR"/>
        </w:rPr>
        <w:t xml:space="preserve">العبسي ومحمد صلّی الله علیه و آله، وهؤلاء ثلاثة عشر شخصًا، لعلّه لم يعدّ الخضر نبيًّا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أحال مصدر هذه الجملة إلى تفسير الثعلبي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lang w:bidi="ar-SA"/>
        </w:rPr>
        <w:t>700000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وأفضل ما تحدث به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تصح ولا تعقل، وأراد المحرّران من ذكرها بأن يؤكّدا للقارئ انطباعًا بأسطوريّة المصادر العربيّة والتنفير مما بها، فضلًا</w:t>
      </w:r>
    </w:p>
    <w:p>
      <w:pPr>
        <w:pStyle w:val="BookText"/>
        <w:rPr/>
      </w:pPr>
      <w:r>
        <w:rPr>
          <w:rFonts w:ascii="Amiri" w:hAnsi="Amiri" w:eastAsia="Amiri" w:cs="Amiri"/>
          <w:color w:val="111111"/>
          <w:sz w:val="28"/>
          <w:sz w:val="28"/>
          <w:szCs w:val="28"/>
          <w:rtl w:val="true"/>
          <w:lang w:bidi="ar-SA"/>
        </w:rPr>
        <w:t>عن السّخرية منها وضرورة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نبي ضد منافسيه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 الخطباء، ورواة القصص، 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لاستراتيجيّة محمد والأجيال الأولى من العلماء المسلمين فيما يتعلّق بالشّعر والشّعراء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 القرآن على الشّعر لا بدّ من إظهاره وتمييزه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لاستراتيجية محمد والأجيال الأولى من العلماء المسلمين فيما يتعلق بالشعر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استراتيجية ولكن مكانة لغة القرآن ينبغي أن ننزّلها منزلتها، واتّهامهما بأنّ في القرآن عدم تناسقٍ لغةً وأسلوبًا ومضمونًا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ريموند فارين على سبيل المثال يردّ عليهما بأنّ القرآن عظيم لغةً وأسلوبًا ومضمونًا، وقد أسلم الرجل إقرارًا بأنّ القرآن كتاب الله، ولغته يمتنع تقليدها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أدرك العلماء أنّ الشّاعر كان منافسًا خطيرًا لرسول الإسلام وللنّصّ الذي قدّمه كوحيٍ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ريتشارد سرانو أثناء مناقشة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رفض القرآن الشعراء والشّعر شاذة، فهناك قصص كثيرة تؤكّد على مصالحة محمد مع الشّعر والشّعراء، وأكثرها شهرةً قصّة كعب بن زهير، الذي كان عدو النبي جاء معتذرًا بقصيدةٍ، وأهداه محمد عباءته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and Poetry reading, Published On: 262016/6/ A.D. - 201437/9/ H</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سبيل المثال، حسان بن ثابت كان من أفضل الشعراء في عصر الجاهليّة، لكن عندما جاء الإسلام، سقط شعره وفحولته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يسقط شعره ولا فحولته، ولا مكانته، فكمّ الشّعر الذي أنتجه في صدر الإسلام ووظّفه أكثر مما قاله في الجاهليّة، </w:t>
      </w:r>
      <w:bookmarkStart w:id="289" w:name="pg8898_139331"/>
    </w:p>
    <w:p>
      <w:pPr>
        <w:pStyle w:val="BookText"/>
        <w:rPr/>
      </w:pPr>
      <w:bookmarkEnd w:id="289"/>
      <w:r>
        <w:rPr>
          <w:rFonts w:ascii="Amiri" w:hAnsi="Amiri" w:eastAsia="Amiri" w:cs="Amiri"/>
          <w:color w:val="111111"/>
          <w:sz w:val="28"/>
          <w:sz w:val="28"/>
          <w:szCs w:val="28"/>
          <w:rtl w:val="true"/>
          <w:lang w:bidi="ar-SA"/>
        </w:rPr>
        <w:t>ولعلّ بيتًا واحدًا يؤكّد على ازدياد مكانته في الشّعر وفحولته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فأنا ومن يهدي القصائد نحونا كمستبضع تمرا إلى أهل خيبرا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935635_2870459653"/>
      <w:bookmarkStart w:id="291" w:name="_Toc109"/>
      <w:bookmarkEnd w:id="290"/>
      <w:r>
        <w:rPr>
          <w:rtl w:val="true"/>
        </w:rPr>
        <w:t>فرضيات المستعربين</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البيانات التي جمعها رابين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Rabin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تؤكّد أنّ اللّغة العربيّة قبل الإسلام لم تكن متجانسةً، ويمكن رؤية تمايزٍ إقليميٍّ فيها بين الشّرق والغرب لغويًّا ونحويًّا، وما يسمّيه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الفصحى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يتزامن مع اللغة العربية في المناطق الشّرقيّة ولا الغربيّة من شبه الجزيرة العربية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سبقت الدّراسات العربيّة السّابقة دراسة للمستشرق حاييم رابین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Chain Rabin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عنوانها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اللهجات العربيّة الغربية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أهل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بأكبر نصيب منها، لم يتجاوز رابين ما جمعه بلاشير، بل أعاد قراءته وتحمّس له، وريجيس بلاشير تأثّر بنهج تيودور نولدکه، فهذا خطٌّ استشراقيٌّ هجوميٌّ، ففكرة تدوين مقاطع الوحي المهمّة التي نزلت في السنوات السّالفة على مواد خشنةٍ من الجلود واللّخاف، لم تنشأ إلّا بعد إقامة محمد في المدينة </w:t>
      </w:r>
      <w:r>
        <w:rPr>
          <w:rStyle w:val="FootnoteAnchor"/>
          <w:rtl w:val="true"/>
        </w:rPr>
        <w:footnoteReference w:id="213"/>
      </w:r>
      <w:r>
        <w:rPr>
          <w:rFonts w:ascii="Amiri" w:hAnsi="Amiri" w:eastAsia="Amiri" w:cs="Amiri"/>
          <w:color w:val="111111"/>
          <w:sz w:val="28"/>
          <w:sz w:val="28"/>
          <w:szCs w:val="28"/>
          <w:rtl w:val="true"/>
          <w:lang w:bidi="ar-SA"/>
        </w:rPr>
        <w:t xml:space="preserve">، واللغة العربيّة قبل الإسلام لم تكن متجانسةً، ويمكن رؤية تمايزٍ إقليميٍّ فيها بين الشّرق والغرب لغويًّا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ونحويًّا وفي الردّ على هذه الادّعات يكفي الإشارة إلى تجانس اللغة، فموسم الحج دليلٌ على تفعيل التّجانس، فضلًا عن عكاظ وغيرها، والمعلّقات كلّها استدلالات تصبّ في تأكيد التّجانس وتفعّله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ادّعى فيرستيغ أنّ الأفكار اللّغويّة في وقت الخليل وسيبويه تأثّرت بقواعد اللّغة اليونانيّة مباشرةً ومن خلال ترجمة بعض الأعمال </w:t>
      </w:r>
      <w:r>
        <w:rPr>
          <w:rStyle w:val="FootnoteAnchor"/>
          <w:rtl w:val="true"/>
        </w:rPr>
        <w:footnoteReference w:id="214"/>
      </w:r>
      <w:r>
        <w:rPr>
          <w:rFonts w:ascii="Amiri" w:hAnsi="Amiri" w:eastAsia="Amiri" w:cs="Amiri"/>
          <w:color w:val="111111"/>
          <w:sz w:val="28"/>
          <w:sz w:val="28"/>
          <w:szCs w:val="28"/>
          <w:rtl w:val="true"/>
          <w:lang w:bidi="ar-SA"/>
        </w:rPr>
        <w:t xml:space="preserve">، وتمّ مناقشة هذا الادّعاء في </w:t>
      </w:r>
    </w:p>
    <w:p>
      <w:pPr>
        <w:pStyle w:val="BookText"/>
        <w:rPr/>
      </w:pPr>
      <w:r>
        <w:rPr>
          <w:rFonts w:ascii="Amiri" w:hAnsi="Amiri" w:eastAsia="Amiri" w:cs="Amiri"/>
          <w:color w:val="111111"/>
          <w:sz w:val="28"/>
          <w:sz w:val="28"/>
          <w:szCs w:val="28"/>
          <w:rtl w:val="true"/>
          <w:lang w:bidi="ar-SA"/>
        </w:rPr>
        <w:t xml:space="preserve">ورقة صليحة حاجي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 اليوناني على القواعد العربيّة فرضية فيرستيغ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وخلصت إلى عدم صحّتها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Human Sciences, International Islamic University Malaysia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وفي دراسةٍ للصوتيات العربيّة خطّأت فهم فيرستيغ القائل بتأثيرات الفكر اليوناني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وانتقد فليش فيرستيغ واتّهمه بتجاهل نسق قواعد ابن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الباحث الغربي ريمون فارين </w:t>
      </w:r>
      <w:r>
        <w:rPr>
          <w:rStyle w:val="FootnoteAnchor"/>
          <w:rtl w:val="true"/>
        </w:rPr>
        <w:footnoteReference w:id="216"/>
      </w:r>
      <w:r>
        <w:rPr>
          <w:rFonts w:ascii="Amiri" w:hAnsi="Amiri" w:eastAsia="Amiri" w:cs="Amiri"/>
          <w:color w:val="111111"/>
          <w:sz w:val="28"/>
          <w:sz w:val="28"/>
          <w:szCs w:val="28"/>
          <w:rtl w:val="true"/>
          <w:lang w:bidi="ar-SA"/>
        </w:rPr>
        <w:t>على عدم تجانس اللّغة العربيّة؛ حيث إنّه أثبت تجانسها في الجاهليّة عبر الشعر الجاهلي،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اهتمامي بالدّراسات القرآنيّة عن طريق الأدب العربي، في كليّة الدّراسات العليا في جامعة كاليفورنيا في بيركلي، وركّزتُ على دراسة الأدب العربي الكلاسيكي، وكان تركيزي الأساسي على الشّعر العربي الجاهلي، وبالرّغم من ذلك، فإنّه يجب على كلّ من يدرس الأدب العربيّ الكلاسيكيّ الانتباه إلى القرآن باعتباره النّصّ الأساسيّ في اللّغة العربيّة، وكلّما قرأت القرآن، كلّما ازدادت دهشتي، بسبب سموّ لغته وعمق معانيه، وتدرّج استدلالاته، بهرني وشجّعني واستحوذ عليَّ إلى أن أصبح محور تركيزي الرئيس بحثًا ودراسةً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Abdur-Rahman Abul-Majd, Raymond Farrin and Abdur-Rahman AbouAlmajd around Structure and</w:t>
      </w:r>
    </w:p>
    <w:p>
      <w:pPr>
        <w:pStyle w:val="BookText"/>
        <w:rPr/>
      </w:pPr>
      <w:r>
        <w:rPr>
          <w:rFonts w:eastAsia="Times New Roman" w:cs="Times New Roman" w:ascii="Times New Roman" w:hAnsi="Times New Roman"/>
          <w:color w:val="111111"/>
          <w:sz w:val="28"/>
          <w:szCs w:val="28"/>
          <w:lang w:val="en-US" w:bidi="en-US"/>
        </w:rPr>
        <w:t>Quranic Interpretation, Published On: 182014/11/ 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https://www.alukah.net/culture/079776//ixzz6GyZoYP5X</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الشّعر العربيّ القديم والشّعر العربي الجديد الإعراب، وجوده في اللّغة العامّة، ويختفي في اللّهجات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للذين يُفكّرون في اللّغة اليونانيّة </w:t>
      </w:r>
      <w:r>
        <w:rPr>
          <w:rFonts w:eastAsia="Times New Roman" w:cs="Times New Roman" w:ascii="Times New Roman" w:hAnsi="Times New Roman"/>
          <w:color w:val="111111"/>
          <w:sz w:val="28"/>
          <w:szCs w:val="28"/>
          <w:lang w:val="en-US" w:bidi="en-US"/>
        </w:rPr>
        <w:t>koine</w:t>
      </w:r>
      <w:r>
        <w:rPr>
          <w:rFonts w:ascii="Amiri" w:hAnsi="Amiri" w:eastAsia="Amiri" w:cs="Amiri"/>
          <w:color w:val="111111"/>
          <w:sz w:val="28"/>
          <w:sz w:val="28"/>
          <w:szCs w:val="28"/>
          <w:rtl w:val="true"/>
          <w:lang w:bidi="ar-SA"/>
        </w:rPr>
        <w:t>، كالأتيكيّة اليونانيّة، بدأت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قواعد اللغة اليونانية نموذج ونقطة البداية لقواعد اللغة العربية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اللّغة العربيّة المشتركة كلغةٍ بين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أو شمال شرق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للآخرين الذين يعتبرونها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نموذج هوميروس اليوناني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مصطنعةً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كونستسبراش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أيّ اتّصال مع الواقع اللّغويّ، لا يوافق المستعربون أيضًا على تفسير الإعراب، بالنّسبة للبعض، فهو بناء جملةٍ، حتى لو أدركوا أنّ وظيفته واهيةٌ ضعيفةٌ، ناهيك عن انعدام وجوده في كثير من الكلمات العربيّة، لارتباطه بقيود الأداء والقافية في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 الشّفهيّة</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الشعر العربي القديم والشعر العربي الجديد الإعراب، وجوده في اللغة العامة، ويختفي في اللهجات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بفرقٍ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وحصر اللّغة العربية بين الأتيكيّة اليونانيّة ونموذج هوميروس، فرضيّةٌ لا تصح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الفرضيّة القويّة فرضيّة فولر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Arabic, 40- 1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التي يخلص فيها إلى أنّ محمدًا صمّم القرآن لأوّل مرّةٍ بلغة مكّة العاميّة، كميزةٍ من بين ميزات الإعراب وكخطاب عربيٍّ مفقودٍ، قبل إعادة كتابته لاحقًا في لغةٍ مشتركةٍ من الشّعر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وطرح كاهلي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Kahle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فرضيّة فولر مرّة أخرى بشكلٍ معدّلٍ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يؤكّد على أنّ القرآن أعيدت كتابته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ويعترف بدون مناقشة بأنّ تكويد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السكونتانيّة تُنسب تقليديًّا إلى الخليفة عثمان، والنسخة تمثل اللّغة العربيّة المكّيّة، ولكن بالنّسبة للـ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تعبّر عن تأثير اللّغة الشّعريّة،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فرضيّة فولر تسبّبت في فضيحةٍ في الأوساط الإسلاميّة، فضلًا عمّا أثارته من جدالٍ بين المستعربين إلّا أنّ فرضيّة كاهلي لم تستحوذ على كثيرٍ من الاهتمام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المستعربون اليوم التمثيل الوحدوي للّغة العربيّة، ويؤيّدون مفهوم </w:t>
      </w:r>
    </w:p>
    <w:p>
      <w:pPr>
        <w:pStyle w:val="BookText"/>
        <w:rPr/>
      </w:pPr>
      <w:r>
        <w:rPr>
          <w:rFonts w:ascii="Amiri" w:hAnsi="Amiri" w:eastAsia="Amiri" w:cs="Amiri"/>
          <w:color w:val="111111"/>
          <w:sz w:val="28"/>
          <w:sz w:val="28"/>
          <w:szCs w:val="28"/>
          <w:rtl w:val="true"/>
          <w:lang w:bidi="ar-SA"/>
        </w:rPr>
        <w:t xml:space="preserve">التّعدّد اللّغويّ للّغة العربيّة، وبيّن المستشرق اوينز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Owens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مؤخّرًا أنّ الاندماج الكبير، مرتبطٌ بقراءة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البصري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يعني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افتراض فولر بوجود تباینٍ قرآنيٍّ دون إنهاء الحالة، يتلقّى دعمًا معقولًا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تتهاوى فرضيّة وانسبرو أمام دراسة سعد الرّشيد </w:t>
      </w:r>
      <w:r>
        <w:rPr>
          <w:rStyle w:val="FootnoteAnchor"/>
          <w:rtl w:val="true"/>
        </w:rPr>
        <w:footnoteReference w:id="222"/>
      </w:r>
      <w:r>
        <w:rPr>
          <w:rFonts w:ascii="Amiri" w:hAnsi="Amiri" w:eastAsia="Amiri" w:cs="Amiri"/>
          <w:color w:val="111111"/>
          <w:sz w:val="28"/>
          <w:sz w:val="28"/>
          <w:szCs w:val="28"/>
          <w:rtl w:val="true"/>
          <w:lang w:bidi="ar-SA"/>
        </w:rPr>
        <w:t xml:space="preserve">الموسومة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كتاباتٍ إسلاميّةٍ من 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برهن الباحث على أنّ النّقوش القرآنيّة التي وُجدت مكتوبةً على الصّخور بمكّة المكرّمة تُسقط بشكلٍ قطعيٍّ نظريّة وانسبرو التي تزعم أنّ القرآن الكريم لم يُنتج بمكّة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اللّغة إلى الأسلوب</w:t>
      </w:r>
    </w:p>
    <w:p>
      <w:pPr>
        <w:pStyle w:val="BookText"/>
        <w:rPr/>
      </w:pPr>
      <w:r>
        <w:rPr>
          <w:rFonts w:ascii="Amiri" w:hAnsi="Amiri" w:eastAsia="Amiri" w:cs="Amiri"/>
          <w:color w:val="111111"/>
          <w:sz w:val="28"/>
          <w:sz w:val="28"/>
          <w:szCs w:val="28"/>
          <w:rtl w:val="true"/>
          <w:lang w:bidi="ar-SA"/>
        </w:rPr>
        <w:t xml:space="preserve">الارتباط بين اللّغة القرآنيّة والأسلوب اللّغويّ للقرآن ارتبط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الاسم ذُكر ثلاث مرّاتٍ فقط في القرآن، في سورة الرحمن،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سورة القيامة،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سورة آل عمران الآية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الرحمن، الآيتان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اثنتي عشرة مرة </w:t>
      </w:r>
      <w:r>
        <w:rPr>
          <w:rStyle w:val="FootnoteAnchor"/>
          <w:rtl w:val="true"/>
        </w:rPr>
        <w:footnoteReference w:id="224"/>
      </w:r>
      <w:r>
        <w:rPr>
          <w:rFonts w:ascii="IRNazanin" w:hAnsi="IRNazanin" w:eastAsia="IRNazanin"/>
          <w:color w:val="111111"/>
          <w:sz w:val="28"/>
          <w:sz w:val="28"/>
          <w:szCs w:val="28"/>
          <w:rtl w:val="true"/>
          <w:lang w:bidi="fa-IR"/>
        </w:rPr>
        <w:t xml:space="preserve">، وسبع مرات عدّل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 ومرتان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الحجر، الآية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وسورة يس،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 نتائج البحث عن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ذكرت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القرآن، وذكرت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 ليس فيها ما ذهب إليه،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إِلا صَيْحَةً وَاحِدَةً فَإِذَا هُمْ خَامِدُونَ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يس،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ذكر القرآن في الآية الثانية وليس الآية التاسعة والعشرون،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يس،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هذا السياق، يمكن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النّشط من الصّيغة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أبان، المستخدمة ببساطة مرادف للنموذج اللّفظي الثّاني، بيّن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يمكن أيضًا اعتبار أبان سببًا انعكاسيًّا ضمنيًّا، وفي هذه الحالة يتمّ تفسير مُبين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النّحو الذي اُقترح في سورة الصافات، الآية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الْمُسْتَبِينَ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ارتفاع عدد مرات ذكر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 إلى أنّ البيان خاصيّة الكلام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أن نتذكر هنا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بأنّه عربيٌّ ست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أنّ مبدأ حتميّة القرآن ارتبط بموضوع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التي تستمدّ تقريبًا من الإيمان</w:t>
      </w:r>
      <w:r>
        <w:rPr>
          <w:rFonts w:eastAsia="Amiri" w:cs="Amiri" w:ascii="Amiri" w:hAnsi="Amiri"/>
          <w:color w:val="111111"/>
          <w:sz w:val="28"/>
          <w:szCs w:val="28"/>
          <w:rtl w:val="true"/>
          <w:lang w:bidi="ar-SA"/>
        </w:rPr>
        <w:t xml:space="preserve">) </w:t>
      </w:r>
      <w:r>
        <w:rPr>
          <w:rStyle w:val="FootnoteAnchor"/>
          <w:rtl w:val="true"/>
        </w:rPr>
        <w:footnoteReference w:id="228"/>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التأكيد على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عدم دقّة أسلوب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تقاطع عنصرٍ نصّيٍّ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يسمّى آيات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الإسلامي للقرآن باعتباره خطاب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الارتباط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بالترتيب الأسلوبيّ من خلال التأكيد العقديّ الواضح لصفات الله في البلاغة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يتعطّل ويعجز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شخصٍ يحاول الوصول لتقليده؛ إنّها بِلُغة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البراهين على عدم حتميّة القرآن؛ القرآن أبعد ما يكون عن الوضوح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المستعربين من أسلوب القرآن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خطابٌ غير سرديٍّ، والسّرد الذي يحتويه، </w:t>
      </w:r>
    </w:p>
    <w:p>
      <w:pPr>
        <w:pStyle w:val="BookText"/>
        <w:rPr/>
      </w:pPr>
      <w:r>
        <w:rPr>
          <w:rFonts w:ascii="Amiri" w:hAnsi="Amiri" w:eastAsia="Amiri" w:cs="Amiri"/>
          <w:color w:val="111111"/>
          <w:sz w:val="28"/>
          <w:sz w:val="28"/>
          <w:szCs w:val="28"/>
          <w:rtl w:val="true"/>
          <w:lang w:bidi="ar-SA"/>
        </w:rPr>
        <w:t>غالبًا ما لا يكتمل، يمثّل نوعًا من الجدل كعلاماتٍ؛ فضلًا عمّا فيه من الخرافات والأساطير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عدم وجود خيطٍ سرديٍّ، فضلًا عن التكرار في القرآن، لا يُثير ردّ فعلٍ سلبيٍّ، بل يجبر المتخصّص على البحث عن مخطّطٍ تنظيميٍّ آخر للنّصّ، ومشكلة ترتيب النّصّ، ومشكلة بنية السّور، على سبيل المثال انقطاعات النص وامتناعه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مكتملٍ أو مقطوع، في هذه الحالة يحتّم على المفسّر أن يُشير إلى آيةٍ أخرى في السّورة نفسها أو في سورة أخرى، يُفترض أن يكون المقطع المقطوع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رُوي بدقّة،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أَجْرَهُ فِي الدُّنْيَا وَإِنَّهُ فِي الْآخِرَةِ لَمِنَ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العنكبوت،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يجب 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يَأْتِهِ مُؤْمِنًا قَدْ عَمِلَ الصَّالِحَاتِ فَأُولَبِك لَهُمُ الدَّرَجَاتُ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تكون هذه الظّاهرة ذات صلةٍ بالقياس المضمر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 لأنّ سياق آتيناه أجره على إبراهيم علیه السلام، وسياق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يَأْتِهِ مُؤْمِنًا قَدْ عَمِلَ الصَّالِحَاتِ فَأُولَيكَ لَهُمُ الدَرَجَاتُ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السحرة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فالسّياق مختلفٌ، وتلك التي تحيط بمعنى أمّيّ، كما تطبّق على محمد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الآيتان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بدلاً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جونز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مبكرة ولا دقيقة، يمكن أن تعني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وضّح جونز، على الرغم من ندرة المواد العربيّة القديمة المحفوظة، أنّ أسلوب القرآن مدينٌ بالكثير للأنماط العربيّة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دعمًا لأطروحة جونز هذه، يمكن القول بأنّ القول المنسوب إلى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الشّعر تعبير قاطع عن خطاب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 جونز بأنّ محمدا كان يعلم جيدًا مدى فاعليّة النّثر المُقنع، ولهذا السبب استخدمه في القرآن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 الأسف لم يُسعف الوقت الباحث لاختبار فرضيّة جونز ومن ناقشوها اعترضوا عليها، وعلى الرغم من أن فرضيّته غير صحيحةٍ؛ لأنّه يدّعي بأنّ رسول الله صلّی الله علیه و آله ألّف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التأثيرات المسيحيّة أو السريانيّة القديمة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لفت بعض العلماء ولسوء الحظ، عددٌ قليلٌ جدًا، الانتباه إلى أهميّة الطبقة التّحتيّة الآراميّة أو السّريانيّة في تكوين القرآن، وهذا مبنيٌّ على فرضيّة أنّ اللّغة السّريانيّة الآراميّة أو السّريانيّة كانت لغة التّواصل الكتابي في الشّرق القريب من القرن الثاني إلى القرن السابع الميلادي، وكانت أيضًا لغةً طقوسيّةً، توغّلت حتى في الخصوصيّات الأسلوبيّة للقرآن، ولاحظ نولدکه و شبراخ ذلك، فضلًا عن كلماتٍ اُستعيرت بعينها من السّريانيّة في القرآن، وقد لاحظها آخرون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مينغانا أنّ الأسلوب القرآني يعاني من الإعاقات التي تميّز دائمًا المحاولة الأولى في كتابٍ أدبيٍّ جديدٍ، وتخضع اللّغة لتأثير الأدب الأقدم والأكثر ثباتًا </w:t>
      </w:r>
      <w:r>
        <w:rPr>
          <w:rStyle w:val="FootnoteAnchor"/>
          <w:rtl w:val="true"/>
        </w:rPr>
        <w:footnoteReference w:id="234"/>
      </w:r>
      <w:r>
        <w:rPr>
          <w:rFonts w:ascii="Amiri" w:hAnsi="Amiri" w:eastAsia="Amiri" w:cs="Amiri"/>
          <w:color w:val="111111"/>
          <w:sz w:val="28"/>
          <w:sz w:val="28"/>
          <w:szCs w:val="28"/>
          <w:rtl w:val="true"/>
          <w:lang w:bidi="ar-SA"/>
        </w:rPr>
        <w:t xml:space="preserve">،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نولدكه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أسلوب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السّاحق والمُمل والشامل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لغته تأثّرت بالسّريانيّة والتي أثّرت حتى على عبارات القرآن، وقسّم التأثيرات في ستة عناوين 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الصحيحة، والمصطلحات الدّينيّة، والكلمات الشّائعة، والإملاء، وبناء الجمل والمراجع التّاريخيّة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ولسوء الحظّ، لم يؤخذ بملاحظاته، على الرّغم من أنّ بعض العلماء أشاروا إليها، وبشكل عام 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لدى منغانا المشغول جدًا بالسريانية وقت لتطوير فرضيّته، وقُوّضت حجّته بشكل أكبر بسبب أنّ المادّة التي جمعها في مقالته عديمة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الإسلاميين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القرآن، وما زال مستمرًّا في فرض نفسه كدليلٍ بديهيٍّ، على الرّغم من الاعتراضات العديدة على أطروحته المزعومة، دون أن تتأثّر فرضيّته بشكلٍ خاص بمقالة مينغانا فضلًا عن مخاوفه، وتناول لوكسنبرغ أطروحة مينغانا حول التأثير السّريانيّ على القرآن وحدّد مجريات الأمور بوضوحٍ بدايةً من تلك المقاطع </w:t>
      </w:r>
    </w:p>
    <w:p>
      <w:pPr>
        <w:pStyle w:val="BookText"/>
        <w:rPr/>
      </w:pPr>
      <w:r>
        <w:rPr>
          <w:rFonts w:ascii="Amiri" w:hAnsi="Amiri" w:eastAsia="Amiri" w:cs="Amiri"/>
          <w:color w:val="111111"/>
          <w:sz w:val="28"/>
          <w:sz w:val="28"/>
          <w:szCs w:val="28"/>
          <w:rtl w:val="true"/>
          <w:lang w:bidi="ar-SA"/>
        </w:rPr>
        <w:t>غير الواضحة للمستشرقين الغربيين، وجاءت منهجيّته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عمّا إذا كان هناك تفسيرٌ معقولٌ في كتب التفسير، وأوّل هذه التّفاسير تفسير الطّبري، وقد يتجاهله إذا لم يؤدّ ذلك إلى حلّ المشكلة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يتحقّق مما في القاموس العربيّ الكلاسيكيّ، ولا 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سجّل معنًى غير معروفٍ، أو لم يظهر في المعجم شيئًا، يتحقّق مما إذا كان للتعبير العربيّ جذرٌ متجانسٌ في السّريانيّة، ولو بمعنًى مختلفٍ يناسب السّياق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كثيرٍ من الحالات، وجد لوكسنبرغ أنّ الكلمة السّريانيّة بمعناها أكثر منطقيّةً من المصطلح العربيّ الذي استخدمه القرآن، وتجدر الإشارة إلى أنّ هذه الخطوات الأولى في الكشف عن مجريات الأمور في القرآن، ومع ذلك، إن لم توجد هذه الخطوات، يُوصي بتغيير علامةٍ أو أكثر من علامات التّشكيل لمعرفة ما إذا كان ذلك يُؤدّي إلى تعبيرٍ عربيٍّ أكثر منطقيّةً، ووجد لوكسنبرغ أنّ العديد من حالات المعجم تظهر على أنّها قراءةً خاطئةً، وإذا لم تسفر هذه الطريقة عن نتائج، فيجب على المحقّق تغيير نقطةٍ واحدةٍ أو نقاط عدّة، ثمّ التّحقّق ممّا إذا كان هناك جذرٌ سريانيٌّ مماثلٌ له معنًی معقول، إذا لم يكن هناك حلّ حتى الآن، فعليه أن يتحقّق عمّا إذا كانت اللّغة العربيّة عبارةً عن خليطٍ من العبارات السّريانيّة، وهذه العبارات من نوعين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شكليًا مورفولوجيٍّا ودلاليًّا، والاستخدام الشَّكليّ المورفولوجيّ عبارة عن استعارةٍ تحافظ على بنية الكلمة المصدر، ولكنّها تستخدم أشكال اللّغة المستهدفة، ويُعيّن كولك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calque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دلالة المعنى إلى استعارة كلمة لم يكن لها المعنى سابقًا، لكن مرادفًا للكلمة المصدر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نذكر أيضًا تحليل لوكسنبيرغ لسورة العلق، وتعامله مع آية سورة الدخان،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وَزَوَّجْنَاهُم بِحُورٍ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الطور،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مُتَّكِبِينَ عَلَى سُرُرٍ مَّصْفُوفَةٍ وَزَوَّجْنَاهُم بِحُورٍ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عذراء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المزعومة قد أصاب بالفعل كما أكّد عددٌ من الذين قرأوا هذا الكتاب، بدلاً من </w:t>
      </w:r>
    </w:p>
    <w:p>
      <w:pPr>
        <w:pStyle w:val="BookText"/>
        <w:rPr/>
      </w:pPr>
      <w:r>
        <w:rPr>
          <w:rFonts w:ascii="Amiri" w:hAnsi="Amiri" w:eastAsia="Amiri" w:cs="Amiri"/>
          <w:color w:val="111111"/>
          <w:sz w:val="28"/>
          <w:sz w:val="28"/>
          <w:szCs w:val="28"/>
          <w:rtl w:val="true"/>
          <w:lang w:bidi="ar-SA"/>
        </w:rPr>
        <w:t xml:space="preserve">هذه المخلوقات الأسطوريّة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يَطْمِثْهُنَّ إِنسُ قَبْلَهُمْ وَلَا 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الرحمن،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أيضًا حقيقة أنّ سكرتير محمد زید بن ثابت حذق الآراميّة أو السّريانيّة قبل هجرة محمد إلى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أخرى، فطريقة لكسمبورغ المطبّقة على نصوصٍ من القرآن قد تكون غامضةً بشكلٍ خاصٍّ، لا يمكن تجاهلها بمجرّد تكرار أطروحة نولدكه وأنتون شبيتالر </w:t>
      </w:r>
      <w:r>
        <w:rPr>
          <w:rStyle w:val="FootnoteAnchor"/>
          <w:rtl w:val="true"/>
        </w:rPr>
        <w:footnoteReference w:id="237"/>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أنّ المحرّرين يتحمّسان للكسمبورغ، ويضغطان بإلحاحٍ للدّفع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إيجاز النّتائج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نجح البحث في حصر كلّ شبهات الموضوع غير أنّه لم يتناول جلّها بالنّقد والتّفنيد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 مادة الموضوع غير موضوعيّةٍ وتشدّ القارئ إلى اتّجاهٍ مغرضٍ بعينه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 مادة الموضوع تتباين والمراجع الإسلاميّة، ولا يستشهدون منها إلا ما يعضد وجهة نظرهم ويساندها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الموضوع أخطاءٌ في المصادر والنّقل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تقتصر مادة الموضوع على تناول لغة القرآن وأسلوبه، بل تعدّته إلى التأثيرات المسيحيّة والطّقوس السّريانيّة، فضلًا عن النّقد والتّشكيك في المراجع العربيّة والسّخرية من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هذه النتائج يمكن تقديم التوصيات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الاستمرار بتناول مضامين الموسوعة عرضًا ونقدًا، فإنّ المؤتمر يمثّل إضافةً علميّةً موضوعيّةً قيّمةً، فضلا عن سدّ العجز في المكتبة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التوصية بعمل فريق يُحرّر موسوعة للقرآن الكريم على نفس نهج هذه </w:t>
      </w:r>
    </w:p>
    <w:p>
      <w:pPr>
        <w:pStyle w:val="BookText"/>
        <w:rPr/>
      </w:pPr>
      <w:r>
        <w:rPr>
          <w:rFonts w:ascii="Amiri" w:hAnsi="Amiri" w:eastAsia="Amiri" w:cs="Amiri"/>
          <w:color w:val="111111"/>
          <w:sz w:val="28"/>
          <w:sz w:val="28"/>
          <w:szCs w:val="28"/>
          <w:rtl w:val="true"/>
          <w:lang w:bidi="ar-SA"/>
        </w:rPr>
        <w:t>الموسوعة ويتيحها باللّغات العربيّة والإنجليزيّة والفرنسيّة والألمانيّة كمرحلة 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فريق يقوم برصد النّشاط الاستشراقيّ المُعاصر، والاحتكاك به، والاشتباك معه اشتباكًا إيجابيًا فاعلًا وفي الوقت الذي أوصي به بذلك فإنّي على استعداد لمدّ يد العون لتهيئة وتدريب الفريق تحريرًا وتفنيدًا، وإقامة ورش عمل ومحاضرات لرفع الكفاءة وتحسين مستوى الوعي بالاستشراق المعاصر، والله ولي التوفيق</w:t>
      </w:r>
      <w:r>
        <w:rPr>
          <w:rFonts w:eastAsia="Amiri" w:cs="Amiri" w:ascii="Amiri" w:hAnsi="Amiri"/>
          <w:color w:val="111111"/>
          <w:sz w:val="28"/>
          <w:szCs w:val="28"/>
          <w:rtl w:val="true"/>
          <w:lang w:bidi="ar-SA"/>
        </w:rPr>
        <w:t>.</w:t>
      </w:r>
      <w:bookmarkStart w:id="292" w:name="pg8898_139351"/>
    </w:p>
    <w:p>
      <w:pPr>
        <w:pStyle w:val="Heading3"/>
        <w:numPr>
          <w:ilvl w:val="2"/>
          <w:numId w:val="1"/>
        </w:numPr>
        <w:rPr/>
      </w:pPr>
      <w:bookmarkStart w:id="293" w:name="__RefHeading___Toc935637_2870459653"/>
      <w:bookmarkStart w:id="294" w:name="_Toc110"/>
      <w:bookmarkEnd w:id="292"/>
      <w:bookmarkEnd w:id="293"/>
      <w:r>
        <w:rPr>
          <w:rtl w:val="true"/>
        </w:rPr>
        <w:t>المصادر والمراجع</w:t>
      </w:r>
      <w:bookmarkEnd w:id="294"/>
    </w:p>
    <w:p>
      <w:pPr>
        <w:pStyle w:val="BookText"/>
        <w:rPr/>
      </w:pPr>
      <w:r>
        <w:rPr>
          <w:rFonts w:ascii="Amiri" w:hAnsi="Amiri" w:eastAsia="Amiri" w:cs="Amiri"/>
          <w:color w:val="111111"/>
          <w:sz w:val="28"/>
          <w:sz w:val="28"/>
          <w:szCs w:val="28"/>
          <w:rtl w:val="true"/>
          <w:lang w:bidi="ar-SA"/>
        </w:rPr>
        <w:t>المصادر والمراجع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 السيد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مؤسسة الأعلمي للمطبوعات،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الطيار، مساعد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أنكر ابن جرير قراءة متواترة أو ردَّها؟ هدم ما ذهب إليه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لبيب السعيد في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القرطبي، محمد بن أحمد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المحسن التركي،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مؤسسة الرسالة،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الحلبي، أبو الفرج نور الدين علي بن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المعرفة،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الأندلسي، عبد الملك بن حبيب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مستو،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المطبعة العصرية،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السمهودي، أبو الحسن علي بن عبد الله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الوفا بأخبار دار المصطفى،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الأمين محمد محمود أحمد الجكيني طبع على نفقة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محمود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الراشد، سعد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كتابات إسلامية من مكة، لا ط، الرياض، مكتبة الملك فهد،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بلاشير، ريجيس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نزوله وتدوينه وترجمته وتأثيره،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سعادة،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الكتاب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سيبويه، أبو بشر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هارون،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القاهرة، </w:t>
      </w:r>
    </w:p>
    <w:p>
      <w:pPr>
        <w:pStyle w:val="BookText"/>
        <w:rPr/>
      </w:pP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أبو المجد، حوار میشیل کویبرس وعبد الرحمن أبو المجد حول نظم القرآن المذهلة</w:t>
      </w:r>
      <w:r>
        <w:rPr>
          <w:rFonts w:eastAsia="IRNazanin" w:cs="IRNazanin"/>
          <w:color w:val="111111"/>
          <w:sz w:val="28"/>
          <w:szCs w:val="28"/>
          <w:rtl w:val="true"/>
          <w:lang w:bidi="fa-IR"/>
        </w:rPr>
        <w:t xml:space="preserve">! </w:t>
      </w:r>
      <w:r>
        <w:rPr>
          <w:rFonts w:eastAsia="IRNazanin" w:cs="IRNazanin"/>
          <w:color w:val="111111"/>
          <w:sz w:val="28"/>
          <w:szCs w:val="28"/>
          <w:lang w:bidi="fa-IR"/>
        </w:rPr>
        <w:t>2014/12/17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w:t>
      </w:r>
      <w:r>
        <w:rPr>
          <w:rFonts w:eastAsia="IRNazanin" w:cs="IRNazanin"/>
          <w:color w:val="111111"/>
          <w:sz w:val="28"/>
          <w:szCs w:val="28"/>
          <w:rtl w:val="true"/>
          <w:lang w:bidi="fa-IR"/>
        </w:rPr>
        <w:t xml:space="preserve">- </w:t>
      </w:r>
      <w:r>
        <w:rPr>
          <w:rFonts w:eastAsia="IRNazanin" w:cs="IRNazanin"/>
          <w:color w:val="111111"/>
          <w:sz w:val="28"/>
          <w:szCs w:val="28"/>
          <w:lang w:bidi="fa-IR"/>
        </w:rPr>
        <w:t>1436/2/24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http://albayan.co.uk/4607=aspx?ID.MGZarticle2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منينة</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سخافات المستشرق الفرنسي كلود جيليو عن النبي الكريم والقرآن العظيم،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عوض، ملتقى الانتصار للقرآن الكريم، مركز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Abdelrahman Abulmajd, Richard Serrano and AbdalrahmanAbulmajd are discussing Qur'an recitation and Poetry reading, Published On: 262016/6/ A.D. - 201437/9/ 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Abd al-Malik b. Habib, Ta'rikh, 27 - 8; Suyuti, Muzhir, i, 30- 1/Eng. trans. Czapkiewicz, Views, 66-7; Goldziher, Grammar, 44 -5; Loucel, Origine. IV, 167 -8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Claude Gilliot and Pierre Larcher, Language and Style of the Qur'ān in Encyclopaedia of the Qur'an [EQ, ], (edited by Jane Dammen McAuliffe (genral editor), Claude Gilliot, William A. Graham, Wadad Kadi, Andrew Rippin, 6 vols., Leiden; Brill, 2001-2006), III,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Gilliot and Larcher, Language, Encyclopaedia of the Qur'an</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Neal Conan, TALK OF THE NATION, npr News, Washington, November 28, 200610:00 AMET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Grammatical Shift For The Rhetorical Purposes: Iltifat And Related Features In The Qur'an M A S Abdel Haleem, Bulletin of the School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of Oriental and African Studies, 1992, Volume LV, Part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NICOLAI SINAI, Review Essay: Going Round in Circles Journal of Qur'anic Studies 19.2 (2017)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EXCERPTS FROM THE INTERVIEW WITH KAREN ARMSTRONG</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https://www.pbs.org/muhammad/transcripts/armstrong.html</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Tha</w:t>
      </w:r>
      <w:r>
        <w:rPr>
          <w:rFonts w:eastAsia="Consolas" w:cs="Consolas" w:ascii="Consolas" w:hAnsi="Consolas"/>
          <w:color w:val="111111"/>
          <w:sz w:val="28"/>
          <w:szCs w:val="28"/>
          <w:lang w:val="en-US" w:bidi="en-US"/>
        </w:rPr>
        <w:t>labi, Tafsir, ad q 55:4, from an anonymous source; Goldziher, Grammar, 45, quoting Baghawi, Ma</w:t>
      </w:r>
      <w:r>
        <w:rPr>
          <w:rFonts w:eastAsia="Times New Roman" w:cs="Times New Roman" w:ascii="Times New Roman" w:hAnsi="Times New Roman"/>
          <w:color w:val="111111"/>
          <w:sz w:val="28"/>
          <w:szCs w:val="28"/>
          <w:lang w:val="en-US" w:bidi="en-US"/>
        </w:rPr>
        <w:t>ālim, presently still only in manuscript form; but thefigure "700" in Baghawī, Ma`ālim, iv, 266 has to be corrected</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Solehah Haji Yaacob, Dept. of Arabic Language and Literature of Islamic Revealed Knowledgeand Human Sciences, International Islamic University Malaysia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Zeki Majeed Hassan, Barry Heselwood, Instrumental Studies in Arabic Phonetics,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Vollers, Volkssprache, 169; Zwettler, Oral tradition, 117 -8, with discussion of this thesis; Versteegh, Arabic, 40- 1</w:t>
      </w:r>
      <w:r>
        <w:rPr>
          <w:rFonts w:eastAsia="Times New Roman" w:cs="Times New Roman" w:ascii="Times New Roman" w:hAnsi="Times New Roman"/>
          <w:color w:val="111111"/>
          <w:sz w:val="28"/>
          <w:szCs w:val="28"/>
          <w:rtl w:val="true"/>
          <w:lang w:val="en-US" w:bidi="en-US"/>
        </w:rPr>
        <w:t xml:space="preserve">. </w:t>
      </w:r>
      <w:bookmarkStart w:id="295" w:name="pg8898_139358"/>
    </w:p>
    <w:p>
      <w:pPr>
        <w:pStyle w:val="Heading2"/>
        <w:numPr>
          <w:ilvl w:val="1"/>
          <w:numId w:val="1"/>
        </w:numPr>
        <w:rPr/>
      </w:pPr>
      <w:bookmarkStart w:id="296" w:name="__RefHeading___Toc935639_2870459653"/>
      <w:bookmarkStart w:id="297" w:name="_Toc111"/>
      <w:bookmarkEnd w:id="295"/>
      <w:bookmarkEnd w:id="296"/>
      <w:r>
        <w:rPr>
          <w:rtl w:val="true"/>
        </w:rPr>
        <w:t>اضطراب نصّ القرآن في كلمات أنجليكانويفيرت</w:t>
      </w:r>
      <w:bookmarkEnd w:id="297"/>
    </w:p>
    <w:p>
      <w:pPr>
        <w:pStyle w:val="Heading3"/>
        <w:numPr>
          <w:ilvl w:val="2"/>
          <w:numId w:val="1"/>
        </w:numPr>
        <w:rPr/>
      </w:pPr>
      <w:bookmarkStart w:id="298" w:name="__RefHeading___Toc935641_2870459653"/>
      <w:bookmarkStart w:id="299" w:name="_Toc112"/>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الشيخ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البدري </w:t>
      </w:r>
      <w:r>
        <w:rPr>
          <w:rStyle w:val="FootnoteAnchor"/>
          <w:rtl w:val="true"/>
        </w:rPr>
        <w:footnoteReference w:id="239"/>
      </w:r>
    </w:p>
    <w:p>
      <w:pPr>
        <w:pStyle w:val="Heading3"/>
        <w:numPr>
          <w:ilvl w:val="2"/>
          <w:numId w:val="1"/>
        </w:numPr>
        <w:rPr/>
      </w:pPr>
      <w:bookmarkStart w:id="300" w:name="__RefHeading___Toc935643_2870459653"/>
      <w:bookmarkStart w:id="301" w:name="_Toc113"/>
      <w:bookmarkEnd w:id="300"/>
      <w:r>
        <w:rPr>
          <w:rtl w:val="true"/>
        </w:rPr>
        <w:t>الخلاصة</w:t>
      </w:r>
      <w:bookmarkEnd w:id="301"/>
    </w:p>
    <w:p>
      <w:pPr>
        <w:pStyle w:val="BookText"/>
        <w:rPr/>
      </w:pPr>
      <w:r>
        <w:rPr>
          <w:rFonts w:ascii="Amiri" w:hAnsi="Amiri" w:eastAsia="Amiri" w:cs="Amiri"/>
          <w:color w:val="111111"/>
          <w:sz w:val="28"/>
          <w:sz w:val="28"/>
          <w:szCs w:val="28"/>
          <w:rtl w:val="true"/>
          <w:lang w:bidi="ar-SA"/>
        </w:rPr>
        <w:t>تناول المقال أحد الجوانب اللّغويّة للنّصّ القرآنيّ، وهو الانسجام في جانبه الدّلاليّ والمعنويّ لا اللّفظيّ، أي الجانب الذي له صلة بالتّفسير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جانبٌ مهمٌّ في القرآن، وقد كان وما زال مثار جدل المفسّرين وبعض الفرق والمذاهب الإسلاميّة في السّابق وحتّى الآن، وبخاصّة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مثار جدلٍ ومحفّزٍ مهمٍّ للمستشرقين لأجل نقد هذا</w:t>
      </w:r>
    </w:p>
    <w:p>
      <w:pPr>
        <w:pStyle w:val="BookText"/>
        <w:rPr/>
      </w:pPr>
      <w:r>
        <w:rPr>
          <w:rFonts w:ascii="Amiri" w:hAnsi="Amiri" w:eastAsia="Amiri" w:cs="Amiri"/>
          <w:color w:val="111111"/>
          <w:sz w:val="28"/>
          <w:sz w:val="28"/>
          <w:szCs w:val="28"/>
          <w:rtl w:val="true"/>
          <w:lang w:bidi="ar-SA"/>
        </w:rPr>
        <w:t>الكتاب وأحيانًا النيل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الكثير منهم إلى هذه النّقطة وأحيانًا صرّحوا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لأصل هذه الشّبهة وشيئًا من تاريخها، ثمّ أوردنا ما أورده بعض لمستشرقين في هذا المجال، وبخاصة في موسوعة القرآن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بعد العمل على ترجمة بعض نصوصها، وبخاصّة من المدخلين المتعلّقين بالآية والسّورة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مقالان للمستشرقة أنجليكا نويفيرت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أوردنا الرّدود الواردة ورأينا في هذا المضمار في نهاية المطاف</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ملخّص ما انتهينا إليه هو وجود انسجامٍ في 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يخصّ بعض الآيات التي احتُمل عدم الانسجام فيها، فذلك يكون ناشئًا عن النّظرة إلى الموارد المشتبه بها في بعض تفاسيرها والغفلة عن التّفاسير الأخرى التي ترفع منها الشّبهة موضوع البحث</w:t>
      </w:r>
      <w:r>
        <w:rPr>
          <w:rFonts w:eastAsia="Amiri" w:cs="Amiri" w:ascii="Amiri" w:hAnsi="Amiri"/>
          <w:color w:val="111111"/>
          <w:sz w:val="28"/>
          <w:szCs w:val="28"/>
          <w:rtl w:val="true"/>
          <w:lang w:bidi="ar-SA"/>
        </w:rPr>
        <w:t xml:space="preserve">. </w:t>
      </w:r>
      <w:bookmarkStart w:id="302" w:name="pg8898_139360"/>
    </w:p>
    <w:p>
      <w:pPr>
        <w:pStyle w:val="BookText"/>
        <w:rPr/>
      </w:pPr>
      <w:bookmarkEnd w:id="302"/>
      <w:r>
        <w:rPr>
          <w:rFonts w:ascii="Amiri" w:hAnsi="Amiri" w:eastAsia="Amiri" w:cs="Amiri"/>
          <w:color w:val="111111"/>
          <w:sz w:val="28"/>
          <w:sz w:val="28"/>
          <w:szCs w:val="28"/>
          <w:rtl w:val="true"/>
          <w:lang w:bidi="ar-SA"/>
        </w:rPr>
        <w:t>أو أنّ وضعها في المكان الذي يؤدّي إلى تبلور هذه الشّبهة كان بأمرٍ من الرّسول، فقد كان يحدّد مواقع الآيات، وكان يأمر كتّاب القرآن بأن يضعوا الآيات المحدّدة في محالٍ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جانب آخر، فإنّ أسلوب الخطاب القرآنيّ هو في الأساس محاكاةٌ لِلِسان القوم ولأسلوب العرب آنذاك في الخطابات الشّفويّة، وقد كان يعتمد التنوّع والتنقّل بين الموضوعات، وكذلك يعود إلى أمورٍ أخرى أدرجناها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الرئيسة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انسجام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النّصّ</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935645_2870459653"/>
      <w:bookmarkStart w:id="304" w:name="_Toc114"/>
      <w:bookmarkEnd w:id="303"/>
      <w:r>
        <w:rPr>
          <w:rtl w:val="true"/>
        </w:rPr>
        <w:t>موضوع البحث</w:t>
      </w:r>
      <w:bookmarkEnd w:id="304"/>
    </w:p>
    <w:p>
      <w:pPr>
        <w:pStyle w:val="Heading4"/>
        <w:numPr>
          <w:ilvl w:val="3"/>
          <w:numId w:val="1"/>
        </w:numPr>
        <w:rPr/>
      </w:pPr>
      <w:bookmarkStart w:id="305" w:name="__RefHeading___Toc935647_2870459653"/>
      <w:bookmarkStart w:id="306" w:name="_Toc115"/>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 xml:space="preserve">الدّراسة تناولت الشّبهة التي طرحها الكثير من المستشرقين من قبيل بلاشير وكارلايل </w:t>
      </w:r>
      <w:r>
        <w:rPr>
          <w:rStyle w:val="FootnoteAnchor"/>
          <w:rtl w:val="true"/>
        </w:rPr>
        <w:footnoteReference w:id="240"/>
      </w:r>
      <w:r>
        <w:rPr>
          <w:rFonts w:ascii="Amiri" w:hAnsi="Amiri" w:eastAsia="Amiri" w:cs="Amiri"/>
          <w:color w:val="111111"/>
          <w:sz w:val="28"/>
          <w:sz w:val="28"/>
          <w:szCs w:val="28"/>
          <w:rtl w:val="true"/>
          <w:lang w:bidi="ar-SA"/>
        </w:rPr>
        <w:t xml:space="preserve">أو أكثرهم كما يذهب إلى ذلك البعض </w:t>
      </w:r>
      <w:r>
        <w:rPr>
          <w:rStyle w:val="FootnoteAnchor"/>
          <w:rtl w:val="true"/>
        </w:rPr>
        <w:footnoteReference w:id="241"/>
      </w:r>
      <w:r>
        <w:rPr>
          <w:rFonts w:ascii="Amiri" w:hAnsi="Amiri" w:eastAsia="Amiri" w:cs="Amiri"/>
          <w:color w:val="111111"/>
          <w:sz w:val="28"/>
          <w:sz w:val="28"/>
          <w:szCs w:val="28"/>
          <w:rtl w:val="true"/>
          <w:lang w:bidi="ar-SA"/>
        </w:rPr>
        <w:t xml:space="preserve">، وهي ما تُدعى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نظم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اضطراب النّصّ القرآنيّ من حيث النّظم المتّبع في التّدوين، وقد يُشار إليها أحيانًا باللّغة الإنجليزيّة بـ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disconnectedness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2"/>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incoherence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disjunction in Quranic passages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وذلك فيما إذا كان عدم الإنسجام بين مقاطع آية أو آيات من القرآن، أو فوضويّة القرآن </w:t>
      </w:r>
      <w:r>
        <w:rPr>
          <w:rStyle w:val="FootnoteAnchor"/>
          <w:rtl w:val="true"/>
        </w:rPr>
        <w:footnoteReference w:id="243"/>
      </w:r>
      <w:r>
        <w:rPr>
          <w:rFonts w:ascii="Amiri" w:hAnsi="Amiri" w:eastAsia="Amiri" w:cs="Amiri"/>
          <w:color w:val="111111"/>
          <w:sz w:val="28"/>
          <w:sz w:val="28"/>
          <w:szCs w:val="28"/>
          <w:rtl w:val="true"/>
          <w:lang w:bidi="ar-SA"/>
        </w:rPr>
        <w:t>، في إشارةٍ للبعض إلى وجود فوضى في ترتيب الآيات والسّور والموضوعات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هناك عباراتٌ واصطلاحاتٌ أخرى قد أشارت إلى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هنا أنّهم يشيرون إلى قضيّةٍ شغلت أذهان لا المستشرقين فحسب، بل حتّى بعض المسلمين ممّن يقرأ القرآن دون الإمعان والرّجوع إلى تفاسيره المختلفة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تصدّوا للإجابة على هذه الشبهة استعملوا أحيانًا اصطلاح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unity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of the text of the Quran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كما فعل مستنصر مير </w:t>
      </w:r>
      <w:r>
        <w:rPr>
          <w:rStyle w:val="FootnoteAnchor"/>
          <w:rtl w:val="true"/>
        </w:rPr>
        <w:footnoteReference w:id="244"/>
      </w:r>
      <w:r>
        <w:rPr>
          <w:rFonts w:ascii="Amiri" w:hAnsi="Amiri" w:eastAsia="Amiri" w:cs="Amiri"/>
          <w:color w:val="111111"/>
          <w:sz w:val="28"/>
          <w:sz w:val="28"/>
          <w:szCs w:val="28"/>
          <w:rtl w:val="true"/>
          <w:lang w:bidi="ar-SA"/>
        </w:rPr>
        <w:t xml:space="preserve">، ويُترجم هذا الاصطلاح إلى وحدة النّصّ، واستعملوا أحيانًا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coherence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التّماسك والإتّساق أو الانسجام، وأحيانًا أخرى اصطلاحات أو مفردات أخرى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قدماء ومتقدّمو علماء الاسلام الذين أشاروا إلى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مباشرٍ غير 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استعملوا مفردات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ومناسبة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الطّبرسّي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للإشارة إلى هذا المفهوم، وكذلك الرّازي حيث استعمل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النّظم</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والآلوسي </w:t>
      </w:r>
      <w:r>
        <w:rPr>
          <w:rStyle w:val="FootnoteAnchor"/>
          <w:rtl w:val="true"/>
        </w:rPr>
        <w:footnoteReference w:id="249"/>
      </w:r>
      <w:r>
        <w:rPr>
          <w:rFonts w:ascii="Amiri" w:hAnsi="Amiri" w:eastAsia="Amiri" w:cs="Amiri"/>
          <w:color w:val="111111"/>
          <w:sz w:val="28"/>
          <w:sz w:val="28"/>
          <w:szCs w:val="28"/>
          <w:rtl w:val="true"/>
          <w:lang w:bidi="ar-SA"/>
        </w:rPr>
        <w:t xml:space="preserve">وإصلاحي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الأردو، بل بنى مجمل نظريّته عليه وعلى هذا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استخدم الرّازيّ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تعلّق هذه الآية بما قبلها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البقاعيّ كأكثر المتأخّرين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قبيل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ومقصودها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العباد لربّهم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اسم كلّ سورة مترجم عن مقصودها؛ لأنّ اسم كلّ شيءٍ تلحظ المناسبة بينه وبين مسمّاه، وعنوانه الدالّ بالإجمال على تفصيل ما فيه</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نقل البقاعيّ عن آخرين سبقوه استخدامهم مفردة الغرض، حيث قال نقلاً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الكلّيّ المفيد لعرفان مناسبات الآيات في جميع القرآن هو أنّك </w:t>
      </w:r>
      <w:bookmarkStart w:id="307" w:name="pg8898_139364"/>
    </w:p>
    <w:p>
      <w:pPr>
        <w:pStyle w:val="BookText"/>
        <w:rPr/>
      </w:pPr>
      <w:bookmarkEnd w:id="307"/>
      <w:r>
        <w:rPr>
          <w:rFonts w:ascii="Amiri" w:hAnsi="Amiri" w:eastAsia="Amiri" w:cs="Amiri"/>
          <w:color w:val="111111"/>
          <w:sz w:val="28"/>
          <w:sz w:val="28"/>
          <w:szCs w:val="28"/>
          <w:rtl w:val="true"/>
          <w:lang w:bidi="ar-SA"/>
        </w:rPr>
        <w:t>تنظر الغرض الذي سيقت له السورة، وتنظر ما يحتاج إليه ذلك الغرض من المقدّمات</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اخترناه في دراسة تماسك النّصّ في هذا البحث هو ما يُدعى بوحدة النّصّ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unity of the text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وجهة نظرٍ تفسيريّةٍ للخروج بوحدة النصّ القرآني وتضامّه؛ باعتبار أنّ النّصّ إذا كان واحدًا، وصادرًا من واحدٍ لا بدّ أن يحظى بمواصفاتٍ تنشأ من طبيعة وحدة المصدر، والمواصفات هي التّماسك والانسجام ووحدة الموضوع والمقصد أحيانًا</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935649_2870459653"/>
      <w:bookmarkStart w:id="309" w:name="_Toc116"/>
      <w:bookmarkEnd w:id="308"/>
      <w:r>
        <w:rPr>
          <w:rtl w:val="true"/>
        </w:rPr>
        <w:t>البحث عن الانسجام الدّلاليّ بحثٌ شموليٌّ</w:t>
      </w:r>
      <w:bookmarkEnd w:id="309"/>
    </w:p>
    <w:p>
      <w:pPr>
        <w:pStyle w:val="Heading5"/>
        <w:numPr>
          <w:ilvl w:val="4"/>
          <w:numId w:val="1"/>
        </w:numPr>
        <w:rPr/>
      </w:pPr>
      <w:bookmarkStart w:id="310" w:name="__RefHeading___Toc935651_2870459653"/>
      <w:bookmarkStart w:id="311" w:name="_Toc117"/>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إنّ البحث عن الجانب الدّلاليّ للانسجام هو بحثٌ ناشيءٌ عن نظرةٍ شموليّةٍ للقرآن عكس البحث عن الجانب اللّفظيّ منه، ولذلك نجد تناول قدماء المفسّرين والعلماء الجانب اللّفظيّ منه، بينما القليل منهم تناول الجانب الدّلاليّ والمفهوميّ؛ وذلك لأنّ النّظرة الشّموليّة للقرآن كانت غير منظورةٍ، فهي غير مشهودةٍ عن علماء القرآن في الأزمنة الماضية، بينما هي منظورةٌ ومشهودةٌ أكثر عن متأخّري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الدّارج عن علماء القرآن ومفسّريه في العهود الماضية هو نظرتهم الدّقيقة والتجزيئيّة للقرآن، فيتناولون الآية ويسعون للنّظرة إليها نظرةً ،مجهريّةً، فيتناولونها من الجانب النّحويّ والبلاغيّ وعلوم أخرى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قلّما يتناولون القرآن من الناحية الشّموليّة، أي النّظرة إليه بالقياس إلى كلّ القرآن ومقاصده وأهدافه، أو بالقياس إلى الآيات والسّور الأخرى بينما نجد هذا حاصلاً في دراسات وتفاسير العلماء المحدثين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النّظرة الشّموليّة للقرآن ولّدت في البرهة الأخيرة تفاسير غير معهودةٍ بشكلٍ واسعٍ في الأزمنة الماضية، وهي من قبيل التّفاسير الموضوعيّة، أو التّفاسير النّاظرة إلى جوانب خاصّة من القرآن، مثل التّفاسير العلميّة</w:t>
      </w:r>
      <w:r>
        <w:rPr>
          <w:rFonts w:eastAsia="Amiri" w:cs="Amiri" w:ascii="Amiri" w:hAnsi="Amiri"/>
          <w:color w:val="111111"/>
          <w:sz w:val="28"/>
          <w:szCs w:val="28"/>
          <w:rtl w:val="true"/>
          <w:lang w:bidi="ar-SA"/>
        </w:rPr>
        <w:t xml:space="preserve">. </w:t>
      </w:r>
      <w:bookmarkStart w:id="312" w:name="pg8898_139366"/>
    </w:p>
    <w:p>
      <w:pPr>
        <w:pStyle w:val="Heading5"/>
        <w:numPr>
          <w:ilvl w:val="4"/>
          <w:numId w:val="1"/>
        </w:numPr>
        <w:rPr/>
      </w:pPr>
      <w:bookmarkStart w:id="313" w:name="__RefHeading___Toc935653_2870459653"/>
      <w:bookmarkStart w:id="314" w:name="_Toc118"/>
      <w:bookmarkEnd w:id="312"/>
      <w:bookmarkEnd w:id="313"/>
      <w:r>
        <w:rPr>
          <w:rtl w:val="true"/>
        </w:rPr>
        <w:t>أوّلًا</w:t>
      </w:r>
      <w:r>
        <w:rPr>
          <w:rtl w:val="true"/>
        </w:rPr>
        <w:t xml:space="preserve">: </w:t>
      </w:r>
      <w:r>
        <w:rPr>
          <w:rtl w:val="true"/>
        </w:rPr>
        <w:t>اصطلاحات البحث</w:t>
      </w:r>
      <w:bookmarkEnd w:id="314"/>
    </w:p>
    <w:p>
      <w:pPr>
        <w:pStyle w:val="Heading6"/>
        <w:numPr>
          <w:ilvl w:val="5"/>
          <w:numId w:val="1"/>
        </w:numPr>
        <w:rPr/>
      </w:pPr>
      <w:bookmarkStart w:id="315" w:name="__RefHeading___Toc935655_2870459653"/>
      <w:bookmarkStart w:id="316" w:name="_Toc119"/>
      <w:bookmarkEnd w:id="315"/>
      <w:r>
        <w:rPr>
          <w:rtl w:val="true"/>
        </w:rPr>
        <w:t>اشارة</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انسجام</w:t>
      </w:r>
    </w:p>
    <w:p>
      <w:pPr>
        <w:pStyle w:val="BookText"/>
        <w:rPr/>
      </w:pPr>
      <w:r>
        <w:rPr>
          <w:rFonts w:ascii="Amiri" w:hAnsi="Amiri" w:eastAsia="Amiri" w:cs="Amiri"/>
          <w:color w:val="111111"/>
          <w:sz w:val="28"/>
          <w:sz w:val="28"/>
          <w:szCs w:val="28"/>
          <w:rtl w:val="true"/>
          <w:lang w:bidi="ar-SA"/>
        </w:rPr>
        <w:t>استخدم في الإنجليزية وفي علم اللّغة النّصّي اصطلاحان في هذا المجال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Coherence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ويستخدم هذا الاصطلاح للإشارة إلى الرّوابط الدّلاليّة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العلاقات التي تربط معاني الأقوال في الخطاب أو معاني الجمل في النّصّ، بينما يستخدم </w:t>
      </w:r>
      <w:r>
        <w:rPr>
          <w:rFonts w:eastAsia="Times New Roman" w:cs="Times New Roman" w:ascii="Times New Roman" w:hAnsi="Times New Roman"/>
          <w:color w:val="111111"/>
          <w:sz w:val="28"/>
          <w:szCs w:val="28"/>
          <w:lang w:val="en-US" w:bidi="en-US"/>
        </w:rPr>
        <w:t>Cohesion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للإشارة إلى الرّوابط الشّكليّة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تعريفه بالنّحو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احتواء النّصّ لأدوات الرّبط اللّفظيّة واللّغويّة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تربط بين جميع أجزائه وكذلك الرّبط الدّلالي بين معاني النّص ومفاهيمه، منتجًا معنًى أو معانٍ عقلائيّةٍ معتدٍّ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من أدوات الرّبط اللّفظيّة واللّغويّة هو الإشارة إلى الأدوات التي تُستخدم في اللّغة للرّبط بين أجزاء الكلام،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العطف، لكن، بل،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من الرّبط الدّلاليّ هو وجود علائق معنويّة تربط بين أجزاء النّصّ، من قبيل وحدة الموضوع ووحدة المقام والمقصد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مفردتا التناسب والمناسبة اللّتين اُستخدمتا قديمًا من قبل علماء القرآن، يُعدّان جذورًا لاصطلاح الانسجام الذي درج استخدامه في هذا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w:t>
      </w:r>
    </w:p>
    <w:p>
      <w:pPr>
        <w:pStyle w:val="BookText"/>
        <w:rPr/>
      </w:pPr>
      <w:r>
        <w:rPr>
          <w:rFonts w:ascii="Amiri" w:hAnsi="Amiri" w:eastAsia="Amiri" w:cs="Amiri"/>
          <w:color w:val="111111"/>
          <w:sz w:val="28"/>
          <w:sz w:val="28"/>
          <w:szCs w:val="28"/>
          <w:rtl w:val="true"/>
          <w:lang w:bidi="ar-SA"/>
        </w:rPr>
        <w:t>النّصّ كلام غير مقيّدٍ بحجمٍ خاصٍّ، وقد يكون جملةً أو جمل عدّة أو مقطعًا أو بحثًا كاملًا من قبيل كتاب، فهو شاملٌ لجميع الأحجام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بين جمله ترابطٌ وانسجامٌ معقولٌ موضع قبول العقلاء من المخاطِبين والمخاطَبين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هو فكرةٌ مقدّمةٌ بواسطة مفردات لغةٍ خاصّةٍ، فهو فكرةً ولغةٌ، ودور اللّغة هنا هو الوسيط، نحترز بها عن وسائل التّعبير الأخرى، من قبيل </w:t>
      </w:r>
      <w:bookmarkStart w:id="317" w:name="pg8898_139368"/>
    </w:p>
    <w:p>
      <w:pPr>
        <w:pStyle w:val="BookText"/>
        <w:rPr/>
      </w:pPr>
      <w:bookmarkEnd w:id="317"/>
      <w:r>
        <w:rPr>
          <w:rFonts w:ascii="Amiri" w:hAnsi="Amiri" w:eastAsia="Amiri" w:cs="Amiri"/>
          <w:color w:val="111111"/>
          <w:sz w:val="28"/>
          <w:sz w:val="28"/>
          <w:szCs w:val="28"/>
          <w:rtl w:val="true"/>
          <w:lang w:bidi="ar-SA"/>
        </w:rPr>
        <w:t>التّمثيل والفنون التّشكيليّة وغير التّشكيليّة، فإنّ بإمكانها أن تعبّر عن الفكرة لكن بغير اللّغة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الخطاب</w:t>
      </w:r>
    </w:p>
    <w:p>
      <w:pPr>
        <w:pStyle w:val="BookText"/>
        <w:rPr/>
      </w:pPr>
      <w:r>
        <w:rPr>
          <w:rFonts w:ascii="Amiri" w:hAnsi="Amiri" w:eastAsia="Amiri" w:cs="Amiri"/>
          <w:color w:val="111111"/>
          <w:sz w:val="28"/>
          <w:sz w:val="28"/>
          <w:szCs w:val="28"/>
          <w:rtl w:val="true"/>
          <w:lang w:bidi="ar-SA"/>
        </w:rPr>
        <w:t>تعدّدت البُحوث التي أُدرجت تحت عنوان الخطاب، سواء من ناحية علماء الإسلام أو علماء المنطق أو علماء اللسانيات، فتدارسوا في هذا المجال أمورًا،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تعريفاته،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عن النّصّ،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مواصفاته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غضّ النّظر عن التّعاريف المتقدّمة وما يُراد منها بالدّقّة، فإنّ المراد من الخطاب في كلمات علماء اللّغة واللّسانيات المعاصرين هو الكلام الشّفويّ الذي يُلقى كمحاظرات أو ما شابه ذلك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المراد في بحثنا</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935657_2870459653"/>
      <w:bookmarkStart w:id="319" w:name="_Toc120"/>
      <w:bookmarkEnd w:id="318"/>
      <w:r>
        <w:rPr>
          <w:rtl w:val="true"/>
        </w:rPr>
        <w:t>القرآن نصٌّ أم خطابٌ؟</w:t>
      </w:r>
      <w:bookmarkEnd w:id="31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القرآن نصًّا أو خطابًا كان وما زال موضع نقاش من تعرّض لدراسة 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البعض إلى عدم الفرق بينهما، وآثر استخدام أحدهما، وهو النّصّ، مكان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التّحليل اللّغويّ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اختلافاتٌ غير قليلةٍ في هذا المجال </w:t>
      </w:r>
      <w:r>
        <w:rPr>
          <w:rStyle w:val="FootnoteAnchor"/>
          <w:rtl w:val="true"/>
        </w:rPr>
        <w:footnoteReference w:id="256"/>
      </w:r>
      <w:r>
        <w:rPr>
          <w:rFonts w:ascii="Amiri" w:hAnsi="Amiri" w:eastAsia="Amiri" w:cs="Amiri"/>
          <w:color w:val="111111"/>
          <w:sz w:val="28"/>
          <w:sz w:val="28"/>
          <w:szCs w:val="28"/>
          <w:rtl w:val="true"/>
          <w:lang w:bidi="ar-SA"/>
        </w:rPr>
        <w:t>، نحيلها إلى محالها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أبينّ رأيي من خلال إيضاح أمور 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بوجود بعض الاختلافات الطّفيفة بين الخطاب الشّفويّ والنّصّ المكتوب، وبخاصّة في مجال التوظيفات اللّغويّة في مثل التّعجّب والاستهزاء أو ما شابه ذلك، واعتماد لغة الإشارة التي تتزامن مع الخطاب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التوظيفات المزبورة تبين في الخطاب الشّفويّ بنحو الإشارة أو تغييرٍ في نبرات الصّوت وتقاطيع الوجه وما شابه، بينما في النّصّ المكتوب بشكلٍ آخر ومن خلال استخدام علامة أو تعبير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النّتيجة لا نجد التأثير الواضح أو المهم فيما لو قلنا بأنّ القرآن خطابٌ أو نصٌّ إلاّ من حيث أسلوب الطّرح، فإنّ النّصّ المكتوب يختلف في أسلوب الطّرح عن أسلوب الخطاب، وكذلك احتمال وجود قرائن تخفى علينا، استخدمها الخطيب من خلال الإشارة أو بشكلٍ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يستدعي هذا دقّة المفسّر للكشف عن القرائن الحاليّة التي تحكي المراد النّهائي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يبدو لنا حاجة لوضع قواعد تفسّر الخطاب بنحوٍ آخر غير قواعد تفسير النّصّ إلاّ فيما يخصّ القرينة التي يمكن أن تكون مقاليّة أو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والقرينة المزبورة يمكن استكشافها من خلال بعض الشّواهد التّاريخيّة والمتزامنة مع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أن نقول بأنّا نجهل بالكامل القرائن المزبورة، وذلك باعتبار وجود شواهد تاريخيّة بعضها تقترن مع النّصّ، كما في بعض الرّوايات، ففيها حكاية بعض الإشارات التي استخدمها الرّسول عند اطلاقه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فيما يخصّ الآيات فإنّ بعض الرّوايات حكت تلك القرائن لكنّها قد لا تكون حاكيةً لجميع تلك القرائن ولجميع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قد يصعب استكشافها واليقين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المهم الذي يمكن أن يُشهد في التمييز بين الخطاب والنّصّ هو لفظي فحسب، فالتعبير الذي يمكن أن يستخدم في الخطاب يختلف أحيانًا عن التعبير الذي يستخدم في النّصوص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الاختلاف جزئيٌّ وليس كليًّا، فلا يمكن القول بأنّ تعابير الخطاب تختلف بالكامل عن تعابير النّصوص، بل تشترك أحيانًا وتختلف أحيانًا أخرى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لا شكّ أنّ القرآن في بداية نزوله كان خطابًا شفويًّا ثمّ تحوّل نضًّا فيما </w:t>
      </w:r>
    </w:p>
    <w:p>
      <w:p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ممّا لا شكّ فيه أيضًا أنّ السّور والآيات المشهودة حاليًّا تعدّ نصوصًا، وإن قد تكون متأثّرة بأصلها الخطابي والشّفوي، لكنّ إثبات كونها خطاباتٍ بحتةً ولا يمكن عدّها نصوصًا، ممّا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بعض آثار خطابيّة وشفاهيّة النّصّ القرآني المعهود، وذلك مشهود أكثر في الآيات التي اعتمدت في تفسيرها شأن النّزول، ويصعب فهمها دون الرّوايات والآثار التي وضّحت شأن النّزول، ما يعني امتلاكنا الشّواهد والقرائن الحاليّة والمقاليّة لتفسيرها وتوضيحها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الموارد المتأثّرة بخطابيّة القرآن غالبًا ما تتوافر لدينا في مجالها قرائن من روايات أو آثار أو أدلّة عقليّة، ويرفض احتمال قرائن أخرى ليست في متناول أيدينا بانعدام الدّليل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وبرغم أنّا نحتمل هذا في بعض الآيات والسّور إلا أنّه لا إطلاق للقول بوجود قرائن لم تصل إلينا، فهذا القول يحتاج إلى دليلٍ على انعدام القرائن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انعدام الدّليل على هذا الأمر نقول بعدم وجود قرائن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 هنا أنّ القرآن نصُّ وإن كان خطابًا في الأصل، ويمكن القول بأنّه نصّ وخطابٌ، مع أنّه لا فرق مهمًّا يُذكر في مجال تحليل كلّ من النّصّ والخطاب، ونتعامل مع القرآن تعاملنا مع أي نصٍّ مع غضّ النّظر عن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يختلف في شؤون من قبيل منهج الطّرح الذي يستخدم في البيان على نمط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وحدة النّصّ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Unity of the text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يكون هذا الاصطلاح أهمّ اصطلاح وذا صلةٍ، لذلك نراه جديًرا بأن يستوقفنا هنا ونقول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لدى العقلاء أن يكون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وحدةٍ موضوعيّةٍ، أي متمركزاً على موضوعٍ محدّدٍ غير متعدّد المواضيع والمجالات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هذا مبدأً تسالمت عليه البشريّة، ويُهمل الكلام الذي لا يحظى بهذا المبدأ</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فإنّ هناك شبهاتٍ طُرحت حول القرآن، تناولت هذه المسألة </w:t>
      </w:r>
    </w:p>
    <w:p>
      <w:pPr>
        <w:pStyle w:val="BookText"/>
        <w:rPr/>
      </w:pPr>
      <w:r>
        <w:rPr>
          <w:rFonts w:ascii="Amiri" w:hAnsi="Amiri" w:eastAsia="Amiri" w:cs="Amiri"/>
          <w:color w:val="111111"/>
          <w:sz w:val="28"/>
          <w:sz w:val="28"/>
          <w:szCs w:val="28"/>
          <w:rtl w:val="true"/>
          <w:lang w:bidi="ar-SA"/>
        </w:rPr>
        <w:t>معتبرةً القرآن لا يحظى بوحدةٍ موضوعيّةٍ في سوره بل في الآية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وانعدام هذا المبدأ في حقيقته يسلب النّصّ الانسجام اللّازم، ولذلك يُعدّ من مصاديق البحث ومجالاته في انسجام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تناوله بشيءٍ من التفصيل عند البحث في النّماذج التي يُدّعى كونها فاقدةً لهذا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وحدة النّصّ اصطلاحٌ يشترك مع الانسجام في ضرورة التناسق والتّناغم في النّصّ، لكن يختلف في أنّ زاوية النّظر في كلٍّ منهما تختلف عن الأخرى، فمصطلح وحدة النّصّ ناظرٌ إلى كون الأسلوب أو المنهج في صياغة النّصّ بمجمله صدر من واحدٍ يعتمد طريقة أو طرائق معيّنة، والانسجام ناظرٌ إلى ذلك وإلى أمورٍ أخرى تقدّم الحديث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في الانسجام من رعاية وحدة النّصّ وعدم إثنينيّته أو تعدّديّته في المستويات الآتي ذكرها، للخروج بنتيجة صدوره من واحدٍ يحمل مواصفات الفكر الواحد والأسلوب الواحد وأمور أخرى تبدو لنا من مستلزمات وحدة النّصّ والانسجام في النّهاية، فإنّ الانسجام والتّناغم يستلزم الأمور المذكورة، ودونها لا يصدق الانسجام أو لا يصدق بمستواه الرّفيع والكامل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 إذا كتب من قبل أكثر من شخصٍ واحدٍ وجدنا فيه غالبًا عدم انسجامٍ ولو في بعض المستويات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مقالات الموسوعات التي تُكتب من قبل أكثر من واحد، فإنّ الاختلاف والإثنينيّة أو التّعدّديّة واضح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شؤونٍ ليست مهمّة بالنسبة إلى الموسوعة، وذلك من قبيل عدم الانسجام في الصياغات الأدبيّة وفي طريقة التّدوين وما 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أنّه غالبًا ما يكون هناك منسّق يسعى للتوفيق بين المقالات المختلفة إلاّ أنّ الاختلاف والإثنيّة أو التّعدّديّة تبقى فارقًا بين المقال والآخر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كاتبٍ لنصٍّ خاصٍّ، مثل مقال أو كتاب، يسعى لأن يتّخذ نمطًا واحدًا من الكتابة من نواحٍ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وتصوّراتي في هذا المضمار أنّ وحدة النّصّ حقيقتها عبارة عن مستوياتٍ من الوحدة يراعيها الكاتب، وهي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أو المقصد، </w:t>
      </w:r>
      <w:bookmarkStart w:id="320" w:name="pg8898_139376"/>
    </w:p>
    <w:p>
      <w:pPr>
        <w:pStyle w:val="BookText"/>
        <w:rPr/>
      </w:pPr>
      <w:bookmarkEnd w:id="320"/>
      <w:r>
        <w:rPr>
          <w:rFonts w:ascii="Amiri" w:hAnsi="Amiri" w:eastAsia="Amiri" w:cs="Amiri"/>
          <w:color w:val="111111"/>
          <w:sz w:val="28"/>
          <w:sz w:val="28"/>
          <w:szCs w:val="28"/>
          <w:rtl w:val="true"/>
          <w:lang w:bidi="ar-SA"/>
        </w:rPr>
        <w:t>والموضوع، ومستوى الخطاب والشريحة المراد خطابها، ومنهج ترتيب البحوث والفصول، والمستوى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وتتعزّز هذه المستويات من الوحدة فيما إذا كان الكاتب واحدًا، أما إذا تعدّد الكُتّاب فاحتمالات تبلور الاضطرابات النّصّيّة تزداد، وأقلّها الاختلاف في المستويات الأدبيّة؛ فإنّا قد لا نجد اثنين من البشر يتّفقان في المستوى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المستوى الأدبي والقلم بمثابة البصمة الوراثيّة التي قد لا يتّفق اثنان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يخصّ القرآن فإنّ وحدة مستواه الأدبي أمرٌ مشهودٌ، ولا أتصوّر هناك من يشكّ فيه، وله مستوى خاص، بحيث يمكن للقارىء أن يميّز النّصّ ما إذا كان آية من، القرآن أو نضًّا عاديًا، وقد تحقّقت هذه الوحدة من أوّله إلى آخره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نلحظ القرآن كموسوعةٍ ذات موضوعاتٍ وأساليبَ ومناهجَ وصياغاتٍ أدبيّةٍ مختلفةٍ ومكتوبةٍ من قبل عدّة كُتّاب، وقام بجمعها شخصٌ واحدٌ، فإنّ هذا غير مشهودٍ كما هو مشهود في الموسوعات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شاهد على رعاية الوحدة النّصيَّة في هذا الكتاب، وعدم تدوينه من قبل أكثر من مدوّنٍ وكاتبٍ واحدٍ؛ لكون الوحدة النّصيّة قد رُوعيت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اعتبار هذه الأمور من الوحدة هو كون ذلك شأن الكتاب الذي يصدر من الإنسان العربي والعقلائيّ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انعدام هذه الأمور تؤدّي إلى اضطرابٍ في النّصّ، فهي في حقيقتها مناشىءٌ لاضطراب النّصّ واختلاله</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935659_2870459653"/>
      <w:bookmarkStart w:id="322" w:name="_Toc121"/>
      <w:bookmarkEnd w:id="321"/>
      <w:r>
        <w:rPr>
          <w:rtl w:val="true"/>
        </w:rPr>
        <w:t>ثانيًا</w:t>
      </w:r>
      <w:r>
        <w:rPr>
          <w:rtl w:val="true"/>
        </w:rPr>
        <w:t xml:space="preserve">: </w:t>
      </w:r>
      <w:r>
        <w:rPr>
          <w:rtl w:val="true"/>
        </w:rPr>
        <w:t>شبهة اضطراب النّصّ القرآنيّ</w:t>
      </w:r>
      <w:bookmarkEnd w:id="322"/>
    </w:p>
    <w:p>
      <w:pPr>
        <w:pStyle w:val="Heading6"/>
        <w:numPr>
          <w:ilvl w:val="5"/>
          <w:numId w:val="1"/>
        </w:numPr>
        <w:rPr/>
      </w:pPr>
      <w:bookmarkStart w:id="323" w:name="__RefHeading___Toc935661_2870459653"/>
      <w:bookmarkStart w:id="324" w:name="_Toc122"/>
      <w:bookmarkEnd w:id="323"/>
      <w:r>
        <w:rPr>
          <w:rtl w:val="true"/>
        </w:rPr>
        <w:t>اشارة</w:t>
      </w:r>
      <w:bookmarkEnd w:id="3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 تاريخيًّا</w:t>
      </w:r>
    </w:p>
    <w:p>
      <w:pPr>
        <w:pStyle w:val="BookText"/>
        <w:rPr/>
      </w:pPr>
      <w:r>
        <w:rPr>
          <w:rFonts w:ascii="Amiri" w:hAnsi="Amiri" w:eastAsia="Amiri" w:cs="Amiri"/>
          <w:color w:val="111111"/>
          <w:sz w:val="28"/>
          <w:sz w:val="28"/>
          <w:szCs w:val="28"/>
          <w:rtl w:val="true"/>
          <w:lang w:bidi="ar-SA"/>
        </w:rPr>
        <w:t>هناك شواهد تاريخيّة تدلّ على أنّ القرآن وأتباعه ليسوا حديثي العهد مع شبهة اضطراب القرآن، وإن اختلف شكلها وكيفيّة طرحها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الصّعب تحديد بداية طرح هذه الشّبهة وأوّل من طرحها، لكنّ من المسلّم في ذلك أنّها كانت مطروحةً في القرون الأولى للإسلام، بل في القرن الأوّل منه، بدليل </w:t>
      </w:r>
      <w:bookmarkStart w:id="325" w:name="pg8898_139379"/>
    </w:p>
    <w:p>
      <w:pPr>
        <w:pStyle w:val="BookText"/>
        <w:rPr/>
      </w:pPr>
      <w:bookmarkEnd w:id="325"/>
      <w:r>
        <w:rPr>
          <w:rFonts w:ascii="Amiri" w:hAnsi="Amiri" w:eastAsia="Amiri" w:cs="Amiri"/>
          <w:color w:val="111111"/>
          <w:sz w:val="28"/>
          <w:sz w:val="28"/>
          <w:szCs w:val="28"/>
          <w:rtl w:val="true"/>
          <w:lang w:bidi="ar-SA"/>
        </w:rPr>
        <w:t>وجود رواياتٍ تحكي مناظرةً ونقاشًا دار بين الإمام علي وزنديق معاصر له، ورواية أو روايات أخرى أشارت بشكلٍ ضمنيٍّ إلى هذه الشّبهة، سنوردها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أحمد أبو زيد أنّ بعض الرّوايات الواردة في تحديد شأن نزول الآيات، مثل تلك التي وردت في تحديد شأن نزول الآية الثّالثة من سورة المائدة وغيرها من الآيات، هي في الواقع تعكس بنحوٍ غير مباشرٍ تبلور شبهات في أذهان الصّحابة</w:t>
      </w:r>
    </w:p>
    <w:p>
      <w:pPr>
        <w:pStyle w:val="BookText"/>
        <w:rPr/>
      </w:pPr>
      <w:r>
        <w:rPr>
          <w:rFonts w:ascii="Amiri" w:hAnsi="Amiri" w:eastAsia="Amiri" w:cs="Amiri"/>
          <w:color w:val="111111"/>
          <w:sz w:val="28"/>
          <w:sz w:val="28"/>
          <w:szCs w:val="28"/>
          <w:rtl w:val="true"/>
          <w:lang w:bidi="ar-SA"/>
        </w:rPr>
        <w:t xml:space="preserve">دعتهم للاستفسار عن مثل هذه الآية ومعرفة محتواها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أنّها كانت مطروحةً في القرن الرّابع كذلك، بدليل طرحها من قبل علي بن إبراهيم القمّي في تفسيره، وكذلك في القرن السادس بدليل طرحها من قبل الزّركشي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نفس طرح بحوث التّناسب والمناسبة في النّصّ القرآني من قبل علماء في القرن السادس فما بعده يكشف عن وجود مستشكلٍ أو مستشكلين دعى هؤلاء العلماء لطرح هذا البحث وتناول هذا الجانب من القرآن بالدّراسة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برغم عدم تحديد المستشكل أو المستشكلين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في القرون الأخيرة فمن الواضح وجود مستشكلين في هذا المضمار لا على مستوى المستشرقين فحسب، بل على مستوى المسلمين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بدليل طرح نظریّات تناولت تحديد مقاصد القرآن أو محوره أو أغراضه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الخطوات تُنبئ عن وجود شبهة عدم وجود رابطٍ بين الموضوعات المطروحة في القرآن، ما دعى علماء الإسلام لدراسة هذا الكتاب من هذه الجهة</w:t>
      </w:r>
      <w:r>
        <w:rPr>
          <w:rFonts w:eastAsia="IRNazanin" w:cs="IRNazanin"/>
          <w:color w:val="111111"/>
          <w:sz w:val="28"/>
          <w:szCs w:val="28"/>
          <w:rtl w:val="true"/>
          <w:lang w:bidi="fa-IR"/>
        </w:rPr>
        <w:t>.</w:t>
      </w:r>
    </w:p>
    <w:p>
      <w:pPr>
        <w:pStyle w:val="Heading6"/>
        <w:numPr>
          <w:ilvl w:val="5"/>
          <w:numId w:val="1"/>
        </w:numPr>
        <w:rPr/>
      </w:pPr>
      <w:bookmarkStart w:id="326" w:name="__RefHeading___Toc935663_2870459653"/>
      <w:bookmarkStart w:id="327" w:name="_Toc123"/>
      <w:bookmarkEnd w:id="326"/>
      <w:r>
        <w:rPr>
          <w:rtl w:val="true"/>
        </w:rPr>
        <w:t>الرّوايات التي أشارت للشّبهة</w:t>
      </w:r>
      <w:bookmarkEnd w:id="32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رواية وردت في مناظرة جرت بين الإمام علي وزنديق أشار فيها إلى ما بدا له من اضطراب، ففيها ورد قول الزنديق بهذا النحو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w:t>
      </w:r>
      <w:bookmarkStart w:id="328" w:name="pg8898_139381"/>
    </w:p>
    <w:p>
      <w:pPr>
        <w:pStyle w:val="BookText"/>
        <w:rPr/>
      </w:pPr>
      <w:bookmarkEnd w:id="328"/>
      <w:r>
        <w:rPr>
          <w:rFonts w:ascii="IRNazanin" w:hAnsi="IRNazanin" w:eastAsia="IRNazanin"/>
          <w:color w:val="111111"/>
          <w:sz w:val="28"/>
          <w:sz w:val="28"/>
          <w:szCs w:val="28"/>
          <w:rtl w:val="true"/>
          <w:lang w:bidi="fa-IR"/>
        </w:rPr>
        <w:t>خفتم ألاّ تقسطوا في اليتامى فأنكحوا ما طاب لكم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يشبه القسط في اليتامى نكاح النساء، ولا كلّ النساء أيتام، فما معنی ذلك </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يمكن استفادة هذا الاضطراب من روايات أخرى كذلك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9" w:name="__RefHeading___Toc935665_2870459653"/>
      <w:bookmarkStart w:id="330" w:name="_Toc124"/>
      <w:bookmarkEnd w:id="329"/>
      <w:r>
        <w:rPr>
          <w:rtl w:val="true"/>
        </w:rPr>
        <w:t>كلمات العلماء في الشّبهة</w:t>
      </w:r>
      <w:bookmarkEnd w:id="330"/>
    </w:p>
    <w:p>
      <w:pPr>
        <w:pStyle w:val="BookText"/>
        <w:rPr/>
      </w:pPr>
      <w:r>
        <w:rPr>
          <w:rFonts w:ascii="Amiri" w:hAnsi="Amiri" w:eastAsia="Amiri" w:cs="Amiri"/>
          <w:color w:val="111111"/>
          <w:sz w:val="28"/>
          <w:sz w:val="28"/>
          <w:szCs w:val="28"/>
          <w:rtl w:val="true"/>
          <w:lang w:bidi="ar-SA"/>
        </w:rPr>
        <w:t>أشار بعض العلماء والمفسّرين إلى هذه الشّبهة بأنحاءٍ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التّفسير المنسوب إلى علي بن إبراهيم القمي </w:t>
      </w:r>
      <w:r>
        <w:rPr>
          <w:rStyle w:val="FootnoteAnchor"/>
          <w:rtl w:val="true"/>
        </w:rPr>
        <w:footnoteReference w:id="261"/>
      </w:r>
      <w:r>
        <w:rPr>
          <w:rFonts w:ascii="Amiri" w:hAnsi="Amiri" w:eastAsia="Amiri" w:cs="Amiri"/>
          <w:color w:val="111111"/>
          <w:sz w:val="28"/>
          <w:sz w:val="28"/>
          <w:szCs w:val="28"/>
          <w:rtl w:val="true"/>
          <w:lang w:bidi="ar-SA"/>
        </w:rPr>
        <w:t>من أعلام القرن الثالث والرابع من الهجرة أشار إلى موارد من القرآن يبدو فيها الاضطراب، مثل تقديم ما حقّه التأخير،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التّقديم والتّأخير فإنّ آية عدّة النّساء النّاسخة مقدّمة على المنسوخة؛ لأنّ في التّأليف قد قدّمت آية عدّة النّساء أربعة أشهر وعشرًا </w:t>
      </w:r>
      <w:r>
        <w:rPr>
          <w:rStyle w:val="FootnoteAnchor"/>
          <w:rtl w:val="true"/>
        </w:rPr>
        <w:footnoteReference w:id="262"/>
      </w:r>
      <w:r>
        <w:rPr>
          <w:rFonts w:ascii="Amiri" w:hAnsi="Amiri" w:eastAsia="Amiri" w:cs="Amiri"/>
          <w:color w:val="111111"/>
          <w:sz w:val="28"/>
          <w:sz w:val="28"/>
          <w:szCs w:val="28"/>
          <w:rtl w:val="true"/>
          <w:lang w:bidi="ar-SA"/>
        </w:rPr>
        <w:t>على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سنة كاملة </w:t>
      </w:r>
      <w:r>
        <w:rPr>
          <w:rStyle w:val="FootnoteAnchor"/>
          <w:rtl w:val="true"/>
        </w:rPr>
        <w:footnoteReference w:id="263"/>
      </w:r>
      <w:r>
        <w:rPr>
          <w:rFonts w:ascii="Amiri" w:hAnsi="Amiri" w:eastAsia="Amiri" w:cs="Amiri"/>
          <w:color w:val="111111"/>
          <w:sz w:val="28"/>
          <w:sz w:val="28"/>
          <w:szCs w:val="28"/>
          <w:rtl w:val="true"/>
          <w:lang w:bidi="ar-SA"/>
        </w:rPr>
        <w:t>وكان يجب أوّلاً أن تقرأ المنسوخة التي نزلت قبل ثمّ النّاسخة التي نزلت بعده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موارد أخرى أشار فيها إلى ما يبدو منه من اضطراب</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الشّيخ معرفة، وهو من العلماء المعاصرين، إلى بعضٍ من الآيات التي يبدو منها هكذا اضطراب ويقول</w:t>
      </w:r>
      <w:r>
        <w:rPr>
          <w:rFonts w:eastAsia="Amiri" w:cs="Amiri" w:ascii="Amiri" w:hAnsi="Amiri"/>
          <w:color w:val="111111"/>
          <w:sz w:val="28"/>
          <w:szCs w:val="28"/>
          <w:rtl w:val="true"/>
          <w:lang w:bidi="ar-SA"/>
        </w:rPr>
        <w:t xml:space="preserve">: </w:t>
      </w:r>
      <w:bookmarkStart w:id="331" w:name="pg8898_139383"/>
    </w:p>
    <w:p>
      <w:pPr>
        <w:pStyle w:val="BookText"/>
        <w:rPr/>
      </w:pPr>
      <w:bookmarkEnd w:id="3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ذلك ما نجده في سورة الممتحنة، تبدأ هذه السّورة بآيات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العام الثّامن بعد الهجرة بشأن حاطب بن أبي بلتعة، كان قد كاتب قريشًا يخبرهم بتأهّب النّبّي لغزو مكّة، وكان النّبي يحاول الإخفاء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وتتعقّب هذه الآيات آيتان بشأن سبيعة الأسلميّة عام الست من الهجرة، كانت قد أتت النّبي مسلمةً مهاجرةً، تاركةً زوجها الكافر، فجاء في طلبها، فاستعصمت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وصادف مجيؤه صلح الحديبيّة، كان النّبي ّعاهد قريشًا أن يردّ عليهم كلّ من يأتيه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الزّوج في محاججة النّبيّ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عليّ امرأتي على ما شرطت لنا وهذه طينة الكتاب لم تجف، فتحرّج النّبيّ في أمرها، فنزلت الآيتان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هاتين الآيتين آيات نزلت بشأن مبايعة النّساء عام الفتح، وهي السّنة التاسعة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الآية الأخيرة من السّورة فإنّها ترتبط مع آيات الصّدر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دراسة هذه السّورة تعطينا خروجًا على النّظم الطّبيعيّ</w:t>
      </w:r>
    </w:p>
    <w:p>
      <w:pPr>
        <w:pStyle w:val="BookText"/>
        <w:rPr/>
      </w:pPr>
      <w:r>
        <w:rPr>
          <w:rFonts w:ascii="Amiri" w:hAnsi="Amiri" w:eastAsia="Amiri" w:cs="Amiri"/>
          <w:color w:val="111111"/>
          <w:sz w:val="28"/>
          <w:sz w:val="28"/>
          <w:szCs w:val="28"/>
          <w:rtl w:val="true"/>
          <w:lang w:bidi="ar-SA"/>
        </w:rPr>
        <w:t>للآيات، من غير سببٍ معروفٍ</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935667_2870459653"/>
      <w:bookmarkStart w:id="333" w:name="_Toc125"/>
      <w:bookmarkEnd w:id="332"/>
      <w:r>
        <w:rPr>
          <w:rtl w:val="true"/>
        </w:rPr>
        <w:t>ويذكر موردًا آخر بقوله</w:t>
      </w:r>
      <w:r>
        <w:rPr>
          <w:rtl w:val="true"/>
        </w:rPr>
        <w:t>:</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يَوْمًا تُرْجَعُونَ فِيهِ إِلَى اللَّهِ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آخر آية نزلت على رسول الله ولم يعش بعدها سوى بضعة أيّامٍ أو بضعة أسابيع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مثبتةٌ في سورة البقرة في حين أنّها أوّل سورة نزلت بالمدينة بعد الهجرة، ونزلت بعدها نيف وعشرون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ويبرّر الاضطراب في الآية الأخيرة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جبرئيل هو الذي أشار على النّبي بأن يضعها موضعها من البقرة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يذكر موارد أخرى من هذا القبيل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المستشرقين حول هذه الشّبهة</w:t>
      </w:r>
    </w:p>
    <w:p>
      <w:pPr>
        <w:pStyle w:val="BookText"/>
        <w:rPr/>
      </w:pPr>
      <w:r>
        <w:rPr>
          <w:rFonts w:ascii="Amiri" w:hAnsi="Amiri" w:eastAsia="Amiri" w:cs="Amiri"/>
          <w:color w:val="111111"/>
          <w:sz w:val="28"/>
          <w:sz w:val="28"/>
          <w:szCs w:val="28"/>
          <w:rtl w:val="true"/>
          <w:lang w:bidi="ar-SA"/>
        </w:rPr>
        <w:t>الكثير من المستشرقين طرح هذه الشّبهة بنحوٍ أو آخر، لكن قد لا يصرّح بها ولم يستخدم كلمات واضحة للإشارة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نجدهم لم يعرضوا لنا دراسةً كافيةً شافيةً في مجال إيضاح شبهتهم على القرآن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هذا نجد أنّ الشَّبهة قد تناقلها المستشرقون دون أن نعثر على الدّراسات الوافية، وإذا كانت هناك دراسة فهي غير معمّقةٍ ولا تستبطن شواهد ملحوظة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المجال نورد كلمات بعض المستشرقين كنماذج على طرحهم لهذه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جاك بيرك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يقول جاك بيرك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ترجم القرآن إلى الفرنسية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 القرآني يقفز أحيانًا بلا مقدّماتٍ من موضوعٍ لآخر، وقد يرجع ذلك إلى عدم الرّبط أو عدم وجود الوحدة العضويّة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الشّعر العربيّ</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ويتعرّض إلى مقصد أو مقاصد السّور، ويستند إلى تفسير الشّيخ شلتوت لسورة التّوحيد ويذهب إلى انعدام الوحدة في النّصّ، ومن الصّعب ایجاد تطابقٍ بین عنوان السّورة ومحتواها، فإنّ السّورة وفقًا لتفسير شلتوت تتضمّن كلّ أفكار القرآن من الرّحمة والثّواب</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غوستاف لوبون </w:t>
      </w:r>
      <w:r>
        <w:rPr>
          <w:rStyle w:val="FootnoteAnchor"/>
          <w:rtl w:val="true"/>
        </w:rPr>
        <w:footnoteReference w:id="27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عن غوستاف لوبون عبارات عدّة تُشير إلى رؤيته تجاه النّصّ القرآنيّ،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هو كتاب المسلمين المقدّس ودستورهم الدّينيّ والمدنيّ السّياسيّ النّاظم </w:t>
      </w:r>
    </w:p>
    <w:p>
      <w:pPr>
        <w:pStyle w:val="BookText"/>
        <w:rPr/>
      </w:pPr>
      <w:r>
        <w:rPr>
          <w:rFonts w:ascii="Amiri" w:hAnsi="Amiri" w:eastAsia="Amiri" w:cs="Amiri"/>
          <w:color w:val="111111"/>
          <w:sz w:val="28"/>
          <w:sz w:val="28"/>
          <w:szCs w:val="28"/>
          <w:rtl w:val="true"/>
          <w:lang w:bidi="ar-SA"/>
        </w:rPr>
        <w:t>لسيرهم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المقدّس قليل الارتباط مع أنّه اُنزل وحيًا من الله على محمد؛ وأسلوب هذا الكتاب وإن كان جديرًا بالذّكر أحيانًا خالٍ من التّرتيب فاقد السّياق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ويسهل تفسير هذا عند النّظر إلى كيفيّة تأليفه، فقد كُتب تبعًا لمقتضات الزّمن بالحقيقة؛ فإذا ما اعترضت مشكلةٌ محمّدًا أتاه جبريل بوح بوحيٍ جديدٍ حلاً لها ودوّن ذلك في القرآن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ريتشارد بل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تعرّض ريتشارد بل إلى شبهة اضطراب النّصّ القرآني في محالٍّ عدّة من كتابه، وبعباراتٍ مختلفةٍ، فيحكي انطباعه بانعدام الوحدة الموضوعيّة للسّورة،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السّور الطّوال قضايا سياسيّة وتشريعيّة، وهما موضوعان مختلفان، وفي الوقت ذاته نرى تشريعاتٍ في موضوعٍ واحدٍ متناثرةً في محالٍّ مختلفةٍ، كما هو الحال في موضوع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يتبلور لدينا انطباع بانعدام سورةٍ تتعامل مع موضوعٍ وفق نظام، بل نجد السّورة تتناول مواضيع مختلفةً كما أنّ الموضوع الواحد تناثرت أحكامه وقضاياه في محالٍ مختلفةٍ</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جولد تسهير </w:t>
      </w:r>
      <w:r>
        <w:rPr>
          <w:rStyle w:val="FootnoteAnchor"/>
          <w:rtl w:val="true"/>
        </w:rPr>
        <w:footnoteReference w:id="27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جولد تسهير في مجال هذه الشّبهة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يوجد كتابٌ تشريعيٌّ اعترفت طائفةٌ دينيّةٌ اعترافًاً عقديًّا على أنّه نصٌّ منزَلٌ أو موحَى به يقدّم نصّه في أقدم عصور تداوله بمثل هذه الصّورة من الاضطراب وعدم الثّبات كما نجد في النّصّ القرآني</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كارلايل </w:t>
      </w:r>
      <w:r>
        <w:rPr>
          <w:rStyle w:val="FootnoteAnchor"/>
          <w:rtl w:val="true"/>
        </w:rPr>
        <w:footnoteReference w:id="277"/>
      </w:r>
      <w:r>
        <w:rPr>
          <w:rFonts w:ascii="Amiri" w:hAnsi="Amiri" w:eastAsia="Amiri" w:cs="Amiri"/>
          <w:color w:val="111111"/>
          <w:sz w:val="28"/>
          <w:sz w:val="28"/>
          <w:szCs w:val="28"/>
          <w:rtl w:val="true"/>
          <w:lang w:bidi="ar-SA"/>
        </w:rPr>
        <w:t>ومونتغمري وات</w:t>
      </w:r>
      <w:r>
        <w:rPr>
          <w:rStyle w:val="FootnoteAnchor"/>
          <w:rtl w:val="true"/>
        </w:rPr>
        <w:footnoteReference w:id="278"/>
      </w:r>
      <w:r>
        <w:rPr>
          <w:rFonts w:ascii="Amiri" w:hAnsi="Amiri" w:eastAsia="Amiri" w:cs="Amiri"/>
          <w:color w:val="111111"/>
          <w:sz w:val="28"/>
          <w:sz w:val="28"/>
          <w:szCs w:val="28"/>
          <w:rtl w:val="true"/>
          <w:lang w:bidi="ar-SA"/>
        </w:rPr>
        <w:t xml:space="preserve">وجون ميريل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ينقل مستنصر مير عن كلٍّ من توماس كارلايل ومنتغمري وات تعابيرهم وإشاراتهم للشّبهة المطروحة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المجال استخدم مونتغمري وات كلمات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اعتماد النّظام والمنهج المحدّد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Unsystematic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لتوصيف النّصّ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واستخدم كارلايل کلمات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مضجر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Wearisome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ومتخلبط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Jumble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وينقل مستنصر مير كذلك ملاحظة جون ميريل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الارتباط المنطقيّ في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شعر به الكثير من الغربيين، ما أدّى إلى سلب الدّافع عنهم وعدم تشجيعهم على دراسته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فصل من كتابه قارن مستنصر مير بين فرحي ومونتغمري وات، من حيث تفسير فرحي للآيات بنحوٍ يبدو بينها التّناسب واضحًا، بينما تعكس ترجمة مونتغمري وات للآيات المذكورة نوع اضطرابٍ وعدم تناسبٍ بينها</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محمد أركون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ومع الفارق طبعاً هناك كلمات لمحمد عابد الجابري استفاد منها البعض جوانب سلبية حيث تعرّض لموضوع ترتيب القرآن والمشاكل المطروحة في هذا المجال، ووردت عنه 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كان من غير الممكن التعامل مع القرآن كنصّ معماري مهيكل حسب ترتيب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 بياني من نتاج الوحي لا من إنتاج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والوحي كان ينزل حسب مقتضى الأحوال، والأحوال تتغيّر من جيل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استفاد البعض معنى سلبياً من هذا التعبير؛ لكونه يشير ولو بنحو غير مباشر إلى أنّ ترتيب القرآن لا يخضع لمنطق إنساني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البكاري، بوعلام، الشبه الاستشراقية،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ورد عن محمد أركون في مجال القرآن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 لعقولنا الحديثة المعتادة على منهجيّةٍ معيّنةٍ في التّأليف والإنشاء والعرض القائم على المحاجّة المنطقيّة؛ فإنّ نصّ المصحف وطريقة ترتيبه تدهشنا بفوضاها</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انجليكا نويفيرت</w:t>
      </w:r>
    </w:p>
    <w:p>
      <w:pPr>
        <w:pStyle w:val="BookText"/>
        <w:rPr/>
      </w:pPr>
      <w:r>
        <w:rPr>
          <w:rFonts w:ascii="IRNazanin" w:hAnsi="IRNazanin" w:eastAsia="IRNazanin"/>
          <w:color w:val="111111"/>
          <w:sz w:val="28"/>
          <w:sz w:val="28"/>
          <w:szCs w:val="28"/>
          <w:rtl w:val="true"/>
          <w:lang w:bidi="fa-IR"/>
        </w:rPr>
        <w:t xml:space="preserve">تحت عنوان </w:t>
      </w:r>
      <w:r>
        <w:rPr>
          <w:rFonts w:eastAsia="Times New Roman" w:cs="Times New Roman" w:ascii="Times New Roman" w:hAnsi="Times New Roman"/>
          <w:color w:val="111111"/>
          <w:sz w:val="28"/>
          <w:szCs w:val="28"/>
          <w:lang w:val="en-US" w:bidi="en-US"/>
        </w:rPr>
        <w:t>canonization and the problem of the Sura as unite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التقديس ومشكلة السّورة كوحدة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مقال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form and structure of the Quran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لوّحت انجليكا إلى شبهةٍ هي أنّ تقديس ترتيب وتأليف السّور واعتباره وحيانيًّا ورسميًّا جعل من المسألة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يعتبر المسلمون السّورة وحدة وكتلة وترنيمة دينيّة بينما هي من جهةٍ أخرى تتضمّن أمورًا متفاوتةً بحيث يجعل من الصّعب الإقرار بأنّها كتلةٌ واحدةٌ، فمن المستصعب اعتبارها واحدةً لعدم وجود الرّابط الواضح بين المواضيع، فهي تفتقد التّواصل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تقرّ بأنّ هذا من مواصفات السّور المدنيّة الطّوال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النتيجة ترى كون تقسيم السّور بالنّحو المشهور غير ذي فائدةٍ، ولا يعني شيئًا، فهو ليس تقسيمًا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تلمحّ إلى أنّ المشكلة تكمن في تقديس التّرتيب والتّقسيم المتعارف للقرآن واعتبار كلّ سورةٍ وحدةً غير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الدّراسات الحديثة ركّزت على مشكلة ترتيبه وتقديس هذا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في ذات الوقت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ذلك فإنّ بنيته الكلّيّة ووزنه وأهمّيته الاجتماعيّة وكتلته المعياريّة وما استبطنه من أيديولوجيّة لتحديد الهويّة الاجتماعيّة تفوّقت على بنيته المجهريّة المتنوّعة التي تعود إلى تطوّره خارجًا عن التّواصل الدّينيّ والتي يحومها الإبهام</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الآن حصل تقدّم قاطع بالنّسبة إلى التّرتيب العثماني فيما يتعلّق ببنيته، برّزت التّطوّرات المشكلة ويخصّ بالذّكر الجامع والقاسم المشترك لتصنيف العناصر الفاقدة للرّابطة وأحيانًا غير المؤطّرة، نظريًا تواصلات معزولة، هكذا مواصفات السّور المدنيّة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البنية المتعدّدة المواضيع وتقنيات الحفظ وقطع معقّدة تشمل السّور الصّغار والمتوسّطة نتجت في أكثر </w:t>
      </w:r>
    </w:p>
    <w:p>
      <w:pPr>
        <w:pStyle w:val="BookText"/>
        <w:rPr/>
      </w:pPr>
      <w:r>
        <w:rPr>
          <w:rFonts w:ascii="Amiri" w:hAnsi="Amiri" w:eastAsia="Amiri" w:cs="Amiri"/>
          <w:color w:val="111111"/>
          <w:sz w:val="28"/>
          <w:sz w:val="28"/>
          <w:szCs w:val="28"/>
          <w:rtl w:val="true"/>
          <w:lang w:bidi="ar-SA"/>
        </w:rPr>
        <w:t>الموارد المتعدّدة الخواص والمجموعات المؤلّفة حقيقة، وهي لا تبقى دون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تجتمع هذه العناصر وتتجانس لتشكّل كتلةً متلاصقةً ومتقاربةً لكن في نفس المصحف هناك كتلة صنّفت ودوّنت كسورةٍ ذات محتوى ومكوّن غير مترابطٍ من وجهة نظر 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يفقدها ككتلةٍ أدبيّةٍ واحدةٍ تواكب رسائلها وخطاباتها وتعكس كلّ واحدةٍ من مراحل التّواصل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وعكس ذلك، أحيانًا تكون هناك أجزاء للنّصّ تقع في درجةٍ واحدةٍ وغير متسلسلةٍ انتخبت بشكلٍ اعتباطيٍّ، وبذلك تكون بعض المقاطع مفكّكة عمليًّا ومسلوبة التّرابط، بحيث تفقد وحدات النّصّ معانيها الحقيقيّة، وقد تستعمل للتكرار فحسب</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تعليلها للترتيب الفعلي للقرآن ترى الضّغوط السّياسيّة والاستعجال في الجمع هو الذي جعل التّرتيب الفعليّ غير مترابطٍ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تتعرّض أنجليكا إلى رأي </w:t>
      </w:r>
      <w:r>
        <w:rPr>
          <w:rFonts w:eastAsia="Times New Roman" w:cs="Times New Roman" w:ascii="Times New Roman" w:hAnsi="Times New Roman"/>
          <w:color w:val="111111"/>
          <w:sz w:val="28"/>
          <w:szCs w:val="28"/>
          <w:lang w:val="en-US" w:bidi="en-US"/>
        </w:rPr>
        <w:t>Richard Bell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يذهب إلى أنّ السّورة تنقسم إلى مقاطع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قصيرة، ولا يوجد حجم محدّد لكلٍّ من الفقرات، ولا يبدو اتّباعها لنموذج خاص من حيث المقياس في تحديد طول الآية وقصرها، الذي هو طول الموضوع الذي عالجته وقصره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أنجليكا ترفض نظريّته؛ لأنّها تعتمد على النّصّ المكتوب وتتغافل كليًا مواصفات النّصّ الشّفويّ لمعظم الآيات المكّيّة والتّوظيف الطقوسيّ للنّصّ القرآنيّ، والسّهولة في الحفظ وإعمال تقنية الحفظ في التقطيع المشهود حاليًا</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ظاهرة القَسَم من وجهة نظر أنجليكا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تشير أنجليكا إلى ظاهرة القسم في القرآن، وبعد ما تذكر إحصائياتٍ عن الأقسام في القرآن والسّور التي وردت فيها الأقسام توحي إلى انعدام التّرابط بين القسم </w:t>
      </w:r>
    </w:p>
    <w:p>
      <w:pPr>
        <w:pStyle w:val="BookText"/>
        <w:rPr/>
      </w:pPr>
      <w:r>
        <w:rPr>
          <w:rFonts w:ascii="Amiri" w:hAnsi="Amiri" w:eastAsia="Amiri" w:cs="Amiri"/>
          <w:color w:val="111111"/>
          <w:sz w:val="28"/>
          <w:sz w:val="28"/>
          <w:szCs w:val="28"/>
          <w:rtl w:val="true"/>
          <w:lang w:bidi="ar-SA"/>
        </w:rPr>
        <w:t>وفحوى ما أقسم به وعلاقته بالسّورة بنحوٍ مجملٍ،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ثلاثة وأربعين سورة عزاها نولدكه إلى الحقبة الأولى من مكَّة تصدّر القَسَم سبعة عشرة واحدة منها، وفي ثمانية منها ظهر القَسَم وسط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الفصل بين نوعين من القَسَم، أوَلهما المتصدّر بواو القسم،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المتصدّر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تكرّر ثمانية عشرة مرّة، خمسة عشر مرّة منها متصدّرًا السّورة وثلاثة مرّات ضمن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تصدّر سورتين وخمس مرّات ضمن السّور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تُناقش الأهمّيّة العمليّة لما تتصدّر به السّور في مجمل انشائها على أيٍّ من المستويات المنهجيّة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الآن البحوث في مجال بدايات السّور ومقدّماتها أنتجت فرضیاتٍ بعيدةً المنال حول نوعيّة نبوّة محمد، كالتي تقول بأنّ السّور الأوائل تكشف عن علاقةٍ قريبةٍ عمّا كان يتفوّه به الكهنة قبل الإسلام، وقد تعتبر الأكثر وثوقًا على كلام الكاهن نفسه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تقول بإمكانيّة تصنيف القَسَم إلى ثلاثة أصنافٍ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الصنف الذي يكون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والفاعلات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الصنف من القَسَم لم يصرّح القرآن فيه بمرجع القسم وبما أقسم به لكنّه تضمّن معنى الحركة لما أقسَم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تُشير إلى مسألةٍ تعزوها للمسلمين والغربيين معًا،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 هذا القَسَم من الموارد التي يصعب حلّها من قبل المفسّرين المسلمين وكذا علماء الغرب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عرض القرآن هنا لغةً كنائيّةً تختلف عمّا أثرناه في باقي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بها لأن تعرف كونها مبهمةً عمليًّا، ليس كثيرًا بسبب ما تضمّنت من بعض الإبهامات اللّغويّة والنّحويّة بل بسبب الصّعوبة المبدئيّة الأكثر، أي أنّ التّصريح </w:t>
      </w:r>
    </w:p>
    <w:p>
      <w:pPr>
        <w:pStyle w:val="BookText"/>
        <w:rPr/>
      </w:pPr>
      <w:r>
        <w:rPr>
          <w:rFonts w:ascii="Amiri" w:hAnsi="Amiri" w:eastAsia="Amiri" w:cs="Amiri"/>
          <w:color w:val="111111"/>
          <w:sz w:val="28"/>
          <w:sz w:val="28"/>
          <w:szCs w:val="28"/>
          <w:rtl w:val="true"/>
          <w:lang w:bidi="ar-SA"/>
        </w:rPr>
        <w:t>بها يعدّ نوع تدنيسٍ في مثل الحصن التي في طريقها إلى الهجوم، أو كونها مخالفةً لفحوى السّورة كوثيقةٍ لحديثٍ دينيٍّ في مثل السّحب المليئة بالمطر؟</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الأقسام التي تشير إلى المواقع والأماكن المقدّسة وعظمة الخلق مثل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 المذكورة تعود إلى تجلَّ إلهيٍّ محدّد، ولذلك توظّف كرمز وإرشادٍ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من الأماكن التي يتحدّث عنها القرآن ،باستمرار، فقد تطرح لوحدها كما في السّورة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وقد تطرح مقترنةً بطور سيناء كموقعٍ ثانٍ، كما في السّورة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وتحكم على هذا الصنف من القَسَم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جميع موارد القَسَم الثلاثة المذكورة تفتقد العلاقة الدّلاليّة المباشريّة بين صيغة القَسَم والفقرة اللّاحقة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ويتأخّر حلّ اللّغز ولا ينكشف إلاّ في نهاية السّورة، وتجلّي الإله، كالتّواصل الرّبّانيّ الذي يوجب تقديم الأداء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الأقسام التي تعود إلى الظّواهر الكونيّة والأوقات والأزمنة العباديّة في الليل والنّهار، ونجدها في بدايات عدد من السّور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نشاهدها ضمن سورتين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تُشير إلى صنفٍ آخر من القَسَم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 لاحقةٍ تطوّر القَسَم وأصبح واضح الفحوى مباشرة دون التعليق على نهاية السّورة أو ما شابه، ولا نجد لغوًا فيه، لكنّه تحوّل من فاعلي توظيفي إلى جمال وحلية تستفاد لرفع المستوى الجمالي للنّصّ، وذلك مثل الموارد التّالية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وتقول في مقال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Sura</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السّورة يُؤخذ من كلمةٍ تلتقط من النّصّ، قد تكون كلمةً نادرةً في القرآن مثل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سهلة التّعلُّم أو لكونها تشكّل الموضوع الأساس الذي تناولته </w:t>
      </w:r>
    </w:p>
    <w:p>
      <w:pPr>
        <w:pStyle w:val="BookText"/>
        <w:rPr/>
      </w:pPr>
      <w:r>
        <w:rPr>
          <w:rFonts w:ascii="Amiri" w:hAnsi="Amiri" w:eastAsia="Amiri" w:cs="Amiri"/>
          <w:color w:val="111111"/>
          <w:sz w:val="28"/>
          <w:sz w:val="28"/>
          <w:szCs w:val="28"/>
          <w:rtl w:val="true"/>
          <w:lang w:bidi="ar-SA"/>
        </w:rPr>
        <w:t>السّورة مثل سورة النّساء، وأحيانًا الكلمة المستهلّ بها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يوجد اتّفاقٌ كاملٌ في تسمية السّورة، وقد يكون للسّورة أكثر من اسم؛ وذلك لوقوع التّرتيب وما لحقه من تسميةٍ للسّور في وقتٍ متأخّرٍ، حيث نقّح الخليفة الثالث عثمان بن عفان القرآن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السّورة ذات علاقةٍ بالنّصّ، لكن ليس النّصّ المكتوب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الأكثر دقّةً كونها تدلّ على النّصّ المقروء، فهي كميّةٌ من النّصّ عُرضت على العموم في مناسبةٍ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فإنّ استخدام مفردة سورة لتدلّ على كونها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سُمّي باسم خاصٍ فيما بعد عهد الرسول يعدّ موضع تساؤلٍ وشكٍّ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أنّ السّورة في سياق القرآن تعطي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الوظيفي المألوف عن اليهوديّة والمسيحيّة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كان تصنيف النّصوص وتقسيمها التّقليديّ لأغراضٍ عباديّةٍ وطقسيّةٍ بعد إتمام التّصنيف لمجمل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ترتيب النّصّ يعود إلى الاستخدام الشّفويّ للنّصّ الذي كان يقرأ على المجتمع في العصر المتقدّم، حيث كانت القراءة ممارسةً متقدّمةً على التّدوين ككتلةٍ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عددٌ من السّور تعكس مواصفات وحداتٍ أدبيّةٍ مقصودة، ومتكوّنة لأغراض القراءة، وهناك عددٌ آخر من السّور مطوّلة مع استخداماتٍ مكرّرةٍ، وهناك عدد آخر منها تبدو كذلك عبارة عن تأليفٍ لوحداتٍ غير مترابطةٍ على الأرجح تفتقد البديل في النّقل الشّفويّ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المشكلة المعقّدة ما زالت تنتظر التقييم والحلول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تدرس السّورة بنحوٍ كافٍ كوحدةٍ كليّةٍ متكوّنة من وحداتٍ مترابطةٍ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برغم وجود توجّهاتٍ جديدةٍ حصلت مؤخّرًا مؤكّدةً عمدة على السّورة الثانية عشر من القرآن، أي سورة يوسف </w:t>
      </w:r>
    </w:p>
    <w:p>
      <w:pPr>
        <w:pStyle w:val="BookText"/>
        <w:rPr/>
      </w:pPr>
      <w:r>
        <w:rPr>
          <w:rFonts w:ascii="Amiri" w:hAnsi="Amiri" w:eastAsia="Amiri" w:cs="Amiri"/>
          <w:color w:val="111111"/>
          <w:sz w:val="28"/>
          <w:sz w:val="28"/>
          <w:szCs w:val="28"/>
          <w:rtl w:val="true"/>
          <w:lang w:bidi="ar-SA"/>
        </w:rPr>
        <w:t xml:space="preserve">التي تحكي قصّة هذا النّبيّ، من قبيل ما صدر عن مستنصر مير 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Coherence the sura as a unity, The Quranic story of Joseph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ودراسة كذلك لنيويفيرت وغيرها</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وبعد التلميح باحتمال كون السّور كانت تختلف عمّا كانت عليه قبل التّرتيب والنّظم الفعليّ؛ باعتبار أنّها كانت تواصلات شفويّةً غير مكتوبةٍ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السّور الأوائل في مكّة ينبغي أن تكون متّخذةً النّمط المستخدم عند الكهنة والعرّافين قبل الإسلام الذين يدّعون كونهم يمتلكون قدراتٍ خارقةً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الصّيغة الأدبيّة تُدعى سجعًا، وتتضمّن وحداتٍ تركيبيّةً قصيرةً، علّمت بإيقاعٍ تعبيريٍّ مؤكّدٍ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تشير إلى أنّ السّور المكّيّة اللّاحقة اتّخذت أنماطاً متقدّمةً مختلفةً عمّا كانت عليه برغم بقاء بعضٍ آخر قريبة لنمط الكهنة</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وضمن سعيها للمقاربة بين السّور والنّصوص اليّهوديّة والمسيحيّة وإرجاع نمط بعض السّور إلى ما ورد في المسيحيّة واليهوديّة تقول أنجليكا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الظنّ بتواجدٍ قويٍّ للنّصرانيّة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واليهوديّة بعد الهجرة على أقلّ تقديرٍ، واطّلاع الرّسول وأتباعه على النّصوص اليهوديّة والنّصرانيّة ممّا لا مفرّ منه لأجل فهم السّور الأوائل، كما أنّه ينبغي تلقّي الوثنيّة في القرآن لا كنظامٍ محدّدٍ في الاعتقاد، بل كقاسمٍ مشتركٍ كبيرٍ ومتنوّعٍ وغير ثابتٍ من العناصر متأثّرةً بقوّة بالفكر التّوحيديّ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وتصف السّور النازلة في مكّة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 المتصدّرة بالقَسَم هي الأكثر رجوعًا إلى نمط الكهنة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334" w:name="pg8898_139403"/>
    </w:p>
    <w:p>
      <w:pPr>
        <w:pStyle w:val="Heading6"/>
        <w:numPr>
          <w:ilvl w:val="5"/>
          <w:numId w:val="1"/>
        </w:numPr>
        <w:rPr/>
      </w:pPr>
      <w:bookmarkStart w:id="335" w:name="__RefHeading___Toc935669_2870459653"/>
      <w:bookmarkStart w:id="336" w:name="_Toc126"/>
      <w:bookmarkEnd w:id="334"/>
      <w:bookmarkEnd w:id="335"/>
      <w:r>
        <w:rPr>
          <w:rtl w:val="true"/>
        </w:rPr>
        <w:t xml:space="preserve">وفي مقال </w:t>
      </w:r>
      <w:r>
        <w:rPr>
          <w:rtl w:val="true"/>
        </w:rPr>
        <w:t>(</w:t>
      </w:r>
      <w:r>
        <w:rPr/>
        <w:t>Verse</w:t>
      </w:r>
      <w:r>
        <w:rPr>
          <w:rtl w:val="true"/>
        </w:rPr>
        <w:t>)</w:t>
      </w:r>
      <w:bookmarkEnd w:id="336"/>
    </w:p>
    <w:p>
      <w:pPr>
        <w:pStyle w:val="BookText"/>
        <w:rPr/>
      </w:pPr>
      <w:r>
        <w:rPr>
          <w:rFonts w:ascii="Amiri" w:hAnsi="Amiri" w:eastAsia="Amiri" w:cs="Amiri"/>
          <w:color w:val="111111"/>
          <w:sz w:val="28"/>
          <w:sz w:val="28"/>
          <w:szCs w:val="28"/>
          <w:rtl w:val="true"/>
          <w:lang w:bidi="ar-SA"/>
        </w:rPr>
        <w:t xml:space="preserve">باعتبار استخدام المنهج التّوصيفيّ أوردت أنجليكا الكثير من المواصفات للآيات القرآنيّة في مقالها الذي حمل عنوان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verse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بعضها نقرّ به مثل تقسيمها للآيات إلى أحاديّة الموضوع ومتعدّدة الموضوع، وأنّ بعض الآيات ذات فاعليّةٍ توظيفيّةٍ دينيّةٍ خاصّةٍ، مثل استخدام بعض الآيات لعبادات وأدعية خاصّة وأمور أخرى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يُلاحظ في مقالها هذا هو المقارنة الواضحة والشّاملة للآيات بالأشعار العربيّة والترنيمات التي كان السّحرة والمشعوذون العرب يستخدمونها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وكأنّها توحي بأنّ الاثنين يدخلان في ذات الإطار من حيث الشّكل والتّوظيف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935671_2870459653"/>
      <w:bookmarkStart w:id="338" w:name="_Toc127"/>
      <w:bookmarkEnd w:id="337"/>
      <w:r>
        <w:rPr>
          <w:rtl w:val="true"/>
        </w:rPr>
        <w:t>ثالثًا</w:t>
      </w:r>
      <w:r>
        <w:rPr>
          <w:rtl w:val="true"/>
        </w:rPr>
        <w:t xml:space="preserve">: </w:t>
      </w:r>
      <w:r>
        <w:rPr>
          <w:rtl w:val="true"/>
        </w:rPr>
        <w:t>إجابات على شبهة اضطراب النّص</w:t>
      </w:r>
      <w:bookmarkEnd w:id="338"/>
    </w:p>
    <w:p>
      <w:pPr>
        <w:pStyle w:val="Heading6"/>
        <w:numPr>
          <w:ilvl w:val="5"/>
          <w:numId w:val="1"/>
        </w:numPr>
        <w:rPr/>
      </w:pPr>
      <w:bookmarkStart w:id="339" w:name="__RefHeading___Toc935673_2870459653"/>
      <w:bookmarkStart w:id="340" w:name="_Toc128"/>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في خضم الإجابة على هذه الشّبهة هناك نقاط وبحوث عدّة ذات صلةٍ بالموضوع تُشكّل بمجموعها إجابة على الشّبهة، نطرحها هنا تباعًا وفي بدايتها نورد ملاحظاتٍ إجماليّةً على ما ورد في كلام انجليكا</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935675_2870459653"/>
      <w:bookmarkStart w:id="342" w:name="_Toc129"/>
      <w:bookmarkEnd w:id="341"/>
      <w:r>
        <w:rPr/>
        <w:t>1</w:t>
      </w:r>
      <w:r>
        <w:rPr>
          <w:rtl w:val="true"/>
        </w:rPr>
        <w:t xml:space="preserve">. </w:t>
      </w:r>
      <w:r>
        <w:rPr>
          <w:rtl w:val="true"/>
        </w:rPr>
        <w:t>ملاحظات على مقولات انجليكا نويفيرت</w:t>
      </w:r>
      <w:bookmarkEnd w:id="342"/>
    </w:p>
    <w:p>
      <w:pPr>
        <w:pStyle w:val="BookText"/>
        <w:rPr/>
      </w:pPr>
      <w:r>
        <w:rPr>
          <w:rFonts w:ascii="Amiri" w:hAnsi="Amiri" w:eastAsia="Amiri" w:cs="Amiri"/>
          <w:color w:val="111111"/>
          <w:sz w:val="28"/>
          <w:sz w:val="28"/>
          <w:szCs w:val="28"/>
          <w:rtl w:val="true"/>
          <w:lang w:bidi="ar-SA"/>
        </w:rPr>
        <w:t>باعتبار عمق القضايا التي تعرّضت إليها أنجليكا وأهميّة ما تطرّقت إليه بشيءٍ من التّفصيل رأينا من المناسب ذكر الملاحظات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 به أنّ المضامين التي وردت في كلمات أنجليكا نويفيرت كثيرةٌ، والإجابة عن جميعها يخرجنا عن موضوع بحثنا ونحن نقتصر في هذا المجال على موضع بحثنا ونركّز عليه وهو الاضطراب الذي أشارت إليه بعباراتٍ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الإجابة على مجمل ما ورد في كلماتها فبحاجة إلى دراسةٍ أخرى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سعت أنجليكا لاستخدام المنهج التّوصيفيّ وحكاية القرآن كما هو المأثور </w:t>
      </w:r>
    </w:p>
    <w:p>
      <w:pPr>
        <w:pStyle w:val="BookText"/>
        <w:rPr/>
      </w:pPr>
      <w:r>
        <w:rPr>
          <w:rFonts w:ascii="Amiri" w:hAnsi="Amiri" w:eastAsia="Amiri" w:cs="Amiri"/>
          <w:color w:val="111111"/>
          <w:sz w:val="28"/>
          <w:sz w:val="28"/>
          <w:szCs w:val="28"/>
          <w:rtl w:val="true"/>
          <w:lang w:bidi="ar-SA"/>
        </w:rPr>
        <w:t>لدينا حاليًّا واحترام 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إيجابيٌّ تُمتدح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تعبیرها بـ </w:t>
      </w:r>
      <w:r>
        <w:rPr>
          <w:rFonts w:eastAsia="Times New Roman" w:cs="Times New Roman" w:ascii="Times New Roman" w:hAnsi="Times New Roman"/>
          <w:color w:val="111111"/>
          <w:sz w:val="28"/>
          <w:szCs w:val="28"/>
          <w:lang w:val="en-US" w:bidi="en-US"/>
        </w:rPr>
        <w:t>problem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دون </w:t>
      </w:r>
      <w:r>
        <w:rPr>
          <w:rFonts w:eastAsia="Times New Roman" w:cs="Times New Roman" w:ascii="Times New Roman" w:hAnsi="Times New Roman"/>
          <w:color w:val="111111"/>
          <w:sz w:val="28"/>
          <w:szCs w:val="28"/>
          <w:lang w:val="en-US" w:bidi="en-US"/>
        </w:rPr>
        <w:t>question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يكشف عن رؤيتها غير الإيجابيّة تجاه التّرتيب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تعتبر الموضوع هنا ليس مسألةً أو قضيّةً مطروحةً للبحث، بل مشكلة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مفردات دارجة لدى المسيحيّة وغيرها مثل </w:t>
      </w:r>
      <w:r>
        <w:rPr>
          <w:rFonts w:eastAsia="Times New Roman" w:cs="Times New Roman" w:ascii="Times New Roman" w:hAnsi="Times New Roman"/>
          <w:color w:val="111111"/>
          <w:sz w:val="28"/>
          <w:szCs w:val="28"/>
          <w:lang w:val="en-US" w:bidi="en-US"/>
        </w:rPr>
        <w:t>canonization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التقديس أو الرّسميّة، وهو اصطلاحٌ غير دارجٍ لدى المدرسة الإسلاميّة يكشف عن نظرتها المقارنة أو السّعي للمقارنة بين الإسلام وغيره من الأديان، مع أنّ الكثير من الأمور لا يمكن مقارنتها، ومن ضمنها المورد المتقدّم الذي تناولته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أوردتها كأسبابٍ للاضطراب المزعوم تعدّ احتمالاتٍ لا يمكن الإقرار بصحّتها إلاّ إذا اقترنت بدراساتٍ توثّقها وتثبّتها بنحوٍ علميّ مقبولٍ، فكلّ واحدٍ من الأسباب يقتضي دراسةً معمّقةً وموثّقةً بآياتٍ تُرجع الاضطراب فيها إلى واحدٍ من الأسباب المزعومة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إشارتها إلى التّرتيب العثمانيّ وأنّه التّرتيب التّقليديّ المعتمد لدى المسلمين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القرآن ككتلةٍ نصّيّةٍ غير مترابطةٍ مع تنوّعٍ معتدٍّ به في البنية، بحيث لا يسمح بتصنيفه بسرعةٍ ووفق تنوّعٍ أو اعتبارٍ أو مبنًى واحد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عمّمت بهذه النّظرة كلا الجانبين من التّرتيب، أي التّرتيب في الآيات والتّرتيب في السّور، فإذا كان مُرادها التّرتيب في السّور، فنظرتها ناشئةٌ عن عدم اطّلاعها أو نكرانها لكون التّرتيب الفعليّ ليس وحيانيًّا، ولا يعكس وجهة نظر المسلمين جميعهم بل هو ترتيبٌ اجتهاديٌّ من وجهة نظر الكثير من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مُرادها التّرتيب في الآيات فإنّ نكران التّناسب والتّرابط بين الآيات باستثناء موارد محدودةٍ يعدّ نكرانًا لواقعٍ واضحٍ</w:t>
      </w:r>
      <w:r>
        <w:rPr>
          <w:rFonts w:eastAsia="Amiri" w:cs="Amiri" w:ascii="Amiri" w:hAnsi="Amiri"/>
          <w:color w:val="111111"/>
          <w:sz w:val="28"/>
          <w:szCs w:val="28"/>
          <w:rtl w:val="true"/>
          <w:lang w:bidi="ar-SA"/>
        </w:rPr>
        <w:t xml:space="preserve">. </w:t>
      </w:r>
      <w:bookmarkStart w:id="343" w:name="pg8898_139407"/>
    </w:p>
    <w:p>
      <w:pPr>
        <w:pStyle w:val="Heading6"/>
        <w:numPr>
          <w:ilvl w:val="5"/>
          <w:numId w:val="1"/>
        </w:numPr>
        <w:rPr/>
      </w:pPr>
      <w:bookmarkStart w:id="344" w:name="__RefHeading___Toc935677_2870459653"/>
      <w:bookmarkStart w:id="345" w:name="_Toc130"/>
      <w:bookmarkEnd w:id="343"/>
      <w:bookmarkEnd w:id="344"/>
      <w:r>
        <w:rPr/>
        <w:t>2</w:t>
      </w:r>
      <w:r>
        <w:rPr>
          <w:rtl w:val="true"/>
        </w:rPr>
        <w:t xml:space="preserve">. </w:t>
      </w:r>
      <w:r>
        <w:rPr>
          <w:rtl w:val="true"/>
        </w:rPr>
        <w:t>موضوع التّناسب في القرآن</w:t>
      </w:r>
      <w:bookmarkEnd w:id="345"/>
    </w:p>
    <w:p>
      <w:pPr>
        <w:pStyle w:val="BookText"/>
        <w:rPr/>
      </w:pPr>
      <w:r>
        <w:rPr>
          <w:rFonts w:ascii="Amiri" w:hAnsi="Amiri" w:eastAsia="Amiri" w:cs="Amiri"/>
          <w:color w:val="111111"/>
          <w:sz w:val="28"/>
          <w:sz w:val="28"/>
          <w:szCs w:val="28"/>
          <w:rtl w:val="true"/>
          <w:lang w:bidi="ar-SA"/>
        </w:rPr>
        <w:t>هناك قضيّةٌ طُرحت من قبل علماء القرآن المتقدّمين، وهي مسألة وجود مناسبةٍ أو تناسبٍ في القرآن، وقد دوّنت لأجلها الكثير من المدوّنات والتّفاسير، وهي في الحقيقة مبتنيةٌ على نفس الشّبهة التي يطرحها وطرحها المستشرقون من قبل، أي قضيّة عدم وجود تناسبٍ أو انسجامٍ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تطرح هذه القضيّة قبل أن يجمع القرآن، بل طُرحت بعد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وجود علاقةٍ بين جمع القرآن وترتيبه بالنّحو المشهود مع قضيّة التّناسب بين نصوصه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يولّد احتمالاتٍ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ترتيب القرآن ممّا لم يرتضه الكثير من البشر، واحتمالات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قضيّة التّناسب بعد جمعه بفترةٍ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هناك دورٌ لموضوع ابتعاد الأجيال عن اللّغة العربيّة الأصيلة، وهناك علاقة بين الشّؤون اللّغويّة في اللّغة الأصيلة وقضيّة التّناسب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يقل احتمال انحصار رجوع الأمر إلى سوء ترتيب القرآن، بل قد تكون هناك عوامل عديدة مؤثّرة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الزّركشي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سمّوه علم التّناسب أو المناسبة يؤكّد وجود مشكلين وناقدين للقرآن في عهودهما أو كون عدم التناسب من الشّبهات المتبلورة في الأذهان آنذاك</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935679_2870459653"/>
      <w:bookmarkStart w:id="347" w:name="_Toc131"/>
      <w:bookmarkEnd w:id="346"/>
      <w:r>
        <w:rPr/>
        <w:t>3</w:t>
      </w:r>
      <w:r>
        <w:rPr>
          <w:rtl w:val="true"/>
        </w:rPr>
        <w:t xml:space="preserve">. </w:t>
      </w:r>
      <w:r>
        <w:rPr>
          <w:rtl w:val="true"/>
        </w:rPr>
        <w:t>عدم اختصاص الشّبهة بالقرآن</w:t>
      </w:r>
      <w:bookmarkEnd w:id="34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الشّبهة غير مختصّةٍ بالقرآن، والغموض وما يبدو من عدم انسجام أمرٍ غير خاصٍّ بالقرآن، بل هو شأن مجمل النّصوص وبخاصّة القديمة منها حتّى القصيرة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يبدو وجود نصٍّ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 يخلو من مشكلة الغموض والإبهام الذي يجعل منه أحيانًا نصًّا غير منسجم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يُبادر لتحقيق النّصوص القديمة والأثريّة، ولو كانت غير مبهمةٍ ولا يعلوها الإبهام وعدم الانسجام لما احتاجت إلى التّحقيق</w:t>
      </w:r>
      <w:r>
        <w:rPr>
          <w:rFonts w:eastAsia="Amiri" w:cs="Amiri" w:ascii="Amiri" w:hAnsi="Amiri"/>
          <w:color w:val="111111"/>
          <w:sz w:val="28"/>
          <w:szCs w:val="28"/>
          <w:rtl w:val="true"/>
          <w:lang w:bidi="ar-SA"/>
        </w:rPr>
        <w:t xml:space="preserve">... </w:t>
      </w:r>
      <w:bookmarkStart w:id="348" w:name="pg8898_139409"/>
    </w:p>
    <w:p>
      <w:pPr>
        <w:pStyle w:val="BookText"/>
        <w:rPr/>
      </w:pPr>
      <w:bookmarkEnd w:id="348"/>
      <w:r>
        <w:rPr>
          <w:rFonts w:ascii="Amiri" w:hAnsi="Amiri" w:eastAsia="Amiri" w:cs="Amiri"/>
          <w:color w:val="111111"/>
          <w:sz w:val="28"/>
          <w:sz w:val="28"/>
          <w:szCs w:val="28"/>
          <w:rtl w:val="true"/>
          <w:lang w:bidi="ar-SA"/>
        </w:rPr>
        <w:t>إنّ منهج التّحشية والتّعليق سواءً على النّصوص الأدبيّة أو العلميّة يكشف عن حاجةٍ للتفسير، والقضيّة لا تختصّ بالقرآن بل تشمل مجمل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لنقصٍ في المتون القديمة بل الأمر يعود إلى أمورٍ لغويّةٍ وثقافيةٍ وغير ذلك كتبت في ظلّها المتون المذكورة، والابتعاد عن تلك الظّروف استدعى الشّرح والتّعليق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جانبٍ آخر، فإنّ القضايا التي تضمّنها القرآن إمّا أن تكون قضايا أدبيّةً بحتةً أو تشريعيّةً أو عقديّةً أو اجتماعيّةً أو أخلاقيةً، ومجمل هذه القضايا تعدّ قضايا جدليّة، وطبيعتها تستدعي الجدل والنّقاش وتظلّ هكذا دائمًا مهما كانت، وحتّى لو صيغت بعباراتٍ واضحةٍ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مجمل هذه القضايا كانت وما زالت عرضةً للجدل والنّقاش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أسباب اختلاف المفسّرين والعلماء في تفسيرها وتحليلها، ويمكن أن تكون الشّبهة المذكورة ناشئةً عن هذا الجدل لكن تحت غطاء شؤون لغويّةٍ وأدبيّةٍ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اختلاف المفسّرين في تفسير الآيات ذات المواضيع الجدليّة ممّا يزيد من الإبهام في هذا المجال ويضع الانسجام المطلوب موضع شكٍّ و 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التي تتضمّن موضوعًا جدليًّا تكون بحدّ ذاتها أهلاً لتفاسير عدّة قد لا تكون منسجمةً مع الآيات الأخرى بل مع أجزاء الآية ذاتها</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935681_2870459653"/>
      <w:bookmarkStart w:id="350" w:name="_Toc132"/>
      <w:bookmarkEnd w:id="349"/>
      <w:r>
        <w:rPr/>
        <w:t>4</w:t>
      </w:r>
      <w:r>
        <w:rPr>
          <w:rtl w:val="true"/>
        </w:rPr>
        <w:t xml:space="preserve">. </w:t>
      </w:r>
      <w:r>
        <w:rPr>
          <w:rtl w:val="true"/>
        </w:rPr>
        <w:t>جزئيّة شبهة اضطراب النّصّ</w:t>
      </w:r>
      <w:bookmarkEnd w:id="350"/>
    </w:p>
    <w:p>
      <w:pPr>
        <w:pStyle w:val="BookText"/>
        <w:rPr/>
      </w:pPr>
      <w:r>
        <w:rPr>
          <w:rFonts w:ascii="Amiri" w:hAnsi="Amiri" w:eastAsia="Amiri" w:cs="Amiri"/>
          <w:color w:val="111111"/>
          <w:sz w:val="28"/>
          <w:sz w:val="28"/>
          <w:szCs w:val="28"/>
          <w:rtl w:val="true"/>
          <w:lang w:bidi="ar-SA"/>
        </w:rPr>
        <w:t>لا شكّ أنّ هذه الشّبهة اذا كانت عاكسةً لواقعٍ فهي خاصّة ببعض الآيات أو السّور، ولا تشمل جميع القرآن، وهناك اعترافٌ صريحٌ أو ضمنيٌّ بهذا الموضوع حتّى من قبل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سورًا مثل الفاتحة التي تضمّنت البسملة والثّناء لله ومدحه والدّعاء بعدم الزّيغ عن طريقه، تقع في قمّة الانسجام والتّلاحم والوحدة، وهي خير ما يمكن افتتاح كتاب الله بها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سورة الاخلاص تضمّنت عرض عقائد المسلمين في مجال التّوحيد، وهي أيضًا في قمّة الانسجام من حيث وحدة الموضوع، فإنّها تضمّنت بعض الصّفات الإلهيّة التي ينبغي القول بها لأجل عدم العدول عن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أقرّ بهذا بعض </w:t>
      </w:r>
      <w:bookmarkStart w:id="351" w:name="pg8898_139411"/>
    </w:p>
    <w:p>
      <w:pPr>
        <w:pStyle w:val="BookText"/>
        <w:rPr/>
      </w:pPr>
      <w:bookmarkEnd w:id="351"/>
      <w:r>
        <w:rPr>
          <w:rFonts w:ascii="Amiri" w:hAnsi="Amiri" w:eastAsia="Amiri" w:cs="Amiri"/>
          <w:color w:val="111111"/>
          <w:sz w:val="28"/>
          <w:sz w:val="28"/>
          <w:szCs w:val="28"/>
          <w:rtl w:val="true"/>
          <w:lang w:bidi="ar-SA"/>
        </w:rPr>
        <w:t>المستشرقين كذلك، فإنّ لمثل أنجليكا نويفيرت بحثًا في هذا المجال انصبّ بنحوٍ تطبيقيٍّ على سورة يوسف، وقد أقرّت بالانسجام فيها في الإجمال برغم نقودها للقرآن من هذه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فإنّ المشكلة مطروحةٌ في السّور المدنية أكثر من السّور المكّيّة؛ باعتبار كون المدنيّة أكثر تعقيدًا من السّور المكّيّة التي يبدو فيها البساطة المنسجمة مع بساطة المخاطبين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الملاحظ بوضوح أنّ الذين طرحوا هذه الشّبهة أو أجابوا عنها من المسلمين لم يوردوا إلاّ القليل من الآيات كنماذج على الشَّبهة المزبورة، وكذلك فعل المستشرقون، ممّا يعني أنّ الجميع يقرّ بجزئيّة الشّبهة وعدم عموميّتها لمجمل القرآن</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935683_2870459653"/>
      <w:bookmarkStart w:id="353" w:name="_Toc133"/>
      <w:bookmarkEnd w:id="352"/>
      <w:r>
        <w:rPr/>
        <w:t>5</w:t>
      </w:r>
      <w:r>
        <w:rPr>
          <w:rtl w:val="true"/>
        </w:rPr>
        <w:t xml:space="preserve">. </w:t>
      </w:r>
      <w:r>
        <w:rPr>
          <w:rtl w:val="true"/>
        </w:rPr>
        <w:t>مهارة العرب في الشّؤون اللّغويّة</w:t>
      </w:r>
      <w:bookmarkEnd w:id="353"/>
    </w:p>
    <w:p>
      <w:pPr>
        <w:pStyle w:val="BookText"/>
        <w:rPr/>
      </w:pPr>
      <w:r>
        <w:rPr>
          <w:rFonts w:ascii="Amiri" w:hAnsi="Amiri" w:eastAsia="Amiri" w:cs="Amiri"/>
          <w:color w:val="111111"/>
          <w:sz w:val="28"/>
          <w:sz w:val="28"/>
          <w:szCs w:val="28"/>
          <w:rtl w:val="true"/>
          <w:lang w:bidi="ar-SA"/>
        </w:rPr>
        <w:t>إنّ مهارة العرب بلغتهم واهتمامهم الوافر بهذا الجانب من الحياة تمنع من عدم اعتبار القرآن معجزةً آمنت به الشّعوب العربيّة آنذاك، لا ككتابٍ سماويٍ فحسب، بل ككتابٍ أدبيٍّ ويحظى بمستوًى عالٍ من البلاغة والفصاحة، ولا يتأتّى هذا الإيمان إلاّ إذا كان ذا محتوًى عالٍ في مجمل زواياه، ولو كان القرآن غير مترابطٍ وفاقدًا للانسجام اللّازم لكان ذلك من أفضل الذّرائع التي يمكن أن يتمسّك بها غير المؤمنين بالإسلام لسلب هذه الدّعوة الحديثة فاعليّتها وتأثيرها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نأثر بنحوٍ ملحوظٍ إشكالاً ورد عن عرب عصر النّزول يتناول هذه الشّبهة، وحتّى الرّواية التي تحدّثت عن مناظرة بين زنديق والإمام علي فهي تحكي واقعةً في زمنٍ متأخّرٍ عن عهد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أنّها لا بدّ وأن تكون شبهةً طرأت فيما بعد لعلّةٍ أخرى غير نفس النّصّ القرآنيّ</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935685_2870459653"/>
      <w:bookmarkStart w:id="355" w:name="_Toc134"/>
      <w:bookmarkEnd w:id="354"/>
      <w:r>
        <w:rPr/>
        <w:t>6</w:t>
      </w:r>
      <w:r>
        <w:rPr>
          <w:rtl w:val="true"/>
        </w:rPr>
        <w:t xml:space="preserve">. </w:t>
      </w:r>
      <w:r>
        <w:rPr>
          <w:rtl w:val="true"/>
        </w:rPr>
        <w:t>انفراد المستشرقين بالإشكالات الأدبيّة</w:t>
      </w:r>
      <w:bookmarkEnd w:id="35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مجال الارتباط اللّفظيّ بين الكلمات والجمل والذي يتمّ بواسطة أدوات الرّبط والضّمائر والإرجاعات الإشاريّة، فإنّ الملحوظ في ذلك إشكال المستشرقين </w:t>
      </w:r>
      <w:bookmarkStart w:id="356" w:name="pg8898_139412"/>
    </w:p>
    <w:p>
      <w:pPr>
        <w:pStyle w:val="BookText"/>
        <w:rPr/>
      </w:pPr>
      <w:bookmarkEnd w:id="356"/>
      <w:r>
        <w:rPr>
          <w:rFonts w:ascii="Amiri" w:hAnsi="Amiri" w:eastAsia="Amiri" w:cs="Amiri"/>
          <w:color w:val="111111"/>
          <w:sz w:val="28"/>
          <w:sz w:val="28"/>
          <w:szCs w:val="28"/>
          <w:rtl w:val="true"/>
          <w:lang w:bidi="ar-SA"/>
        </w:rPr>
        <w:t>فقط، ولم نشهد بشكلٍ ملحوظٍ إشكالات غير المستشرقين إلاّ بعض ممّن حمل أغراضًا تبشيريّةً أو غير ذلك، وهم قلّة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نجد من بين مئات التّفاسير التي وردت عن علماء الإسلام من أشكل في هذا المجال، ما يكشف عن أنّها مشكلةٌ خاصّةٌ بالمستشرقين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وجود أكثر من دراسةٍ تناولت هذا الموضوع</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El-Awa, Salwa M.S. Textual relations in the Qur'an, relevance, coherence and structure,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London and New York, first published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Mustansir Mir, Coherence in the Quran, American Trust Publications, Indianapolis, Ih, 1986</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7" w:name="__RefHeading___Toc935687_2870459653"/>
      <w:bookmarkStart w:id="358" w:name="_Toc135"/>
      <w:bookmarkEnd w:id="357"/>
      <w:r>
        <w:rPr/>
        <w:t>7</w:t>
      </w:r>
      <w:r>
        <w:rPr>
          <w:rtl w:val="true"/>
        </w:rPr>
        <w:t xml:space="preserve">. </w:t>
      </w:r>
      <w:r>
        <w:rPr>
          <w:rtl w:val="true"/>
        </w:rPr>
        <w:t>عدم العلم بشأن أسباب نزول بعض الآيات</w:t>
      </w:r>
      <w:bookmarkEnd w:id="358"/>
    </w:p>
    <w:p>
      <w:pPr>
        <w:pStyle w:val="BookText"/>
        <w:rPr/>
      </w:pPr>
      <w:r>
        <w:rPr>
          <w:rFonts w:ascii="Amiri" w:hAnsi="Amiri" w:eastAsia="Amiri" w:cs="Amiri"/>
          <w:color w:val="111111"/>
          <w:sz w:val="28"/>
          <w:sz w:val="28"/>
          <w:szCs w:val="28"/>
          <w:rtl w:val="true"/>
          <w:lang w:bidi="ar-SA"/>
        </w:rPr>
        <w:t>إنّا لم نأثر شأن نزول جميع الآيات، والذي أثرناه لم يخلو من كثير من الاختلاف والضّعف في النّقل، مع احتمال الدّسّ والكذب في بعضها،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يترتّب على هذا أنّ الآية التي تبدو مضطربةً هي في الحقيقة إجابةٌ عن قضايا عدّة في وقت واحد، أو عن شأن نزولٍ لا نعرفه أو نعرف جزءًا منه أو ما شابه ذلك من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يمكن اعتباره دليلاً أو شاهدًا على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اختلاف الرّوايات والعلماء في شأن نزول بعض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يعنيه هذا أنّ شأن النّزول في بعض الآيات ليس أمرًا يقينيًّا ومحسومًا، بل هناك مجال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وأمثلته كثيرة، وبخاصة في الموارد التي اختلف فيها الشيعة والسنة في هذا المضمار، وهي موارد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كذلك ما ورد في شأن نزول الآية الثالثة من سورة المائدة، فإنّ التَّعرّف على شأن نزولها يزيل الاضطراب عن الآية</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935689_2870459653"/>
      <w:bookmarkStart w:id="360" w:name="_Toc136"/>
      <w:bookmarkEnd w:id="359"/>
      <w:r>
        <w:rPr/>
        <w:t>8</w:t>
      </w:r>
      <w:r>
        <w:rPr>
          <w:rtl w:val="true"/>
        </w:rPr>
        <w:t xml:space="preserve">. </w:t>
      </w:r>
      <w:r>
        <w:rPr>
          <w:rtl w:val="true"/>
        </w:rPr>
        <w:t>دراسة القرآن بمعزلٍ عن علوم أخرى يقتضيها التّفسير</w:t>
      </w:r>
      <w:bookmarkEnd w:id="360"/>
    </w:p>
    <w:p>
      <w:pPr>
        <w:pStyle w:val="BookText"/>
        <w:rPr/>
      </w:pPr>
      <w:r>
        <w:rPr>
          <w:rFonts w:ascii="Amiri" w:hAnsi="Amiri" w:eastAsia="Amiri" w:cs="Amiri"/>
          <w:color w:val="111111"/>
          <w:sz w:val="28"/>
          <w:sz w:val="28"/>
          <w:szCs w:val="28"/>
          <w:rtl w:val="true"/>
          <w:lang w:bidi="ar-SA"/>
        </w:rPr>
        <w:t>من أسباب طرح هذه الشّبهة هو عدم علم المستشرقين باللّغة العربيّة وبآدابها وعلومها، وكذلك عدم إلمامهم بالعلوم التي يحتاجها المفسّر لكي يتسنّى له القيام بعمليّة التّفسير الخطرة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هذا العامل بعض المستشرقين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أسباب طرح هذه الشّبهة كذلك هو دراسة القرآن بمعزلٍ عن السّنة </w:t>
      </w:r>
      <w:bookmarkStart w:id="361" w:name="pg8898_139414"/>
    </w:p>
    <w:p>
      <w:pPr>
        <w:pStyle w:val="BookText"/>
        <w:rPr/>
      </w:pPr>
      <w:bookmarkEnd w:id="361"/>
      <w:r>
        <w:rPr>
          <w:rFonts w:ascii="Amiri" w:hAnsi="Amiri" w:eastAsia="Amiri" w:cs="Amiri"/>
          <w:color w:val="111111"/>
          <w:sz w:val="28"/>
          <w:sz w:val="28"/>
          <w:szCs w:val="28"/>
          <w:rtl w:val="true"/>
          <w:lang w:bidi="ar-SA"/>
        </w:rPr>
        <w:t>والأحاديث، فإنّ الدّراسات القديمة للمستشرقين وحتّى الكثير من دراساتهم الحديثة تتناول القرآن بالدّراسة بمعزلٍ عن أيّ شيءٍ آخر، وهو ما يفقدهم الكثير من العلوم والملابسات التي عليهم معرفتها لمعرفة خصائص القرآن ومعانيه ومفاهيمه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وبخاصّة أنّ شأن الأحاديث ذات الصّلة بالتّفسير مهمّ جدًا ويختلف عن شأن باقي العناصر والعلوم التي يمكن أن تُلحظ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ماركو شولر إلى هذه الحقيقة ويعتبر هكذا دراسة مستحيلة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ويرجع تاريخ إدخال عنصر التّفسير والحديث في دراسة القرآن إلى أواخر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أنّ الدّراسات قبل القرن العشرين كانت فاقدةً لهذا العنصر المهمّ والحسّاس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يشير إلى أهميّة العلاقة بين القرآن والفقه والقانون ويعتبر أنّ التوجّه إليه في دراسات المستشرقين حصل مؤخّرًا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أواخر القرن العشرين</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2" w:name="__RefHeading___Toc935691_2870459653"/>
      <w:bookmarkStart w:id="363" w:name="_Toc137"/>
      <w:bookmarkEnd w:id="362"/>
      <w:r>
        <w:rPr/>
        <w:t>9</w:t>
      </w:r>
      <w:r>
        <w:rPr>
          <w:rtl w:val="true"/>
        </w:rPr>
        <w:t xml:space="preserve">. </w:t>
      </w:r>
      <w:r>
        <w:rPr>
          <w:rtl w:val="true"/>
        </w:rPr>
        <w:t>الغفلة عن وجود شبكةٍ مترابطةٍ من الإحالات والعناصر الإشاريّة</w:t>
      </w:r>
      <w:bookmarkEnd w:id="363"/>
    </w:p>
    <w:p>
      <w:pPr>
        <w:pStyle w:val="Heading6"/>
        <w:numPr>
          <w:ilvl w:val="5"/>
          <w:numId w:val="1"/>
        </w:numPr>
        <w:rPr/>
      </w:pPr>
      <w:bookmarkStart w:id="364" w:name="__RefHeading___Toc935693_2870459653"/>
      <w:bookmarkStart w:id="365" w:name="_Toc138"/>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إنّ للقرآن شبكةً مترابطةً متكوّنةً من عناصر إحالات وإشارات بين السّور، ولذلك نجد فكرة تفسير القرآن بالقرآن آخذةً موقعها من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نتيجةٌ طبيعيّةٌ التماسك النّصّ ووحدة كاتبه، بالطّبع لا نقول بوجود تناسبٍ بين جميع السّور، بل نقول بوجود هكذا شبكة وليس بالضرورة أنّ هذا يعني التّناسب بين أي سورة ولاحقتها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عدم تمركز قصص الأنبياء في محلٍّ واحدٍ من هذا القبيل، فإنّ القصّة تجدها متناثرةً في الكتاب، وذلك لأنّ طريقة القرآن هي الإحالة والحذف، كما هو حال جلّ العرب في ذلك الحين، فيتكلّمون ويضربون الأمثال للإشارة إلى موضوع ما، والقرآن يتكلّم عن سننٍ إلهيّةٍ تصيب البشريّة فيذكّر بقوم آخرين سبق وأن تحقّقت فيهم </w:t>
      </w:r>
      <w:bookmarkStart w:id="366" w:name="pg8898_139416"/>
    </w:p>
    <w:p>
      <w:pPr>
        <w:pStyle w:val="BookText"/>
        <w:rPr/>
      </w:pPr>
      <w:bookmarkEnd w:id="366"/>
      <w:r>
        <w:rPr>
          <w:rFonts w:ascii="Amiri" w:hAnsi="Amiri" w:eastAsia="Amiri" w:cs="Amiri"/>
          <w:color w:val="111111"/>
          <w:sz w:val="28"/>
          <w:sz w:val="28"/>
          <w:szCs w:val="28"/>
          <w:rtl w:val="true"/>
          <w:lang w:bidi="ar-SA"/>
        </w:rPr>
        <w:t>وأجريت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فيحذف تفاصيل القصّة ويذكّر بنبيّ ذلك القوم أو القوم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الإحالات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الإحالات ،الدّاخليّة كالضّمائر والإشارة إلى نصوصٍ وقصصٍ ومفاهيمَ سبق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مهمّةٌ تُسهم كثيرًا في استيعاب محتوى النّصّ، ودونها لا يمكن فهم النّصّ فضلاً عن انسجامه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إدراك هذه الإحالات من خلال دراسة أمورٍ تحوم حول النّص والآية،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السنّة الواردة ذيل الآية، وشأن نزولها، وسيرة الرّسول والأصحاب، و تاريخ نزول الآية والخلفيات الثّقافيّة وغير الثّقافيّة التي تستبطنها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الغفلة عن وجود هكذا شبكة هو من أسباب تصوّر وجود اضطراب في النّصّ القرآنيّ، فإنّ المستشرق قد ينظر إلى نصّ ما نظرةً مجهريّةً ولا يأخذ بالحسبان النّظرة الشّموليّة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المفروض النّظر إلى أيّ نصٍّ قرآنيٍّ نظرتين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 مجهريّة خاصّة بالنّصّ موضع النّظر،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الشّاملة للنّصّ في مجمل القرآن، وملاحظة الإحالات التي تعود إليه</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935695_2870459653"/>
      <w:bookmarkStart w:id="368" w:name="_Toc139"/>
      <w:bookmarkEnd w:id="367"/>
      <w:r>
        <w:rPr>
          <w:rtl w:val="true"/>
        </w:rPr>
        <w:t>يقول محمود الهواوشة</w:t>
      </w:r>
      <w:r>
        <w:rPr>
          <w:rtl w:val="true"/>
        </w:rPr>
        <w:t>:</w:t>
      </w:r>
      <w:bookmarkEnd w:id="36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الإحالات بصفة رئيسيّةٍ على ربط سور القرآن عن طريق التّبادل الإحالي، ولا يعني ذلك أنّ كلّ آيةٍ أو مقطعٍ في القرآن يحيل على الآخر إحالاتٍ جزئيّة، إنّه تبادلٌ إحاليٌّ شبكيٌّ، أي أنّ بعضه يحيل على كلّه، وسورة ما تحمل إحالةً تعود على عنصر أو أكثر في سورة أخرى، والأخيرة بدورها تُحيل على غيرها وتعود الإحالة من الأخيرة أو غيرها على الأولى وهكذا، فنصّ القرآن بناءٌ واحد، كلّ ساريةٍ فيه تزيد من قوّة الأخرى، وفي عودة العناصر الإحاليّة على العنصر الإشاري المقامي منتج النّصّ الله سبحانه وتعالى، عامل الإحالة الرئيسي وحدة لنصّ القرآن عدا العوامل الأخرى الدّلاليّة واللّفظيّة</w:t>
      </w:r>
      <w:r>
        <w:rPr>
          <w:rFonts w:eastAsia="Amiri" w:cs="Amiri" w:ascii="Amiri" w:hAnsi="Amiri"/>
          <w:color w:val="111111"/>
          <w:sz w:val="28"/>
          <w:szCs w:val="28"/>
          <w:rtl w:val="true"/>
          <w:lang w:bidi="ar-SA"/>
        </w:rPr>
        <w:t>».</w:t>
      </w:r>
      <w:r>
        <w:rPr>
          <w:rStyle w:val="FootnoteAnchor"/>
          <w:rtl w:val="true"/>
        </w:rPr>
        <w:footnoteReference w:id="301"/>
      </w:r>
      <w:bookmarkStart w:id="369" w:name="pg8898_139418"/>
    </w:p>
    <w:p>
      <w:pPr>
        <w:pStyle w:val="Heading6"/>
        <w:numPr>
          <w:ilvl w:val="5"/>
          <w:numId w:val="1"/>
        </w:numPr>
        <w:rPr/>
      </w:pPr>
      <w:bookmarkStart w:id="370" w:name="__RefHeading___Toc935697_2870459653"/>
      <w:bookmarkStart w:id="371" w:name="_Toc140"/>
      <w:bookmarkEnd w:id="369"/>
      <w:bookmarkEnd w:id="370"/>
      <w:r>
        <w:rPr/>
        <w:t>10</w:t>
      </w:r>
      <w:r>
        <w:rPr>
          <w:rtl w:val="true"/>
        </w:rPr>
        <w:t xml:space="preserve">. </w:t>
      </w:r>
      <w:r>
        <w:rPr>
          <w:rtl w:val="true"/>
        </w:rPr>
        <w:t>كون الأسلوب المعتمد في القرآن هو ذاته المعتمد عند العرب عهد النّزول</w:t>
      </w:r>
      <w:bookmarkEnd w:id="371"/>
    </w:p>
    <w:p>
      <w:pPr>
        <w:pStyle w:val="BookText"/>
        <w:rPr/>
      </w:pPr>
      <w:r>
        <w:rPr>
          <w:rFonts w:ascii="Amiri" w:hAnsi="Amiri" w:eastAsia="Amiri" w:cs="Amiri"/>
          <w:color w:val="111111"/>
          <w:sz w:val="28"/>
          <w:sz w:val="28"/>
          <w:szCs w:val="28"/>
          <w:rtl w:val="true"/>
          <w:lang w:bidi="ar-SA"/>
        </w:rPr>
        <w:t xml:space="preserve">إنّ منهج البيان الذي اعتمده القرآن هو في الحقيقة محاكاة لمنهج البيان الذي كان العرب قد اعتمدوه عهد نزول القرآن؛ واعتماد هذا المنهج جاء بناء على الرّؤية القرآنيّة التي ترى 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السبيل النّاجح لهداية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استخدم منهج المحاكاة غير النّبيّ محمد من الأنبياء، فالنّبي إبراهيم ماشى قومه في التّظاهر بعبادة غير الله لإثبات سقم رؤيتهم، وهكذا النّبي موسى وعيسى وغيرهم من الأنبياء، فتكلّموا مع النّاس وخاطبوهم وفق ما كانوا يعتمدونه من منهجٍ كلاميٍّ وعمليٍّ وفكريٍّ، والأمر غير خاصٍّ بالنّبي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محمد زماني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الأسلوب المعقول والحكيم الوحيد لهداية مجتمع هو التّماشي معهم في لسانهم واستخدام لسان القوم وعرض خطاب الهداية الممتزج بقضايا عاطفيّة وتذكيراتٍ رحيمة تعكس عطف الله على الإنسان، والنّصائح والمواعظ، والإرشادات الأخلاقيّة والسّلوكيّة، والتّرغيب والتّرهيب، والتّحليل العقليّ، وأخذ العبر من الأقوام السّابقة، والالتفات إلى أسرار الكون الخفيّة والآيات الكونيّة والطّبيعيّة وما شابه ذلك؛ وذلك لأنّ الفراغات والآلام الرّوحية التي يعاني منها المخاطبون متعدّدة ومختلفة، وعلاجها بحاجة إلى خلطةٍ ذات عناصر متنوّعة</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2" w:name="__RefHeading___Toc935699_2870459653"/>
      <w:bookmarkStart w:id="373" w:name="_Toc141"/>
      <w:bookmarkEnd w:id="372"/>
      <w:r>
        <w:rPr/>
        <w:t>11</w:t>
      </w:r>
      <w:r>
        <w:rPr>
          <w:rtl w:val="true"/>
        </w:rPr>
        <w:t xml:space="preserve">. </w:t>
      </w:r>
      <w:r>
        <w:rPr>
          <w:rtl w:val="true"/>
        </w:rPr>
        <w:t>أسباب اختلال وحدة النّصّ جزئيًّا في القرآن</w:t>
      </w:r>
      <w:bookmarkEnd w:id="373"/>
    </w:p>
    <w:p>
      <w:pPr>
        <w:pStyle w:val="Heading6"/>
        <w:numPr>
          <w:ilvl w:val="5"/>
          <w:numId w:val="1"/>
        </w:numPr>
        <w:rPr/>
      </w:pPr>
      <w:bookmarkStart w:id="374" w:name="__RefHeading___Toc935701_2870459653"/>
      <w:bookmarkStart w:id="375" w:name="_Toc142"/>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الملاحظ في القرآن انعدام بعض مجالات الوحدة المفروض رعايتها في كلّ كتاب، وذلك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أسلوب الخطاب، أو طفرات موضوعيّة في السّورة الواحدة، وقد يكون ذلك للأسباب الآتية</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935703_2870459653"/>
      <w:bookmarkStart w:id="377" w:name="_Toc143"/>
      <w:bookmarkEnd w:id="376"/>
      <w:r>
        <w:rPr>
          <w:rtl w:val="true"/>
        </w:rPr>
        <w:t>أ</w:t>
      </w:r>
      <w:r>
        <w:rPr>
          <w:rtl w:val="true"/>
        </w:rPr>
        <w:t xml:space="preserve">. </w:t>
      </w:r>
      <w:r>
        <w:rPr>
          <w:rtl w:val="true"/>
        </w:rPr>
        <w:t>تعدّد الشرائح المخاطبة</w:t>
      </w:r>
      <w:bookmarkEnd w:id="37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 القرآن كتابًا شاملًا يعمّ في خطابه طبقاتٍ وشرائح مختلفةً من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صغر مجتمع العرب عصر النّزول وبداءته إلاّ أنّه كان يضمّ طبقاتٍ </w:t>
      </w:r>
      <w:bookmarkStart w:id="378" w:name="pg8898_139420"/>
    </w:p>
    <w:p>
      <w:pPr>
        <w:pStyle w:val="BookText"/>
        <w:rPr/>
      </w:pPr>
      <w:bookmarkEnd w:id="378"/>
      <w:r>
        <w:rPr>
          <w:rFonts w:ascii="Amiri" w:hAnsi="Amiri" w:eastAsia="Amiri" w:cs="Amiri"/>
          <w:color w:val="111111"/>
          <w:sz w:val="28"/>
          <w:sz w:val="28"/>
          <w:szCs w:val="28"/>
          <w:rtl w:val="true"/>
          <w:lang w:bidi="ar-SA"/>
        </w:rPr>
        <w:t>متفاوتةً، فمنها المتعلّمة ومنها غير المتعلّمة، ومنهم ذوي عقولٍ منفتحةٍ وغير المنفتحة وكثير من الشّرائح التي يمكن تصوّرها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فالآيات التي خاطبت اليهود خاطبت في الحقيقة أناسًا متعلّمين قرأوا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الآيات التي خاطبت قادة العرب آنذاك خاطبت أناسًا 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صدور آيات صغيرة جدًّا عكست بساطة المسلمين ومستواهم من حيث التعليم، فإنّها صدرت بهذا الحجم لأجل بساطتهم وعدم تعلّمهم وصعوبة حفظهم للنّصوص الطويلة، وعدم تمكّنهم من القراءة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نزلت آيات طوال في المدينة حيث تعلّم المسلمون وبلغوا مستوى يتسنّى من خلاله هضم الآيات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ما يمكن ذكره من شواهد في هذا المجال هو الآيات المكيّة بمجملها، فإنّ لها مواصفات،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حجمها، وبساطة محتوياتها، واستخدام الأمور المأنوسة عند المكيين من الحيوانات والشؤون البسيطة، والتعابير ذات الوقع الخاص القريب من الشعر، واحتوائها للسجع وما شابه</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935705_2870459653"/>
      <w:bookmarkStart w:id="380" w:name="_Toc144"/>
      <w:bookmarkEnd w:id="379"/>
      <w:r>
        <w:rPr>
          <w:rtl w:val="true"/>
        </w:rPr>
        <w:t>ب</w:t>
      </w:r>
      <w:r>
        <w:rPr>
          <w:rtl w:val="true"/>
        </w:rPr>
        <w:t xml:space="preserve">. </w:t>
      </w:r>
      <w:r>
        <w:rPr>
          <w:rtl w:val="true"/>
        </w:rPr>
        <w:t>تباعد أزمان نزول مقاطع القرآن</w:t>
      </w:r>
      <w:bookmarkEnd w:id="38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تباعد أزمنة الخطاب غيّرت الكثير من شؤون الخطاب، كالموضوع ونوعيّة الأمثلة والتّصاوير الأدبيّة المستخدمة لتقريب المفاهيم؛ وذلك بسبب تغيّر الكثير من الأمور السياسيّة والاجتماعيّة والعلميّة، ما استدعى التّعرّض لمواضيع تنطوي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خطابات القرآن في مكّة كانت ذات محتوًى عقديًّ وأخلاقيًّ بينما تغيّر الخطاب في المدينة ليتّخذ طابعًا سياسيًّا أحيانًا واجتماعيًّا أحيانًا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المسلمين في المدينة قد تعلّموا القراءة والكتابة وأصبح مستواهم الثقافي والعلميّ أرفع ممّا كانوا عليه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تشكيل حكومة الرّسول هناك وتغيّرت هيكليّة المجتمع المسلم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نشهد بعض التغييرات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لا يختصّ بالقرآن بل هو شأن أيّ كتابٍ نفرض تدوينه في فترةٍ دامت أكثر من عقدين، مع تحوّلات اجتماعيّة وسياسيّة وثقافيّة جمّة</w:t>
      </w:r>
      <w:r>
        <w:rPr>
          <w:rFonts w:eastAsia="Amiri" w:cs="Amiri" w:ascii="Amiri" w:hAnsi="Amiri"/>
          <w:color w:val="111111"/>
          <w:sz w:val="28"/>
          <w:szCs w:val="28"/>
          <w:rtl w:val="true"/>
          <w:lang w:bidi="ar-SA"/>
        </w:rPr>
        <w:t xml:space="preserve">. </w:t>
      </w:r>
      <w:bookmarkStart w:id="381" w:name="pg8898_139422"/>
    </w:p>
    <w:p>
      <w:pPr>
        <w:pStyle w:val="Heading6"/>
        <w:numPr>
          <w:ilvl w:val="5"/>
          <w:numId w:val="1"/>
        </w:numPr>
        <w:rPr/>
      </w:pPr>
      <w:bookmarkStart w:id="382" w:name="__RefHeading___Toc935707_2870459653"/>
      <w:bookmarkStart w:id="383" w:name="_Toc145"/>
      <w:bookmarkEnd w:id="381"/>
      <w:bookmarkEnd w:id="382"/>
      <w:r>
        <w:rPr>
          <w:rtl w:val="true"/>
        </w:rPr>
        <w:t>ج</w:t>
      </w:r>
      <w:r>
        <w:rPr>
          <w:rtl w:val="true"/>
        </w:rPr>
        <w:t xml:space="preserve">. </w:t>
      </w:r>
      <w:r>
        <w:rPr>
          <w:rtl w:val="true"/>
        </w:rPr>
        <w:t>تعدّد شؤون النّزول</w:t>
      </w:r>
      <w:bookmarkEnd w:id="383"/>
    </w:p>
    <w:p>
      <w:pPr>
        <w:pStyle w:val="BookText"/>
        <w:rPr/>
      </w:pPr>
      <w:r>
        <w:rPr>
          <w:rFonts w:ascii="Amiri" w:hAnsi="Amiri" w:eastAsia="Amiri" w:cs="Amiri"/>
          <w:color w:val="111111"/>
          <w:sz w:val="28"/>
          <w:sz w:val="28"/>
          <w:szCs w:val="28"/>
          <w:rtl w:val="true"/>
          <w:lang w:bidi="ar-SA"/>
        </w:rPr>
        <w:t>من الواضح أنّ الآيات نزلت لشؤون مختلفةٍ، وسعة هذه الشّؤون بسعة مجتمعٍ كاملٍ بما يضمّ من نشاطاتٍ و علاقاتٍ اجتماعيّةٍ وغير اجتماعيّةٍ ومشاكل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كذلك أنّ الخطاب يتغيّر ويتلاءم وفق الشّأن النازل لأجله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الشأن اجتماعيًّا كان الخطاب اجتماعيًّا والأسلوب كذلك، وإذا كان الشأن سياسيًّا أو عسكريًّا كان الخطاب والأسلوب سياسيًّا أو عسكريًّا، وهكذا باقي الشّؤون التي نزلت في حقّها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فإنّ وحدة النّصّ في بعض مستوياته ممّا لا يمكن مراعاته في القرآن بمجمله لطبيعة الشّؤون 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السورة؛ لكونها شكلاً مصغّرًا عن القرآن ككل، ففيها آيات نزلت في شؤونٍ مختلفةٍ، كما أنّ فيها آيات مكيّة ومدنيّة، وفيها شؤونٌ اجتماعيّة وعسكريّة وسياسيّة واقتصاديّة، والقضايا المطروحة فيها ليست من نمط واحدٍ لكي نتوقّع منها وحدة النّصّ في جميع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الآيات، التي هي أصغر مقاطع القرآن، فينبغي رعاية جميع مستويات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فيها ما يُشترط في النّصّ العقلائي العادي؛ باعتبار أنّ المفروض في أصغر مقطع من كلّ كلام صدر من عاقل أن يضمّ جميع جوانب الإنسجام والوحدة النّصّية، فضلاً عن صدوره من رئيس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الطبيعي أن يكون هناك مقطع صغير جدًا بمستوى آية خوطب به أكثر من شريحة أو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شاهدنا آية تفتقد أحد مستويات الوحدة فعلينا البحث عن سبب</w:t>
      </w:r>
    </w:p>
    <w:p>
      <w:pPr>
        <w:pStyle w:val="Heading6"/>
        <w:numPr>
          <w:ilvl w:val="5"/>
          <w:numId w:val="1"/>
        </w:numPr>
        <w:rPr/>
      </w:pPr>
      <w:bookmarkStart w:id="384" w:name="__RefHeading___Toc935709_2870459653"/>
      <w:bookmarkStart w:id="385" w:name="_Toc146"/>
      <w:bookmarkEnd w:id="384"/>
      <w:r>
        <w:rPr/>
        <w:t>12</w:t>
      </w:r>
      <w:r>
        <w:rPr>
          <w:rtl w:val="true"/>
        </w:rPr>
        <w:t xml:space="preserve">. </w:t>
      </w:r>
      <w:r>
        <w:rPr>
          <w:rtl w:val="true"/>
        </w:rPr>
        <w:t>مناشيء الشّبهة وأرضيات تبلورها</w:t>
      </w:r>
      <w:bookmarkEnd w:id="385"/>
    </w:p>
    <w:p>
      <w:pPr>
        <w:pStyle w:val="Heading6"/>
        <w:numPr>
          <w:ilvl w:val="5"/>
          <w:numId w:val="1"/>
        </w:numPr>
        <w:rPr/>
      </w:pPr>
      <w:bookmarkStart w:id="386" w:name="__RefHeading___Toc935711_2870459653"/>
      <w:bookmarkStart w:id="387" w:name="_Toc147"/>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إنّ التعرّف على مناشىء الشّبهة يزيل الكثير من الإبهامات، ويعدّ نوع إجابةٍ على كثيرٍ من التّساؤلات والملابسات التي تحوم حول هذا الموضوع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أمور عدّة يبدو أنّها عوامل أدّت إلى تبلور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أنّ هناك ما يدعو إلى تبلور هذه الشّبهة لا في أذهان المستشرقين فحسب بل المسلمين </w:t>
      </w:r>
      <w:bookmarkStart w:id="388" w:name="pg8898_139424"/>
    </w:p>
    <w:p>
      <w:pPr>
        <w:pStyle w:val="BookText"/>
        <w:rPr/>
      </w:pPr>
      <w:bookmarkEnd w:id="388"/>
      <w:r>
        <w:rPr>
          <w:rFonts w:ascii="Amiri" w:hAnsi="Amiri" w:eastAsia="Amiri" w:cs="Amiri"/>
          <w:color w:val="111111"/>
          <w:sz w:val="28"/>
          <w:sz w:val="28"/>
          <w:szCs w:val="28"/>
          <w:rtl w:val="true"/>
          <w:lang w:bidi="ar-SA"/>
        </w:rPr>
        <w:t>كذلك، والأمور التالية تبدو عوامل بلورت الشّبهة في الأذهان، على أنّ بعضها يعود للنصّ القرآني ذاته، وبعضها يعود إلى مفسّري هذا النّصّ وعلماء المسلمين، وأخيرها يعود إلى المستشرقين ذاتهم، نتناول هذه العوامل تباعًا</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935713_2870459653"/>
      <w:bookmarkStart w:id="390" w:name="_Toc148"/>
      <w:bookmarkEnd w:id="389"/>
      <w:r>
        <w:rPr>
          <w:rtl w:val="true"/>
        </w:rPr>
        <w:t>أ</w:t>
      </w:r>
      <w:r>
        <w:rPr>
          <w:rtl w:val="true"/>
        </w:rPr>
        <w:t xml:space="preserve">. </w:t>
      </w:r>
      <w:r>
        <w:rPr>
          <w:rtl w:val="true"/>
        </w:rPr>
        <w:t>ما يعود إلى النّصّ القرآني</w:t>
      </w:r>
      <w:bookmarkEnd w:id="390"/>
    </w:p>
    <w:p>
      <w:pPr>
        <w:pStyle w:val="BookText"/>
        <w:rPr/>
      </w:pPr>
      <w:r>
        <w:rPr>
          <w:rFonts w:ascii="Amiri" w:hAnsi="Amiri" w:eastAsia="Amiri" w:cs="Amiri"/>
          <w:color w:val="111111"/>
          <w:sz w:val="28"/>
          <w:sz w:val="28"/>
          <w:szCs w:val="28"/>
          <w:rtl w:val="true"/>
          <w:lang w:bidi="ar-SA"/>
        </w:rPr>
        <w:t>يبدو من بعض نصوص القرآن عدم التّرابط والانسجام المنطقيّ بين فقرات السّورة الواحدة أو الآية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بعض الآيات يبدو منها انعدام التّرابط بناء على بعض التّفاسير، مثل الآية الثالثة من سورة النّساء والآية الثالثة من سورة المائدة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إليها بعض علماء المسلمين كذلك، وتناولناها بالبحث في هذا البحث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بعض السّور نجدها تجمع بين مواضيع شتّى قد لا نجد لها الجامع ببساطة، وهي السّور الطّوال والمدنيّة بالخصوص، مثل البقرة التي ضمّت مواضيع وقصصًا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أرجع بعض المستشرقين مثل موير هذا الاختلال إلى عدم رعاية التّرتيب الطبيعي للقرآن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أرجعه بعض آخر مثل بيل ريتشارد إلى تصحيف النّسّاخ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يرى البعض رجوع الأمر إلى التّضحية بالجانب المعنويّ للقرآن لأجل الجانب البلاغي، مثل السجع، في رعاية الفواصل بين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ذهب إليه المستشرق بيل ريتشارد </w:t>
      </w:r>
      <w:r>
        <w:rPr>
          <w:rStyle w:val="FootnoteAnchor"/>
          <w:rtl w:val="true"/>
        </w:rPr>
        <w:footnoteReference w:id="306"/>
      </w:r>
      <w:r>
        <w:rPr>
          <w:rFonts w:ascii="Amiri" w:hAnsi="Amiri" w:eastAsia="Amiri" w:cs="Amiri"/>
          <w:color w:val="111111"/>
          <w:sz w:val="28"/>
          <w:sz w:val="28"/>
          <w:szCs w:val="28"/>
          <w:rtl w:val="true"/>
          <w:lang w:bidi="ar-SA"/>
        </w:rPr>
        <w:t xml:space="preserve">، وهو ما يمكن استفادته من كلمات المستشرقة أنجليكا نويفيرت أيضًا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وأرجع بلاشر المشكلة إلى التكرار غير المفهوم لبعض الآيات، وذكر مصداقًا له في سورة الرحمن، فقد ظهر له وجود تكرار بين المقطع الذي يبدأ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والمقطع الذي يبدأ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دُونِهِمَا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وجود التّشابه الكبير بين أوصاف الجنّتين في المقطعين، فلا بدّ وأنّ هذا ناشيء عن اختلاط الأمر على الصّحابة وغفلتهم ممّا جعلهم يظنون أنّ المقطعين آيتان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وأرجع بلاشر ونولدكه كذلك الأمر إلى التّرتيب غير الممنهج أو ممنهج وفق أكثر من منهج، ممّا دعاهما إلى السّعي لطرح مقترحٍ خاصٍّ في مجال إعادة ترتيب الآيات والسّور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يزيد الأمر تشويشًا ويؤكّد الشّبهة كون بعض الأحكام الشّرعية توحي إلى هذه الشَّبهة، مثل الاكتفاء بقراءة آية بعد سورة الحمد في الصلاة لدى بعض المذاهب، أو تسمية بعض الآيات بأسماء محدّدةٍ مثل آية الكرسي وغيرها من الأمور ممّا توحي إلى انفراد هذه الآيات وانفصالها عن مجمل الكتاب ويمكن ملاحظتها لوحدها دون باقي أجزاء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المجال، وفي سياق ما ركّز عليه عبد الله محمد دراز من نظريّة حول وحدة السورة، يورد ثلاثة أمور يبدو منها إشارات إلى مناشىء هذه الشّبهة،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عناصر معنويّة مختلفة مثل الإيجاز المستخدم في القرآن؛ باعتبار أنّ الايجاز يوجب أحيانًا اختزال المفاهيم بعبارات موجزة وصغيرة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نزوله تدريجيًّا على مدى سنوات طويلة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المضمار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أوَلست تعلم أنّ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ينزل بهذه المعاني المختلفة جملة واحدة، بل كان ينزل بها آحادًا مفرّقة على حسب الوقائع والدّواعي المتجدّدة، وأنّ هذا الانفصال الزّماني بينها، والاختلاف الذّاتيّ بين دواعيها، كان بطبيعته مستتبعًا لانفصال الحديث عنها </w:t>
      </w:r>
      <w:bookmarkStart w:id="391" w:name="pg8898_139428"/>
    </w:p>
    <w:p>
      <w:pPr>
        <w:pStyle w:val="BookText"/>
        <w:rPr/>
      </w:pPr>
      <w:bookmarkEnd w:id="391"/>
      <w:r>
        <w:rPr>
          <w:rFonts w:ascii="Amiri" w:hAnsi="Amiri" w:eastAsia="Amiri" w:cs="Amiri"/>
          <w:color w:val="111111"/>
          <w:sz w:val="28"/>
          <w:sz w:val="28"/>
          <w:szCs w:val="28"/>
          <w:rtl w:val="true"/>
          <w:lang w:bidi="ar-SA"/>
        </w:rPr>
        <w:t>على ضرب من الاستقلال والاستئناف لا يدع بينها منزعًا للتّواصل والتّرابط؟</w:t>
      </w:r>
    </w:p>
    <w:p>
      <w:pPr>
        <w:pStyle w:val="BookText"/>
        <w:rPr/>
      </w:pPr>
      <w:r>
        <w:rPr>
          <w:rFonts w:ascii="Amiri" w:hAnsi="Amiri" w:eastAsia="Amiri" w:cs="Amiri"/>
          <w:color w:val="111111"/>
          <w:sz w:val="28"/>
          <w:sz w:val="28"/>
          <w:szCs w:val="28"/>
          <w:rtl w:val="true"/>
          <w:lang w:bidi="ar-SA"/>
        </w:rPr>
        <w:t>ألم يكن هذان السّببان قوّتين متظاهرتين على تفكيك وحدة الكلام وتقطيع أوصاله إذا أريد نظم طائفة من تلك الأحاديث في سلكٍ واحدٍ تحت اسم سورةٍ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يورد سببًا آخر، وهو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الطريقة التي اتّبعت في ضمّ نجوم القرآن بعضها إلى بعض وفي تأليف وحدات السّورة من تلك النّجوم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نعاني جهلًا بهذه الطريقة ولم تتّضح معالمها بالكامل</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935715_2870459653"/>
      <w:bookmarkStart w:id="393" w:name="_Toc149"/>
      <w:bookmarkEnd w:id="392"/>
      <w:r>
        <w:rPr>
          <w:rtl w:val="true"/>
        </w:rPr>
        <w:t>ب</w:t>
      </w:r>
      <w:r>
        <w:rPr>
          <w:rtl w:val="true"/>
        </w:rPr>
        <w:t xml:space="preserve">. </w:t>
      </w:r>
      <w:r>
        <w:rPr>
          <w:rtl w:val="true"/>
        </w:rPr>
        <w:t>ما يعود إلى المفسّرين وعلماء المسلمين</w:t>
      </w:r>
      <w:bookmarkEnd w:id="393"/>
    </w:p>
    <w:p>
      <w:pPr>
        <w:pStyle w:val="BookText"/>
        <w:rPr/>
      </w:pPr>
      <w:r>
        <w:rPr>
          <w:rFonts w:ascii="Amiri" w:hAnsi="Amiri" w:eastAsia="Amiri" w:cs="Amiri"/>
          <w:color w:val="111111"/>
          <w:sz w:val="28"/>
          <w:sz w:val="28"/>
          <w:szCs w:val="28"/>
          <w:rtl w:val="true"/>
          <w:lang w:bidi="ar-SA"/>
        </w:rPr>
        <w:t>هناك أمور عدّة صدرت من المفسّرين وعلماء المسلمين أثّرت في تبلور هذه الشّبهة،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الآراء المتطرّفة لبعض علماء الإسلام في مجال ترتيب القرآن أو تحريفه أو شؤون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آراء مثل ما ذهب إليه الأخباريّة من القول بصحّة الرّواية التي قالت بحذف ثلثي القرآن كان محشورًا وسط الآية الثالثة 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أنّ التّرتيب الحالي للقرآن هو ليس التّرتيب الذي أراده الله ورسوله، وأنّ التّرتيب الأصيل قد نال شيئًا من التغيير والتّحريف، وهم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الميلاني، حيث يقول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وترتيب الآيات يختلف عمّا نزل عليه القرآن الكريم، ترون آية المودّة مثلاً وضعت في غير موضعها، آية التطهير وضعت في غير موضعها، ترون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في غير موضعها، سورة المائدة التي هي بإجماع الفريقين آخر ما نزل من القرآن الكريم، ترونها ليست في آخر القرآن، بل في أوائل </w:t>
      </w:r>
    </w:p>
    <w:p>
      <w:pPr>
        <w:pStyle w:val="BookText"/>
        <w:rPr/>
      </w:pPr>
      <w:r>
        <w:rPr>
          <w:rFonts w:ascii="Amiri" w:hAnsi="Amiri" w:eastAsia="Amiri" w:cs="Amiri"/>
          <w:color w:val="111111"/>
          <w:sz w:val="28"/>
          <w:sz w:val="28"/>
          <w:szCs w:val="28"/>
          <w:rtl w:val="true"/>
          <w:lang w:bidi="ar-SA"/>
        </w:rPr>
        <w:t>القرآن، ما الغرض من هذا؟ فهذا نوع من التّحريف لا ريب في وقوعه، وقد اتّفق الكلّ على وقوعه في القرآن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الآراء ساعدت على تبلور هذه الشّبهة، فإنّها توفّر الأرضيّة المناسبة والخصبة لتشكيل هكذا شبهة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القرآن ككتابٍ غامضٍ لا يمكن فهمه إلاّ بطرقٍ وحيانيةٍ</w:t>
      </w:r>
    </w:p>
    <w:p>
      <w:pPr>
        <w:pStyle w:val="BookText"/>
        <w:rPr/>
      </w:pPr>
      <w:r>
        <w:rPr>
          <w:rFonts w:ascii="Amiri" w:hAnsi="Amiri" w:eastAsia="Amiri" w:cs="Amiri"/>
          <w:color w:val="111111"/>
          <w:sz w:val="28"/>
          <w:sz w:val="28"/>
          <w:szCs w:val="28"/>
          <w:rtl w:val="true"/>
          <w:lang w:bidi="ar-SA"/>
        </w:rPr>
        <w:t>لقد صوّر البعض القرآن وكأنّه كتابٌ لا يمكن فهمه إلاّ من خلال كلام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إلى هذا الرأي بعض الأخباريين،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التّفسير الحجّة هو التّفسير الصّادر عن المعصوم، أمّا باقي التّفاسير التي يمكن أن تصدر من المفسّرين فهي غير حجّة ولا يمكن الوثوق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مفاهيم هذا الكلام هو وجود عدم إنسجامٍ ظاهريٍّ لا يوفّر الأرضيّة المناسبة للمفسّر العرفي لأن يُقدِم على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برغم أنّ العرف يرى إمكانيّة فهمه لنصوص القرآن ولو جزئيًّا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الاسترابادي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الصّواب عندي مذهب قدمائنا الأخباريين وطريقهم، أمّا مذهبهم،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تحتاج إليه الأمّة إلى يوم القيامة عليه دلالة قطعيّة من قبله تعالى حتّى أرش الخدش، وإنّ كثيرًا ممّا جاء به النّبيّ من الأحكام، وممّا يتعلّق بكتاب الله وسنّة نبيه من نسخ وتقييد وتخصيص وتأويل مخزون عند العترة الطّاهرة وانّ القرآن في الأكثر ورد على وجه التعمية بالنّسبة إلى أذهان الرّعيّة، وكذلك كثير من السّنن النّبويّة، وأنّه لا سبيل لنا فيما لا نعلمه من الأحكام الشّرعيّة النّظرية أصليّةً كانت أو فرعيّة إلاّ السّماع من الصّادقين، وأنّه لا يجوز استنباط الأحكام النّظريّة من ظواهر كتاب الله، ولا من ظواهر السّنن النّبويّة ما لم يُعلم أحوالهما من جهة أهل الذّكر، بل يجب التّوقّف والاحتياط فيهما</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بالطّبع لا يريد مجمل القرآن بل مراده الأحكام والمعاني النّظريّة، ومن المسلّم أنّ هناك الكثير من النّصوص في القرآن لا حاجة لنستعين بطرقٍ وحيانيّةٍ وكلمات المعصومين لفهمها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هذا المجال الكثير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هو أنّ عبارات بعض الأخباريين مثل ما تقدّم توحي إلى وجود 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تكون هكذا آراء ونظريات مناشىء لبلورة الشّبهة موضع البحث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يزيد دعمًا لهذا الموضوع هو أنّ الكثير من المفسّرين والفقهاء أحيانًا يستفيدون من الآية الواحدة أكثر من استفادة، فيستفيدون استفادات عقائديّة وفقهيّة واستفادات أخرى من آية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يوردون احتمالاتٍ كثيرةً تثير استغراب كلّ 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ما ورد عن العلاّمة الطباطبائي في تفسيره للآية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هناك تفاسير واحتمالات كثيرة للآية وعقّب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ضربت بعض الأرقام التي ذكرناها من الاحتمالات في البعض الآخر، ارتقت الاحتمالات إلى كميّةٍ عجيبةٍ، وهي ما يقرب من ألف ألف ومائتين وستين ألف احتمال</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 هذا ما ورد فى تفسير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 فبعد ما يذكر العلاّمة الطباطبائي الاحتمالات الواردة في تفسيرها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الآية فيما يحتمله مفردات ألفاظها وضمائرها عجيب، فضرب بعضها في بعض يرقى إلى ألوف من المحتملات بعضها صحيح وبعضها خلافه</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وبرغم أنّ هذا يكشف عن شأن فريد في القرآن إلاّ أنّه في الوقت ذاته يزيد من إبهاماته وغموضه، ممّا قد يبلور فكرة عدم الانسجام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المجال يورد الأستاذ نزال في استطراد علل هذه الشّبهة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إكثار الوجوه في التأويل وإكثار الجدل وقال وقيل، وذلك بأنّ النّظم يجري على وحدة، </w:t>
      </w:r>
    </w:p>
    <w:p>
      <w:pPr>
        <w:pStyle w:val="BookText"/>
        <w:rPr/>
      </w:pPr>
      <w:r>
        <w:rPr>
          <w:rFonts w:ascii="Amiri" w:hAnsi="Amiri" w:eastAsia="Amiri" w:cs="Amiri"/>
          <w:color w:val="111111"/>
          <w:sz w:val="28"/>
          <w:sz w:val="28"/>
          <w:szCs w:val="28"/>
          <w:rtl w:val="true"/>
          <w:lang w:bidi="ar-SA"/>
        </w:rPr>
        <w:t>فبحسب ما تكثر الوجوه ويتعذّر استنباط النّظم، فمن نظر في هذه الوجوه المتناقضة والأقاويل المتشاكسة تحيّر لا يدري ما يختار منها؟ وأصبح في حجب من النّظم الذي يجري من كلّ جملةٍ في وجهٍ واحدٍ كمن سلك طريقًا يصادف في غلوة طرقًا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مأخذ لم يطغَ على النّظام فحسب بل طغى على هداية القرآن ومقاصده كذلك</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تبلور مذاهب عقائديّة وفقهيّة وتفسيريّة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هذا يؤثّر سلبًا أو إيجابًا على تعدّد التفاسير والاختلاف في المفاهيم القرآنيّة وتأثيرها في النّهاية على الانسجام والنّظم المتوخّى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الأستاذ نزال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تحزّب الأمّة في فرق وشيع ألجأهم إلى التّمسّك بما يؤيدهم من الكتاب، فراق لهم تأويله الخاص، سواء كان بظاهر القول أو بإحدى طرق حمل الكلام على بعض المحتملات</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وكمثالٍ على ذلك يمكن ذكر شاهد بسيط هنا، وهو آية الوضوء التي استفيد منها استفادات كثيرة ومتضادة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سبّب تعدّد المسالك والمذاهب الفقهيّة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يعود إلى المستشرقين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الكثير من المستشرقين حمل نوايا غير حسنةٍ وسعى لطرح الشّبهات حول القرآن لا على أساس مبدأ أو مبادىء علميّة بل لأجل إلقاء الشّبهة وتشكيك المسلمين بهذا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الواضح كون بعض القائلين بهذه الشّبهة سعوا لإسقاط القرآن عن محتواه الأدبي ومضمونه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المستشرقين كان يحمل نوايا غير طيّبةٍ تجاه الإسلام أو يستهدف التّبشير لدينه أو أفكاره غير الدّينيّة أحيانًا، أو كونه مدفوعًا من قبل قادّة الدول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فيتشبّث بما أمكن من شبهات، </w:t>
      </w:r>
    </w:p>
    <w:p>
      <w:pPr>
        <w:pStyle w:val="BookText"/>
        <w:rPr/>
      </w:pPr>
      <w:r>
        <w:rPr>
          <w:rFonts w:ascii="Amiri" w:hAnsi="Amiri" w:eastAsia="Amiri" w:cs="Amiri"/>
          <w:color w:val="111111"/>
          <w:sz w:val="28"/>
          <w:sz w:val="28"/>
          <w:szCs w:val="28"/>
          <w:rtl w:val="true"/>
          <w:lang w:bidi="ar-SA"/>
        </w:rPr>
        <w:t>سعيًا لتسفيه الإسلام والمسلمين وتوفير الأرضيّة اللازمة لدخول الاستعمار أو البقاء عليه لإيفاد ثقافة ومعتقدات أفضل إلى الدّول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غضضنا النّظر عن هذا الموضوع فإنّ هناك أمورًا عدّةً افتعلها المستشرقون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أو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ساعدت على تبلور هذه الشّبهة، وهي من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التّفريق بين النّصوص الشّفويّة ومقتضياتها والنّصوص التحريريّة ومقتضياتها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برغم عدم تفريق أكثر علماء اللّغة بين النّصّ والخطاب الشّفويّ، وعدم وضع قواعد لتفسير كلٍّ منهما، وكون كلّ منهما أسلوب للبيان، فإنّ من الواضح كون القرآن في الأساس نصًّا شفويًّا حرّر وأصبح نصًّا مكتوبًا لاحقًا، ولم يكن تحريريًّا منذ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قد ترك بصماته على النّصّ القرآنيّ وجعل من بعض آياته تبدو علائم الخطاب فيه أكثر من النّصّ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مقتضيات النّصّ الشّفويّ في بيئاتٍ بدائيّةٍ مثل العرب قبل الإسلام وصدر الإسلام، حيث كانت جلساتهم تمتلىء بالقصص والكلمات، هو كونه غير متّحدة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لدينا من نصوصٍ عربيّةٍ تعود إلى العهد الجاهلي على مستوى النّثر قليلةٌ جدًا، وهي مثل خطب قس بن ساعدة وأكثم بن 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القليل يكفي لمعرفة كيفيّة وأسلوب النّثر والخطب العربية عهد الجاهليّة، فإنّ التّشابه ملحوظٌ، وخطب المذكورين والتي نقلتها مصادر حديثيّة كثيرة تحكي بوضوحٍ التّنوّع في الموضوع</w:t>
      </w:r>
    </w:p>
    <w:p>
      <w:pPr>
        <w:pStyle w:val="BookText"/>
        <w:rPr/>
      </w:pPr>
      <w:r>
        <w:rPr>
          <w:rFonts w:ascii="Amiri" w:hAnsi="Amiri" w:eastAsia="Amiri" w:cs="Amiri"/>
          <w:color w:val="111111"/>
          <w:sz w:val="28"/>
          <w:sz w:val="28"/>
          <w:szCs w:val="28"/>
          <w:rtl w:val="true"/>
          <w:lang w:bidi="ar-SA"/>
        </w:rPr>
        <w:t xml:space="preserve">والانتقال في الأفكار، وهي عبارة عن مواعظ متناثرةٍ جمعت في خطبة واحدة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تنبّه بعض المستشرقين إلى وجوه الشّبه بين الصّنفين من النّصوص والأدب، ونلاحظ مثل أنجليكا نويفيرت أنّ مقالاتها، المثبتة في موسوعة القرآن وفي مثل مقال سورة وآية، مليئة بالمقارنة بين أدب العهد الجاهلي والأدب الذي قدّمه القرآن، </w:t>
      </w:r>
    </w:p>
    <w:p>
      <w:pPr>
        <w:pStyle w:val="BookText"/>
        <w:rPr/>
      </w:pPr>
      <w:r>
        <w:rPr>
          <w:rFonts w:ascii="Amiri" w:hAnsi="Amiri" w:eastAsia="Amiri" w:cs="Amiri"/>
          <w:color w:val="111111"/>
          <w:sz w:val="28"/>
          <w:sz w:val="28"/>
          <w:szCs w:val="28"/>
          <w:rtl w:val="true"/>
          <w:lang w:bidi="ar-SA"/>
        </w:rPr>
        <w:t>وتُرجع الكثير من أنماط الأدب المستخدم في القرآن إلى العهد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يذكر الفاخوري أصناف النّثر الجاهلي يحلّل ويقسّم الخطب في العهد الجاهلي إلى أصناف عدّة، ويصف الخطب التي تعتمد العقل بالنّحو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ليتجلّى لنا من النّماذج التي أوردناها في فاتحة هذا الفصل أنّ لخطابة الجاهليين أسلوبين هامّين، أحدهما يتّخذ العقل دليلاً ويركب مركب الحجّة المقنعة، فيعمد إلى التفصيل والتعليل وإبراز الشّواهد والأدلّة، كما في خطبة النعمان، ويعتمد العبارة الموجزة والحِكم الوافرة التي تخاطب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أكثم بن 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تسرد من غير ما ترتيب أو تفسير، كأنّها آيات منزلات لا تقبل ردًّا ولا شكًّا، وكأنّها الدّستور الذي لا يجوز الخروج عنه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 الشَّبه واضحةٌ في كلمات الفاخوري، فبعض المواصفات مثل السّرد من غير ترتيبٍ تنطبق على بعض سور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ويحلّل الفاخوري أسلوبًا آخر للخطابة الجاهليّة ويصفه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الأسلوب الثاني فيتّخذ العاطفة وسيلة للإقناع فيعتمد العبارات القصيرة، والسّجع الموسيقي والتّشبيه والاستعارة والصور الشّديدة الوقع، ويكتفي من المعنى بالقليل المكرّر، ويحاول التأثير بكلّ ذلك على عاطفة السّامع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ويتجلّي لنا هذا الأسلوب في خطبة قس بن ساعدة التي تضجّ بالحياة، وتتقاذف بها الجمل، ويكثر فيها الاستفهام والنّداء وما إلى ذلك، وتتوالى فيها المعاني من غير ما رابطٍ حقيقيٍّ في ثوب من الخيال قلّما يروق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هنا كذلك بوضوح وجوه الشّبه بين الأدب القرآنيّ والأدب الجاهليّ في قوله الاكتفاء بالقليل المكرّر، وتوالي المعاني من غير رابطٍ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لا نقول بصحّة كلّ ما يمكن قوله من مقارنةٍ إلاّ أنّ التّشابه واضحٌ وجدير بالاهتمام ويوصلنا إلى كيفيّة محاكاة القرآن لنهج العرب في النّثر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الدكتور زماني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التفكيك بين النّصّ والخطاب الشّفويّ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مهمٌّ وحسّاس غفل عنه المستشرقون عند تقييمهم لآيات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فالخطيب الذي يلقي خطابًا في كلّ مرّة لشريحة بمقتضيات وظروف زمانيّة ومكانيّة خاصّة يستخدم أسلوبًا ونظمًا خاصًّا فى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أسلوب يختلف بدقّة عن أسلوب النّصّ المكتوب الذي ينبغي أن يعمله الكاتب في كتابه أو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واستخدام الأسلوب الشّفويّ في النّصّ، أو بالعكس يعدّ ذوقًا سيّئًا جدًا، ويكشف عن عدم تمتّع الشّخص بالفنّ المطلوب، فإنّ كلّ شيء حسن في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ليس نصًّا مكتوبًا ولم ينزل دفعةً واحدةً من قبل الله، بل هو مجاميع من الآيات النّازلة على رسول الإسلام بمناسباتٍ مختلفةٍ، وكان الرّسول يقرأها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فالقرآن نموذج لمجموعة من الخطابات الشّفويّة، وهو غاية في الفصاحة والبلاغة لكونه قد راعى مجمل مواصفات أسلوب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يورد مواصفات الخطاب، ويعدّها كالتالي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اختزال الكلام،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الصّوري لمختلف أصناف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المزج بين الموضوعات،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المتشابه والمختلف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بلحاظ هذا فإنّ طبيعة الرّسول كصاحب رسالةٍ لا يعنيه سرد القصص وإنشاد الأشعار أو النّصوص الأدبيّة للفت الأنظار فحسب، بل لا بدّ له أن يضمّنها عبرًا ودعوات للتقوى وتذكيرًا بالآخرة وما شابه ممّا يدخل في صلب دعوته ورسالته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نجد في ثنايا القصّة الواحدة المسرودة في سورةٍ واحدةٍ كلمات وأحاديث عدّة بعضها تدعو إلى التّقوى أو تذكّر بقصّة أخرى أو أمور من هذا القبيل التي تدخل في صلب الدّعوة 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سرد القصص لوحدها والإتيان بالنّصوص الأدبيّة العجيبة لوحدها لا يلبّي كلّ متطلّبات الرسالة والإرادة الإلهيّة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أنّه يمكن القول بأنّ للقرآن منهجًا بيانيًّا خاصًّا، قد يكون متأثّرًا بظروفٍ </w:t>
      </w:r>
    </w:p>
    <w:p>
      <w:pPr>
        <w:pStyle w:val="BookText"/>
        <w:rPr/>
      </w:pPr>
      <w:r>
        <w:rPr>
          <w:rFonts w:ascii="Amiri" w:hAnsi="Amiri" w:eastAsia="Amiri" w:cs="Amiri"/>
          <w:color w:val="111111"/>
          <w:sz w:val="28"/>
          <w:sz w:val="28"/>
          <w:szCs w:val="28"/>
          <w:rtl w:val="true"/>
          <w:lang w:bidi="ar-SA"/>
        </w:rPr>
        <w:t>خاصّة كانت حاصلةً عهد نزول النّصّ، فإنّ الواضح في منهجه هو تجزيئيّة النّصّ، وكأنّ النّقطة الأساس في نصوص القرآن هو ملاحظة المقصد الأساس الذي نزل لأجله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المقصد متوافر في كلّ آية من آياته بل أحيانًا حتّى في جميع أجزاء الآية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منهجٌ، ولا يمكن الأخذ عليه، فإنّه طريقةً في البيان، وقد يأتي يوم يميل إليه الكُتّاب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قضيّةٌ ذوقيّةٌ لا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الالتفات إلى أنّ الترتيب المشهود في القرآن لم يكن حسب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يُبرّر الكثير من موارد عدم الانسجام الذي قد يُشهد في هذا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هناك شبه إجماعٍ على هذا من قبل 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نرى السّورة الواحدة قد نزل بعضها في مكّة وبعضها الآخر في المدينة أو أنّ الفاصل بين آية وآية من سورة واحدة قد يكون أشهراً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المسلّم أنّ بعض السّور لم تنزل في محلّ وزمان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أنّه خلال هذه الفترة قد تغيّرت بعض المفاهيم الدّينيّة بنسخ وما شابه أو أنّ الظروف قد تغيّرت أو أنّ اللّغة العربية قد أضيف إليها مفردات أو تراكيب محدّدة وفدتها من مدنٍ أخرى دخلها المسلمون وأصبحت لهم تعاملات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سبب عدم التّرتيب حسب النّزول، ولماذا حصل؟ وما هي ملابسات الجمع المشهود للقرآن؟ فمحلّ ذلك مكان آخر، وهو البحوث التخصصية التي تناولت موضوع جمع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الالتفات إلى أنّ القرآن أخذ عقليات ومستويات مخاطَبين من مختلف الطبقات البشريّة، وعدم تخصيص خطابه بطبقةٍ خاصّةٍ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 اختلاف العقليات فإنّ من الطبيعي أن يختلف منهج الخطاب وتتعدّد كيفيّاته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جانب آخر، فإنّ القرآن في الأساس نزل لغير المسلمين وفي ظروف تحدٍّ من الرسول وعناد ومواجهة من قبل العرب وتدريجيًّا تحوّل خطابه إلى المسلمين </w:t>
      </w:r>
    </w:p>
    <w:p>
      <w:pPr>
        <w:pStyle w:val="BookText"/>
        <w:rPr/>
      </w:pPr>
      <w:r>
        <w:rPr>
          <w:rFonts w:ascii="Amiri" w:hAnsi="Amiri" w:eastAsia="Amiri" w:cs="Amiri"/>
          <w:color w:val="111111"/>
          <w:sz w:val="28"/>
          <w:sz w:val="28"/>
          <w:szCs w:val="28"/>
          <w:rtl w:val="true"/>
          <w:lang w:bidi="ar-SA"/>
        </w:rPr>
        <w:t>ما يشمل المسلمين وغيرهم، وطبيعة خطاب غير المسلمين تختلف عن طبيعة خطاب المسلمين، فإنّه عندما يخاطبهم يسعى لدحض حججهم وآرائهم وينظر إلى هذا الجانب فقط، ولا يسعى لملاحظة الجوانب الأدبيّة أو الخلفيّات الفكريّة التي يحملها المسلمون، والتي تقتضي التّرابط وشؤون أخرى ينبغي لحاظها في النّصوص العاديّة والتي تصدر في ظروفٍ عاديةٍ وطبيعيّةٍ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الشأن لا يؤثّر على الجانب اللّغويّ من الخطاب فحسب، بل يؤثّر في المواضيع المطروحة وكيفيّة طرحها، ممّا يبدو وجود نوع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الخطاب حاليًّا تخصّصيًّا ويسعى المتكلّمون في العصر الحاضر لأن يكون خطابهم ذا طابعٍ خاصٍّ ويُنظر فيه إلى شريحةٍ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ينقد النّاقدون القرآن دون لحاظ أنّ الخطاب المزبور من إفرازات هذا العصر، ولا يمكن تعميمه إلى الخطابات التي كانت دارجةً في العصور والقرون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غير الشّاملة للقرآن</w:t>
      </w:r>
    </w:p>
    <w:p>
      <w:pPr>
        <w:pStyle w:val="BookText"/>
        <w:rPr/>
      </w:pPr>
      <w:r>
        <w:rPr>
          <w:rFonts w:ascii="Amiri" w:hAnsi="Amiri" w:eastAsia="Amiri" w:cs="Amiri"/>
          <w:color w:val="111111"/>
          <w:sz w:val="28"/>
          <w:sz w:val="28"/>
          <w:szCs w:val="28"/>
          <w:rtl w:val="true"/>
          <w:lang w:bidi="ar-SA"/>
        </w:rPr>
        <w:t>إنّ القرآن جزءٌ من نظام تشريع، ويضمّ مجموعةً من التّعاليم، وهناك السنّة والعقل ومصادر أخرى ينبغي النّظر إليها للحصول على تفسيرٍ صحيحٍ للآيات والرؤية القرآنيّة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والنّظرة المقتصرة على القرآن وغضّ النظر عن باقي مصادر التّشريع والتّعاليم الإسلاميّة لا يمكنها أن تمنح النّاظر رؤيةً كاملةً عن المحتوى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بمثابة المفسّر للنّص القرآنيّ في كثيرٍ من الأحيان، كما أنّ القرآن نزل بلحاظ ما يقارنها ويلحقها من نصوصٍ تصدر من الرّسول لتفسيره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ملاحظة عنصر الثّقافة والظّروف الزّمانيّة والمكانيّة الحاكمة عهد نزول القرآن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تكتب دراسات واسعة تُعنى بتدوين الجزئيّات والملابسات التّاريخيّة والثّقافيّة للآيات، فمن الواضح أنّ القرآن قد نزل في ظلّ ظروفٍ ثقافيّةٍ خاصّةٍ، وما لم يتعرّف عليها القارىء لا يمكنه أن يصل إلى نتيجةٍ مطلوبةٍ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القبيل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الْبِرُّ بِأَنْ تَأْتُوا الْبُيُوتَ مِنْ ظُهُورِهَا وَلَكِنَّ الْبِرَّ مَنِ اتَّقَى وَأْتُوا الْبُيُوتَ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أَبْوَابِهَا</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فإنّ الذي غفل أو جهل خلفيّة الآية يرى فيها عدم ترابطٍ واضحٍ، فما ربط البرّ بإتيان البيوت من الخلف؟ وقد يتبادر إلى ذهنه أنّ حذفًا قد حصل هنا أو أنّها آيتان غير مترابطتين ربطًا دون لحاظ معانيهما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خلفيّة الآية تحكي قصّة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الترجمات الضّعيفة للقرآن إلى اللّغات التي يتكلّم بها المستشرقون مثل الإنجليزية والألمانية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دوّنت كتب عدّة تناولت بيان جهات ضعف التّرجمات أو تعمّد حشر بعض المفاهيم المغلوطة فيها؛ لأجل النيل والإساءة إلى القرآن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عانى من ضعف الترجمة حتّى المستشرقون، فقد أشار الدكتور موريس بوكاي إلى مساوىء الترجمات قديمها وحديثها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ويطغى على التراجم الأولى التصرّف الواسع بالنّصّ؛ لأنّ همّ المترجمين كان منصرفًا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محاربة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اهتمامه بدقّة الترجمة وإخلاصها لمضمون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التراجم التي يتداولها الناس حتّى يوم الناس هذا هي غالبًا لا تصلح للاستخدام، وهذا رأي شديد الخصوصيّة أحاول تدعيمه هنا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رأيت عندما صرتُ أعرف قدرًا صالحًا من العربيّة الفصيحة يسمح لي بالحديث عن قيمة هذه التراجم ومقدار توافقها مع المعارف الإنسانيّة أنّ كثيرًا من المترجمين أخفقوا كلّ الإخفاق في فهم القرآن</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أشار إلى نماذج من ترجمة الخبير المشهور والمستشرق الفرنسي ريجيس بلاشير وحدّد خطأه فيها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وينقل أبو العلا بعض ما يعاني منه المستشرقون المترجمون على لسان بيرك،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نجد بيرك يؤكّد أنّ الالتفات شديد التأصيل في الشّعر العربي في عبقريّة اللغة يستخدمه القرآن في كلّ صفحة ممّا يمثّل صعوبةً بالغةً أمام المترجمين الذين لا تتّسع لغاتهم لتنويعات اللّغة العربيّة ويظهر ذلك في سورة العنكبوت آيات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والصعوبة نفسها نجدها في الفاتحة آيات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يذكر اسم الله في صيغة الغائب ثمّ في الآيات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ضمير المخاطب والأمثلة كما يقول بيرك لا حصر لها</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التّفاسير المؤكّدة للانسجام</w:t>
      </w:r>
    </w:p>
    <w:p>
      <w:pPr>
        <w:pStyle w:val="BookText"/>
        <w:rPr/>
      </w:pPr>
      <w:r>
        <w:rPr>
          <w:rFonts w:ascii="Amiri" w:hAnsi="Amiri" w:eastAsia="Amiri" w:cs="Amiri"/>
          <w:color w:val="111111"/>
          <w:sz w:val="28"/>
          <w:sz w:val="28"/>
          <w:szCs w:val="28"/>
          <w:rtl w:val="true"/>
          <w:lang w:bidi="ar-SA"/>
        </w:rPr>
        <w:t xml:space="preserve">يُضاف إلى ما تقدّم فإنّ كلمات كبار المفسرين من العرب وغير العرب تحكي النّظم الذي يتمتّع به القرآن الكريم، فإنّ تفاسير كبيرة أثرناها عن علماء متقدّمين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للرازي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للطوسي، وفي التاريخ المعاصر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الطباطبائي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قطب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للبستاني وغيرها الكثير ممّن تناولت موضوع التّناسب والانسجام في القرآن، وقد ورد بعضها في فهرس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وغيرها تؤكّد إقرار كبار المحقّقين والباحثين في القرآن لموضوع الانسجام، ولا يمكن القول بأنّ دراساتهم وتفسيرهم للقرآن كان بلحاظ</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حمص، دار ملهم للطباعة والنشر،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rtl w:val="true"/>
          <w:lang w:bidi="ar-SA"/>
        </w:rPr>
        <w:t xml:space="preserve">. </w:t>
      </w:r>
      <w:bookmarkStart w:id="394" w:name="pg8898_139449"/>
    </w:p>
    <w:p>
      <w:pPr>
        <w:pStyle w:val="BookText"/>
        <w:rPr/>
      </w:pPr>
      <w:bookmarkEnd w:id="394"/>
      <w:r>
        <w:rPr>
          <w:rFonts w:ascii="Amiri" w:hAnsi="Amiri" w:eastAsia="Amiri" w:cs="Amiri"/>
          <w:color w:val="111111"/>
          <w:sz w:val="28"/>
          <w:sz w:val="28"/>
          <w:szCs w:val="28"/>
          <w:rtl w:val="true"/>
          <w:lang w:bidi="ar-SA"/>
        </w:rPr>
        <w:t>نظرتهم القدسيّة لهذا الكتاب دون الأخذ بنظر الاعتبار الجانب العلميّ فيه</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935717_2870459653"/>
      <w:bookmarkStart w:id="396" w:name="_Toc150"/>
      <w:bookmarkEnd w:id="395"/>
      <w:r>
        <w:rPr>
          <w:rtl w:val="true"/>
        </w:rPr>
        <w:t>احتمالات أخرى</w:t>
      </w:r>
      <w:bookmarkEnd w:id="396"/>
    </w:p>
    <w:p>
      <w:pPr>
        <w:pStyle w:val="BookText"/>
        <w:rPr/>
      </w:pPr>
      <w:r>
        <w:rPr>
          <w:rFonts w:ascii="Amiri" w:hAnsi="Amiri" w:eastAsia="Amiri" w:cs="Amiri"/>
          <w:color w:val="111111"/>
          <w:sz w:val="28"/>
          <w:sz w:val="28"/>
          <w:szCs w:val="28"/>
          <w:rtl w:val="true"/>
          <w:lang w:bidi="ar-SA"/>
        </w:rPr>
        <w:t>والكلمة الأخيرة في هذا المجال هو كون عظمة القرآن وشموخه غير متوقّفةٍ على التّناسب أو الانسجام، فإنّ التّناسب بجانبه اللّفظي والدّلالي ليس أمرًا أساسيًّا فى النّصّ بل هو من جماليات النّصّ، والقرآن جميل حتّى على فرض وجود الاضطراب 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أنّا قطّعنا القرآن أوصالاً، بأن تكون كلّ آية مستقلّة أو جزء الآية أو الآيات شديدة الارتباط في محلّ واحدٍ لما فقد القرآن جماليته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حيث المحتوى والمعاني العالية التي تضمّنها، فإنّ إفراد الآيات والنّظر إليها بنحوٍ استقلاليٍّ دون النّظر إلى علاقتها بالآيات المجاورة أو كلّ القرآن لا يفرغها</w:t>
      </w:r>
    </w:p>
    <w:p>
      <w:pPr>
        <w:pStyle w:val="BookText"/>
        <w:rPr/>
      </w:pPr>
      <w:r>
        <w:rPr>
          <w:rFonts w:ascii="Amiri" w:hAnsi="Amiri" w:eastAsia="Amiri" w:cs="Amiri"/>
          <w:color w:val="111111"/>
          <w:sz w:val="28"/>
          <w:sz w:val="28"/>
          <w:szCs w:val="28"/>
          <w:rtl w:val="true"/>
          <w:lang w:bidi="ar-SA"/>
        </w:rPr>
        <w:t>من معانيها ومحتوياتها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يكون الإشكال على تناسب القرآن وإنسجامه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إشكال على جاذبيّته وجماليّته لا على أصل مفاهيمه ومحتوياته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نظرنا إلى كلّ جزء من الآيات التي شكّ في انسجامها مع باقي الآيات بنحو مستقلٍّ ودون النّظر إلى ما يجاوره من أجزاء وآيات، فإنّ محتواه يبقى راقيًا وغير متأثّرٍ بالانسجام وعدمه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جانب آخر، فإنّه برغم ما أشكل على النّصّ القرآني بشبهة اضطراب نصوصه، ويُضاف إليها عشرات أو مئات الشّبهات التي طرحها المستشرقون وغيرهم، والتي سعت إلى النّيل من هذا الكتاب والتقليل من شأنه إلاّ أنّه في النّهاية ما زال كتاب رسالة سماويّة، وهو مصدر التّشريع الإسلامي، وتؤخذ منه أحكام الشّريعة ويستكشف منه مقاصدها وأهدافها والأخلاق النبيلة وكلّ ما يمكن استفادته من كتابٍ سماويٍّ، ولا يرى المسلمون بل كلّ من قرأه ودرسه مشكلةً فى مجال النهل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أشارت إلى هذا الجانب المستشرقة أنجليكا نويفيرت، حيث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ذلك فإنّ بنيته الكليّة ووزنه وأهمّيته الاجتماعيّة وكتلته المعياريّة وما استبطنه من أيديولوجيا لتحديد الهويّة الاجتماعيّة تفوّقت على بنيته المجهريّة المتنوّعة التي تعود إلى تطوّره خارجًا عن التّواصل الدّينيّ والتي يحومها الإبهام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يكشف عن أنّ الشّبهات المطروحة في حقّه إذا كانت حقيقيّةً فهي قد نالت شيئًا من التفخيم، وأنّه كتاب تتفتّت أمامه كلّ ما يُقصد منه التقليل من شأنه</w:t>
      </w:r>
      <w:r>
        <w:rPr>
          <w:rFonts w:eastAsia="Amiri" w:cs="Amiri" w:ascii="Amiri" w:hAnsi="Amiri"/>
          <w:color w:val="111111"/>
          <w:sz w:val="28"/>
          <w:szCs w:val="28"/>
          <w:rtl w:val="true"/>
          <w:lang w:bidi="ar-SA"/>
        </w:rPr>
        <w:t xml:space="preserve">. </w:t>
      </w:r>
      <w:bookmarkStart w:id="397" w:name="pg8898_139453"/>
    </w:p>
    <w:p>
      <w:pPr>
        <w:pStyle w:val="Heading3"/>
        <w:numPr>
          <w:ilvl w:val="2"/>
          <w:numId w:val="1"/>
        </w:numPr>
        <w:rPr/>
      </w:pPr>
      <w:bookmarkStart w:id="398" w:name="__RefHeading___Toc935719_2870459653"/>
      <w:bookmarkStart w:id="399" w:name="_Toc151"/>
      <w:bookmarkEnd w:id="397"/>
      <w:bookmarkEnd w:id="398"/>
      <w:r>
        <w:rPr>
          <w:rtl w:val="true"/>
        </w:rPr>
        <w:t>المصادر و المراجع</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الآلوسي، أبو الفضل شهاب الدين السيد محمود الآلوسي البغدادي، روح المعاني في تفسير القرآن العظيم والسبع المثاني، إدارة الطباعة المنيرية، دار إحياء التراث العربي،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الجوزي، أبو الفرج جمال الدين عبد الرحمن بن علي بن محمد الجوزي القرشي البغدادي، زاد المسير في علم التفسير، حقّقه وكتب هوامشه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عبد الله، خرج أحاديثه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هاجر السعيد بن بسيوني زغلول، دار الفکر،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فارس، أبو الحسين أحمد بن فارس زكريا، معجم مقاييس اللغة،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أبو الفضل جمال الدين محمد بن مكرم المصري، لسان العرب، نشر أدب الحوزة ،ایران،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زنيد، عثمان، نحو النص إطار نظري ودراسات تطبيقية، عالم الكتب الحديث، إربد،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زيد، أحمد، التناسب البياني في القرآن دراسة في النظم المعنوي والصوتي، منشورات كلية الآداب والعلوم الإنسانية، الرباط، مطبعة النجاح،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العلا، محمد حسين، القرآن وأوهام مستشرق، المكتب العربي للمعارف، ديسمبر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الاسترابادي، محمد أمين، الفوائد المدنية، وبذيله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 المكية، السيد نور الدين الموسوي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الرحمتي الأراكي،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الأطرش، محمد أحمد سعيد، الوحدة الموضوعية في القرآن والسورة القرآنية التفسير </w:t>
      </w:r>
    </w:p>
    <w:p>
      <w:pPr>
        <w:pStyle w:val="BookText"/>
        <w:rPr/>
      </w:pPr>
      <w:r>
        <w:rPr>
          <w:rFonts w:ascii="Amiri" w:hAnsi="Amiri" w:eastAsia="Amiri" w:cs="Amiri"/>
          <w:color w:val="111111"/>
          <w:sz w:val="28"/>
          <w:sz w:val="28"/>
          <w:szCs w:val="28"/>
          <w:rtl w:val="true"/>
          <w:lang w:bidi="ar-SA"/>
        </w:rPr>
        <w:t xml:space="preserve">الموضوعي ومنهج البحث، دار القمة ودار الإيمان، الاسكندرية،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ایازی، السيد محمد علی، نقدی بر نظریه گفتاری بودن زبان قرآن، مجله پژوهشهای علوم انسانی، فصلنامه دانشگاه قم، سال اول، شماره چهارم،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ایازی، السيد محمد علی، چهره پیوسته قرآن، نشر هستی،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بازرگان، عبد العلی، نظم قرآن، انتشارات 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بحيري، سعيد حسن، علم لغة النص المفاهيم والاتجاهات، مؤسسة المختار للنشر والتوزيع،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البدري، تحسين، معجم مفردات أصول الفقه المقارن، المشرق للثقافة والنشر، طهران،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البقاعي، برهان الدين أبي الحسن إبراهيم بن عمر الشافعي، مصاعد النظر بالإشراف على مقاصد السور، قدّم له وحقّقه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السميع محمد أحمد حسنين، مكتبة المعارف، الرياض،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البقاعي، برهان الدين أبي الحسن إبراهيم بن عمر الشافعي، نظم الدرر في تناسب الآيات والسور،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غالب المهدي،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البكاري، عبد السلام، والصديق، بوعلام، الشبه الاستشراقية في كتاب مدخل إلى القرآن الكريم للدكتور محمد عابد الجابري، رؤية نقدية، دار الأمان، الرباط، منشورات الاختلاف، الجزائر، الدار العربية للعولم ناشرون،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البنداق، محمد صالح، المستشرقون وترجمة القرآن الكريم، منشورات دار الآفاق الجديدة،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بوكاي، موريس، القرآن والعلم المعاصر، ترجمه وقدّم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اسماعيل بصل،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خير البقاعي، دار ملهم للطباعة والنشر، حمص،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آزار شیرازی، عبد الكريم، وحجتى، سيد محمد باقر، میثاق در قرآن کلید همبستگی آیات و بخشهای مختلف قرآن، دفتر نشر فرهنگ اسلامی، چاپ اول، زمستان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البيومي،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رجب، البيان القرآني، دار النصر للطباعة، القاهرة، ربيع الثاني،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مايو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 مطلوب، عبد الرضا، جلوههای خطابه در قرآن مجید، انتشارات جلوه کمال، چاپ اول،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الجابري، محمد عابد، مدخل إلى القرآن الكريم، مركز دراسات الوحدة العربية،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جولد تسهير، أجنيتس، مذاهب التفسير الإسلامي،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النجار، دار إقرأ،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الحائري، محمد حسين بن عبد الرحيم الطهراني، الفصول الغروية في الأصول الفقهية،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العلوم الإسلامي، مطبعة نمونه،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الحسيني، جعفر الأدب العربي الأدب الجاهلي نقد وتحليل، دار الاعتصام،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الحكيم، السيد محمد باقر، القصص القرآني، المركز العالمي للعلوم الإسلامية،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الحكيم، السيد محمد باقر، تفسير سورة الحمد، نشر مجمع الفكر الإسلامي،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 نجم الدين أبو القاسم جعفر بن الحسن بن يحيى الهُذلي المعروف بالمحقق الحلي، معارج الأصول،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الرضوي الكشميري، مؤسسة آل البيت لإحياء التراث،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كاظم بن حسين الهروي، الشيخ محمد علي الكاظمي، فوائد الأصول، من إفادات الميرزا محمد حسين الغروي النائيني، مؤسسة النشر الإسلامي التابعة لجماعة المدرسين،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كاظم بن حسين الهروي، الشيخ محمد علي الكاظمي، كفاية الأصول،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قم،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دراز، محمد عبد الله، مدخل إلى القرآن الكريم عرض تاريخي وتحليل مقارن،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العظيم علي،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بدوي، دار القلم، الكويت،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دراز، محمد عبد الله، النبأ العظيم نظرات جديدة في القرآن، دار القلم، القاهرة،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رمضان، نجدة، ترجمة القرآن وأثرها في معانيه مع دراسة تحليلية لثماني ترجمات متداولة بست لغات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الانكليزية والفرنسية والروسية والألمانية والتركية والشركسية، دار المحبة، دمشق،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الزركشي، الإمام بدر الدین محمد بن بهادر بن عبد الله، البحر المحيط في أصول الفقه، 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الستار أبو غدة وآخرون،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القادر عبد الله العاني وآخرون، دار الصفوة، الكويت،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الزركشي، الإمام بدر الدین محمد بن بهادر بن عبد الله، البرهان في علوم 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دار إحياء الكتب العربية،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الزيات، أحمد حسن، تاريخ الأدب العربي، دار المعرفة، بيروت، ط </w:t>
      </w:r>
      <w:r>
        <w:rPr>
          <w:rFonts w:eastAsia="Amiri" w:cs="Amiri" w:ascii="Amiri" w:hAnsi="Amiri"/>
          <w:color w:val="111111"/>
          <w:sz w:val="28"/>
          <w:szCs w:val="28"/>
          <w:lang w:bidi="ar-SA"/>
        </w:rPr>
        <w:t>1425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شحاتة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أهداف كلّ سورة ومقاصدها في القرآن، الهيئة المصرية العامة للكتاب، فرع الصحافة،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أيمن، القرائن والنصّ، دراسة في المنهج الأصولي في فقه النصّ، المعهد العالي للفكر الإسلامي، فرندن فرجينيا، الولايات المتحدة،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طاهري الخرم آبادي، السيد حسن، تحريف القرآن أسطورة أم واقع؟ نقله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البدري،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التحقيقات والدراسات العلمية التابع للمجمع العالمي للتقريب بين المذاهب الإسلامية،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 محمد حسين، القرآن في الإسلام،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أبو علي الفضل بن الحسن، تفسير جوامع الجامع،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الفضل بن الحسن، مجمع البيان في تفسير القرآن،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و المحققين الأخصائيين،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العاملي،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أبو منصور أحمد بن علي بن أبي طالب الطبرسي، الاحتجاج، تعليقات وملاحظات السيد محمد باقر الخرسان، منشورات مطابع النعمان، 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محمد بن الحسن بن علي التبيان،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رمضان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محمد بن الحسن بن علي، تهذيب الأحكام في شرح المقنعة للشيخ المفيد رضوان الله عليه،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نهض بمشروعه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الآخوندي، دار الكتب الإسلامية، تهران،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طوسي، محمد بن الحسن بن علي العدة في أصول الفقه،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الأنصاري القمي، مؤسسة البعثة،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العاملي، جمال الدين أبو منصور الحسن بن زين الدين بن علي بن أحمد الجبعي، معالم الدين وملاذ  المجتهدين،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الإسلامي التابعة لجماعة المدرّسين، قم، بدون رقم الطبعة،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العبد، عبد الحكيم، في محاولات تقديم القرآن الكريم وترجمته والرّد عليها، الهيئة المصرية العامة للكتاب،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اشكاليات ترجمة معاني القرآن الكريم واللغة والمعنى، نهضة مصر للطباعة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ابريل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عظیم پور، عظیم، اختلاف ترجمههای قرآن کریم، با مقدمه دکتر آذرتاش آذرنوش، چاپ محیا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هـ 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العموش، الدكتورة خلود، الخطاب القرآني دراسة في العلاقة بين النصّ والسياق، عالم الكتب الحديثة، أربد، الأردن، جدارا للكتاب العالمي، عمّان، الأردن،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هـ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أبو النظر محمد بن مسعود بن عياش السلمي السمرقندي، كتاب التفسير، وقف على تصحيحه وتحقيقه والتعليق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المكتبة العلمية الإسلامية، طهران،</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الفاخوري، حنا، الموجز في الأدب العربي القديم، دار الجيل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الفاضل التوني، عبد الله بن محمد البشروي الخراساني، الوافية،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الرضوي الكشميري، مجمع الفكر الإسلامي،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فقهی زاده، پژوهشی در نظم قرآن، انتشارات جهاد دانشگاهی دانشگاه تهران، چاپ اول،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 صبحي إبراهيم، علم اللغة النصي بين النظرية والتطبيق دراسة تطبيقية على السور المكية، دار قباء للطباعة والنشر والتوزيع، مصر،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سيد، في ظلال القرآن، دار الشروق، بيروت والقاهرة، ط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قلیزاده، حیدر، مشکلات ساختاری ترجمه قرآن کریم، مؤسسه تحقیقاتی 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دانشگاه تبریز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علي بن إبراهيم، تفسير القمي،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للطباعة والنشر، قم،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لوبون، غوستاف، حضارة العرب، نقله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زعيتر، دار إحياء الكتب العربية </w:t>
      </w:r>
    </w:p>
    <w:p>
      <w:pPr>
        <w:pStyle w:val="BookText"/>
        <w:rPr/>
      </w:pPr>
      <w:r>
        <w:rPr>
          <w:rFonts w:ascii="Amiri" w:hAnsi="Amiri" w:eastAsia="Amiri" w:cs="Amiri"/>
          <w:color w:val="111111"/>
          <w:sz w:val="28"/>
          <w:sz w:val="28"/>
          <w:szCs w:val="28"/>
          <w:rtl w:val="true"/>
          <w:lang w:bidi="ar-SA"/>
        </w:rPr>
        <w:t xml:space="preserve">لعيسى لبابي الحلبي وشركاه 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مداس، أحمد، لسانيات النص نحو منهج لتحليل الخطاب الشعري، عالم الكتب الحديث، إربد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 جدارا للكتاب العالمي،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المرتضى، علي بن الحسين الموسوي البغدادي، الذريعة إلى أصول الشريعة، تصحيح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أبو القاسم كرجي، 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المرتضى، علي بن الحسين الموسوي البغدادي، رسائل الشريف المرتضى،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التحقيقات والدراسات العلمية، موسوعة أصول الفقه المقارن،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العالمي للتقريب بين المذاهب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المعاونية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التحقيقات والدراسات العلمية، ایران،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محمد هادي، تلخيص التمهيد موجز دراسات مبسطة عن مختلف شؤون القرآن الكريم، مؤسسة النشر الإسلامي التابعة لجماعة المدرسين بقم المقدسة،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محمد هادي، التمهيد في علوم القرآن، مطبعة مهر، قم،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المعلوف، المنجد في اللغة والأعلام، دار المشرق، بيروت، ط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المودودي، أبو الأعلى، تفهيم القرآن،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إدريس، دار القلم، الكويت،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هـ،ق،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الميرزا القمي، أبو القاسم بن حسن بن نظر علي الجيلاني الجابلقي، القوانين المحكمة في الأصول، طبعة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الميلاني، السيد علي الحسيني، عدم تحريف القرآن، مركز الأبحاث العقائدية،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نزال، عمران سميح، الوحدة التاريخية للسورة القرآنية، دار القراء، مأدب، الأردن،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نژاد حقیقی، بهدخت، تفاوت ترجمههای قرآن از منظر ایدئولوژیک، نشر سخن، تهران،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نکونام، جعفر، زبان قرآن گفتاری یا نوشتاری، مجله پژوهشهای علوم انسانی، فصلنامه دانشگاه قم، سال اول، شماره سوم، بهار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المصادر الإنجليزية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Bell, Richard, Introduction to The Quran, Edinburgh, at the university press, first edition, 1953, reprinted 1958, 1963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El-Awa, Salwa M.S. Textual relations in the Qura'an, relevance, coherence and structure, Routledge, London and New York, first published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Jane Dammen McAuliffe, General editor, Encyclopedia of the Quran, Copy- right 2001 by Koninklijke Brill NV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Leiden, the Netherlands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Mir, Mustansir, Coherence in the Quran, A study of Islahi's Concept of Nazm in Tadabbur-I Quran, American Trust Publications, Indianapolis, In, 1406/1986</w:t>
      </w:r>
      <w:r>
        <w:rPr>
          <w:rFonts w:eastAsia="Times New Roman" w:cs="Times New Roman" w:ascii="Times New Roman" w:hAnsi="Times New Roman"/>
          <w:color w:val="111111"/>
          <w:sz w:val="28"/>
          <w:szCs w:val="28"/>
          <w:rtl w:val="true"/>
          <w:lang w:val="en-US" w:bidi="en-US"/>
        </w:rPr>
        <w:t xml:space="preserve"> </w:t>
      </w:r>
      <w:bookmarkStart w:id="400" w:name="pg8898_139469"/>
    </w:p>
    <w:p>
      <w:pPr>
        <w:pStyle w:val="Heading2"/>
        <w:numPr>
          <w:ilvl w:val="1"/>
          <w:numId w:val="1"/>
        </w:numPr>
        <w:rPr/>
      </w:pPr>
      <w:bookmarkStart w:id="401" w:name="__RefHeading___Toc935721_2870459653"/>
      <w:bookmarkStart w:id="402" w:name="_Toc152"/>
      <w:bookmarkEnd w:id="400"/>
      <w:bookmarkEnd w:id="401"/>
      <w:r>
        <w:rPr>
          <w:rtl w:val="true"/>
        </w:rPr>
        <w:t xml:space="preserve">النسخ في موسوعة القرآن الكريم </w:t>
      </w:r>
      <w:r>
        <w:rPr>
          <w:rtl w:val="true"/>
        </w:rPr>
        <w:t>(</w:t>
      </w:r>
      <w:r>
        <w:rPr>
          <w:rtl w:val="true"/>
        </w:rPr>
        <w:t>ليدن</w:t>
      </w:r>
      <w:r>
        <w:rPr>
          <w:rtl w:val="true"/>
        </w:rPr>
        <w:t>)</w:t>
      </w:r>
      <w:bookmarkEnd w:id="402"/>
    </w:p>
    <w:p>
      <w:pPr>
        <w:pStyle w:val="Heading3"/>
        <w:numPr>
          <w:ilvl w:val="2"/>
          <w:numId w:val="1"/>
        </w:numPr>
        <w:rPr/>
      </w:pPr>
      <w:bookmarkStart w:id="403" w:name="__RefHeading___Toc935723_2870459653"/>
      <w:bookmarkStart w:id="404" w:name="_Toc153"/>
      <w:bookmarkEnd w:id="403"/>
      <w:r>
        <w:rPr>
          <w:rtl w:val="true"/>
        </w:rPr>
        <w:t>اشارة</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محمد جواد اسکندر لو </w:t>
      </w:r>
      <w:r>
        <w:rPr>
          <w:rStyle w:val="FootnoteAnchor"/>
          <w:rtl w:val="true"/>
        </w:rPr>
        <w:footnoteReference w:id="325"/>
      </w:r>
    </w:p>
    <w:p>
      <w:pPr>
        <w:pStyle w:val="Heading3"/>
        <w:numPr>
          <w:ilvl w:val="2"/>
          <w:numId w:val="1"/>
        </w:numPr>
        <w:rPr/>
      </w:pPr>
      <w:bookmarkStart w:id="405" w:name="__RefHeading___Toc935725_2870459653"/>
      <w:bookmarkStart w:id="406" w:name="_Toc154"/>
      <w:bookmarkEnd w:id="405"/>
      <w:r>
        <w:rPr>
          <w:rtl w:val="true"/>
        </w:rPr>
        <w:t>خلاصة البحث</w:t>
      </w:r>
      <w:bookmarkEnd w:id="406"/>
    </w:p>
    <w:p>
      <w:pPr>
        <w:pStyle w:val="BookText"/>
        <w:rPr/>
      </w:pP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Abrogation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 المسائل المهمّة والمثيرة للنّقاش في البحوث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المستشرقون يعتقدون بكثرة النّسخ فقد رأوا ذلك تعارضًا في القرآن، والملاحظ في بعض كتابات المستشرقين سعيهم إلى إظهار زيادة عدد الآيات النّاسخة والمنسوخة لإبراز قضيّة كثرة التّعارضات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طرحوا شبهات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فخصَّص جان برتون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Burton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في المجلد الأوّل من موسوعة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مدخلاً لبحث النّسخ وقضاياه وشبهاته، ومن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بين أحكام القرآن والفقه، مسألة تحريف القرآن، اختلاف القراءات، الحالات الثلاث للنّسخ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سيّما نسخ التّلاوة وبقاء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ونسيان النبي صلّی الله علیه و آله لوحي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تناولنا في هذه المقالة مفهوم النّسخ في اللّغة والاصطلاح، ثمّ تطرّقنا إلى سابقة البحث، ثم تناولنا الشّبهات المذكورة ونقدها بأسلوبٍ وصفيٍّ ونقديٍّ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أثبتنا أنّ القرآن خالٍ من أيّ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فإنّ النّسخ الاصطلاحي كانت مصاديقه الحقيقيّة قليلةً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النّبيّ صلّی الله علیه و آله لم يقع في النّسيان قط، بل تسلّم الوحي القرآني بتمامه وكماله وأبلغه وبيّنه للناس</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الكلمات المفتاحية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برتون</w:t>
      </w:r>
      <w:r>
        <w:rPr>
          <w:rFonts w:eastAsia="IRNazanin" w:cs="IRNazanin"/>
          <w:color w:val="111111"/>
          <w:sz w:val="28"/>
          <w:szCs w:val="28"/>
          <w:rtl w:val="true"/>
          <w:lang w:bidi="fa-IR"/>
        </w:rPr>
        <w:t xml:space="preserve">. </w:t>
      </w:r>
      <w:bookmarkStart w:id="407" w:name="pg8898_139471"/>
    </w:p>
    <w:p>
      <w:pPr>
        <w:pStyle w:val="Heading3"/>
        <w:numPr>
          <w:ilvl w:val="2"/>
          <w:numId w:val="1"/>
        </w:numPr>
        <w:rPr/>
      </w:pPr>
      <w:bookmarkStart w:id="408" w:name="__RefHeading___Toc935727_2870459653"/>
      <w:bookmarkStart w:id="409" w:name="_Toc155"/>
      <w:bookmarkEnd w:id="407"/>
      <w:bookmarkEnd w:id="408"/>
      <w:r>
        <w:rPr>
          <w:rtl w:val="true"/>
        </w:rPr>
        <w:t>التمهيد</w:t>
      </w:r>
      <w:r>
        <w:rPr>
          <w:rtl w:val="true"/>
        </w:rPr>
        <w:t>:</w:t>
      </w:r>
      <w:bookmarkEnd w:id="409"/>
    </w:p>
    <w:p>
      <w:pPr>
        <w:pStyle w:val="BookText"/>
        <w:rPr/>
      </w:pPr>
      <w:r>
        <w:rPr>
          <w:rFonts w:ascii="Amiri" w:hAnsi="Amiri" w:eastAsia="Amiri" w:cs="Amiri"/>
          <w:color w:val="111111"/>
          <w:sz w:val="28"/>
          <w:sz w:val="28"/>
          <w:szCs w:val="28"/>
          <w:rtl w:val="true"/>
          <w:lang w:bidi="ar-SA"/>
        </w:rPr>
        <w:t>لقد كانت البحوث القرآنيّة للمستشرقين موضع اهتمام المراكز والمؤسّسات المختلفة، وقد تناولوا القرآن وقضاياه أحيانًا بتأثير خلفيَّاتٍ ومُسبقاتٍ تحكم نظرتهم إليه وإلى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المسائل المهمّة والمثيرة للنّقاش في البحوث القرآنيّة قضيَّة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استخدم النّسخ عند المتقدّمين على الأغلب بمعناه اللّغوي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فقد أُطلق على المخصّص والمقيّد وكلّ ما كان استثناءً من العمومات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 المتأخّرين اعتبروا مفهوم النّسخ أكثر تحديدًا حيث جعلوا بين النّسخ من جهة والعام والخاص والمطلق والمقيّد والاستثناء من جهةٍ أخرى مائزًا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عصرنا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اتّضح تدقيق مصطلح النّسخ منذ 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يُحكم بوجود النّسخ إلّا في حالة وجود الاختلاف العميق بين آيتين، بحيث لا يمكن الجمع بين الحكمين في الآية، وبناءً عليه فقد عُرضت موارد قليلة جدًا للنّسخ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التّفكيك في تعريف النّسخ بين النسخ بمعنى التّخصيص والتّقييد والنّسخ بمعنى إزالة الحكم أو إبطاله أو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بالحدِّ الأقصى في عدد الآيات الناسخة والمنسوخة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إنّهم يعتبرون النّسخ نتيجةً للتعارضات في القرآن، والتّعارض فيه يُعدّ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تخطئة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يحاولون دائماً الإتيان بموارد يمكنهم من خلالها إثبات دعوى التّناقض فيه ليثيروا الشّبهة في كونه من السّماء عن هذا الطريق؛ ولهذا فقد وجدوا في قضيّة النّسخ مستمسكًا لهذه الدّعوى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شبهات المستشرقين فيما يتعلّق بنسخ آيات القرآن من أكثر الشبهات الجدّيّة التي تحتويها مؤلّفاتهم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بات من الضّروريّ الإجابة العلميّة المتقنة على هذه الشَّبهات للدّفاع عن حقّانيّة القرآن وصيانة معتقدات المسلمين</w:t>
      </w:r>
      <w:r>
        <w:rPr>
          <w:rFonts w:eastAsia="Amiri" w:cs="Amiri" w:ascii="Amiri" w:hAnsi="Amiri"/>
          <w:color w:val="111111"/>
          <w:sz w:val="28"/>
          <w:szCs w:val="28"/>
          <w:rtl w:val="true"/>
          <w:lang w:bidi="ar-SA"/>
        </w:rPr>
        <w:t xml:space="preserve">. </w:t>
      </w:r>
      <w:bookmarkStart w:id="410" w:name="pg8898_139473"/>
    </w:p>
    <w:p>
      <w:pPr>
        <w:pStyle w:val="Heading3"/>
        <w:numPr>
          <w:ilvl w:val="2"/>
          <w:numId w:val="1"/>
        </w:numPr>
        <w:rPr/>
      </w:pPr>
      <w:bookmarkStart w:id="411" w:name="__RefHeading___Toc935729_2870459653"/>
      <w:bookmarkStart w:id="412" w:name="_Toc156"/>
      <w:bookmarkEnd w:id="410"/>
      <w:bookmarkEnd w:id="411"/>
      <w:r>
        <w:rPr>
          <w:rtl w:val="true"/>
        </w:rPr>
        <w:t>سابقة البحث</w:t>
      </w:r>
      <w:r>
        <w:rPr>
          <w:rtl w:val="true"/>
        </w:rPr>
        <w:t>:</w:t>
      </w:r>
      <w:bookmarkEnd w:id="412"/>
    </w:p>
    <w:p>
      <w:pPr>
        <w:pStyle w:val="Heading4"/>
        <w:numPr>
          <w:ilvl w:val="3"/>
          <w:numId w:val="1"/>
        </w:numPr>
        <w:rPr/>
      </w:pPr>
      <w:bookmarkStart w:id="413" w:name="__RefHeading___Toc935731_2870459653"/>
      <w:bookmarkStart w:id="414" w:name="_Toc157"/>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 xml:space="preserve">يمكن العثور على سابقة بحث النّسخ في الأديان السّابقة على الإسلام، مع أنّه قد نُسب إلى اليهود أنّ وقوع النّسخ محال </w:t>
      </w:r>
      <w:r>
        <w:rPr>
          <w:rStyle w:val="FootnoteAnchor"/>
          <w:rtl w:val="true"/>
        </w:rPr>
        <w:footnoteReference w:id="327"/>
      </w:r>
      <w:r>
        <w:rPr>
          <w:rFonts w:ascii="Amiri" w:hAnsi="Amiri" w:eastAsia="Amiri" w:cs="Amiri"/>
          <w:color w:val="111111"/>
          <w:sz w:val="28"/>
          <w:sz w:val="28"/>
          <w:szCs w:val="28"/>
          <w:rtl w:val="true"/>
          <w:lang w:bidi="ar-SA"/>
        </w:rPr>
        <w:t xml:space="preserve">، ولكن بعضهم مثل العنانية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ومن هؤلاء من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عيسى علیه السّلام لم يدع أنه نبي مرسل، وليس من بني إسرائيل، وليس هو صاحب لشريعة ناسخة موسى علیه السّلام، بل هو من أولياء الله المخلصين العارفين بأحكام التوراة، وليس الإنجيل كتابا أنزل عليه وحيا من الله تعالى، بل هو جمع أحواله من مبدئه إلى كماله، وإنما جمعه أربعة من أصحابه الحواريين فكيف يكون كتابا منزلا؟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واليهود ظلموه حيث كذبوه أولًا ولم يعرفوا بعد دعواه، وقتلوه آخرا ولم يعلموا بعد محله ومغزاه، وقد ورد في التوراة ذكر المشيحا في مواضع كثيرة، وذلك هو المسيح، ولكن لم ترد له النبوة ولا الشريعة الناسخة، وورد فارقليط وهو الرجل العالم، وكذلك ورد ذكره في الإنجيل، فوجب حمله على ما وجد، وعلى من ادعى غير ذلك تحقيقه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موسوعة الأديان 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اليهودية وما تفرع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اليهودية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إمكان النّسخ وآخرون قبِلوا وقوعه على الرَّغم من أنَّهم أنكروا نسخ اليهوديّة بواسطة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الإنجيل والتوراة على وقوع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سبيل المثال ففي التوراة الموجودة ورد أنّ إبراهيم علیه السّلام تزوَّج أخته غير الشّقيقة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وأنّ يعقوب علیه السلام تزوَّح في وقتٍ واحدٍ ابنتَي لايان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لِيَة وراحيل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وأنّ عمران علیه السلام تزوّج عمّته يوكابد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والحال أنّه في شريعة موسى علیه السّلام نُهي عن هذه الأنواع الثلاثة من الزّواج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وعلاوة على ذلك فإنّ بعض أوامر التوراة نُسخت في التوراة نفسها وكثير منها نُسخ في الإنجيل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كان النّسخ مورد الاهتمام في القرآن، وقد طُرح في بعض الآيات إلى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حالة نسخ آيةٍ أو إنسائها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بخير منها أو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القرآن الكريم فإنّه يمكن نسبة بحث النّاسخ والمنسوخ لأوَّل مرَّة إلى الإمام علي علیه السّلام؛ حيث قدّمَ علیه السلام في مصحفه الآيات المنسوخة على الناسخة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في نهج البلاغة إلى النّاسخ والمنسوخ في القرآن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ألّف قتادة بن دعامه السدوسي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القرن الهجري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الله؛ وعبد الله بن عبد الرحمن الأصم المسمعي من أصحاب الإمام الصادق علیه السلام كتاب النّاسخ والمنسوخ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أثار موضوع النّسخ انتباه المستشرقين؛ ففي موسوعة القرآن ليدن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وموسوعة روتلدج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Routledge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مدخلٌ مستقلٌّ تحت عنوان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Abrogation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كلاً من منتغمري وات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مكّة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Watt. Muhammads Meka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وجولد سهير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المذاهب التفسيريّة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ديفيد پاوزن في كتاب النّاسخ القرآن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Exetical Gener Naikh AL- Quran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وردنسون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Rodinson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 محمد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Mohomet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ذكروا آراءهم حول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وجود مصادر إسلاميّةٍ كثيرةٍ بحثت في النّسخ، فإنّ رغبتهم لتحليل هذا الموضوع كانت قليلةً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Burton, John, Abrogation, Encyclopaedia Of The Quran, Ed. Mcauliff, Jane Dammen, Vol.1 P.ll, Leiden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Brill, 2001 -2006</w:t>
      </w:r>
      <w:r>
        <w:rPr>
          <w:rFonts w:eastAsia="Times New Roman" w:cs="Times New Roman" w:ascii="Times New Roman" w:hAnsi="Times New Roman"/>
          <w:color w:val="111111"/>
          <w:sz w:val="28"/>
          <w:szCs w:val="28"/>
          <w:rtl w:val="true"/>
          <w:lang w:val="en-US" w:bidi="en-US"/>
        </w:rPr>
        <w:t xml:space="preserve">) </w:t>
      </w:r>
      <w:bookmarkStart w:id="415" w:name="pg8898_139477"/>
    </w:p>
    <w:p>
      <w:pPr>
        <w:pStyle w:val="Heading4"/>
        <w:numPr>
          <w:ilvl w:val="3"/>
          <w:numId w:val="1"/>
        </w:numPr>
        <w:rPr/>
      </w:pPr>
      <w:bookmarkStart w:id="416" w:name="__RefHeading___Toc935733_2870459653"/>
      <w:bookmarkStart w:id="417" w:name="_Toc158"/>
      <w:bookmarkEnd w:id="415"/>
      <w:bookmarkEnd w:id="416"/>
      <w:r>
        <w:rPr>
          <w:rtl w:val="true"/>
        </w:rPr>
        <w:t>أوّلًا</w:t>
      </w:r>
      <w:r>
        <w:rPr>
          <w:rtl w:val="true"/>
        </w:rPr>
        <w:t xml:space="preserve">: </w:t>
      </w:r>
      <w:r>
        <w:rPr>
          <w:rtl w:val="true"/>
        </w:rPr>
        <w:t>معنى النّسخ وأنواعه وشروطه</w:t>
      </w:r>
      <w:r>
        <w:rPr>
          <w:rtl w:val="true"/>
        </w:rPr>
        <w:t>:</w:t>
      </w:r>
      <w:bookmarkEnd w:id="417"/>
    </w:p>
    <w:p>
      <w:pPr>
        <w:pStyle w:val="Heading5"/>
        <w:numPr>
          <w:ilvl w:val="4"/>
          <w:numId w:val="1"/>
        </w:numPr>
        <w:rPr/>
      </w:pPr>
      <w:bookmarkStart w:id="418" w:name="__RefHeading___Toc935735_2870459653"/>
      <w:bookmarkStart w:id="419" w:name="_Toc159"/>
      <w:bookmarkEnd w:id="418"/>
      <w:r>
        <w:rPr/>
        <w:t>1</w:t>
      </w:r>
      <w:r>
        <w:rPr>
          <w:rtl w:val="true"/>
        </w:rPr>
        <w:t xml:space="preserve">. </w:t>
      </w:r>
      <w:r>
        <w:rPr>
          <w:rtl w:val="true"/>
        </w:rPr>
        <w:t>معنى النّسخ</w:t>
      </w:r>
      <w:r>
        <w:rPr>
          <w:rtl w:val="true"/>
        </w:rPr>
        <w:t>:</w:t>
      </w:r>
      <w:bookmarkEnd w:id="41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النون والسين والخاء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واحد؛ إلا أنّه مُختَلف في قياسه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قياسه رفع شيء وإثبات غيره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قياسه تحويل شيءٍ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نسخ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كان يُعمَل به مِن قبل، ثمّ يُنسَخ بحادث غيره؛ كالآية ينزل فيها أمر، ثمّ تنسخ بآية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خلف شيئًا؛ فقد انتسخه</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شَيءٍ بِشَيْءٍ يَتَعَقَّبُهُ، فَتَارَةً يُفْهَمُ منه الإزالة، وتَارَةً يُفْهَمُ منه الإثباتُ، وتَارَةً يُفْهَم منه الأَمْرَانِ</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المعنى الحقيقي للنّسخ هو الإزالة، وقد استُخدم مجازاً بمعنى النّقل والتّحويل؛ لما فيهما من معنى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هو رفع تشريع </w:t>
      </w:r>
      <w:r>
        <w:rPr>
          <w:rStyle w:val="FootnoteAnchor"/>
          <w:rtl w:val="true"/>
        </w:rPr>
        <w:footnoteReference w:id="333"/>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يقتضي الدّوام حسب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بتشريعٍ لاحِق؛ سواء أكان ذلك الأمر المرتفع من الأحكام التكليفيّة أم الوضعيّة، وسواء أكان من المناصب الإلهيّة أم من غيرها من الأمور التي ترجع إلى الله تعالى بما أنّه شارع، بحيث لا يمكن اجتماع التّشريعين معًا، إمّا ذاتًا؛ إذا كان التّنافي بينهما بيّنًا، وإمّا بدليل خاصّ؛ من إجماع، أو نصٍّ صريح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935737_2870459653"/>
      <w:bookmarkStart w:id="421" w:name="_Toc160"/>
      <w:bookmarkEnd w:id="420"/>
      <w:r>
        <w:rPr/>
        <w:t>2</w:t>
      </w:r>
      <w:r>
        <w:rPr>
          <w:rtl w:val="true"/>
        </w:rPr>
        <w:t xml:space="preserve">. </w:t>
      </w:r>
      <w:r>
        <w:rPr>
          <w:rtl w:val="true"/>
        </w:rPr>
        <w:t>إمكان النّسخ ووقوعه</w:t>
      </w:r>
      <w:r>
        <w:rPr>
          <w:rtl w:val="true"/>
        </w:rPr>
        <w:t>:</w:t>
      </w:r>
      <w:bookmarkEnd w:id="42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تسالم العقلاء في ما بينهم على إمكان وقوع النّسخ في التّقنين؛ بإزالة حكم أو قانون واستبداله بآخر، في ما لو كان الحكم أو القانون الثّاني النّاسخ مشتملاً على مصلحةٍ لا يشتمل عليها الحكم أو القانون الأوّل المنسوخ ، أو في ما لو تبيّن للمقنّن أنّ الحكم أو القانون الأوّل لم يكن مشتملاً على المصلحة المطلوبة؛ ما دعاه إلى تقنين آخر يستوفي تلك المصلحة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وخالف في ذلك اليهود والنّصارى في مجال الشرعيّات والتكوينيّات؛ لوجود شبهةٍ لديهم في المسألة؛ حيث ادّعوا استحالة وقوع النّسخ؛ لاستلزامه عدم حكمة النّاسخ، أو جهله بوجه الحكمة، وكلا هذين اللّازمين مستحيل في حقّه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الأمر في دحض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المجعول من قِبَل الشّارع الحكيم قد لا يُراد منه البعث، أو الزّجر الحقيقيين؛ كالأوامر التي يقصد بها الامتحان، وهذا النّوع من الأحكام يمكن إثباته أوّلاً، ثمّ رفعه، ولا مانع من ذلك؛ فإنّ كلاً من الإثبات والرفع في وقته قد نشأ عن مصلحةٍ وحكمةٍ، فلا يلزم منه خلاف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الحكم المجعول حكمًا حقيقيًّا، ومع ذلك يُنسَخ بعد زمان، لا بمعنى أنّ الحكم بعد ثبوته يُرفع في الواقع ونفس الأمر؛ كي يكون مستحيلاً على الحكيم العالم بالواقعيّات، بل 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المجعول مقيّدًا بزمان خاصّ معلوم عند الشّارع منذ البداية، مجهول عند الناس؛ لمصلحة مرعيّة عند الشّارع، ويكون ارتفاعه بعد انتهاء ذلك الزمان؛ لانتهاء أمده الذي قُيِّدَ به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 بهذا المعنى ممكن قطعًا؛ لبداهة دخالة خصوصيّات الزمان في مناطات الأحكام بما لا يشكّ فيه أيّ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فالنّسخ في الحقيقة تقييد لإطلاق الحكم من حيث الزمان، ولا تلزم منه مخالفة الحكمة، ولا البداء بالمعنى المستحيل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بين المسلمين في وقوع النّسخ بين الشّرائع السّابقة واللّاحقة؛ كنسخ الشريعة الإسلاميّة للشّرائع السّماويّة السّابقة عليها زمانًا، وداخل الشّريعة الواحدة نفسها؛ كتحويل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القرآن الكريم في آياتٍ عدّةٍ بوقوع النّسخ، منها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تَنسَ مِنْ آيَةٍ أَوْ نُنسِهَا نَأْتِ بِخَيْرٍ مِنْهَا أَوْ مِثْلِهَا أَلَمْ تَعْلَمْ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422" w:name="pg8898_139481"/>
    </w:p>
    <w:p>
      <w:pPr>
        <w:pStyle w:val="BookText"/>
        <w:rPr/>
      </w:pPr>
      <w:bookmarkEnd w:id="4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بَدَّلْنَا آيَةً مَكَانَ آيَةٍ وَاللَّهُ أَعْلَمُ بِمَا يُنَزِّلُ قَالُوا إِنَّمَا أَنْتَ مُفْتَرٍ بَلْ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فإنّ النّسخ ممكن الوقوع، وقد وقع فعلاً، ولكنّه نسخ بالمعنى المجازي لا بالمعنى الحقيقي للنّسخ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بمعنى نشأة رأي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حكمٌ مؤقّتٌ وتشريعٌ محدودٌ واضحٌ أمره للمشرّع منذ بداية تشريعه، ولكن لمصلحة في التكليف أخفى الشّارع المقدّس بيان أمد الحكم عن الناس، ومع انتهاء أمده شرَّع حكمًا آخر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 الحكمة من هذا الإخفاء، يكمن في حثّ المكلّفين على الانبعاث لامتثال الحكم؛ كما لو أنّه حكمٌ مطلق الأمد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935739_2870459653"/>
      <w:bookmarkStart w:id="424" w:name="_Toc161"/>
      <w:bookmarkEnd w:id="423"/>
      <w:r>
        <w:rPr/>
        <w:t>3</w:t>
      </w:r>
      <w:r>
        <w:rPr>
          <w:rtl w:val="true"/>
        </w:rPr>
        <w:t>.</w:t>
      </w:r>
      <w:r>
        <w:rPr>
          <w:rtl w:val="true"/>
        </w:rPr>
        <w:t>الفرق بين النّسخ والتّخصيص</w:t>
      </w:r>
      <w:r>
        <w:rPr>
          <w:rtl w:val="true"/>
        </w:rPr>
        <w:t>:</w:t>
      </w:r>
      <w:bookmarkEnd w:id="424"/>
    </w:p>
    <w:p>
      <w:pPr>
        <w:pStyle w:val="BookText"/>
        <w:rPr/>
      </w:pPr>
      <w:r>
        <w:rPr>
          <w:rFonts w:ascii="Amiri" w:hAnsi="Amiri" w:eastAsia="Amiri" w:cs="Amiri"/>
          <w:color w:val="111111"/>
          <w:sz w:val="28"/>
          <w:sz w:val="28"/>
          <w:szCs w:val="28"/>
          <w:rtl w:val="true"/>
          <w:lang w:bidi="ar-SA"/>
        </w:rPr>
        <w:t>يكمن الفرق بين النّسخ والتّخصيص في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النّسخ انتهاء التّشريع السّابق، بعد أن عَمِل به المكلّفون لفترةٍ من الزمن، بينما مقتضى التّخصيص قصر الحكم العامّ على بعض أفراد الموضوع دون، تمامها، وإخراج بقيّة الأفراد عن دائرة شمول الحكم؛ وذلك قبل أن يعمَل المكلّفون بعموم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فالنّسخ هو نوع اختصاص للحكم ببعض الأزمان، والتّخصيص نوع اختصاص له ببعض الأفراد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للتنافي بين النّاسخ والمنسوخ بعد استقراره بينهما، بحسب الظّهور اللّفظي؛ هو الحكمة والمصلحة الموجودة بينهما، بخلاف الرّافع للتنافي بين العامّ والخاصّ؛ فإنّه قوّة الظهور اللفظي الموجود في الخاصّ، المفسّر للعامّ بالتخصيص</w:t>
      </w:r>
      <w:r>
        <w:rPr>
          <w:rFonts w:eastAsia="Amiri" w:cs="Amiri" w:ascii="Amiri" w:hAnsi="Amiri"/>
          <w:color w:val="111111"/>
          <w:sz w:val="28"/>
          <w:szCs w:val="28"/>
          <w:rtl w:val="true"/>
          <w:lang w:bidi="ar-SA"/>
        </w:rPr>
        <w:t xml:space="preserve">. </w:t>
      </w:r>
      <w:bookmarkStart w:id="425" w:name="pg8898_139483"/>
    </w:p>
    <w:p>
      <w:pPr>
        <w:pStyle w:val="BookText"/>
        <w:rPr/>
      </w:pPr>
      <w:bookmarkEnd w:id="425"/>
      <w:r>
        <w:rPr>
          <w:rFonts w:ascii="Amiri" w:hAnsi="Amiri" w:eastAsia="Amiri" w:cs="Amiri"/>
          <w:color w:val="111111"/>
          <w:sz w:val="28"/>
          <w:sz w:val="28"/>
          <w:szCs w:val="28"/>
          <w:rtl w:val="true"/>
          <w:lang w:bidi="ar-SA"/>
        </w:rPr>
        <w:t xml:space="preserve">ويُعدّ كلّ من الناسخ والمخصِّص وسيلةً للكشف عن المراد الحقيقي للمشرّع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935741_2870459653"/>
      <w:bookmarkStart w:id="427" w:name="_Toc162"/>
      <w:bookmarkEnd w:id="426"/>
      <w:r>
        <w:rPr/>
        <w:t>4</w:t>
      </w:r>
      <w:r>
        <w:rPr>
          <w:rtl w:val="true"/>
        </w:rPr>
        <w:t xml:space="preserve">. </w:t>
      </w:r>
      <w:r>
        <w:rPr>
          <w:rtl w:val="true"/>
        </w:rPr>
        <w:t>شروط النّسخ</w:t>
      </w:r>
      <w:r>
        <w:rPr>
          <w:rtl w:val="true"/>
        </w:rPr>
        <w:t>:</w:t>
      </w:r>
      <w:bookmarkEnd w:id="427"/>
    </w:p>
    <w:p>
      <w:pPr>
        <w:pStyle w:val="BookText"/>
        <w:rPr/>
      </w:pPr>
      <w:r>
        <w:rPr>
          <w:rFonts w:ascii="Amiri" w:hAnsi="Amiri" w:eastAsia="Amiri" w:cs="Amiri"/>
          <w:color w:val="111111"/>
          <w:sz w:val="28"/>
          <w:sz w:val="28"/>
          <w:szCs w:val="28"/>
          <w:rtl w:val="true"/>
          <w:lang w:bidi="ar-SA"/>
        </w:rPr>
        <w:t xml:space="preserve">ذُكِرَت شروط عدّة للنّسخ الاصطلاحي </w:t>
      </w:r>
      <w:r>
        <w:rPr>
          <w:rStyle w:val="FootnoteAnchor"/>
          <w:rtl w:val="true"/>
        </w:rPr>
        <w:footnoteReference w:id="339"/>
      </w:r>
      <w:r>
        <w:rPr>
          <w:rFonts w:ascii="Amiri" w:hAnsi="Amiri" w:eastAsia="Amiri" w:cs="Amiri"/>
          <w:color w:val="111111"/>
          <w:sz w:val="28"/>
          <w:sz w:val="28"/>
          <w:szCs w:val="28"/>
          <w:rtl w:val="true"/>
          <w:lang w:bidi="ar-SA"/>
        </w:rPr>
        <w:t>،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تنافٍ ذاتيّ بين الحكمين، بحيث لا يمكن اجتماعهما معًا في الوقت نفسه؛ كما في آيات وجوب الصّفح مع وجوب آيات القتال، أو وجود تنافٍ بينهما ناتجٌ عن دليلٍ قطعيٍّ دلّ على نقض الحكم السّابق بحكٍم لاحقٍ؛ كما في حكم الاعتداد المبيّن في آية الإمتاع إلى الحول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وَيَذَرُونَ أَزْوَاجًا وَصِيَّةٌ لأَزْوَاجِهِمْ مَتَاعًا إِلَى الْحَوْلِ غَيْرَ إِخْرَاجِ فَإِنْ خَرَجْنَ فَلَا جُنَاحَ عَلَيْكُمْ فِي مَا فَعَلْنَ فِي أَنْفُسِهِنَّ مِنْ مَعْرُوفٍ وَاللَّهُ عَزِيزٌ حَكِيمٌ</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مع حكم الاعتداد المبينّ في آية الاعتداد بأربعة أشهر وعشرة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 فَإِذَا بَلَغْنَ أَجَلَهُنَّ فَلَا جُنَاحَ عَلَيْكُمْ فِيمَا فَعَلْنَ فِي أَنْفُسِهِنَّ بِالْمَعْرُوفِ وَاللهُ بِمَا تَعْمَلُونَ خَبِيرٌ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التّنافي كلّيًّا على الإطلاق، لا جزئيًّا وفي بعض الجوانب؛ فإنّ الثاني تخصيصٌ في الحكم العامّ، وليس من النّسخ في شيء؛ فآية القواعد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اللَّاتِي لَا يَرْجُونَ نِكَاحًا فَلَيْسَ عَلَيْهِنَّ جُنَاحٌ أَنْ يَضَعْنَ ثِيَابَهُنَّ غَيْرَ مُتَبَرِّجَاتٍ بِزِينَةٍ وَأَنْ يَسْتَعْفِفْنَ خَيْرٌ لَهُنَّ وَاللهُ سَمِيعٌ عَلِيمٌ</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لا تصلح ناسخة لآية غضّ البصر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لِلْمُؤْمِنَاتِ يَغْضُضْنَ مِنْ أَبْصَارِهِنَّ وَيَحْفَظْنَ فُرُوجَهُنَّ وَلَا يُبْدِينَ زِينَتَهُنَّ إِلَّا مَا ظَهَرَ مِنْهَا وَلْيَضْرِبْنَ بِخُمُرِهِنَّ عَلَى جُيُوبِهِنَّ وَلَا يُبْدِينَ زِينَتَهُنَّ إِلَّا لِبُعُولَتِهِنَّ أَوْ آبَابِهِنَّ أَوْ آبَاءِ بُعُولَتِهِنَّ أَوْ أَبْنَابِهِنَّ أَوْ أَبْنَاءِ بُعُولَتِهِنَّ </w:t>
      </w:r>
      <w:bookmarkStart w:id="428" w:name="pg8898_139486"/>
    </w:p>
    <w:p>
      <w:pPr>
        <w:pStyle w:val="BookText"/>
        <w:rPr/>
      </w:pPr>
      <w:bookmarkEnd w:id="428"/>
      <w:r>
        <w:rPr>
          <w:rFonts w:ascii="Amiri" w:hAnsi="Amiri" w:eastAsia="Amiri" w:cs="Amiri"/>
          <w:color w:val="111111"/>
          <w:sz w:val="28"/>
          <w:sz w:val="28"/>
          <w:szCs w:val="28"/>
          <w:rtl w:val="true"/>
          <w:lang w:bidi="ar-SA"/>
        </w:rPr>
        <w:t>أَوْ إِخْوَانِهِنَّ أَوْ بَنِي إِخْوَانِهِنَّ أَوْ بَنِي أَخَوَاتِهِنَّ أَوْ نِسَابِهِنَّ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أَيُّهَا الْمُؤْمِنُونَ لَعَلَّكُمْ تُفْلِحُونَ</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بعد أن كانت الأولى أخصّ من الثانية، والخاصّ لا ينسخ العام، بل يخصِّصه بما عداه من أفراد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تحديد أمد الحكم السابق؛ تصريحًا أو تلويحًا، حيث يرتفع الحكم بنفسه عند انتهاء أمده، من دون حاجةٍ إلى نسخ؛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لا يصدق عليه النّسخ عندما تفيء الفئة الباغية وترجع إلى رشدها والتسليم 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النّسخ بالتشريعيّات </w:t>
      </w:r>
      <w:r>
        <w:rPr>
          <w:rStyle w:val="FootnoteAnchor"/>
          <w:rtl w:val="true"/>
        </w:rPr>
        <w:footnoteReference w:id="345"/>
      </w:r>
      <w:r>
        <w:rPr>
          <w:rFonts w:ascii="Amiri" w:hAnsi="Amiri" w:eastAsia="Amiri" w:cs="Amiri"/>
          <w:color w:val="111111"/>
          <w:sz w:val="28"/>
          <w:sz w:val="28"/>
          <w:szCs w:val="28"/>
          <w:rtl w:val="true"/>
          <w:lang w:bidi="ar-SA"/>
        </w:rPr>
        <w:t>، فلا نسخ في ما يتعلّق 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الْأَوَّلِينَ وَثُلَّةٌ مِنَ الْآخِرِينَ</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لا يصلح ناسخًا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الْأَوَّلِيَن وَقَلِيلُ مِنَ الْآخِرِينَ</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الموضوع في الحكمين؛ لأنّ تغيّر الموضوع يستلزم تغيّر الحكم؛ فلا نسخ مع تغيّر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النّاسخ على ما في المنسوخ من كمال ومصلحة</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935743_2870459653"/>
      <w:bookmarkStart w:id="430" w:name="_Toc163"/>
      <w:bookmarkEnd w:id="429"/>
      <w:r>
        <w:rPr/>
        <w:t>5</w:t>
      </w:r>
      <w:r>
        <w:rPr>
          <w:rtl w:val="true"/>
        </w:rPr>
        <w:t xml:space="preserve">. </w:t>
      </w:r>
      <w:r>
        <w:rPr>
          <w:rtl w:val="true"/>
        </w:rPr>
        <w:t>أقسام النّسخ</w:t>
      </w:r>
      <w:r>
        <w:rPr>
          <w:rtl w:val="true"/>
        </w:rPr>
        <w:t>:</w:t>
      </w:r>
      <w:bookmarkEnd w:id="43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الباحثون والمحقّقون ثلاثة أقسام للنّسخ هي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الحكم والتلاوة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زوال آية من القرآن ذات حكمٍ تشريعيٍّ، تداولها المسلمون الأوائل وقرأوها وعملوا بحكمها، ثمّ نُسِخَت وتعطّل حكمها وزالت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الأمثلة التي أوردوها على وقوع هذا القسم من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ما أُنزِلَ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 يحرّمن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نسخنَ بخمس معلومات، فتوفى رسول الله صلّی الله علیه و آله وهنّ في ما يُقرأ من القرآن</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وهذا القسم من النسخ غير واقع في القرآن للأمور التالية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إجماع المسلمين على عدم ثبوت النّسخ بخبر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ابتلاء أغلب هذه الأخبار التي تتحدّث عن وقوعه بالضّعف والإرسال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لا يثبت بأخبار الآحاد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استلزام هذا القسم من النسخ للتحريف بالنّقيصة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التلاوة دون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زوال آية من القرآن قرأها المسلمون الأوائل وعملوا بحكمها، ثمّ نُسِيَت وزالت من القرآن، مع بقاء حكمها معمولاً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الأمثلة التي أوردوها على هذا القسم من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 بن حبيش،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آية تعدّ سورة الأحزاب؟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اثنتين وسبعين آية، أو ثلاثة وسبعين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لتعدل سورة البقرة، وإنّا كنّا لنقرأ فيها آية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آية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زنى الشيخ والشيخة فارجموهما البتة نكالاً من الله والله عزیز حکیم</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431" w:name="pg8898_139490"/>
    </w:p>
    <w:p>
      <w:pPr>
        <w:pStyle w:val="BookText"/>
        <w:rPr/>
      </w:pPr>
      <w:bookmarkEnd w:id="431"/>
      <w:r>
        <w:rPr>
          <w:rFonts w:ascii="Amiri" w:hAnsi="Amiri" w:eastAsia="Amiri" w:cs="Amiri"/>
          <w:color w:val="111111"/>
          <w:sz w:val="28"/>
          <w:sz w:val="28"/>
          <w:szCs w:val="28"/>
          <w:rtl w:val="true"/>
          <w:lang w:bidi="ar-SA"/>
        </w:rPr>
        <w:t xml:space="preserve">وهذا القسم من النسخ غير واقع في القرآن للأمور التالية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منافاة هذا النّسخ لمصلحة نزول الآية؛ إذ لو كانت المصلحة الّتي كانت تقتضي نزولها هي اشتمالها على حكم تشريعيّ ثابت، فلماذا تُرفَع الآية وحدها، مع كونها سندًا للحكم الشّرعيّ المذكور؟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ابتلاء أغلب هذه الأخبار التي تتحدّث عن وقوعه بالضّعف والإرسال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لا يثبت بأخبار الآحاد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استلزام هذا القسم من النّسخ للتحريف بالنّقيصة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الحُكم دون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بقاء الآية ثابتةً في القرآن يقرأها المسلمون عبر العصور، مع زوال حكمها بعد أن عمل بها المسلمون فترةً من الزّمن؛ بفعل مجيء النّاسخ القاطع لحُكمها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القسم من النسخ هو المعروف بين العلماء والمفسّرين، واتّفق الجميع على جوازه إمكانًا، وإن اختلفوا في وقوعه فعلاً، حيث ذهب البعض إلى أنّ في القرآن آیات ناسخة وآيات منسوخة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935745_2870459653"/>
      <w:bookmarkStart w:id="433" w:name="_Toc164"/>
      <w:bookmarkEnd w:id="432"/>
      <w:r>
        <w:rPr/>
        <w:t>6</w:t>
      </w:r>
      <w:r>
        <w:rPr>
          <w:rtl w:val="true"/>
        </w:rPr>
        <w:t xml:space="preserve">. </w:t>
      </w:r>
      <w:r>
        <w:rPr>
          <w:rtl w:val="true"/>
        </w:rPr>
        <w:t>أنحاء النسخ</w:t>
      </w:r>
      <w:r>
        <w:rPr>
          <w:rtl w:val="true"/>
        </w:rPr>
        <w:t>:</w:t>
      </w:r>
      <w:bookmarkEnd w:id="433"/>
    </w:p>
    <w:p>
      <w:pPr>
        <w:pStyle w:val="BookText"/>
        <w:rPr/>
      </w:pPr>
      <w:r>
        <w:rPr>
          <w:rFonts w:ascii="Amiri" w:hAnsi="Amiri" w:eastAsia="Amiri" w:cs="Amiri"/>
          <w:color w:val="111111"/>
          <w:sz w:val="28"/>
          <w:sz w:val="28"/>
          <w:szCs w:val="28"/>
          <w:rtl w:val="true"/>
          <w:lang w:bidi="ar-SA"/>
        </w:rPr>
        <w:t>اختُلِفَ في أنحاء نسخ القرآن على أقوالٍ متعدّدةٍ، يمكن إيجازها ضمن التالي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القرآن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الباحثون والمحقّقون في إمكانيّة وقوع هذا النّحو من النّسخ، واختلفوا في فعليّة وقوعه على أقوال </w:t>
      </w:r>
      <w:r>
        <w:rPr>
          <w:rStyle w:val="FootnoteAnchor"/>
          <w:rtl w:val="true"/>
        </w:rPr>
        <w:footnoteReference w:id="354"/>
      </w:r>
      <w:r>
        <w:rPr>
          <w:rFonts w:ascii="Amiri" w:hAnsi="Amiri" w:eastAsia="Amiri" w:cs="Amiri"/>
          <w:color w:val="111111"/>
          <w:sz w:val="28"/>
          <w:sz w:val="28"/>
          <w:szCs w:val="28"/>
          <w:rtl w:val="true"/>
          <w:lang w:bidi="ar-SA"/>
        </w:rPr>
        <w:t>، يمكن إيجازها بالتالي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مفاد آية بمفاد آية أخرى، مع كون الثانية ناظرة إلى الأُولى ورافعة لحُكمها بالتّنصيص، ولولا ذلك لم يكن موقع لنزول الثانية وكانت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النّجوى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وَأَظْهَرُ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التي أوجبت التصدّق بين يدي مناجاة الرسول صلّی الله علیه و آله، ونَسخَتها آية الإشفاق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بَيْنَ يَدَيْ نَجْوَاكُمْ صَدَقَاتٍ</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لم يختلف فيه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مفاد آية بمفاد آية أخرى، من دون أن تكون إحداهما ناظرةً إلى الأخرى، مع وجود تنافٍ بينهما، بحيث لم يمكن الجمع بينهما تشريعيًّا؛ فتكون الآية الثانية المتأخّرة نزولاً ناسخة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صحّة هذا الوجه من النّسخ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نصٍّ صحيحٍ وأثرٍ قطعيٍّ صريح يدعمه الإجماع؛ إذ من الصّعب جدًّا الوقوف على تاريخ نزول آية في تقدّمها وتأخّرها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تنافٍ على وجه التّباين الكلّي بين مفاد الآيتين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يمكن القطع به بین آیتین قرآنيّتين سوى عن نصّ معصوم؛ لأنّ للقرآن ظاهرًا وباطنًا ومحكَمًا ومتشابهًا، وليس من السّهل الوقوف على كُنه آية مهما كانت محكَمة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القرآن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 إمكانيّة وقوع هذا النّحو من النّسخ </w:t>
      </w:r>
      <w:r>
        <w:rPr>
          <w:rStyle w:val="FootnoteAnchor"/>
          <w:rtl w:val="true"/>
        </w:rPr>
        <w:footnoteReference w:id="358"/>
      </w:r>
      <w:r>
        <w:rPr>
          <w:rFonts w:ascii="Amiri" w:hAnsi="Amiri" w:eastAsia="Amiri" w:cs="Amiri"/>
          <w:color w:val="111111"/>
          <w:sz w:val="28"/>
          <w:sz w:val="28"/>
          <w:szCs w:val="28"/>
          <w:rtl w:val="true"/>
          <w:lang w:bidi="ar-SA"/>
        </w:rPr>
        <w:t xml:space="preserve">فذهب البعض إلى عدم إمكانيّة وقوعه؛ نظرًا لكونه مخالفًا للأخبار المتواترة بعرض الأخبار على الكتاب وطرح ما خالفه والرّجوع إليه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آخرون إلى إمكانيّة وقوعه؛ لأنّ السنّة وحيٌ من الله؛ كما أنّ القرآن كذلك، ولا مانع من نسخ وحيٍ </w:t>
      </w:r>
      <w:bookmarkStart w:id="434" w:name="pg8898_139493"/>
    </w:p>
    <w:p>
      <w:pPr>
        <w:pStyle w:val="BookText"/>
        <w:rPr/>
      </w:pPr>
      <w:bookmarkEnd w:id="434"/>
      <w:r>
        <w:rPr>
          <w:rFonts w:ascii="Amiri" w:hAnsi="Amiri" w:eastAsia="Amiri" w:cs="Amiri"/>
          <w:color w:val="111111"/>
          <w:sz w:val="28"/>
          <w:sz w:val="28"/>
          <w:szCs w:val="28"/>
          <w:rtl w:val="true"/>
          <w:lang w:bidi="ar-SA"/>
        </w:rPr>
        <w:t>بوحي؛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إِنْ هُوَ إِلَّا وَحْى يُوحَى</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فلا مانع عقلّي ولا شرعيّ من نسخ الكتاب بالسنّة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 القائلون بإمكانيّة وقوع هذا النّحو من النّسخ، وفي فعليّة وقوعه؛ فذهب بعضهم إلى عدم وقوعه فعلاً </w:t>
      </w:r>
      <w:r>
        <w:rPr>
          <w:rStyle w:val="FootnoteAnchor"/>
          <w:rtl w:val="true"/>
        </w:rPr>
        <w:footnoteReference w:id="362"/>
      </w:r>
      <w:r>
        <w:rPr>
          <w:rFonts w:ascii="Amiri" w:hAnsi="Amiri" w:eastAsia="Amiri" w:cs="Amiri"/>
          <w:color w:val="111111"/>
          <w:sz w:val="28"/>
          <w:sz w:val="28"/>
          <w:szCs w:val="28"/>
          <w:rtl w:val="true"/>
          <w:lang w:bidi="ar-SA"/>
        </w:rPr>
        <w:t>، وذهب آخرون إلى وقوعه فعلًا،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الإمتاع إلى الحَول بشأن المتوفّى عنها زوجها؛ فإنّها بظاهرها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تتنافى وآية العِدَد ،والمواريث، غير أنّ السُنّة القطعيّة وإجماع المسلمين أثبتا نسخها بآية العِدَد والمواريث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نسخ مفاد آية بأخبار آحاد غير ممكنٍ في نفسه؛ لأنّ من شروط الدّليل النّاسخ أن يكون بمستوى الدليل المنسوخ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935747_2870459653"/>
      <w:bookmarkStart w:id="436" w:name="_Toc165"/>
      <w:bookmarkEnd w:id="435"/>
      <w:r>
        <w:rPr/>
        <w:t>7</w:t>
      </w:r>
      <w:r>
        <w:rPr>
          <w:rtl w:val="true"/>
        </w:rPr>
        <w:t xml:space="preserve">. </w:t>
      </w:r>
      <w:r>
        <w:rPr>
          <w:rtl w:val="true"/>
        </w:rPr>
        <w:t>شُبهات في النّسخ</w:t>
      </w:r>
      <w:r>
        <w:rPr>
          <w:rtl w:val="true"/>
        </w:rPr>
        <w:t>:</w:t>
      </w:r>
      <w:bookmarkEnd w:id="43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آيةٍ منسوخةٍ في القرآن ربّما يسبّب اشتباه المكلّفين، فيظنّونها آية محكَمة يعملون بها أو يلتزمون بمفادها، الأمر الذي يكون إغراءً بالجهل؛ وهو قبيح</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مضاعفات جهل كلّ إنسان تعود إلى نفسه ولم يكن الجهل يومًا ما عُذرًا مقبولاً لدى العقلاء؛ فإذا كانت المصلحة تستدعي نسخ تشريع سابق بتشريع لاحق، فعلى المكلّفين أن يتنبهوا إلى هذا الاحتمال في التّشريع، ولا سيّما إذا كان التّشريع في بدء حركةٍ إصلاحيّةٍ آخذة في التّدرّج نحو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في القرآن ناسخ و منسوخ، وعامّ وخاصّ، ومطلق ومقيّد، ومحكَم ومتشابه، وليس لأحد الأخذ بآية حتّى يتحقّق من أمرها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437" w:name="pg8898_139495"/>
    </w:p>
    <w:p>
      <w:pPr>
        <w:pStyle w:val="BookText"/>
        <w:rPr/>
      </w:pPr>
      <w:bookmarkEnd w:id="437"/>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بوجود آیاتٍ ناسخةٍ ومنسوخةٍ في القرآن يستدعي وجود تنافٍ بين آياته الكريمة؛ الأمر الذي يناقضه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الاختلاف الذي تنفيه الآية هو الاختلاف الواقعي، لا الظاهري الشّكلي؛ الذي يرتفع في مورد النّاسخ والمنسوخ، بعد ملاحظة زمن نزولهما والمناسبات والمصالح المستدعية لنزول الأولى ثمّ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الحكمة وراء ثبت آية في المصحف هي منسوخة الحكم، لتبقى مجرّد ألفاظ مقروءة؟</w:t>
      </w:r>
    </w:p>
    <w:p>
      <w:pPr>
        <w:pStyle w:val="BookText"/>
        <w:rPr/>
      </w:pPr>
      <w:r>
        <w:rPr>
          <w:rFonts w:ascii="Amiri" w:hAnsi="Amiri" w:eastAsia="Amiri" w:cs="Amiri"/>
          <w:color w:val="111111"/>
          <w:sz w:val="28"/>
          <w:sz w:val="28"/>
          <w:szCs w:val="28"/>
          <w:rtl w:val="true"/>
          <w:lang w:bidi="ar-SA"/>
        </w:rPr>
        <w:t>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وراء وجود آياتٍ منسوخةٍ تكمن في الوقوف على مرونة الشّريعة ومجاراتها للبيئة الاجتماعيّة، على اختلاف الزمان والمكان، في تدرّجٍ تصاعديٍّ؛ حتى يتسنّى للنّاس الالتزام بها والسّير مع تدرّجها سيرًا يسيرًا غير طفرويّ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الاستفادة من الآية المنسوخة ليست محصورةً في خصوص كونها دليلاً على الحكم الشّرعي فقط، بل لها حقائق عظيمة وبواطن جليلة خافية علينا لا يعلمها إلا الله والرّاسخون في العلم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935749_2870459653"/>
      <w:bookmarkStart w:id="439" w:name="_Toc166"/>
      <w:bookmarkEnd w:id="438"/>
      <w:r>
        <w:rPr/>
        <w:t>8</w:t>
      </w:r>
      <w:r>
        <w:rPr>
          <w:rtl w:val="true"/>
        </w:rPr>
        <w:t xml:space="preserve">. </w:t>
      </w:r>
      <w:r>
        <w:rPr>
          <w:rtl w:val="true"/>
        </w:rPr>
        <w:t>عدد الآيات النّاسخة والمنسوخة</w:t>
      </w:r>
      <w:r>
        <w:rPr>
          <w:rtl w:val="true"/>
        </w:rPr>
        <w:t>:</w:t>
      </w:r>
      <w:bookmarkEnd w:id="439"/>
    </w:p>
    <w:p>
      <w:pPr>
        <w:pStyle w:val="BookText"/>
        <w:rPr/>
      </w:pPr>
      <w:r>
        <w:rPr>
          <w:rFonts w:ascii="Amiri" w:hAnsi="Amiri" w:eastAsia="Amiri" w:cs="Amiri"/>
          <w:color w:val="111111"/>
          <w:sz w:val="28"/>
          <w:sz w:val="28"/>
          <w:szCs w:val="28"/>
          <w:rtl w:val="true"/>
          <w:lang w:bidi="ar-SA"/>
        </w:rPr>
        <w:t>اختُلِفَ في عدد الآيات النّاسخة والمنسوخة؛ تبعًا لاختلاف الأقوال في إمكانيّة وقوع النّسخ وفعليّة وقوعه وشروطه وأقسامه وأنحائه؛ على أقوال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آیاتٍ ناسخةٍ أو منسوخة في القرآن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التمهيد في علوم القرآن،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الزرقاني، مناهل العرفان في علوم القرآن،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معرفة، التمهيد في علوم القرآن،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التنهيد في علوم القرآن،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عددٍ قليلٍ من الآيات النّاسخة والمنسوخة، من هذه الأقوال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النجوى فقط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النجوى، وآية عدد المقاتلين، وآية الإمتاع، وآية جزاء الفحشاء، وآية التوارث بالإيمان، وآيات الصفح، وآيات المعاهدة، وآيات تدريجية تشريع القتال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المتقدّم ذِكْرُها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عدد كبير من الآيات النّاسخة والمنسوخة في القرآن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بمدخل النّسخ في موسوعة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Abrogation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عنوان مدخل في المجلّد الأوّل من موسوعة القرآن،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كتبه جان برتون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John Burton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ثماني صفحات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pp. 11-19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وقد بحث في هذا المدخل حول رأي الشّافعي في مجال النّسخ، والنّسخ والعلم الإلهي، المستندات القرآنيّة للنّسخ، شبهات وإشكالات عقائديّة على التّفسير، القراءات المختلفة، النّسخ والفقه والنّوع الثّالث من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الحكم والتّلاوة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مسألة النّسخ</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النّسخ أو 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عام يشير إلى مجموعة الآراء والنّظريات في مجال التّفسير والحديث وأصول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تأسّست هذه النّظريات بسبب وجود تعارضاتٍ كثيرةٍ وعامّة بين آيتين، أو حديثين، أو حديث وآية، وكذلك بين القرآن والحديث أو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الإلهيّ يحوي تناقضاتٍ ولا يمكنه أن يقوم بحلّ مشاكل حياة البشر، وعليه فلا بدَّ من حلِّ هذه التّناقضات، ومفتاح حلّ هذه </w:t>
      </w:r>
    </w:p>
    <w:p>
      <w:pPr>
        <w:pStyle w:val="BookText"/>
        <w:rPr/>
      </w:pPr>
      <w:r>
        <w:rPr>
          <w:rFonts w:ascii="Amiri" w:hAnsi="Amiri" w:eastAsia="Amiri" w:cs="Amiri"/>
          <w:color w:val="111111"/>
          <w:sz w:val="28"/>
          <w:sz w:val="28"/>
          <w:szCs w:val="28"/>
          <w:rtl w:val="true"/>
          <w:lang w:bidi="ar-SA"/>
        </w:rPr>
        <w:t>التّناقضات هو البحث التاريخي فيها على أساس الترتيب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فبحسب رأي كثير من المستشرقين فإنّ القرآن نصُّ فيه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وفكرة النّسخ إنَّما هي طريق حلَّ لهذه المشكلة في القرآن والحال أنّه لا يوجد تعارض في القرآن، كما أنّه لا يمكن أن تكون مسألة النّسخ دليلاً على وجود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قضيّة هل أنّ القرآن ينسخ السنّة وبالعكس وذكر آراء الشّافعي في هذا المقام بالتّفصيل، وشرح الأنواع الثلاثة للنّسخ، وتحدَّث عن نسخ التلاوة وبقاء الحكم بتفصيل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 الفقه علّة القول بالنّسخ،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ففي الآية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يظهر منها تشريع مرحلة مدتها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لا تستطيع المرأة فيها شرعًا الزّواج مجدَّدًا ويجب عليها البقاء في بيت زوجها المتوفّى وتكون تحت الحماية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الآية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فيبدو أنّ هذه المرحلة تقلّصت إلى أربعة أشهر وعشر ليال وقد طُرح هذا الحكم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نستنتج أنّ الآية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لتنسخ الآية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ألفاظ كلتا مع الآيتين موجودة في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كان تضادّ الفقه مع آيةٍ من القرآن منشأً لفكرة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رؤيته لأحكامٍ في الفقه لم ترد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الموارد دليلٌ على نسخ آيةٍ من القرآن،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 إلى بعض الموضوعات الخاصّة يعرض الفقه أحكامًا ليست مذكورةً في المصحف العثماني، ويبدو أنّها أُخذت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هناك أحكامًا فقهيَّةً تعارض أحكامًا ذُكرت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بعض العلماء أنّ منشأ هذه الاختلافات هي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اعتبر بعض آخر منهم أنّه قد تأثّر بالاستنباطات الفقهيّة، فحصل عندهم اطمئنان أنّ سورًا من القرآن نزلت في مقاطع زمانيّة إلّا أنّها قد حُذفت من جميع المصاحف وعلى سبيل المثال فإنّ الحكم الفقهيّ للرجم لا يمكن أن يتلاءم مع الآية الثّانية 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 الفقهاء قبلوا هذا الحكم، وذلك لأنّه موجودٌ في الفقه الذي ورثوه، واستدلّوا على أنّ هذا المطلب يحكي نسخ حكم المصحف بحكم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آخرون أنّ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أقوال الإنسان وأفعاله مهما كان له من منزلةٍ ساميةٍ لا يمكن أن تكون ناسخةً لكلام الشّارع، وقد وصل بهم الاستدلال إلى أنّ حكم الرّجم لا بدّ أنه قد نشأ من وحيٍ قرآنيٍّ متأخِّرٍ، فحذفت آية الرجم بهذه البساطة 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اعتبر موارد اختلاف استنباط الفقهاء من آية واحدة دليلاً على النّزول المتعدّد بحيث نُسخ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متحيّرًا في حكم السّعي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يظهر منها كون السّعي عملاً اختياريًّا،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رأيٌ لأهل العراق، في حين أنّ الفقه المدني يعتبر أنّ صحِّة الحجّ واعتباره يتوقّف على أداء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تشاور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خالته عائشة، فإنَّها قالت له بأنّ رأيه يستلزم قراءة متفاوتة؛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معصية في عدم أداء 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نسخ التلاوة وبقاء الحكم الإشارة إلى تأثير بعض الآراء الأصوليّة للشّافعي في ظهور هذا الشّكل من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يُبيّن آية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تُعدّ من مصاديق نسخ التلاوة وبقاء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ويورد بحوثًا كثيرةً في أنّ مصدر عقوبة الرّجم هل هو القرآن أو السنّة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قد جُمع في حياة النّبيّ صلّی الله علیه و آله وأنّ النّسخ أهم سبب أدّى إلى انتقال جمع القرآن إلى ما بعد حياة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موضوعات نسخ التّلاوة والحكم، ونسخ التّلاوة وبقاء الحكم، واختلاف قراءة الصّحابة فاقدةٌ للحقيقة الخارجيَّة، وإنّما نشأت في أذهان الفقهاء الذين كانوا في مناظراتهم مع الفقهاء الآخرين يسعون إلى التّمسّك بهذه الأمور لإثبات أنَّ أحكامهم الفقهيَّة التي ليس لها مدرك في نصوص المصحف الفعلي، تستند إلى القرآن، فلو كان النّبيّ صلّی الله علیه و آله قد جمع الآيات القرآنيّة في مصحف، فإنّ الفقهاء المذكورين لم يكونوا قادرين على إيراد القول بأنّ اختلاف قراءات مصاحف الصحابة وحذف النّصوص من المصحف الفعلي في إطار مشكلين من 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رأوا أنّ حلّ القضيّة هو في جعل روايات يحذفون فيها دور النّبيّ صلّی الله علیه و آله من دائرة جمع القرآن وينقلون جمع القرآن إلى عهد ما بعد حياة النّبيّ صلّی الله علیه و آله وقد قاموا فعلاً بذلك، وقد حكى القرن اللّاحق أنّ </w:t>
      </w:r>
      <w:bookmarkStart w:id="440" w:name="pg8898_139501"/>
    </w:p>
    <w:p>
      <w:pPr>
        <w:pStyle w:val="BookText"/>
        <w:rPr/>
      </w:pPr>
      <w:bookmarkEnd w:id="440"/>
      <w:r>
        <w:rPr>
          <w:rFonts w:ascii="Amiri" w:hAnsi="Amiri" w:eastAsia="Amiri" w:cs="Amiri"/>
          <w:color w:val="111111"/>
          <w:sz w:val="28"/>
          <w:sz w:val="28"/>
          <w:szCs w:val="28"/>
          <w:rtl w:val="true"/>
          <w:lang w:bidi="ar-SA"/>
        </w:rPr>
        <w:t xml:space="preserve">بعض الصّحابة والتّابعين كانوا يعتقدون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هؤلاء ظاهرٌ في أنّه كان مبتنيًا على مصحف ابن مسعود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استنتج برتون أنّ مثل هذا الفهم والاستنباط يجعل وجود وحيٍ مختلفٍ أمرًا ضروريًّا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نسيان النّبي صلّی الله علیه و آله هو أحد منطلقات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وتناول تحت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Quranicevidence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دراسة الآيات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الأعلى مفهوم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 نوعًا من النّسخ، وحاول أن يؤيّد رأيه هذا ببعض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المعنى العام للنّسخ هو التغيير والتّبديل وقد اُضيف إليه الحذف والإبطال ضمن حصيلة النّسخ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فكرة النّسخ في القرآن هو التّفسير ويبدو طبقًا لتفسير الآيات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الأعلى </w:t>
      </w:r>
      <w:r>
        <w:rPr>
          <w:rStyle w:val="FootnoteAnchor"/>
          <w:rtl w:val="true"/>
        </w:rPr>
        <w:footnoteReference w:id="371"/>
      </w:r>
      <w:r>
        <w:rPr>
          <w:rFonts w:ascii="Amiri" w:hAnsi="Amiri" w:eastAsia="Amiri" w:cs="Amiri"/>
          <w:color w:val="111111"/>
          <w:sz w:val="28"/>
          <w:sz w:val="28"/>
          <w:szCs w:val="28"/>
          <w:rtl w:val="true"/>
          <w:lang w:bidi="ar-SA"/>
        </w:rPr>
        <w:t xml:space="preserve">، والآية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الرعد </w:t>
      </w:r>
      <w:r>
        <w:rPr>
          <w:rStyle w:val="FootnoteAnchor"/>
          <w:rtl w:val="true"/>
        </w:rPr>
        <w:footnoteReference w:id="372"/>
      </w:r>
      <w:r>
        <w:rPr>
          <w:rFonts w:ascii="Amiri" w:hAnsi="Amiri" w:eastAsia="Amiri" w:cs="Amiri"/>
          <w:color w:val="111111"/>
          <w:sz w:val="28"/>
          <w:sz w:val="28"/>
          <w:szCs w:val="28"/>
          <w:rtl w:val="true"/>
          <w:lang w:bidi="ar-SA"/>
        </w:rPr>
        <w:t xml:space="preserve">، والآية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الإسراء </w:t>
      </w:r>
      <w:r>
        <w:rPr>
          <w:rStyle w:val="FootnoteAnchor"/>
          <w:rtl w:val="true"/>
        </w:rPr>
        <w:footnoteReference w:id="373"/>
      </w:r>
      <w:r>
        <w:rPr>
          <w:rFonts w:ascii="Amiri" w:hAnsi="Amiri" w:eastAsia="Amiri" w:cs="Amiri"/>
          <w:color w:val="111111"/>
          <w:sz w:val="28"/>
          <w:sz w:val="28"/>
          <w:szCs w:val="28"/>
          <w:rtl w:val="true"/>
          <w:lang w:bidi="ar-SA"/>
        </w:rPr>
        <w:t xml:space="preserve">، والآية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حيث استعملت الآيتان الأخيرتان اصطلاح النّسخ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الاحتمالات كانت قد طُرحت، وهي أنّ بعض آيات القرآن يمكن أن يكون النّبيّ صلّی الله علیه و آله قد نسيها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فإنّ النّبي صلّی الله علیه و آله شخصيًّا لا يمكنه أن يحذف أو يبدّل الآيات، أو تتم السّيطرة على نسيان النّبيّ صلّی الله علیه و آله بحيث تكون الإرادة الإلهيّة هي المعمول بها في القرار النّهائيّ بشأن نصّ الكتاب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935751_2870459653"/>
      <w:bookmarkStart w:id="442" w:name="_Toc167"/>
      <w:bookmarkEnd w:id="441"/>
      <w:r>
        <w:rPr>
          <w:rtl w:val="true"/>
        </w:rPr>
        <w:t>ثانيًا</w:t>
      </w:r>
      <w:r>
        <w:rPr>
          <w:rtl w:val="true"/>
        </w:rPr>
        <w:t xml:space="preserve">: </w:t>
      </w:r>
      <w:r>
        <w:rPr>
          <w:rtl w:val="true"/>
        </w:rPr>
        <w:t>النّقد والمناقشة</w:t>
      </w:r>
      <w:r>
        <w:rPr>
          <w:rtl w:val="true"/>
        </w:rPr>
        <w:t>:</w:t>
      </w:r>
      <w:bookmarkEnd w:id="44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يلي نتناول مطالب جان برتون وادّعاءاته في مجال الاختلاف بين أحكام </w:t>
      </w:r>
    </w:p>
    <w:p>
      <w:pPr>
        <w:pStyle w:val="BookText"/>
        <w:rPr/>
      </w:pPr>
      <w:r>
        <w:rPr>
          <w:rFonts w:ascii="IRNazanin" w:hAnsi="IRNazanin" w:eastAsia="IRNazanin"/>
          <w:color w:val="111111"/>
          <w:sz w:val="28"/>
          <w:sz w:val="28"/>
          <w:szCs w:val="28"/>
          <w:rtl w:val="true"/>
          <w:lang w:bidi="fa-IR"/>
        </w:rPr>
        <w:t>القرآن والفقه، وقضيّة تحريف القرآن، واختلاف القراءات، والحالات الثلاثة للنّسخ ونسيان النّبيّ صلّی الله علیه و آله، والتي تُعتبر أهم الشّبهات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أبدًا في أنّ الاختلاف بين أحكام القرآن والفقه أساسًا أمرٌ لا معنى له؛ وذلك لأنّ القرآن هو المصدر الأساس للفقه، وهو أكثر المصادر اطمئنانًا، والذي لم يحصل فيه أيّ تحريفٍ أو تغييرٍ، 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كون القرآن الكريم المصدر الأوّل للشّريعة المقدّسة، وهو الحجّة القاطعة بيننا وبين الله تعالى، التي لا شكّ ولا ريب فيها، كلام الله الذي أنزله على عبده ورسوله محمد صلّی الله علیه و آله، وكان يراجعه مع أمين الوحي في كلّ شهر من شهور رمضان للتأكّد من سلامته مبنًى ومعنًى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بلَّغ نبيُّ الإسلام القرآن الكريم تبليغًا كاملاً باتّفاق المسلمين، وأمر بحفظه وكتابته وجمعه حال حياته، وأنّ ما بين الدّفّتين والمتداول بين المسلمين منذ عهد النبي صلّی الله علیه و آله لم يزد فيه ولم ينقص منه، وكما يقول العلامة حسن زاده آملي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الحق المحّقق المبرهن بالبراهين القطعيّة من العقليّة والنّقليّة أنّ ما في أيدي الناس من القرآن الكريم هو جميع ما أنزل الله تعالى على رسوله خاتم النبيين محمد بن عبد الله صلّی الله علیه و آله وما تطرّق إليه زيادة ونقصان أصلاً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الموجودة في الفقه ولم يتم بيانها في القرآن، إنَّما كان منشؤها أنّ هذه الأحكام فُهمت من الرّوايات، وليس الأمر هو أن تكون جميع جزئيّات الأحكام موجودة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الفتاوى ناشئٌ من عوامل متعدّدة، ومن المقطوع به أنّ تعدّد النّزول أو حذف آية من القرآن لم يكن ضمن هذه العوامل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المستشرقين الاختلافَ بين القرآن والفقه وكذلك اختلاف فتاوى الفقهاء من أسباب النّسخ في القرآن، فإنَّه يعود إلى أحد السّببين الآتيين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يكونوا على اطلاعٍ كافٍ ومناسبٍ بالنّسبة إلى مصادر استنباط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كان جبريل يعرض القرآن على النبي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فصل الخطاب في عدم تحريف كتاب رب الأرباب من مجموعة رسائل عربية، 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يعتقدون بتحريف القرآن ويميلون إلى بيان شواهد على أن هناك آية أو حكمًا كان في القرآن ثم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مصادر الفقه، فينبغي القول إنَّه مما لاشكّ فيه أنَّ أوّل طريقٍ وأهمّه لفهم الأحكام الإلهيّة واستنباطها هو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المسلمون منذ الصّدر الأوّل وما زالوا يرجعون بالدّرجة الأولى إلى القرآن الكريم لاستنباط الأحكام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ينبغي الالتفات إلى أنّه بالإضافة إلى القرآن فإنّ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مصادر الفقه والسنّة قول المعصوم وفعله وتقريره، وقد أخذت بعض الأحكام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أنّه لو تمّ بيان حكم في قول الرّسول الأكرم صلّی الله علیه و آله أو ثبت أنه أدّى الوظيفة الدّينيَّة عمليًّا بكيفيَّةٍ خاصَّةٍ أو تمّ التّحقّق من أنّ الآخرين أدّوا الوظيفة الدّينيّة في حضوره، وقد أيَّدها وقرَّرها وأمضاها عمليًّا من خلال سكوته الذي يدلّ على صحّة ذلك العمل، فإنّ كلّ هذه الحالات تكفي الفقيه كي يستند إليها في استنباط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شأن السّنّة وحجّيتها بشكلٍ عامٍ لا يوجد خلاف بين الفقهاء، وإنّما الخلاف بينهم في جهتين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الحجيّة إنّما للسِّنّة النّبويّة فقط أو تشمل السنّة المرويّة عن الأئمة المعصومين علیهم السّلام أيضًا؟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فأهل السّنّة يعتبرون السّنّة النّبويّة فقط حجّة، فيما يستند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 وفعل وتقرير الأئمة الأطهار الهلال علیهم السّلام أيضًا بحكم بعض الآيات والأحاديث المتواترة عن النّبيّ الأكرم صلّی الله علیه و آله، والتي رواها أهل السّنة أيضًا،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النّبيّ الأكرم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ما إن تمسكتم بهما لن تضلّوا أبداً</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والنّقطة الجديرة بالاهتمام هي أنّ القرآن مصدرٌ أساسٌ لاستنباط الأحكام الشّرعيّة والقوانين الإلهيّة، بحيث إنَّه لا ينبغي أن يكون هناك أيّ حكمٍ يخالف القرآن كما 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وافق كتاب الله فخذوه وما خالف كتاب الله فدعوه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فلقد كان المسلمون منذ صدر الإسلام وما زالوا يرجعون في استنباط الأحكام الإسلاميّة إلى القرآن الكريم بالدّرجة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ادّعاء المخالفة بين الفقه والقرآن لا معنى له، بل هو أمرٌ غير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فإنّ سبب وجود بعض الأحكام في الفقه ولكنّها لم ترد في القرآن واضح أيضًا، وذلك لأنّ تلك الأحكام أخذت من سائر المصادر الأخرى غير القرآن ولا علاقة لهذه المسألة بقضيّة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شبهة تحريف القرآن</w:t>
      </w:r>
    </w:p>
    <w:p>
      <w:pPr>
        <w:pStyle w:val="BookText"/>
        <w:rPr/>
      </w:pPr>
      <w:r>
        <w:rPr>
          <w:rFonts w:ascii="Amiri" w:hAnsi="Amiri" w:eastAsia="Amiri" w:cs="Amiri"/>
          <w:color w:val="111111"/>
          <w:sz w:val="28"/>
          <w:sz w:val="28"/>
          <w:szCs w:val="28"/>
          <w:rtl w:val="true"/>
          <w:lang w:bidi="ar-SA"/>
        </w:rPr>
        <w:t xml:space="preserve">إنَّ بقاء القرآن محفوظًا من التّحريف مورد تأييد علماء الفريقين، وأورد علماء الإسلام على عدم تحريف القرآن أدلّةً نقليّةً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عقليّةً وأدلّةً تاريخيّةً ومن جملة هذه الأدلّة نشير فيما يلي إلى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شهادة التاريخ</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تواتر القرآن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قضيّة إعجاز القرآن وبقاء التّحدّي الذي قدّمه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الضمانة الإلهيَّة في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روايات التحريف على القرآن الكريم وردّها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 أهل البيت علیهم السّلام الدّالّة على عدم تحريف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لا ط، طهران، دار الكتب الإسلامية،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الإيازي، محمد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پژوهشی قرآن، قم، دار النشر في مكتب الإعلام الإسلامي،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الإجماعي لكبار علماء ،الفريقين، والذي يدلّ شرحه وبيانه على ردّ التحريف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المستشرقين قبلوا الرأي القائل بتحريف القرآن نظرًا للدّوافع التي عندهم، فقالوا إنَّ القرآن تعرّض للتّحريف بعد وفاة النّبيّ صلّی الله علیه و آله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مخالفة حكم الرّجم للآية الثانية من سورة النور </w:t>
      </w:r>
      <w:r>
        <w:rPr>
          <w:rStyle w:val="FootnoteAnchor"/>
          <w:rtl w:val="true"/>
        </w:rPr>
        <w:footnoteReference w:id="378"/>
      </w:r>
      <w:r>
        <w:rPr>
          <w:rFonts w:ascii="Amiri" w:hAnsi="Amiri" w:eastAsia="Amiri" w:cs="Amiri"/>
          <w:color w:val="111111"/>
          <w:sz w:val="28"/>
          <w:sz w:val="28"/>
          <w:szCs w:val="28"/>
          <w:rtl w:val="true"/>
          <w:lang w:bidi="ar-SA"/>
        </w:rPr>
        <w:t>، فإنمَّا لانصباب الحكم من كلتا الآيتين على موضوع مختلف، فحكم الرّجم استُنبط ونُقل من السِّنّة وهو خاص بالزّاني الذي كان متزوّجًا وله زوج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قادرًا على إتيان زوجه بأن لا يكون مسافرًا أو يكون هناك عذر آخر يتنافى ويتعارض مع إمكان الإتيان كالعادة الشّهريّة أو كون الزوج ناشزًا أو عنينًا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حصول هذه الشروط يستحقّ هذا الرّجل أو المرأة المتزوّجة بالزّوج الحلال وغير الممنوع منه إذا ارتكب الزنا وأقرّ به أربع مرات في جوّ من الحريّة، أو شاهد عمليّة الزّنا بخصوصيتها أربعة شهود عدول، وشهدوا عند الحاكم بذلك وبهذا فإنّ حكم الرّجم لا يتنافى مع الآية الثانية من سورة النّور وإنما هي تخصّصها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القراءات والاستنتاج</w:t>
      </w:r>
    </w:p>
    <w:p>
      <w:pPr>
        <w:pStyle w:val="BookText"/>
        <w:rPr/>
      </w:pPr>
      <w:r>
        <w:rPr>
          <w:rFonts w:ascii="Amiri" w:hAnsi="Amiri" w:eastAsia="Amiri" w:cs="Amiri"/>
          <w:color w:val="111111"/>
          <w:sz w:val="28"/>
          <w:sz w:val="28"/>
          <w:szCs w:val="28"/>
          <w:rtl w:val="true"/>
          <w:lang w:bidi="ar-SA"/>
        </w:rPr>
        <w:t>وأمّا ما ذكر بشأن اختلاف الاستنتاج فهو كلامٌ عجيبٌ؛ وذلك لأنّ اختلاف الاستنتاج لا يمكن أن يكون أبدًا بمعنى اختلاف النّزول، فالقرآن نصٌّ ثابتٌ، وللعلماء والفقهاء استنباطهم، وأحيانًا يكون الاستنباط مؤيَّدًا بإحدى القراءات، وهم يوردون اسم تلك القراءة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الآية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الصَّفَا وَالْمَرْوَةَ مِنْ شَعَابِرِ اللهِ </w:t>
      </w:r>
    </w:p>
    <w:p>
      <w:pPr>
        <w:pStyle w:val="BookText"/>
        <w:rPr/>
      </w:pPr>
      <w:r>
        <w:rPr>
          <w:rFonts w:ascii="Amiri" w:hAnsi="Amiri" w:eastAsia="Amiri" w:cs="Amiri"/>
          <w:color w:val="111111"/>
          <w:sz w:val="28"/>
          <w:sz w:val="28"/>
          <w:szCs w:val="28"/>
          <w:rtl w:val="true"/>
          <w:lang w:bidi="ar-SA"/>
        </w:rPr>
        <w:t>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 ظاهر الآية حيث جاء فيها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 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بين الصفاء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 ولكنّنا إذا دقّقنا النّظر في شأن نزول الآية يتَّضح لنا أنّ هذا التعبير إنّما جاء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توهّم الحظر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المسلمين في عمرة القضاء طلبوا مهلة ثلاثة أيام من المشركين لإزالة الأصنام من الكعبة ومن 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الصفاء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ليتمكّنوا من أداء مراسم الحجّ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ثلاثة أرجع المشركون الأصنام، في حين أنّ بعض المسلمين لم يتمكّنوا من أداء السّعي بين الصّفاء والمروة خلال تلك الأيام لأعذارٍ كانت عندهم، ولهذا وقعوا في حرج، فنزلت الآية المذكورة لتقول لهم لا مانع من الساعين بينهما ولا بأس عليهم حتى وإن كانت الأصنام فوقهما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فإنّ مثل 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يتنافى مع وجوب السّعي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عُلم أنّ اختلاف الاستنتاج الفقهي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علاقة له بقضيّة النّسخ أو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الحالات الثلاث للنّسخ</w:t>
      </w:r>
    </w:p>
    <w:p>
      <w:pPr>
        <w:pStyle w:val="BookText"/>
        <w:rPr/>
      </w:pPr>
      <w:r>
        <w:rPr>
          <w:rFonts w:ascii="Amiri" w:hAnsi="Amiri" w:eastAsia="Amiri" w:cs="Amiri"/>
          <w:color w:val="111111"/>
          <w:sz w:val="28"/>
          <w:sz w:val="28"/>
          <w:szCs w:val="28"/>
          <w:rtl w:val="true"/>
          <w:lang w:bidi="ar-SA"/>
        </w:rPr>
        <w:t>في قضيّة النّسخ هناك ثلاث حالات يمكن تصوّرها نبحثها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الحكم والتلاوة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يُنسخ كلُّ من الحكم والتلاوة ويُدّعى أنّ الآية التي كانت من القرآن سابقًا فإنّها ليست فيه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أنّ الحكم ولفظ الآية مُحيا من القرآن بعد النسخ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الزرقاني وجود هذا النّوع من النّسخ إجماعيًّا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الصّدد فقد ورد خبرٌ عن عائشة أنّ آية كانت فى القرآن صرَّحت بأنَّ عشر رضعات للطفل الرضيع توجب </w:t>
      </w:r>
    </w:p>
    <w:p>
      <w:pPr>
        <w:pStyle w:val="BookText"/>
        <w:rPr/>
      </w:pPr>
      <w:r>
        <w:rPr>
          <w:rFonts w:ascii="Amiri" w:hAnsi="Amiri" w:eastAsia="Amiri" w:cs="Amiri"/>
          <w:color w:val="111111"/>
          <w:sz w:val="28"/>
          <w:sz w:val="28"/>
          <w:szCs w:val="28"/>
          <w:rtl w:val="true"/>
          <w:lang w:bidi="ar-SA"/>
        </w:rPr>
        <w:t xml:space="preserve">الحرمة، ثم نُسخت هذه الآية بعد ذلك بآيةٍ أخرى جاء فيها أنَّ خمس رضعات موجبة للحرمة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وذكروا أنَّ الناسخة للعشر قراءة وحكمًا والمنسوخة قراءة دون حكم كانت موجودة حتى ما بعد وفاة النّبيّ صلّی الله علیه و آله وكانت ثابتة في النّصّ القرآني، ولكنه بعد وفاة النبي صلّی الله علیه و آله زالت من القرآن بسبب أكل المعز لها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الكثير من أهل الاختصاص في هذا المجال </w:t>
      </w:r>
      <w:r>
        <w:rPr>
          <w:rStyle w:val="FootnoteAnchor"/>
          <w:rtl w:val="true"/>
        </w:rPr>
        <w:footnoteReference w:id="383"/>
      </w:r>
      <w:r>
        <w:rPr>
          <w:rFonts w:ascii="Amiri" w:hAnsi="Amiri" w:eastAsia="Amiri" w:cs="Amiri"/>
          <w:color w:val="111111"/>
          <w:sz w:val="28"/>
          <w:sz w:val="28"/>
          <w:szCs w:val="28"/>
          <w:rtl w:val="true"/>
          <w:lang w:bidi="ar-SA"/>
        </w:rPr>
        <w:t xml:space="preserve">، أنّ هذه الاحتمالات والدّعاوى غير مقبولة </w:t>
      </w:r>
      <w:r>
        <w:rPr>
          <w:rStyle w:val="FootnoteAnchor"/>
          <w:rtl w:val="true"/>
        </w:rPr>
        <w:footnoteReference w:id="384"/>
      </w:r>
      <w:r>
        <w:rPr>
          <w:rFonts w:ascii="IRNazanin" w:hAnsi="IRNazanin" w:eastAsia="IRNazanin"/>
          <w:color w:val="111111"/>
          <w:sz w:val="28"/>
          <w:sz w:val="28"/>
          <w:szCs w:val="28"/>
          <w:rtl w:val="true"/>
          <w:lang w:bidi="fa-IR"/>
        </w:rPr>
        <w:t>وذلك لأنّه كيف يمكن لآياتٍ من القرآن التي كانت موردًا للاستنساخ والتّلاوة والحفظ من قِبلَ المسلمين أن تزول كاملاً من الوجود فجأة بعد وفاة النّبيّ صلّی الله علیه و آله بأكلها من قبل مَعز، هذا كلّه علاوة على أنّه يبدو أنّ قبول هذه</w:t>
      </w:r>
    </w:p>
    <w:p>
      <w:pPr>
        <w:pStyle w:val="BookText"/>
        <w:rPr/>
      </w:pPr>
      <w:r>
        <w:rPr>
          <w:rFonts w:ascii="Amiri" w:hAnsi="Amiri" w:eastAsia="Amiri" w:cs="Amiri"/>
          <w:color w:val="111111"/>
          <w:sz w:val="28"/>
          <w:sz w:val="28"/>
          <w:szCs w:val="28"/>
          <w:rtl w:val="true"/>
          <w:lang w:bidi="ar-SA"/>
        </w:rPr>
        <w:t>الرّواية يستلزم قبول تحريف القرآن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الحكم وبقاء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المتقدّمون موارد عديدةً لإثبات هذا النّوع </w:t>
      </w:r>
      <w:r>
        <w:rPr>
          <w:rStyle w:val="FootnoteAnchor"/>
          <w:rtl w:val="true"/>
        </w:rPr>
        <w:footnoteReference w:id="385"/>
      </w:r>
      <w:r>
        <w:rPr>
          <w:rFonts w:ascii="Amiri" w:hAnsi="Amiri" w:eastAsia="Amiri" w:cs="Amiri"/>
          <w:color w:val="111111"/>
          <w:sz w:val="28"/>
          <w:sz w:val="28"/>
          <w:szCs w:val="28"/>
          <w:rtl w:val="true"/>
          <w:lang w:bidi="ar-SA"/>
        </w:rPr>
        <w:t>، كما أنهم ألّفوا كتبًا مستقلّةً بهذا الشّأن،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في كتاب الله العزيز للنحاس، ونواسخ القرآن لابن الجوزي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الأصليّ للموافقين هو وجود شبهة التّنافي في بعض الآيات، والحال أنّ هذا الادّعاء في أكثر موارده ناقشه العلماء المعاصرون، ومن جملتهم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ناقش جميع الآيات التي ذكرت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المجادلة آية النجوى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واعتبرها من المحكمات وأنّ حكمها نافذ بسبب عدم وجود التّنافي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وعلى سبيل المثال، فإنَّه يعتقد أنّ آيات الصفح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 عن تعرّف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 الجهاد ليستا متضادّتين، وترتبط كلّ منهما بمقامها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علاوة على أنّ الصّفح يُعدُّ دائمًا من الأصول الأوّليّة في الإسلام، وأنّه يجب على المسلمين رعاية جانب الصّفح والحلم أكثر من الشّدّة والخسّة وضيق الصدر، وعليه فلا نسخ في ،المورد والصّفح يرتبط بحال المسلمين ،وضعفهم وعدم الصّفح والقتال بحال قوّتهم، وهذا من اختلاف الحكم باختلاف الموضوع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آية النّجوى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المجادلة، الآية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ادَّعى نسخها؛ وذلك لأنّه على أساس هذه الآية فقد أمر المؤمنون في البداية أنَّهم كلّما أرادوا السّؤال والحديث الخاصّ مع النّبيّ صلّی الله علیه و آله فإنّ عليهم أن يدفعوا صدقة، ثم أُلغي هذا الحكم الوجوبي </w:t>
      </w:r>
      <w:r>
        <w:rPr>
          <w:rStyle w:val="FootnoteAnchor"/>
          <w:rtl w:val="true"/>
        </w:rPr>
        <w:footnoteReference w:id="387"/>
      </w:r>
      <w:r>
        <w:rPr>
          <w:rFonts w:ascii="IRNazanin" w:hAnsi="IRNazanin" w:eastAsia="IRNazanin"/>
          <w:color w:val="111111"/>
          <w:sz w:val="28"/>
          <w:sz w:val="28"/>
          <w:szCs w:val="28"/>
          <w:rtl w:val="true"/>
          <w:lang w:bidi="fa-IR"/>
        </w:rPr>
        <w:t xml:space="preserve">، والحال أنّ هذا الأمر إنَّما كان لتربية المسلمين في عهد النّبيّ صلّی الله علیه و آله لئلّا يزاحموا النّبي صلّی الله علیه و آله عبثًا، وقد التفَتَ المسلمون إلى هذه النّكتة بنزول هذه الآية </w:t>
      </w:r>
      <w:r>
        <w:rPr>
          <w:rStyle w:val="FootnoteAnchor"/>
          <w:rtl w:val="true"/>
        </w:rPr>
        <w:footnoteReference w:id="388"/>
      </w:r>
      <w:r>
        <w:rPr>
          <w:rFonts w:ascii="Amiri" w:hAnsi="Amiri" w:eastAsia="Amiri" w:cs="Amiri"/>
          <w:color w:val="111111"/>
          <w:sz w:val="28"/>
          <w:sz w:val="28"/>
          <w:szCs w:val="28"/>
          <w:rtl w:val="true"/>
          <w:lang w:bidi="ar-SA"/>
        </w:rPr>
        <w:t>، وفي الوقت ذاته فإنّ هذه النّكتة قائمةٌ دائماً حتى تقتصر مراجعة الرؤساء والمسؤولين على حالات المسائل المهمّة والكبيرة، وليس في كلّ مسألة حتى الصغيرة منها وغير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اعتبر السيد الخوئي أنّ آية النجوى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المجادلة،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المصداق الوحيد لهذا النّوع من النّسخ، ويرى أنّ هذه الآية نُسخت قطعًا وأنّ الآية التي نسختها هي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المجادلة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التلاوة دون الحكم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النّوع من النّسخ محي لفظ الآية وتلاوتها وبقي الحكم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w:t>
      </w:r>
    </w:p>
    <w:p>
      <w:pPr>
        <w:pStyle w:val="BookText"/>
        <w:rPr/>
      </w:pPr>
      <w:r>
        <w:rPr>
          <w:rFonts w:ascii="Amiri" w:hAnsi="Amiri" w:eastAsia="Amiri" w:cs="Amiri"/>
          <w:color w:val="111111"/>
          <w:sz w:val="28"/>
          <w:sz w:val="28"/>
          <w:szCs w:val="28"/>
          <w:rtl w:val="true"/>
          <w:lang w:bidi="ar-SA"/>
        </w:rPr>
        <w:t>بهذا الصّدد عن عمر بن الخطّاب بشأن رجم الشّيخ والشّيخة الزّانيين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آية كانت موجودةً في القرآن، وقد حُذفت من دون سببٍ، وكان عمر يقرأها مرارًا وكان يُصرّ على إدراجها في المصحف ثانية، إلَّا أنَّ أحدًا لم يقبل قيامه بذلك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البعض لم يقبل هذه الرواية ومنهم الزركشي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جمهور أهل السنّة قبل هذه الرّواية بل جمهورهم قبل هذا النّوع من نسخ التلاوة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عند الشيعة فإنّ مثل هذا النّسخ محال، وذلك لأنّه يستلزم تحريف القرآن، يقول السيد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نسخ التّلاوة هذا إما أن يكون قد وقع من رسول الله صلّی الله علیه و آله وإما أن يكون ممن تصدّى للزّعامة من بعده، فإن أراد القائلون بالنّسخ وقوعه من رسول الله صلّی الله علیه و آله فهو أمر يحتاج إلى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 العلماء أجمع على عدم جواز نسخ الكتاب بخبر الواحد، وقد صرّح بذلك جماعة في كتب الأصول وغيرها، بل قطع الشافعي وأكثر أصحابه، وأكثر أهل الظاهر بامتناع نسخ الكتاب بالسّنّة المتواترة وإليه ذهب أحمد بن حنبل في إحدى الرّوايتين عنه، بل إنّ جماعة ممن قال بإمكان نسخ الكتاب بالسِّنّة المتواترة منع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ذلك فكيف تصحّ نسبة النّسخ إلى النّبيّ صلّی الله علیه و آله بأخبار هؤلاء الرّواة؟ مع أنّ نسبة النّسخ إلى النّبيّ صلّی الله علیه و آله تنافي جملةً من الرّوايات التي تضمّنت أنّ الإسقاط قد وقع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أرادوا أنّ النّسخ قد وقع من الذين تصدّوا للزّعامة بعد النّبيّ صلّی الله علیه و آله فهو عين القول بالتّحريف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ذلك فيمكن أن يُدّعى أنّ القول بالتّحريف هو مذهب أكثر علماء أهل السّنّة؛ لأنّهم يقولون بجواز 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أنسخ الحكم أم لم ينسخ، بل تردّد الأصوليون منهم في جواز تلاوة الجنب ما نسخت تلاوته، وفي جواز أن يمسّه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بعضهم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ذهبت طائفةٌ من المعتزلة إلى عدم جواز 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العجيب أنّ جماعة من علماء أهل السّنّة أنكروا نسبة القول بالتحريف إلى أحد من علمائهم، حتى أنّ الألوسي كذّب الطبرسي في نسبة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الشيباني، مسند أحمد،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صيانة القرآن من التحريف،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وقد قبل السيوطي هذه الرواية، الإتقان،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الزركشي، البرهان في علوم القرآن،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بالتّحريف إلى الحشويّة،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أحدًا من علماء أهل السّنّة لم يذهب إلى ذلك</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برتون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برتون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نسخ التّلاوة وبقاء الحكم إلى الإشارة إلى تأثير بعض الآراء الأصوليَّة للشافعي فبظهور هذا الشّكل من النسخ وتكوُّنه فقد بيّن آية الرّجم بالتفصيل وذكر بهذا الصدد مطالب كثيرة حول هل أنّ مصدر عقوبة الرّجم هو القرآن أو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Burton ((Abrogation)) Encyclpaedia Of The Quran, Vol.1.P.17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فإنّ نسخ التّلاوة وبقاء الحكم يشير إلى هذا الادِّعاء، و هو أنّ بعض الأحكام الفقهيّة منشؤها قرآنيّ، ولا أثر لهذه الأحكام في المتون المنقولة للقرآن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أنّه في بعض الموارد نظير عقوبة الرّجم، فإنَّ الحكم المُبيَّن في المصحف يكون على الضدّ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فإنّ هذا الأسلوب من النّسخ يحكي السّعي لعرض توجيهات نظريّة من متنٍ خياليٍّ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مرّ سابقًا فإنّ نسخ التّلاوة وبقاء الحكم يواجه مشاكل خاصّة، فإذا نُسخت تلاوة آية واقعًا فإنّ الحكم المستنبط منها حكم فاقد للاعتماد على مصدرٍ موثّقٍ موجود، ولهذا فإنّ الكثير من العلماء لم يقبلوا هذا النّوع من النّسخ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نسيان النّبيّ صلّی الله علیه و آله باعتباره سببًا لفكرة النسخ</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نسيان النّبيّ صلّی الله علیه و آله أحد منطلقات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وتصدّى تحت عنوان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quranic evidence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بحثه للآيتين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الأعلى المفهوم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ذلك نوعًا من النّسخ وحاول أن يُسند رأيه هذا ببعض الأحاديث،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العام للنّسخ هو التغيير والتبديل، وقد أضيف إليها الحذف والإبطال ضمن حصيلة النّسخ في القرآن، ومنشأ فكرة النّسخ في القرآن </w:t>
      </w:r>
    </w:p>
    <w:p>
      <w:pPr>
        <w:pStyle w:val="BookText"/>
        <w:rPr/>
      </w:pPr>
      <w:r>
        <w:rPr>
          <w:rFonts w:ascii="IRNazanin" w:hAnsi="IRNazanin" w:eastAsia="IRNazanin"/>
          <w:color w:val="111111"/>
          <w:sz w:val="28"/>
          <w:sz w:val="28"/>
          <w:szCs w:val="28"/>
          <w:rtl w:val="true"/>
          <w:lang w:bidi="fa-IR"/>
        </w:rPr>
        <w:t xml:space="preserve">هو التفسير، ويبدو طبقًا لتفسير الآيات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الأعلى، والآية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الرعد، والآية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الاسراء، والآية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استعملت الآيتان الأخيرتان اصطلاح النسخ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الاحتمالات كانت قد طُرحت، وهي أنّ بعض آيات القرآن يمكن أن يكون النّبيّ صلّی الله علیه و آله قد نسيها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فإنّ النّبيّ صلّی الله علیه و آله شخصيًّا لا يمكنه أن يحذف أو يبدّل الآيات، أو تتم السّيطرة على نسيان النّبيّ صلّی الله علیه و آله بحيث تكون الإرادة الإلهيّة هي المعمول بها في القرار النّهائي بشأن نصّ الكتاب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Burton "Abrogation", Encyclopaedia Of The Quran, Vol.1.PP.14- 15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النقد والمناقشة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الوارد في سورة الأعلى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وعدٌ إلهيٌّ بعدم نسيان النّبيّ للقرآن،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خلاف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يعني نسيان رسول الله لجزءٍ من القرآن، بل يعني أنَّ قدرة الله مطلقة وأنَّ قضاءه المحتوم لا يقيِّد قدرته، وأنَّ البشر مع القضاء محتاجون إلى</w:t>
      </w:r>
    </w:p>
    <w:p>
      <w:pPr>
        <w:pStyle w:val="BookText"/>
        <w:rPr/>
      </w:pP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الادّعاء بأنّ النّسخ معلول لنسىیان النّبيّ صلّی الله علیه و آله باطلٌ، فهو أجنبيٌّ عن مفهوم النّسخ؛ وذلك لأنّ نسخ التّلاوة غير مقبول، والقول به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ويجدر بنا دراسة الآيات المذكورة بشأن نسيان النّبيّ صلّی الله علیه و آله ليتّضح الأمر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نُنْسِهَا نَأْتِ بِخَيْرٍ مِنْهَا أَوْ مِثْلِهَا أَلَمْ تَعْلَمْ أَنَّ اللَّهَ عَلَى كُلِّ شَيْءٍ قَدِيرٌ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غُيّر حكم التّوجّه إلى القبلة وأوجب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المسلمين التوجّه نحو الكعبة، قال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القبلة الأولى صحيحة فما الدّاعي للأمر الثاني؟ وإذا كان الأمر الثاني صحيحًا فالأعمال السابقة للمسلمين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القرآن تسلية قلوب المسلمين وتوضيح الأمر وبيانه، فذكر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ينسخ حكمًا أو يؤخّر </w:t>
      </w:r>
    </w:p>
    <w:p>
      <w:pPr>
        <w:pStyle w:val="BookText"/>
        <w:rPr/>
      </w:pPr>
      <w:r>
        <w:rPr>
          <w:rFonts w:ascii="Amiri" w:hAnsi="Amiri" w:eastAsia="Amiri" w:cs="Amiri"/>
          <w:color w:val="111111"/>
          <w:sz w:val="28"/>
          <w:sz w:val="28"/>
          <w:szCs w:val="28"/>
          <w:rtl w:val="true"/>
          <w:lang w:bidi="ar-SA"/>
        </w:rPr>
        <w:t xml:space="preserve">نسخه إلّا ويجعل مثله أو أفضل منه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الأمثل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تحدّثت الآية عن النّسخ والإنساء؛ فأمّا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مختصًّا بالأحكام الشّرعيّة وإنما يشمل التكوينات أيضًا</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النتيجة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نسخنا آية، فسنأتي بمثلها أو أفضل منها وهذا إشارة إلى الأحكام أو إذا نسخنا معجزة أحد الأنبياء، فإنّنا سنعطي للنّبيّ اللّاحق معجزة أجلى وأوضح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ويجدر الانتباه إلى أنّه في بعض الرّوايات التي وردت في تفسير الآية المذكورة فإنّنا نرى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بموت إمام ومجيء إمام آخر خلفًا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فإنّ هذا من باب بيان أحد المصاديق، وليس لأجل تحديد المفهوم الواسع للآية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هذا فإنّ أحد مصاديق هذه الآية هو نسخ الآية، سواء أكان بمعنى النّسخ الاصطلاحي أم بمعنى النّسخ المشروط، ومع أنّه يمكن لمنكري النّسخ ادّعاء أنّ هذه الآية هي بشأن نسخ أحكامٍ شرعيّةٍ بأحكامٍ شرعيّةٍ أخرى ولا علاقة لها بحجّة النّسخ في الآيات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الإنساء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فالإنساء في اللغة من مادة نَسَأ بمعنى التأخير </w:t>
      </w:r>
      <w:r>
        <w:rPr>
          <w:rStyle w:val="FootnoteAnchor"/>
          <w:rtl w:val="true"/>
        </w:rPr>
        <w:footnoteReference w:id="394"/>
      </w:r>
      <w:r>
        <w:rPr>
          <w:rFonts w:ascii="Amiri" w:hAnsi="Amiri" w:eastAsia="Amiri" w:cs="Amiri"/>
          <w:color w:val="111111"/>
          <w:sz w:val="28"/>
          <w:sz w:val="28"/>
          <w:szCs w:val="28"/>
          <w:rtl w:val="true"/>
          <w:lang w:bidi="ar-SA"/>
        </w:rPr>
        <w:t xml:space="preserve">أو من مادة نسى بمعنى الإجبار على الترك </w:t>
      </w:r>
      <w:r>
        <w:rPr>
          <w:rStyle w:val="FootnoteAnchor"/>
          <w:rtl w:val="true"/>
        </w:rPr>
        <w:footnoteReference w:id="395"/>
      </w:r>
      <w:r>
        <w:rPr>
          <w:rFonts w:ascii="Amiri" w:hAnsi="Amiri" w:eastAsia="Amiri" w:cs="Amiri"/>
          <w:color w:val="111111"/>
          <w:sz w:val="28"/>
          <w:sz w:val="28"/>
          <w:szCs w:val="28"/>
          <w:rtl w:val="true"/>
          <w:lang w:bidi="ar-SA"/>
        </w:rPr>
        <w:t xml:space="preserve">، أو الإزالة من الذّهن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صاحب تفسير الأمثل الإنساء بمعنى التأخير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هنا أنّه إذا نسخنا آية أو أخّرنا نسخها استنادًا لمصالح، فإنّنا نأتي بأفضل منها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النّسخ على المدى القصير،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النّسخ على المدى البعيد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وجعل بعض المفسّرين الإنساء بمعنى التّرك، فعدَّ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النّسيان بمعنى التّرك وليس الغفلة، يعني نتركها من دون تغيير وتبديل ونتركها كما هي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وبحسب هذين الرأيين فلا يُطرح في البين النّسيان أصلاً، ويكون ادّعاء المستشرقين باطلاً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بعض المفسّرين الإنساء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الإذهاب عن العلم والنسيان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والإنساء إفعال من النسيان وهو الإذهاب عن العلم كما أنّ النّسخ هو الإذهاب عن العين،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نُذْهِب بآية عن العين أو عن العلم، نأت بخير منها أو مثلها</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وتجدر الإشارة إلى أنّ رأي العلّامة الطباطبائي يبتني على المقدّمات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لا تختص بالآيات التشريعيّة،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القرآن، بل تشتمل الآيات التكوينيّة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الأمور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النّبيّ صلّی الله علیه و آله والأئمّة المعصومي علیهم السّلام من الآيات الكبيرة لله تعالى</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نسخ الآية إزالة الآيات التّكوينيّة والتّشريعيّة، وهو معنى أعم من النّسخ الاصطلاحي، وعليه فيكون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يزيل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آياته فتخرج الآية من المتن من كونها آية، أو يخرجها من ذهن وعلم الإنسان،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بأفضل منها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والإنساء بهذا المعنى لا يشمل النّبيّ صلّی الله علیه و آله وذلك 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سَنُقْرِئُكَ فَلا تَنْسَى إِلا مَا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الأعلى، الآيتان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وقد ضمنت الآية ووعدت بعدم نسيان رسول الله صلّی الله علیه و آله، ولا شكّ أنّ وعد الله لا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 الاستثناء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دليلاً على وقوع النسيان عند رسول الله صلّی الله علیه و آله وإنما يعطي هذا الاستثناء إمكان النسيان عند النّبيّ صلّی الله علیه و آله إذا شاءت الإرادة الإلهيّة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وبعبارة أخرى فإنّها تشير إلى قدرة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النّبيّ صلّی الله علیه و آله ينسى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الحقيقة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الامتنان على النّبيّ الأكرم صلّی الله علیه و آله في سورة الأعلى، والاستثناء إنّما كان فقط لإثبات القدرة الإلهيّة وإلّا لم يكن هناك امتنان على النّبيّ صلّی الله علیه و آله وفي النتيجة فإنّ الآية لا تنسب النّسيان إلى النّبي الأكرم صلّی الله علیه و آله بأيّ وجهٍ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الآية التّاسعة والثلاثون من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وردت بشأن نزول المعجزات أو الكتب السّماوية على الأنبياء، وفي الوقت ذاته تطرح قضيّة عموم المحو والإثبات ونسخ الشّرائع مصداقًا لها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 فلا دلالة فيها على أنّ النبي صلّی الله علیه و آله يُصاب بالنّسيان وأنّ هذا النّسيان سبب للنسخ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الآية السادسة والثمانون من سورة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 شِئْنَا لَنَذْهَبَنَ بِالَّذِي أَوْحَيْنَا إِلَيْكَ ثُمّ لَا تَجِدُ لَكَ بِهِ عَلَيْنَا 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تقول للنّبيّ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لستَ مستقلاً فى الإتيان بهذا القرآن وإنما نحن الذين أتيناك به، وإذا أردنا فإننا نسترجعه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هي لا تدل على أنّ من الممكن أن يأخذ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الرحمة من النّبيّ صلّی الله علیه و آله عمليًّا، وإنّما تدلّ على أنّ النّبيّ صلّی الله علیه و آله ليس له من ذاته شيء، وإنّما علمه والوحي السّماوي كلّه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ويرتبط بمشيئته تعالى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فهذه الآية أيضًا لا علاقة لها بدعوى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الآيتان السادسة والسابعة من سورة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الله إِنَّهُ يَعْلَمُ الْجَهْرَ وَمَا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الحقيقة تدلّ على بيان مِنْةٍ إلهيّة للنبي الأكرم صلّی الله علیه و آله، وكلُّ تفسيرٍ يخالف هذا الأمر ليس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أرسلك لهداية النّاس بهذه الآيات هو الذي يحفظها ويحرسها، وهو الذي يبتّ نقش هذه الآيات في صدرك </w:t>
      </w:r>
    </w:p>
    <w:p>
      <w:pPr>
        <w:pStyle w:val="BookText"/>
        <w:rPr/>
      </w:pPr>
      <w:r>
        <w:rPr>
          <w:rFonts w:ascii="Amiri" w:hAnsi="Amiri" w:eastAsia="Amiri" w:cs="Amiri"/>
          <w:color w:val="111111"/>
          <w:sz w:val="28"/>
          <w:sz w:val="28"/>
          <w:szCs w:val="28"/>
          <w:rtl w:val="true"/>
          <w:lang w:bidi="ar-SA"/>
        </w:rPr>
        <w:t>الطّاهر بحيث لن يصيبها أبدًا غبار النسيان، فهي تعد النّبيّ صلّی الله علیه و آله بعدم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الاستثناء فهو في مقام بيان عموم القدرة الإلهيّة وإطلاقها كالاستثناءٍ في الآية السابقة تمامًا، وكالاستثناء في 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سُعِدُوا فَفِي الْجَنَّةِ خَالِدِينَ فِيهَا مَا دَامَتِ السَّمَاوَاتُ وَالْأَرْضُ إِلّا مَا شَاءَ رَبُّكَ عَطَاءٌ غَيْرَ مَجْذُودَ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الآيتين المذكورتين تبيّنان ثبوت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الأحوال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عموم قدرته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العلامة الطباطبائي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لنبيه عل الله أن يُمكنه من العلم بالقرآن وحفظه على ما أنزل بحيث يرتفع عنه النسيان فيقرؤه كما أُنزل وهو الملاك في تبليغ الوحي كما أوحي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مفيد لبقاء القدرة الإلهيّة على إطلاقها، وأنّ هذه العطّية وهي الإقراء بحيث لا تنسى لا ينقطع عنه سبحانه بالإعطاء بحيث لا يقدر بعدُ على إنسائك، بل هو باقٍ على إطلاق قدرته له أن يشاء إنساءك متى شاء وإن كان لا يشاء ذلك فهو نظير الاستثناء الذي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سُعِدُوا فَفِي الْجَنَّةِ خَالِدِينَ فِيهَا مَا دَامَتِ السَّمَاوَاتُ وَالْأَرْضُ إِلّا مَا شَاءَ رَبُّكَ عَطَاءٌ غَيْرَ مَجْذُودَ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بالاستثناء إخراج بعض أفراد النسيان من عموم النفي، والمعنى سنقرئك فلا تنسى شيئاً إلّا ما شاء الله أن تنساه وذلك أنّ كل إنسان على هذه الحال يحفظ أشياء وينسى أشياء فلا معنى لاختصاصه بالنبي صلّی الله علیه و آله بلحن الامتنان مع كونه مشتركاً بينه وبين غيره، فالوجه ما قدّمناه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فبحسب التّفسير الصّحيح للآيتين فإنَّهما لا تدلّان على نسيان النّبيّ الأكرم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إنّها تنفيان بشكل واضحٍ وأكيدٍ احتمال النّسيان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فإذا كان لشخصٍ فهمٌ خاطئٌ للآية، فإنّه لا ينبغي نسبة ذلك إلى القرآن</w:t>
      </w:r>
      <w:r>
        <w:rPr>
          <w:rFonts w:eastAsia="IRNazanin" w:cs="IRNazanin"/>
          <w:color w:val="111111"/>
          <w:sz w:val="28"/>
          <w:szCs w:val="28"/>
          <w:rtl w:val="true"/>
          <w:lang w:bidi="fa-IR"/>
        </w:rPr>
        <w:t xml:space="preserve">. </w:t>
      </w:r>
      <w:bookmarkStart w:id="443" w:name="pg8898_139516"/>
    </w:p>
    <w:p>
      <w:pPr>
        <w:pStyle w:val="Heading4"/>
        <w:numPr>
          <w:ilvl w:val="3"/>
          <w:numId w:val="1"/>
        </w:numPr>
        <w:rPr/>
      </w:pPr>
      <w:bookmarkStart w:id="444" w:name="__RefHeading___Toc935753_2870459653"/>
      <w:bookmarkStart w:id="445" w:name="_Toc168"/>
      <w:bookmarkEnd w:id="443"/>
      <w:bookmarkEnd w:id="444"/>
      <w:r>
        <w:rPr>
          <w:rtl w:val="true"/>
        </w:rPr>
        <w:t>الخلاصة و الاستنتاج</w:t>
      </w:r>
      <w:bookmarkEnd w:id="445"/>
    </w:p>
    <w:p>
      <w:pPr>
        <w:pStyle w:val="BookText"/>
        <w:rPr/>
      </w:pPr>
      <w:r>
        <w:rPr>
          <w:rFonts w:ascii="Amiri" w:hAnsi="Amiri" w:eastAsia="Amiri" w:cs="Amiri"/>
          <w:color w:val="111111"/>
          <w:sz w:val="28"/>
          <w:sz w:val="28"/>
          <w:szCs w:val="28"/>
          <w:rtl w:val="true"/>
          <w:lang w:bidi="ar-SA"/>
        </w:rPr>
        <w:t>لقد ورد المستشرقون هذا البحث من دون التّوجّه إلى معنى النّسخ، بل على أساس الأفكار المسبقة في أذهانهم والدّوافع الخاصّة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مسألة النّسخ مُبرِّرًا ومستندًا لهم لأجل طرح الشّبهات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البحث والنّقد الذي ذُكر يحكي عن أنّ بعض المستشرقين لم يكونوا واقفين على جزئيّات موضوع النّسخ في القرآن، ولم يلتفتوا جيّدًا إلى القرآن وموضوعاته بعمقٍ، بل كانوا يقيسونه إلى سائر الكتب البشريّة، والحال أنّ القرآن كتابٌ إلهيٌّ وصل إلينا من دون نقصٍ وعيبٍ وتناقضٍ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القرآن هو المصدر الأساس للفقه، فإنّه لا معنى لتصوّر الاختلاف بين الفقه والقرآن، وبالطّبع فإنّ بعض الأحكام تمّ استنباطها من المصادر الأخرى للفقه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فإنّ المصداق الخارجيّ للنّسخ الاصطلاحي قليلٌ جدًا، وحصل تبديل الحكم هذه الموارد على أساس حكمةٍ وضابطة خاصّتين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الحكمة الإلهيّة والعصمة النّبويّة تنفي تمامًا إمكان النّسيان وجوازه عند النّبيّ الأكرم صلّی الله علیه و آله  ليتمكّن من تلقّي القرآن بتمامه وكماله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فإنّ المستشرقين حيث لم يهتمّوا بآراء علماء الشّيعة، فإنّهم من الطبيعي أن يعتبروا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الآثار القليلة بين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النّسخ شاهدًا على وجود التّناقض في القرآن ثم يفكرون في طريق لعلاج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الرأي ينشأ من النّظرة السّطحيّة في تفسير الآيات والذي ينشأ من عدم التّوجّه والمعرفة بالأسلوب الخاص للقرآن وكيفيّة ارتباطه بالسّنّة</w:t>
      </w:r>
      <w:r>
        <w:rPr>
          <w:rFonts w:eastAsia="Amiri" w:cs="Amiri" w:ascii="Amiri" w:hAnsi="Amiri"/>
          <w:color w:val="111111"/>
          <w:sz w:val="28"/>
          <w:szCs w:val="28"/>
          <w:rtl w:val="true"/>
          <w:lang w:bidi="ar-SA"/>
        </w:rPr>
        <w:t xml:space="preserve">. </w:t>
      </w:r>
      <w:bookmarkStart w:id="446" w:name="pg8898_139517"/>
    </w:p>
    <w:p>
      <w:pPr>
        <w:pStyle w:val="Heading3"/>
        <w:numPr>
          <w:ilvl w:val="2"/>
          <w:numId w:val="1"/>
        </w:numPr>
        <w:rPr/>
      </w:pPr>
      <w:bookmarkStart w:id="447" w:name="__RefHeading___Toc935755_2870459653"/>
      <w:bookmarkStart w:id="448" w:name="_Toc169"/>
      <w:bookmarkEnd w:id="446"/>
      <w:bookmarkEnd w:id="447"/>
      <w:r>
        <w:rPr>
          <w:rtl w:val="true"/>
        </w:rPr>
        <w:t>المصادر والمراجع</w:t>
      </w:r>
      <w:bookmarkEnd w:id="448"/>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ماجة القزويني، محمد بن يزيد، سنن ابن ماجة، بيروت، دار الفكر، من 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الأندلسي، علي بن أحمد، الأحكام في اصول الأحكام القاصرة، مطبعة العاصمة، من 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الإيازي، محمد علي، فقه پژوهشي،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النشر في مكتب الإعلام الإسلامي</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الباقلّاني، محمد بن طيب، الانتصار للقرآن، بيروت، دار ابن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الترمذي، محمد بن عيسى، سنن الترمذي،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الخوئي، السيد أبو القاسم، البيان في تفسير القرآن، دار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الراغب الإصفهاني، حسين بن محمد، مفردات ألفاظ القرآن،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الزبيدي، السيد محمد مرتضى الحسيني، تاج العروس من جواهر القاموس، بيروت، دار الفكر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الزرقاني، محمد عبد العظيم، مناهل العرفان في علوم القرآن،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الزركشي، محمد بن عبد الله، البرهان في علوم القرآن،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السبحاني، جعفر، النسخ والبداء في الكتاب والسنة، بيروت، دار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 ، جلال الدين، الإتقان في علوم القرآن، بيروت، دار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قطب، قطب بن إبراهيم، في ظلال القرآن،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الشهرستاني، محمد عبد الكريم، الملل والنحل، بيروت، دار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الشيباني، أحمد بن حنبل، مسند أحمد بن حنبل، بيروت، دار صادر، من 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الطبرسي، الفضل بن الحسن، جوامع الجوامع،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للنشر</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الفضل بن الحسن، مجمع البيان في تفسير القرآن،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الطوسي، محمد بن الحسن، التبيان في تفسير القرآن، بيروت، دار إحياء التراث العربي، من دون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السيد محمد حسين، الميزان في تفسير القرآن،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 مؤسسة الأعلمي للمطبوعات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العريضي، علي حسن، فتح المنان في نسخ القرآن الكريم،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الخانجي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الفراهيدي، الخليل بن أحمد، العين، قم، مؤسسة دار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 الرازي، المحصول في علم اصول الفقه، بيروت، مؤسسة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الفيروز آبادي، محمد بن يعقوب، القاموس المحيط،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من 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الفيومي، أحمد بن محمد، المصباح المنير، قم، مؤسسة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 محمد، الكافي،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معرفت، محمد هادي، التمهيد في علوم القرآن، قم، مؤسسة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معرفت، محمد هادي، شبهات وردود حول القرآن الكريم، مؤسسة التمهيد للنشر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معرفت، محمد هادي، صيانة القرآن من التحريف، طهران، وزارة الخارجية،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المفيد، محمد بن محمد، المسائل السروية، بيروت، دار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الشيرازي، ناصر، التفسير الأمثل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الهندي، رحمت الله، اظهار الحق، القاهرة، دار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نولدکه، تئودور، تاريخ القرآن،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تامر ،جورج، زوریخ، دار نشر جورج ألمز</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Burton, John, ((Abrogntion)), Encyclopaedia Of The Quran, leiden, Brill, 2001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Burton, John ((Collection)) Of The Quran, Encylopaedia Of The Quran, leiden, Brill, 2001</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bookmarkStart w:id="449" w:name="pg8898_139520"/>
    </w:p>
    <w:p>
      <w:pPr>
        <w:pStyle w:val="Heading2"/>
        <w:numPr>
          <w:ilvl w:val="1"/>
          <w:numId w:val="1"/>
        </w:numPr>
        <w:rPr/>
      </w:pPr>
      <w:bookmarkStart w:id="450" w:name="__RefHeading___Toc935757_2870459653"/>
      <w:bookmarkStart w:id="451" w:name="_Toc170"/>
      <w:bookmarkEnd w:id="449"/>
      <w:bookmarkEnd w:id="450"/>
      <w:r>
        <w:rPr>
          <w:rtl w:val="true"/>
        </w:rPr>
        <w:t xml:space="preserve">نقد مقالة </w:t>
      </w:r>
      <w:r>
        <w:rPr>
          <w:rtl w:val="true"/>
        </w:rPr>
        <w:t>«</w:t>
      </w:r>
      <w:r>
        <w:rPr>
          <w:rtl w:val="true"/>
        </w:rPr>
        <w:t>تفسير القرآن في مطلع العصر الحديث والمعاصر</w:t>
      </w:r>
      <w:r>
        <w:rPr>
          <w:rtl w:val="true"/>
        </w:rPr>
        <w:t>» (</w:t>
      </w:r>
      <w:r>
        <w:rPr>
          <w:rtl w:val="true"/>
        </w:rPr>
        <w:t xml:space="preserve">لراترود ويلانت </w:t>
      </w:r>
      <w:r>
        <w:rPr/>
        <w:t>RotraudWielandt</w:t>
      </w:r>
      <w:r>
        <w:rPr>
          <w:rtl w:val="true"/>
        </w:rPr>
        <w:t>)</w:t>
      </w:r>
      <w:bookmarkEnd w:id="451"/>
    </w:p>
    <w:p>
      <w:pPr>
        <w:pStyle w:val="Heading3"/>
        <w:numPr>
          <w:ilvl w:val="2"/>
          <w:numId w:val="1"/>
        </w:numPr>
        <w:rPr/>
      </w:pPr>
      <w:bookmarkStart w:id="452" w:name="__RefHeading___Toc935759_2870459653"/>
      <w:bookmarkStart w:id="453" w:name="_Toc171"/>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عطية </w:t>
      </w:r>
      <w:r>
        <w:rPr>
          <w:rStyle w:val="FootnoteAnchor"/>
          <w:rtl w:val="true"/>
        </w:rPr>
        <w:footnoteReference w:id="404"/>
      </w:r>
    </w:p>
    <w:p>
      <w:pPr>
        <w:pStyle w:val="Heading3"/>
        <w:numPr>
          <w:ilvl w:val="2"/>
          <w:numId w:val="1"/>
        </w:numPr>
        <w:rPr/>
      </w:pPr>
      <w:bookmarkStart w:id="454" w:name="__RefHeading___Toc935761_2870459653"/>
      <w:bookmarkStart w:id="455" w:name="_Toc172"/>
      <w:bookmarkEnd w:id="454"/>
      <w:r>
        <w:rPr>
          <w:rtl w:val="true"/>
        </w:rPr>
        <w:t>في التقديم</w:t>
      </w:r>
      <w:r>
        <w:rPr>
          <w:rtl w:val="true"/>
        </w:rPr>
        <w:t>:</w:t>
      </w:r>
      <w:bookmarkEnd w:id="455"/>
    </w:p>
    <w:p>
      <w:pPr>
        <w:pStyle w:val="Heading4"/>
        <w:numPr>
          <w:ilvl w:val="3"/>
          <w:numId w:val="1"/>
        </w:numPr>
        <w:rPr/>
      </w:pPr>
      <w:bookmarkStart w:id="456" w:name="__RefHeading___Toc935763_2870459653"/>
      <w:bookmarkStart w:id="457" w:name="_Toc173"/>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 xml:space="preserve">تناول ويلانت في مقالته التي حملت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مطلع العصر الحديث والمعاصر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جهود علماء المسلمين التّفسيريّة وآراءهم حول أسلوب تفسير القرآن، منذ أواسط القرن الثّالث عشر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عشر الميلادي حتى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ويبني ويلانت أسباب اختياره لهذه الفترة الزّمنيّة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العصر الحديث والمعاصر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فرضيّة أنَّ هذه المرحلة الزّمنيّة تمتّعت بخصائص في مجال تفسير القرآن الكريم تميّزها عمَّا سبقها بشكل ملموس، وهذا صحيحٌ يؤيّده واقع هذه التّفاسير التي حاولت التّخلّص من ربقة الاتّجاه التّقليديّ في التّفسير، والذي ظلّ مسيطرًا على الحياة العلميّة الخاصّة بعلم التّفسير لقرونٍ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بنائه لهذه الفرضيّة التي أكّد من خلالها أنَّ مناهج التّفسير في العصر الحديث اتّسمت بخصائص تختلف عن تلك التي سبقتها يعود ويعرض لأمرين مهمّين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الخصائص التي اتّسمت بها مناهج التّفسير في العصر الحديث لا يصحّ إسقاطها بأيّ شكلٍ من الأشكال على كافة جهود المؤلّفين المسلمين التّفسيريّة في أواخر القرن التّاسع عشر والقرن العشرين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كلامٌ في الحقيقة مقبولٌ عقلاً، فمناهج التّفسير التي ظهرت في العصر </w:t>
      </w:r>
    </w:p>
    <w:p>
      <w:pPr>
        <w:pStyle w:val="BookText"/>
        <w:rPr/>
      </w:pPr>
      <w:r>
        <w:rPr>
          <w:rFonts w:ascii="Amiri" w:hAnsi="Amiri" w:eastAsia="Amiri" w:cs="Amiri"/>
          <w:color w:val="111111"/>
          <w:sz w:val="28"/>
          <w:sz w:val="28"/>
          <w:szCs w:val="28"/>
          <w:rtl w:val="true"/>
          <w:lang w:bidi="ar-SA"/>
        </w:rPr>
        <w:t xml:space="preserve">الحديث حملت اتّجاهاتٍ عامّةً أو ملامح عامّة يمكن من خلالها أن نقول إنَّ هذا التّفسير ينتمي إلى هذا المنهج أو ذاك، ولكنّه ليس انتماءً صرفًا تتوافق كلّ أجزاء التّفسير فيه مع ما قرّره مؤسّسو هذا المنهج، ولكن من الممكن أن يتداخل مؤلَّفٌ واحدٌ مع أكثر من منهج، فما أُثر من تفاسير عن الشّيخ الإمام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تندرج تحت اللّون الأدبيّ الاجتماعيّ للتّفسير، ويمكن أن يدخل بعضها تحت منهج المدرسة العقليّة في التّفسير، وبعض ثالث تحت ما يُسمّى بالتّفسير البيانيّ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مؤلّفي تلك التّفاسير في مطلع العصر الحديث تحاشوا دائماً الشّطح بعيدًا عن النّماذج والمقاربات التّقليديّة هذا ما يُقرّره ويلانت في بداية مقالته السّابقة، ثم يكمل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يندر أن يتمايز تفاسير تلك المرحلة عن نظائرها القديمة من حيث الأساليب المستعملة والتّوضيحات المقدّمة، فقد اعتمد أغلب مؤلّفي تلك التّفاسير كثيرًا على المصادر الكلاسيكيّة من قبيل كتب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يضيفوا جديدًا عليها، الأمر الذي يدعو دائماً إلى وجود تيّارٍ واسعٍ من التّقليديّة المستمرّة في تفسير القرآن والتي استمرّت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يقصده ويلانت هنا باختصار أنَّ تلك التّفاسير التي لم تدخل تحت الخصائص المميّزة لمناهج التّفسير الحديثة ظلّت تدور في فلك التّفاسير التّقليديّة أو الكلاسيكيّة، وبالتّالي ينشأ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 أو اتّجاهان كبيران للتفسير؛ اتّجاه يدخل تحت ما يُسمّى بالتّفاسير الحديثة بخصائصه العامّة المميّزة له، واتّجاه لا يدخل تحت هذه الخصائص بل ما زال ينسج على منوال المدرسة التّقليديّة في التّفسير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في الحقيقة وهمٌ لا أساس له من الواقع، فمعظم التّفاسير التي نشأت في العصر الحديث تندرج تحت مناهج التفسير الحديثة، حتى وإن توزّعت البنية المعرفيّة لتفسيرٍ ما من هذه التّفاسير بين هذه المناهج، ولكنّه يبقى في النّهاية أنّه يدور في فلكها، ثم إنَّ المصادر التّقليديّة في التّفسير لم تنقطع حتى مع التّفاسير </w:t>
      </w:r>
    </w:p>
    <w:p>
      <w:pPr>
        <w:pStyle w:val="BookText"/>
        <w:rPr/>
      </w:pPr>
      <w:r>
        <w:rPr>
          <w:rFonts w:ascii="Amiri" w:hAnsi="Amiri" w:eastAsia="Amiri" w:cs="Amiri"/>
          <w:color w:val="111111"/>
          <w:sz w:val="28"/>
          <w:sz w:val="28"/>
          <w:szCs w:val="28"/>
          <w:rtl w:val="true"/>
          <w:lang w:bidi="ar-SA"/>
        </w:rPr>
        <w:t xml:space="preserve">الحديثة، بل ظلّ المفسّر في تردّدٍ عليها بين الحين والآخر، فالمعنى اللّغويّ للّفظة القرآنيّة، وبعض إيحاءاتها البلاغيّة يعدُّ قاسمًا مشتركًا بين كلّ التّفاسير على السّواء، حتى في أكثر التفاسير تمثيلاً لمبادئ منهٍج ما من مناهج التّفاسير الحديثة، فكتاب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في 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المنهج العلميّ في التّفسير، وهو أحد المناهج الحديثة في تفسير القرآن الكريم، لا يستطيع فيه مؤلّفه الشّيخ طنطاوي 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في تناول المعنى اللّغويّ للّفظة القرآنيّة وبيان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التحرّك بعيدًا عن المصادر الكلاسيكيّة حتى وإن شطح بعيدًا بعد ذلك في قضايا أخرى،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من سورة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القيامة،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البيان المذكور في سورة القيامة فسّر بمعنى إنّنا نبينه بلسانك فتقرأه كما أقراك جبريل، وبمعنى إذا أشكل شيءٌ من معانيه فنحن نبينه لك، وعلينا بيان ما فيه من الأحكام والعجائب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تبقى أثر المصادر الكلاسيكيّة في التّفسير باقية في داخل التّفسير الحديث حتى وإن لم يشرٍ المفسّر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التّيّار الواسع من التّقليديّة في التّفسير المستمر إلى يومنا هذا كما يقول ويلانت، لا أساس له، ولا يمثّل تيارًا في مقابل مناهج التّفسير الحديثة، وحتى ما بقي منه في العصر الحاضر لا يزيد عن كونه محاولاتٍ تدخل تحت الغرض التّعليميّ للشّباب في المعاهد التعليميّة والمدارس،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سيد طنطاوي شيخ الأزهر السّابق يدخل تحت هذا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يقرّر ويلانت في بداية مقالته السّابقة أنّه سيركّز اهتمامه على التّيّارات التّجديديّة في التّفسير، هكذا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أولى، فثمّة فرق بين التّيّار والمنهج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ويلانت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تتضمّن عناصر التّجديد كلًا من المحتوى والأساليب التّفسيريّة، أمّا المحتوى يجب القول قبل كلّ شيءٍ بأنَّ الأفكار الجديدة حول معنى النّصّ</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جوهري، طنطاوي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في تفسير القرآن الكريم،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القرآنيّ غالبًا ما أتت ردًّا على الأسئلة المستحدثة التي أفرزتها التّحوّلات السّياسيّة الاجتماعيّة والثّقافيّة، نتيجة تأثير الحضارة الغربيّة في المجتمع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في الحقيقة وهمٌ كبيرٌ أكثر خطورةً من سابقه، حيث يقرّر ويلانت أنَّ الأفكار الجديدة حول محتوى النّصّ القرآنيّ جاءت بسبب تأثير الحضارة الغربيّة في المجتمع الإسلامي، وهذا جهلٌ في الحقيقة بمناهج التّفسير الحديثة التي تتابعت على النّصّ القرآنيّ، ولو صحّ جزءٌ من هذا الكلام لكان أولى به أن يحصره في المنهج العلميّ في التّفسير، فوقفةٌ بسيطةٌ مع مبادئ اللّون الأدبيّ والاجتماعيّ في التّفسير تفنّد هذا الكلام تمامًا، فلم ينشأ هذا اللّون من التّفسير بسبب التّأثير النّاشيء من الحضارة الغربيّة في المجتمع الإسلاميّ، وإنّما بهدف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التّخلّص من كلّ هذه الاستطرادات العلميّة التي حُشرت في التفسير حشرًا، ومُزجت به على غير ضرورةٍ لازمةٍ، والعمل على تنقية التّفسير من القصص الإسرائيليّ الذي كاد يذهب بجمال القرآن وجلاله، وتمحيص ما جاء فيه من الأحاديث الضّعيفة والموضوعة على رسول الله صلّی الله علیه و آله، أو على أصحابه عليهم رضوان الله تعالى، وإلباس التّفسير ثوبًا أدبيًّا اجتماعيًّا يُظهر روعة القرآن، ويكشف عن مراميه الدّقيقة وأهدافه السّامية</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يقرّر ويلانت أنّه نتج عن عمليّة تأثير الحضارة الغربيّة في المجتمع الإسلاميّ مسألتان فرضتا نفسيهما في هذه المعمة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ماذا يقصد بهذه المعمة، ولعلّه يقصد بها تلك الأجواء التي نشأت فيها مناهج التّفسير الحديثة، وتشابكها في أمورٍ وافتراقها في أمورٍ أخرى، وهذا التّداخل بينها في بعض التّفاسير، فإن كان يقصد ذلك فهذا وهمٌ ثالثٌ 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مقالته هذه، فمصطلح المعمة يحمل في طيّاته بعضًا من الاضطراب الذي تتيه فيه المعالم والحدود، وليس هذا هو الوصف الدّقيق لتلك المرحلة التي نشأت فيها مناهج التّفسير في مطلع العصر الحديث، بل على العكس من ذلك تمامًا، فنشأة هذه المناهج الحديثة يعكس مدى خصوبة العقليّة العربيّة وانفتاحها في تلك الفترة، التي تخلّصت فيها من سيطرة المناهج التّقليديّة على تفكيرها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أيّة حالٍ، إنَّ المسألة الأولى التي نشأت بسبب عمليّة التأثير هذه تمثَّلت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اتّساق رؤية القرآن الكونيّة مع اكتشافات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السّياسيّ الاجتماعيّ المناسب على أساس الأصول القرآنيّة والذي يمكِّن المسلمين من التّخلّص من الهيمنة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بهاتين المسألتين أنّهما أحدثتا خللًا واضطرابًا في العقليّة العربيّة في مطلع العصر الحديث، ما دفعها إلى سلوك طريق آخر في فهم النّصّ القرآنيّ وتناوله غير الطريق التّقليدي، وهذا قصور فهمٍ لأسباب نشأة هذه المناهج التّفسيريّة، فاكتشافات الحضارة الغربيّة للعلم الحديث ليست وحدها الهدف نشأة اتّجاه التّفسير العلميّ للقرآن الكريم،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 إلى جعل القرآن مشتملًا على إشاراتٍ عابرةٍ إلى كثيرٍ من أسرار الطّبيعة التي كشف عنها العلم الحديث</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وليس البحث عن توافقٍ للقرآن مع نظريات العلم الحديث، وشتّان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الهدف الأكبر لمنهج التّفسير العلميّ للقرآن الكريم، هو البحث عن الإشارت العلميّة التي تُؤكّد سبق القرآن الكريم لكلّ تلك النّظريات الحديثة، التي وصلت من خلال التّجربة إلى هذه الاكتشافات العلميّة، وليس البحث عن موافقات القرآن للعلم الحديث، وتلك حقيقةٌ كبرى سجّلتها المؤلّفات التي تحدّثت عن هذا المنهج</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أكثر من ذلك لقد أُخذ على هؤلاء الذين فتحوا الباب واسعًا أمام التّفسير العلميّ للقرآن، ووضعوا في تفاسيرهم نظريات العلم الحديث، وراحوا يفسّرون من خلالها بعض آيات القرآن، أُخذ عليهم هذا الشّطط في التّفسير، فما هذا مقصد التفسير العلميّ على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فيرى الشّيخ محمود شلتوت أنَّ هؤلاء المثقّفين الذين أخذوا بطرفٍ من العلم الحديث نظروا في القرآن فوجدوا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 فتأوّلوها على نحوٍ زيَّن لهم أن يفتحوا في القرآن فتحًا جديدًا، ففسّروه على أساسٍ من النّظريات العلميّة المستحدثة، </w:t>
      </w:r>
    </w:p>
    <w:p>
      <w:pPr>
        <w:pStyle w:val="BookText"/>
        <w:rPr/>
      </w:pPr>
      <w:r>
        <w:rPr>
          <w:rFonts w:ascii="Amiri" w:hAnsi="Amiri" w:eastAsia="Amiri" w:cs="Amiri"/>
          <w:color w:val="111111"/>
          <w:sz w:val="28"/>
          <w:sz w:val="28"/>
          <w:szCs w:val="28"/>
          <w:rtl w:val="true"/>
          <w:lang w:bidi="ar-SA"/>
        </w:rPr>
        <w:t>وطبّقوا آياته على ما وقعوا عليه من قواعد العلوم الكونيّة وظنّوا أنّهم بذلك يخدمون القرآن، ويرفعون من شأن الإسلام، ويدعون له أبلغ دعاية في الأوساط العلميّة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نظروا في القرآن على هذا الأساس فأفسد عليهم أمر علاقتهم بالقرآن</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المسألة الثانية، فتتمثّل في أنَّ النّظام السّياسيّ والاجتماعيّ في المجتمع الإسلامي تحت وطأة الهيمنة الغربيّة فرض على المفسّرين تقديم رؤية أخرى كاشفة عن النّظام الاجتماعي في القرآن، بحيث يمكن اتّخاذه بديلًا قويًّا بدلًا من تلك الهيمنة الغربيّة، وهو في ظاهره يبدو صحيحًا، ولكن الحقيقة أنَّ الاتّجاه نحو النّزعة الاجتماعيّة في القرآن وتفسيرها لم ترتبط في أساسها بهيمنةٍ غربيّةٍ وغيرها، وإنّما نشأت نشأةً ذاتيّةً داخل الأمّة، وإنَّ من يقف على بعض ما كتبه الشّيخ محمد عبده في تفاسيره ليدرك ذلك البُعد الاجتماعي الذي نشأ من قبيل الفهم عن القرآن الكريم، يقول الشيخ محمد عبده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ملكة في النّفس يتيسّر معها احتمال ما يشقّ احتماله، والرّضا بما يكره في سبيل الحقّ، وهو خُلقٌ يتعلّق به، بل يتوقّف عليه كمال كلّ خلق، وما أُتي النّاس من شيءٍ مثلما أوتوا من فقد الصّبر أو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أمّةٍ ضعُف الصّبر في نفوس أفرادها، ضعف فيها كلّ شيءٍ، وذهبت منها كلّ قوّة</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البُعد الاجتماعيّ هنا عند الشّيخ محمد عبده في تفسيره هذا يبدو واضحًا تمام الوضوح، ولم ينشأ نتيجة التأثّر بالهيمنة الغربيّة، وإنّما انطلاقًا من القرآن الكريم الذي حملت آياتُه مقصدًا اجتماعيًّا مهمًّا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مقالته السّابقة عن أنواع الكتب الحاوية للتّفسير القرآنيّ، ويُقسّمها إلى أنواعٍ عدّةٍ بحسب آليّة التّناول وليس آليّه المعالجة، فالنّوع الأوّل هو التّفسير التّرتيبيّ، الذي يعتمد على تناول القرآن آية آية، وغالبًا ما تبدأ </w:t>
      </w:r>
    </w:p>
    <w:p>
      <w:pPr>
        <w:pStyle w:val="BookText"/>
        <w:rPr/>
      </w:pPr>
      <w:r>
        <w:rPr>
          <w:rFonts w:ascii="Amiri" w:hAnsi="Amiri" w:eastAsia="Amiri" w:cs="Amiri"/>
          <w:color w:val="111111"/>
          <w:sz w:val="28"/>
          <w:sz w:val="28"/>
          <w:szCs w:val="28"/>
          <w:rtl w:val="true"/>
          <w:lang w:bidi="ar-SA"/>
        </w:rPr>
        <w:t xml:space="preserve">تلك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ويلانت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بداية السّورة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في التّفاسير غير المكتملة وتستمرّ بشكلٍ متتالٍ حتى نهاية آخر سورة من القرآن وشذَّ عن تلك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العالم الفلسطيني محمد عزة دروزه الذي فسّر السّور فيه حسب ترتيب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التّفاسير التّرتيبيّة ما يختصّ بجزءٍ من أجزاء القرآن، مثل تفسير الشّيخ محمد عبده لجزء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يختصّ باختيار بعض السّور فحسب لغرض إثبات منهجٍ تفسيريٍّ جديدٍ مثل ما فعلته بنت الشّاطئ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البيانيّ للقرآن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والنّوع الثاني من التّفاسير هو ما يندرج تحت مُشكل القرآن، أي يختصّ بتناول آیاتٍ مشكلةٍ من القرآن الكريم،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مشكل القرآن، لابن قتيبة، المتوفى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هناك نوعٌ ثالثٌ من التّفاسير القرآنيّة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الموضوعيّ للقرآن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رتِّبت فيه أقسامٌ مهمّةٌ من القرآن على أساس موضوعاتٍ أصليّةٍ، ودراسة الآيات ذات الصّلة بكلّ موضوعِ بإيجاز، ومن الأمثلة على هذا النّوع من التّفسير ما عمله الشّيخ محمود شلتوت في تفسير الأجزاء العشرة الأولى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التّفسير الموضوعيّ ونمطين من أنماط الدّراسات القرآنيّة والفكريّة، وهي تلك الدّراسات التي اختصّت بدراسة قضيّة من قضايا القرآن العقائديّة الأساسيّة، أو التي أُلّفت في حقل الكلام أو الفقه الإسلامي والتي تقدِّم استدلالاتها على أساس النّصوص القرآنيّة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تقسيمه الثَّلاثيّ لأنواع التّفاسير في آليّةٍ تناولها للنّصّ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الترتيبي بأنواعه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تقسيم مقبولٌ من ناحية الرّصد العام للتّفاسير القرآنيّة، ولكن تبدو عليه الملاحظات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الحدود الفاصلة بين هذا التّقسيم الثّلاثي ليست حدودًا مانعةً من التّداخل بين هذه الأنواع الثلاثة من التّفاسير ففي النّوع الأوّل، وهو التّفسير التّرتيبي الذي يدور مع كلّ آية من آيات القرآن الكريم لا نعدم التناول الموضوعي في بعض القضايا القرآنية، ففي تفسير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التّفاسير التّرتيبيّة التي تناولت القرآن الكريم آية آية، نجد أثرًا واضحًا لدراسة قضيّة قرآنيّة من خلال الوقوف على الآية المثيرة لها، ففي سورة البقرة على سبيل المثال يُعالج التّفسير قضيّة قرآنيّة مهمّة، وهي قضيّة الإيمان بالغيب من خلال الوقوف مع الآية الثّالثة من سورة البقرة،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فيعرض المفسّر لمفهوم الإيمان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أستاذه الشيخ محمد عبده في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صاحب تفسير المنار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وَالْإِيمَانُ بِالْغَيْبِ هُوَ الِاعْتِقَادُ بِمَوْجُودٍ وَرَاءَ الْمَحْسُوس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الْأُسْتَاذُ الْإِمَامُ فِي صَاحِبِهِ مَا نَصَّهُ وَصَاحِبُ هَذَا الاِعْتِقَادِ وَاقِفُ عَلَى طَرِيقِ الرَّشَادِ وَقَابِمُ عَلَى أَوَّلِ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إِلَّا إِلَى مَنْ يَدُلُّهُ عَلَى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وَيَأْخُذُهُ بِيَدِهِ إِلَى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يَعْتَقِدُ بأَنَّ وَرَاءَ الْمَحْسُوسَاتِ مَوْجُودَاتٍ يُصَدِّقُ بِهَا الْعَقْلُ وَإنْ كَانَتْ لَا يَأْتِي عَلَيْهَا الجيش إذَا أَقَمْتَ لَهُ الدَّلِيلَ عَلَى وُجُودِ فَاطِرِ السَّمَاوَاتِ وَالْأَرْضِ الْمُسْتَعْلِي عَنِ الْمَادَّةِ وَلَوَاحِقِهَا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الْمُتَّصِفِ بِمَا وَصَفَ بِهِ نَفْسَهُ عَلَى أَلْسِنَةِ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عَلَيْهِ التَّصْدِيقُ وَخَفَّ عَلَيْهِ النَّظَرُ فِي جَلِي الْمُقَدِّمَاتِ وَخَفِيّهَا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 الرَّسُولُ بِوَصْفِ الْيَوْمِ الْآخِرِ أَوْ بِذِكْرِ عَالَمٍ مِنَ الْعَوَالِمِ الَّتِي اسْتَأْثَرَ اللهُ بِعِلْمِهَا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كَعَالَمِ الْمَلَائِكَةِ مَثَلًا لَمْ يَشُقَّ عَلَى نَفْسِهِ تَصْدِيقُ مَا جَاءَ بِهِ الْخَبَرُ بَعْدَ تُبُوتِ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جَعَلَ اللهُ سُبْحَانَهُ هَذَا الْوَصْفَ فِي مُقَدِمَةِ أَوْصَافِ الْمُتَّقِينَ الَّذِينَ يَجِدُونَ فِي الْقُرْآنِ هُدًى لَهُمْ</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أمثاله كثير في بعض التفاسير الترتيبيّة التي تناولت النّصّ القرآنيّ آية آية، فالآيات تثير عددًا من القضايا القرآنيّة التي تستحقّ معالجاتها أثناء عملية التّفسير، مما يهيّئ تلك المعالجة أن تكون في مضمونها لونًا من ألوان التّفسير الموضوعيّ للقرآن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اختصاص مشكل القرآن بقسمٍ وحده من أقسام آليات التّناول لآيات القرآن الكريم فيه نظر، فهذا القسم من الممكن أن يمثّل البذور الأولى للتفسير الموضوعي، فالمشكل موضوع يتعلّق بالقرآن الكريم أثاره ظاهر الفهم لآية أو بعض الآيات القرآنيّة، ففي تأويل مشكل القرآن لابن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يورد المؤلف بابًا كاملًا حول مجيء اللّفظ الواحد للمعاني المختلفة، فمصطلح القضاء يأتي في القرآن الكريم بمعانٍ مختلفةٍ؛ فقضى بمعنى حتم، وبمعنى صنع، وبمعنى عمل، ثم يورد ابن قتيبة الآيات القرآنيّة الدّالّة على كلّ معنى من هذه المعاني، ويؤيّد كلامه بما ورد في الشّعر العربي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وأمثاله إنّما كان الباعث عليه معالجة اللّفظة القرآنيّة معالجةً تفسيريّةً، تلك التي مثَّلت إشكالاً ما في فهم النّصّ القرآنيّ عند البعض، واضطرّت عمليّة المعالجة لتصل إلى نتيجةٍ مرجوّةٍ أن تقف على كلّ الآيات القرآنيّة التي وردت فيها اللّفظة القرآنيّة وتحديد معانيها المختلفة، وهذا عين التّفسير الموضوعيّ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التّفسير الموضوعيّ يدور بطبيعته حول آياتٍ قرآنيةٍ عدّة تتضمّن موضوعًا معيّنًا ، هذا الموضوع الذي تتضمّنه الآيات يطرح قضيّةً قرآنيةً يُعالجها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فالقضيّة التي يتمّ معالجتها مرجعيّتها القرآن الكريم وليس المفاهيم الأساسيّة التي تحظى بأهميّةٍ خاصّةٍ لدى المفسّر كما يقول ويلانت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الفكرة العامّة عن التّفسير الموضوعيّ لا تبدو واضحةً تمامًا في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راترود ویلانت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بيان المقصود بهذا التّفسير وأهدافه وغاياته وألوانه المختلفه، فغاية ما ذكره عنه في مقالته السّابقة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العقود الأخيرة من القرن العشرين ساد عددٌ متزايدٌ من تفاسير القرآن التي رتّبت فيها أقسام مهمّة من القرآن</w:t>
      </w:r>
    </w:p>
    <w:p>
      <w:pPr>
        <w:pStyle w:val="BookText"/>
        <w:rPr/>
      </w:pPr>
      <w:r>
        <w:rPr>
          <w:rFonts w:ascii="Amiri" w:hAnsi="Amiri" w:eastAsia="Amiri" w:cs="Amiri"/>
          <w:color w:val="111111"/>
          <w:sz w:val="28"/>
          <w:sz w:val="28"/>
          <w:szCs w:val="28"/>
          <w:rtl w:val="true"/>
          <w:lang w:bidi="ar-SA"/>
        </w:rPr>
        <w:t>على أساس موضوعاتٍ أصليّةٍ، ودراسة الآيات ذات الصّلة بكلّ موضوعِ بإيجاز</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المرتكزات النّظريّة لهذا النّوع من التّفسير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والتّوضيحات النّظريّة للآيات ذات الصّلة في تلك التّفاسير قد تختلف </w:t>
      </w:r>
      <w:bookmarkStart w:id="458" w:name="pg8898_139529"/>
    </w:p>
    <w:p>
      <w:pPr>
        <w:pStyle w:val="BookText"/>
        <w:rPr/>
      </w:pPr>
      <w:bookmarkEnd w:id="458"/>
      <w:r>
        <w:rPr>
          <w:rFonts w:ascii="Amiri" w:hAnsi="Amiri" w:eastAsia="Amiri" w:cs="Amiri"/>
          <w:color w:val="111111"/>
          <w:sz w:val="28"/>
          <w:sz w:val="28"/>
          <w:szCs w:val="28"/>
          <w:rtl w:val="true"/>
          <w:lang w:bidi="ar-SA"/>
        </w:rPr>
        <w:t>بشكلٍ كلّيٍّ من مؤلّفٍ لآخر كما سنرى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أساليب تحديد معنى آيةٍ ما في التّفاسير الموضوعيّة تختلف قليلًا مع الأساليب المتّبعة في التّفاسير الترتيبيّة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غياب مفهوم هذا اللّون من التّفسير في مقالة ويلانت مثَّل إشكاليّةً في فهم الغرض منه، حتى عند القارئ المتلقّي لهذه المقالة، وقد أثَّر ذلك على تناوله الموجز لهذا اللّون من التّفسير، والذي يُعرف بأنّه البحث وراء الحصول على نظرياتٍ قرآنيّةٍ ذات محوريّةٍ خاصّةٍ بمواضيع تمسّ جوانب الحياة الفكريّة الثّقافيّة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من زاويةٍ قرآنيّةٍ للخروج بنظريّةٍ قرآنيّةٍ بشأن تلك المواضيع</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ويدور هذا التّفسير الموضوعيّ حول ثلاثة أنماطٍ تمثَّل أنحاء هذا اللّون من التّفسير؛ فمنه المندرج ضمن التّفسير التّرتيبيّ الشّامل في شكل حقولٍ مودعةٍ أثناء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المصدَّر في كلّ بحثٍ إسلاميٍّ، ومكلِّلًا كلّ حقلٍ من حقوله بلُمَّةٍ من آياتٍ مترابطةٍ ومرتبطةٍ بصميم البحث، مما تعارفت عليه الكتب الباحثة عن المعارف والأخلاق والآداب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المستقلّ بالبحث والتّنقيب بحثًا وراء العثور على آیات تجمعها وحدات ،موضوعيّة، إمَّا بصورةٍ مستوعبةٍ أو على قدر الحاجة ومدى إلحاح الضرورة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التّيارات الأصليّة في المناهج التّفسيريّة وأبرز شخصيّاتها، وحتى لا تبتعد الدّراسة النّقديّة عن دراسة راترود ويلانت في صورتها الأولى المنشورة في موسوعة ليدن للدّراسات القرآنيّة، فسوف تسير هذه الدّراسة النّقديّة وفق التّرتيب الذي ارتضاه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دراسته، وستبدأ بعرض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اتّجاه من تلك الاتّجاهات التّفسيريّة على سبيل الإجمال، ثم مناقشة ذلك والرّدّ عليه وبيان مواطن الاضطراب والخلل</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935765_2870459653"/>
      <w:bookmarkStart w:id="460" w:name="_Toc174"/>
      <w:bookmarkEnd w:id="459"/>
      <w:r>
        <w:rPr>
          <w:rtl w:val="true"/>
        </w:rPr>
        <w:t xml:space="preserve">ملامح المنهج المتّبع في نقد دراسة </w:t>
      </w:r>
      <w:r>
        <w:rPr>
          <w:rtl w:val="true"/>
        </w:rPr>
        <w:t>«</w:t>
      </w:r>
      <w:r>
        <w:rPr>
          <w:rtl w:val="true"/>
        </w:rPr>
        <w:t>ويلانت</w:t>
      </w:r>
      <w:r>
        <w:rPr>
          <w:rtl w:val="true"/>
        </w:rPr>
        <w:t>»</w:t>
      </w:r>
      <w:bookmarkEnd w:id="460"/>
    </w:p>
    <w:p>
      <w:pPr>
        <w:pStyle w:val="Heading5"/>
        <w:numPr>
          <w:ilvl w:val="4"/>
          <w:numId w:val="1"/>
        </w:numPr>
        <w:rPr/>
      </w:pPr>
      <w:bookmarkStart w:id="461" w:name="__RefHeading___Toc935767_2870459653"/>
      <w:bookmarkStart w:id="462" w:name="_Toc175"/>
      <w:bookmarkEnd w:id="461"/>
      <w:r>
        <w:rPr>
          <w:rtl w:val="true"/>
        </w:rPr>
        <w:t>اشارة</w:t>
      </w:r>
      <w:bookmarkEnd w:id="46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ملامح المنهج المتّبع في الدّراسة النّقديّة يمكن حصرها فيما يلي</w:t>
      </w:r>
      <w:r>
        <w:rPr>
          <w:rFonts w:eastAsia="Amiri" w:cs="Amiri" w:ascii="Amiri" w:hAnsi="Amiri"/>
          <w:color w:val="111111"/>
          <w:sz w:val="28"/>
          <w:szCs w:val="28"/>
          <w:rtl w:val="true"/>
          <w:lang w:bidi="ar-SA"/>
        </w:rPr>
        <w:t xml:space="preserve">: </w:t>
      </w:r>
      <w:bookmarkStart w:id="463" w:name="pg8898_139530"/>
    </w:p>
    <w:p>
      <w:pPr>
        <w:pStyle w:val="BookText"/>
        <w:rPr/>
      </w:pPr>
      <w:bookmarkEnd w:id="463"/>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كلّ اتّجاه تفسيريّ من تلك الاتّجاهات التي عرضها ويلانت على حدة، مع التزام ما أورده من ترتيبٍ في مقالته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مجمل لما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هذا الاتّجاه، والذي يمثّل في عمومه وجهة نظره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تلك الآراء والرّدّ عليها</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935769_2870459653"/>
      <w:bookmarkStart w:id="465" w:name="_Toc176"/>
      <w:bookmarkEnd w:id="464"/>
      <w:r>
        <w:rPr>
          <w:rtl w:val="true"/>
        </w:rPr>
        <w:t>أوّلًا</w:t>
      </w:r>
      <w:r>
        <w:rPr>
          <w:rtl w:val="true"/>
        </w:rPr>
        <w:t xml:space="preserve">: </w:t>
      </w:r>
      <w:r>
        <w:rPr>
          <w:rtl w:val="true"/>
        </w:rPr>
        <w:t>تفسير القرآن من منظور النّزعة العقليّة لعصر التنوير</w:t>
      </w:r>
      <w:r>
        <w:rPr>
          <w:rtl w:val="true"/>
        </w:rPr>
        <w:t>:</w:t>
      </w:r>
      <w:bookmarkEnd w:id="465"/>
    </w:p>
    <w:p>
      <w:pPr>
        <w:pStyle w:val="BookText"/>
        <w:rPr/>
      </w:pPr>
      <w:r>
        <w:rPr>
          <w:rFonts w:ascii="Amiri" w:hAnsi="Amiri" w:eastAsia="Amiri" w:cs="Amiri"/>
          <w:color w:val="111111"/>
          <w:sz w:val="28"/>
          <w:sz w:val="28"/>
          <w:szCs w:val="28"/>
          <w:rtl w:val="true"/>
          <w:lang w:bidi="ar-SA"/>
        </w:rPr>
        <w:t xml:space="preserve">هذا هو الاتّجاه الأوّل من اتّجاهات التّفسير 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راترود 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التّيّارات الأصليّة في المناهج التّفسيريّة وأبرز شخصيّاتها، ويذكر ويلانت في هذا الاتّجاه أنَّ السّيد أحمد خان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عبده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منهما بفلسفة عصر التنوير قد صنعا مقاربةً بين النّصّ القرآنيّ ومنجزات الحضارة الأوروبيّة في العصر الحديث، وقامت هذه المقاربة في الأساس على النّزعة العقليّة في تفسير القرآن الكريم، أي إنَّ النّزعة العقليّة في محاولة فهم النّصّ القرآنيّ وتفسيره قامت في الأساس تلبية لفلسفة عصر التّنوير ولصنع مقاربةٍ بين النّصّ القرآنيّ والمنجز الحضاري الحديث، خاصّة المنجز الأوروبي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الذي دفع السّيد أحمد خان إلى القول بهذا الاتّجاه يتمثّل في أمرين؛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تجربة الثّورة الهنديّة المريرة التي دفعته إلى القول إنّه لا يوجد في الدّين الإسلامي ما يحول دون التّعايش السّلمي والتّعاون بين مسلمي الهند والإنجليز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تأثّره بالمفكّرين الإنجليز المقيمين في الهند، الذي جعله يتبنّى فهمًا حديثًا عن الطبيعة والعالم، والذي دعاه للعمل على إثبات عدم وجود أيّ تناقضٍ بين العلوم الطبيعيّة الحديثة وكتاب المسلمين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لا يتعارض مع العلم، الحديث، ومنشأ التّعارض هو سلوك المفسّرين طريقًا خاطئًا في مناهجهم التّفسيريّة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الذي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بدخول محمد عبده ضمن الاتّجاه العقلاني في تفسير القرآن الكريم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لاستيعاب ما يريده الله من هدايته للبشر </w:t>
      </w:r>
    </w:p>
    <w:p>
      <w:pPr>
        <w:pStyle w:val="BookText"/>
        <w:rPr/>
      </w:pPr>
      <w:r>
        <w:rPr>
          <w:rFonts w:ascii="IRNazanin" w:hAnsi="IRNazanin" w:eastAsia="IRNazanin"/>
          <w:color w:val="111111"/>
          <w:sz w:val="28"/>
          <w:sz w:val="28"/>
          <w:szCs w:val="28"/>
          <w:rtl w:val="true"/>
          <w:lang w:bidi="fa-IR"/>
        </w:rPr>
        <w:t>يجب تفسير النّصّ القرآنيّ وفقًا للمعنى الذي كان يفهمه معاصرو الرّسول صلّی الله علیه و آله أي أوائل مخاطبي الوحي، وأنّه على المفسّرين تنقية تلك الإسرائليات المتناقضة مع العقل والوحي وتنقيحها</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اتّجاهات التّفسير العقلانيّ تفسير محمد أبي زيد المصري، والذي صدر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والعرفان في تفسير القرآن بالقرآن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ما قاله ويلانت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بذل فيه قصارى جهده كي يوجّه معجزات الأنبياء كافّة والحوادث ما فوق الطبيعة معهم، والتي ورد ذكرها في القرآن بشكلٍ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تحديد ملامح الاضطراب في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راترود 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يختصّ بالتّفسير العقليّ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في التّفرقة بين التّفسير العقلي والتفسير الاجتهادي والتّفسير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ثمة اضطرابًا في 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ثلاثة أنواع من مناهج تفسير للقرآن الكريم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العقلي، والتّفسير الاجتهادي، والتّفسير بالرأي، حيث يُصدِّر كلامه عند حديثه عن منهج التّفسير العقلي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القرآن من منظور النّزعة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يوحي أنّه سيُقصر كلامه على الاتّجاه العقلي في التّفسير الذي يمكن أن يمثّله المنجز التّفسيري للسيد أحمد خان الهندي، وبعض من منجز الشّيخ الإمام محمد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يبدو أنّه يقترب كثيراً من اتّجاه التّفسير بالرّأي الذي يُراعي فيه صاحبه القرائن العقليّة والنّقليّة عند حديثه عن منهج محمد عبده في تناول النّصّ القرآنيّ تناولًا تفسيريًّا،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انعكست أبرز معالم رؤية عبده التّفسيريّة بشكلٍ جَلِّيٍّ في تفسيره متعدّد الأجزاء المعروف باسم تفسير المنار، والذي تحوّل إلى معيارٍ استند إليه كثيرٌ من المؤلّفين بعده إلى جانب التّفاسير الكلاسيكيّة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تبدو ملامح التّفسير الاجتهاديّ الذي يستند إلى رأي صاحبه فقط، واضحة </w:t>
      </w:r>
    </w:p>
    <w:p>
      <w:pPr>
        <w:pStyle w:val="BookText"/>
        <w:rPr/>
      </w:pPr>
      <w:r>
        <w:rPr>
          <w:rFonts w:ascii="Amiri" w:hAnsi="Amiri" w:eastAsia="Amiri" w:cs="Amiri"/>
          <w:color w:val="111111"/>
          <w:sz w:val="28"/>
          <w:sz w:val="28"/>
          <w:szCs w:val="28"/>
          <w:rtl w:val="true"/>
          <w:lang w:bidi="ar-SA"/>
        </w:rPr>
        <w:t xml:space="preserve">عند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الشّخصيّة الثّالثة التي مثَّلت عنده التّفسير العقليّ، و هو الكاتب المصري محمد أبو زيد،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ويبدو أنَّ ما دعا معارضي محمد أبو زيد للاستياء منه يعود لنظرياته أكثر من منهجيّته، فقد كان يسعى لترويج منهجه بتطبيق نظريّاته بطريقةٍ انتقائيّةٍ تمامًا، لقد كان يستدلّ بأنّه استنادًا لأصول الفقه الإسلامي التقليديّة يعتبر الاجتهاد الواسع جائزاً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ومعلوم الفروق الدّقيقة بين هذه المناهج الثلاثة في التّفسير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بالرأي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العقلي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الاجتهادي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اعتبرنا التّفسير الاجتهاديّ أحد هذه المناهج، ونقصد به ذلك الذي يلتزم فيه صاحبه بالقرائن النّقليّة والعقليّة، وليس الاجتهاد المنفلت من هذه القرآئن، والذي يدخل عند بعضهم ما يسمّى بالتّفسير الإلحادي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فالتّفاسير بالرأي تُقدَّم شخصيّة المفسّر على التّفسير، وذلك على أساس الذّوق والنّظر الشّخصي دون مراعاة القرآئن النّقليّة والعقليّة، أمَّا بالنّسبة إلى التّفسير العقلي، فإنَّ المفسّر يأخذ بالاعتبار القرائن النّقليّة والعقليّة في التّفسير، وكذلك بالنّسبة إلى التّفسير الاجتهادي، حيث اتّضح أنَّ الاجتهاد على نوعين؛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الاستنباط دون مراجعة القرائن العقليّة والنقليّة، وهو ما يعتبر نوعًا من 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الاجتهاد الصّحيح والمعتبر، وهو الذي يأخذ بالاعتبار القرائن النّقليّة والعقليّة، وهذا التّفسير لا يعتبر من التّفسير بالرأي</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السياق نفسه، يفرّق محمد نوري في دراسته التي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الاتّجاهات العامّة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الأنواع الثلاثة من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به هنا يعتمد الإنسان في تفسير الآيات القرآنيّة على رأيه المجرّد من خلال قناعاته الشّخصيّة المسبقة فيوجّه أو يؤوّل الآيات القرآنيّة بما ينسجم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تضمّنت </w:t>
      </w:r>
    </w:p>
    <w:p>
      <w:pPr>
        <w:pStyle w:val="BookText"/>
        <w:rPr/>
      </w:pPr>
      <w:r>
        <w:rPr>
          <w:rFonts w:ascii="Amiri" w:hAnsi="Amiri" w:eastAsia="Amiri" w:cs="Amiri"/>
          <w:color w:val="111111"/>
          <w:sz w:val="28"/>
          <w:sz w:val="28"/>
          <w:szCs w:val="28"/>
          <w:rtl w:val="true"/>
          <w:lang w:bidi="ar-SA"/>
        </w:rPr>
        <w:t>النّصوص الكثيرة النّهي عن هذا التّفسير والتّحذير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ونلاحظ أن كثيرًا من المفسّرين وقعوا في هذا المأزق حيث أقحموا قناعاتهم المسبقة في تفسير الآيات وحمّلوا الآيات الكريمة آراءهم الخاصّة وتوجّهاتهم؛ فالمعتزليّ يفسّر الآية بما ينسجم مع منهجه الاعتزالي، والأشعري كذلك، والفيلسوف يجرّ الآيات إلى دعم آرائه الفلسفيّة، والعرفاء والمتصوّفة حوَّلوا القرآن إلى رموزٍ وإشاراتٍ وفق أذواقهم،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التّفاسير الإشاريّة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عربي، تأليف محيي الدين 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التّستري تأليف سهل بن عبد 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التّفسير بالرأي في كلمات بعض العلماء على كلِّ جهدٍ عقليٍّ واجتهاديٍّ لتفسير الآيات القرآنيّة وهو غير التّفسير بالرأي المنهجيّ عنه الذي أشرنا إليه، وهو يقوم على النّظر في القرآن واستنطاق الآية الكريمة وملاحظة الآيات الأخرى المرتبطة بها مع الرّجوع إلى النّصوص الواردة في المقام، ويُسمّى هذا التّفسير بالتّفسير الاجتهادي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الدكتور خالد عبد الرحمن العك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التفسير وقواعده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التّفسير العقليّ هو نفسه التّفسير بالرّأي،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وللعلماء تسمية للتفسير العقليّ هي التّفسير بالرّأي، ويطلق الرّأي في اللّغة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والعقل والتّدبّر، كما يطلق الرّأي في الاصطلاح على الاجتهاد، ومنه أطلق على أهل الفقه أصحاب الرأي، وعلى ما تقدم فإنَّ التّفسير بالرأي هو التّفسير بالعقل والاجتهاد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يأتي بعد ذلك ويضع ضابطًا للتفسير بالرأي مما يقرِّبه في رأيه إلى التقسيم الثلاثي السّابق،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جارٍ على موافقة كلام العرب ومناحيهم في القول، مع موافقة الكتاب والسنة، ومراعاة لسائر شروط التّفسير، فهذا القسم جائز لا شكّ فيه، وعليه يُحمل كلام المجيزين للتّفسير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غير جارٍ على قوانين العربيّة، ولكن ليس موافقًا للأدلّة الشّرعيّة ولا مستوفيًا لشروط التّفسير، وهذا هو مورد النّهي ومحط الذّم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والمقصود بموافقة كلام العرب ومناحيهم في القول ومرعاة شرائط التّفسير تلك القرائن النّقليّة والعقليّة التي ينبغي أن يلتزم بها المفسّر الذي يسلك مسلك النّزعة العقليّة في التّفسير، وقد حدّدها الدّكتور الذّهبي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فالتّفسير بالرأي عبارة عن تفسير القرآن بالاجتهاد بعد معرفة المفسّر لكلام العرب ومناحيهم للقول، ومعرفته للألفاظ العربيّة ووجوه دلالتها، واستعانته في ذلك بالشعر الجاهلي، ووقوفه على أسباب النّزول، ومعرفته بالنّاسخ والمنسوخ من آيات القرآن الكريم، وغير ذلك من الأدوات التي يحتاج إليها المفسّر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التّفسير العقلانيّ أو التّعقليّ لا ينحصر بالتّفسير الاجتهادي، بل إنَّ مفردة العقل في المسائل التّفسيريّة تستعمل في معنيين؛ الأوّل العقل البرهانيّ الذي يعمد إلى تفسير القرآن من خلال توظيف البراهين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الذي هو عبارة عن القوّة المدركة وقوّة الفكر التي تدخل في مختلف أساليب العمليّة التّفسيريّة، حيث يتمّ توظيف العقل للتدبّر وفهم الآيات وقرائنها والجمع بينها والاستنباط منها والاجتهاد فيها، والنّوع الأخير هو الذي يسمّى بالتفسير الاجتهادي</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في تحديد بداية اتّجاه النّزعة العقليّة في تفسير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ويلانت في بداية حديثه عن هذا الاتّجاه التّفسيري ما يوحي أنّه بدأ بمحاولتي السيد أحمد خان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عبده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قدّما باكورة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ويلانت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تجديد الأساليب التّفسيريّة التي كانت متداولةً لقرون، حيث اتَّخذا مقاربةً تقوم أساسًا على النّزعة العقليّة لتفسير القرآن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والوقوف بهذا الاتّجاه التفسيري القائم على النّزعة العقليّة في فهم القرآن عند هاتين المحاولتين فيه خطأ كبير،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لهذا النّوع من التّفسير جذورًا تعود لألف سنة، حيث بدأه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ويسمّى هذا النّوع من التّفسير عند الشيخ محمد هادي معرفة بالتّفسير الاجتهادي،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التّفاسير الاجتهاديّة الجامعة من أقدم أنواع التّفسير بعد التّفسير بالمأثور، وتشمل الكلام في جوانب مختلفة من التفسير لغة وأدبًا وفقهًا وكلامًا، حسب تنوّع العلوم والمعارف التي كانت دارجة ذلك العهد، نعم كان قد يغلب على بعض هذه التّفاسير لون التّخصّص الذي كان يتخصّص فيه صاحب التّفسير، من براعة في أدبٍ أو فقه أو كلام، غير أنَّ ذلك لم يكد يخرج بالتّفسير عن كونه من التّفسير الاجتهادي الجامع، وليس من طابع ذي لون واحد</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يعرض الشيخ محمد هادي معرفة لمثالين من هذا النّوع من التفسير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تفسير القرآن لأبي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ومجمع البيان في تفسير القرآن لأبي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الحقيقة، إنّ مسألة جذور الاتّجاه التّفسيريّ القائم على العقل تحتاج إلى مزید توضيحٍ ودراسةٍ للرّدّ على ما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راترود ويلانت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مقالته السّابقة، ويمكن تلخيص ذلك فيما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ردَّ البعض جذور هذا الاتّجاه التّفسيريّ القائم على العقل إلى المعتزلة، وقد اشتمل منهجهم في ذلك على خطوتين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الأولى فقصدوا بها تطهير الفكر، وضرورة تجرّده عن الألفة والعادة وعن مختلف الأهواء بالنّسبة لكلّ من أراد أن يصدر أحكامًا يتوخّى فيها الصّواب والإخلاص للحقّ، وفي هذا هدم لنظريّة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 فتحكيم العقل تحكيمًا مطلقًا، فقد آمن المعتزلة بالعقل ورفعوا شأنه ونوّهوا به أيّما تنويهٍ، وصدعوا بمبادئه، وقالوا خُلق العقل ليعرف، وهو قادرٌ على</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يعرف كلّ شيء؛ المنظور وغير المنظور، وجعلوه الحكم الذي يحكم في كلِّ شيءٍ، والنّور الذي يجلي كلّ ظلمة</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نجد أنّه إذا كان الاتّجاه النّقليّ هو الغالب في القرون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طبيعي فإنّ الاتّجاه العقلي لم يتأخّر كثيرًا عن ذلك، وهو وإن وُجدت بذوره منذ القرن الأوّل إلّا أنّه لم يطغَ على مسار البحث في التّفسير إلا عند ظهور الفرق الإسلاميّة والنحل والأهواء المذهبيّة، وخاصّة عند بزوغ الاتّجاه المعتزلي في التفسير</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ونجد من المستشرقين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جولدزيهر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يردّ أصول هذا الاتّجاه العقلي في التفسير إلى مجاهد بن جبر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حوالي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قول مردود عليه، حيث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التفسير الإسلامي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وليست هذه بحالة مفردة يواجهنا فيها مجاهد ترجمانًا لتفسير القرآن بالمعقول، فقد سبق أن أشرنا إلى أنّه ذكر عند الطبري الذي يرفضه مع ذلك أحيانًا، في سياق مثل هذه الوجوه من التّفسير، وهو يبدي عن ميله إلى التّفسير بالرأي أيضًا في تفسير 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مثلًا</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مردود عليه كما بينَّا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مجاهد قد عُرف بنزعةٍ عقليّةٍ محدودةٍ لم تتجاوز التأويل في إطار ما عُرف فيما بعد بالمجاز، ويعتبر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المصطلحات المجازيّة ورودًا في القرآن الكريم، فإنّنا لا نتّفق مع جولدزيهر الذي أراد أن يجعل من تأويلات مجاهد أساسًا وأصلا للمنحى الاعتزالي في التفسير حتى ليعدّه رائدًا لهم في مسائل كثيرةٍ في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فمجاهد مثله مثل بعض التابعين كقتادة والسدي أكثروا من تناول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تفسيراتهم ولم يتجاوزوا بها حدود التأويل المقبول</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أريد أن أطيل في مناقشة هذه القضيّة أكثر من ذلك، فغاية الأمر أنّ لهذا الاتّجاه التّفسيري الذي يعتمد على النّزعة العقليّة في التّفسير جذورًا في تراثنا العربي، تتخطّى بكثير مجرّد قصره على بعض محاولات المدرسة العقليّة الحديثة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الاجتماعي في تفسير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خالصًا للنّزعة العقليّة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إشاراتٌ اجتماعيّةٌ مهمّةٌ، الأمر الذي حدا بالشّيخ محمد هادي معرفة أن يُدخل اتّجاهه في التّفسير تحت اللّون الأدبي الاجتماعيّ،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رسم محمد عبده في تفسيره منهجًا تربويًا للأمّة الإسلاميّة، يبعث مقوماتها ويثير أمجادها، وينادي بآداب القرآن من الشّجاعة والكرامة والحفاظ قد حارب جمود الفقهاء وتقليدهم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خصائص هذا التّفسير العناية بمشاكل المسلمين الحاضرة، والتّوجّه إلى معالجة أسباب تأخّر المجتمع الإسلامي، وإلى إمكان بناء مجتمع قويّ، وعودة الأمّة إلى ثورة حقيقيّةٍ قرآنيّةٍ على أوضاعها المتخلّفة، ومواجهة الحياة مواجهةً علميّةً صحيحةً، والعناية التّامّة إلى الأخذ بأسباب الحضارة الإسلاميّة من جديد، ومواجهة أعدائها، وردّ الغزوات الفكريّة الاستعماريّة، التي شُنَّت على الإسلام عقيدةً وتاريخًا وحضارةً ورجالًا، ومناقشتها بالأدلّة العلميّة والوقائع التاريخيّة، وتفنيدها وإثبات بطلانها من ذاتها</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فعل الدكتور الذهبي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أدخل الوجهة التفسيريّة للشيخ محمد عبده تحت 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الأدبي الاجتماعي للتفسير في عصرنا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هذا اللون الأدبي الاجتماعي يعتبر في نظرنا عملًا جديدًا في التفسير، وابتكارًا يرجع فضله إلى مفسّري هذا العصر الحديث، فإنّنا نستطيع أن نقول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في هذا اللّون التّفسيري يرجع إلى مدرسة الأستاذ الإمام الشيخ محمد عبده للتفسير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المدرسة التي قام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بمجهودٍ كبير في تفسير كتاب الله تعالى، وهداية النّاس إلى ما فيه من خير الدنيا والآخرة</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حمل محاولة الشيخ محمد عبده في تفسير القرآن الكريم كاملةً على الاتّجاه العقلي في التّفسير فيه إهدار لجوانب أخرى حملها هذا التّفسير بين طيّاته، بل أكثر من ذلك قصدها مؤلّفه قصدًا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في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والعرفان في تفسير القرآن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مدرسة النّزعة العقلية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راترود 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مقالته موطن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في مطلع العصر الحديث والمعاصر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جعل الكاتب المصري محمد أبو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أبو زيد الدمنهوري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ممثّلي التّفسير العقلي، والذي كان يستلهم من نمط نزعةٍ عامّةٍ لعصر التّنوير الأوروبي، وقد أثار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والعرفان في تفسير القرآن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 في العام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 كثيراً من الجدل، ليصار إلى منعه من التداول من قبل الحكومة، نتيجة لتحرّكات جامعة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نسب الدكتور محمد علي رضائي إصفهاني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والعرفان إلى تفسير القرآن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أحمد خان الهندي </w:t>
      </w:r>
      <w:r>
        <w:rPr>
          <w:rStyle w:val="FootnoteAnchor"/>
          <w:rtl w:val="true"/>
        </w:rPr>
        <w:footnoteReference w:id="432"/>
      </w:r>
      <w:r>
        <w:rPr>
          <w:rFonts w:ascii="Amiri" w:hAnsi="Amiri" w:eastAsia="Amiri" w:cs="Amiri"/>
          <w:color w:val="111111"/>
          <w:sz w:val="28"/>
          <w:sz w:val="28"/>
          <w:szCs w:val="28"/>
          <w:rtl w:val="true"/>
          <w:lang w:bidi="ar-SA"/>
        </w:rPr>
        <w:t xml:space="preserve">وخطَّأ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نسبته الكتاب لمحمد أبو زيد المصري، ولكن لم يقدّم أدلّةً على 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وإدخال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والعرفان إلى تفسير القرآن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دائرة التّفسير العقلي الذي يلتزم فيه صاحبه بالقرائن النّقليّة والعقليّة فيه خطأ كبير، ودليلٌ على اضطراب اتّجاهات التّفسير المختلفة في 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راترود 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أدخل الدكتور الذهبي هذا الكتاب تحت اللّون الإلحادي للتفسير في عصرنا الحاضر، وإن لم يذكر اسم صاحبه، وذلك حسب منهجه في الرّدّ على أصحاب هذا الاتّجاه،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ووجدنا غير هؤلاء جميعًا رجلًا نكس على رأسه، فطوّعت له نفسه أن يخوض في تفسير كتاب الله على ما به من غواية وعماية، وأخيرًا طلع على الناس بكتابٍ مختصر في تفسير القرآن الكريم، تفسيرًا جمع فيه الكثير من </w:t>
      </w:r>
      <w:bookmarkStart w:id="466" w:name="pg8898_139539"/>
    </w:p>
    <w:p>
      <w:pPr>
        <w:pStyle w:val="BookText"/>
        <w:rPr/>
      </w:pPr>
      <w:bookmarkEnd w:id="466"/>
      <w:r>
        <w:rPr>
          <w:rFonts w:ascii="Amiri" w:hAnsi="Amiri" w:eastAsia="Amiri" w:cs="Amiri"/>
          <w:color w:val="111111"/>
          <w:sz w:val="28"/>
          <w:sz w:val="28"/>
          <w:szCs w:val="28"/>
          <w:rtl w:val="true"/>
          <w:lang w:bidi="ar-SA"/>
        </w:rPr>
        <w:t xml:space="preserve">وساوسه وأوهامه، ثم سوّل له الغرور أن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والعرفان في تفسير القرآن بالقرآن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ثم يقول الدكتور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أحدث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الهداية والعرفان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ضجّةً كبرى في المحيط العلميّ، وقام رجال الأزهر وقعدوا من أجله، ثم ألِّفت لجنة من بعض العلماء لتنظر في هذا الكتاب، ثم لتحكم عليه بما ترى فيه، ثم رفعت اللّجنةُ تقريرها لشيخ الأزهر إذ ذاك، وفيه تفنيد لآراء الرجل وحكم عليه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أفاك خرَّاص اشتهى أن يُعرف فلم يرَ وسيلةً أهون عليه وأوفى بغرضه من الإلحاد في الدين بتحريف كلام الله عن مواضعه، ليستفز الكثير من النّاس إلى الحديث في شأنه وترديد سيرته</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يعرض لنا الدكتور الذهبي ألوانًا من هذا التّفسير الذي قدّمه صاحبه تحت ما أسماه الهداية والعرفان، لتؤكد لنا تلك الأمثلة أنَّ هذا التّفسير بعيدٌ كل البعد عن منهج المدرسة العقليّة في التّفسير</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935771_2870459653"/>
      <w:bookmarkStart w:id="468" w:name="_Toc177"/>
      <w:bookmarkEnd w:id="467"/>
      <w:r>
        <w:rPr>
          <w:rtl w:val="true"/>
        </w:rPr>
        <w:t>ثانيًا</w:t>
      </w:r>
      <w:r>
        <w:rPr>
          <w:rtl w:val="true"/>
        </w:rPr>
        <w:t xml:space="preserve">: </w:t>
      </w:r>
      <w:r>
        <w:rPr>
          <w:rtl w:val="true"/>
        </w:rPr>
        <w:t>ما يدعى بالتفسير العلمي للقرآن</w:t>
      </w:r>
      <w:r>
        <w:rPr>
          <w:rtl w:val="true"/>
        </w:rPr>
        <w:t>:</w:t>
      </w:r>
      <w:bookmarkEnd w:id="468"/>
    </w:p>
    <w:p>
      <w:pPr>
        <w:pStyle w:val="Heading6"/>
        <w:numPr>
          <w:ilvl w:val="5"/>
          <w:numId w:val="1"/>
        </w:numPr>
        <w:rPr/>
      </w:pPr>
      <w:bookmarkStart w:id="469" w:name="__RefHeading___Toc935773_2870459653"/>
      <w:bookmarkStart w:id="470" w:name="_Toc178"/>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 xml:space="preserve">التّفسير العلميّ للقرآن منهجٌ من مناهج تفسير القرآن الكريم، التي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أطلَّت برأسها بقوّةٍ في مطلع العصر الحديث والمعاصر، وإن كان يقرّر أنَّ ثمّة إشارات في الماضي تُشير إلى هذا الاتّجاه التّفسيري كما عند الفخر الرازي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الفرضيّة الكبرى التي انطلق منها هذا الاتّجاه التّفسيريّ حديثًا تتمثّل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كافة ما توصّلت إليه العلوم الطبيعيّة الحديثة ورد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الهدف الذي يتغيّاه القائلون بهذا الاتّجاه التّفسيريّ هو إثبات أنَّ القرآن سبق علماء الغرب بقرون عدّة؛ لأنّه يشير إلى أمورٍ لم يكتشفها علماء الغرب إلّا في العصر الحديث</w:t>
      </w:r>
      <w:r>
        <w:rPr>
          <w:rFonts w:eastAsia="Amiri" w:cs="Amiri" w:ascii="Amiri" w:hAnsi="Amiri"/>
          <w:color w:val="111111"/>
          <w:sz w:val="28"/>
          <w:szCs w:val="28"/>
          <w:rtl w:val="true"/>
          <w:lang w:bidi="ar-SA"/>
        </w:rPr>
        <w:t xml:space="preserve">. </w:t>
      </w:r>
      <w:bookmarkStart w:id="471" w:name="pg8898_139540"/>
    </w:p>
    <w:p>
      <w:pPr>
        <w:pStyle w:val="BookText"/>
        <w:rPr/>
      </w:pPr>
      <w:bookmarkEnd w:id="471"/>
      <w:r>
        <w:rPr>
          <w:rFonts w:ascii="Amiri" w:hAnsi="Amiri" w:eastAsia="Amiri" w:cs="Amiri"/>
          <w:color w:val="111111"/>
          <w:sz w:val="28"/>
          <w:sz w:val="28"/>
          <w:szCs w:val="28"/>
          <w:rtl w:val="true"/>
          <w:lang w:bidi="ar-SA"/>
        </w:rPr>
        <w:t>ثم إنَّ تفاسير محمد عبده المصري لم تكن بعيدةً عن السّعي لاكتشاف العلوم الحديثة في القرآن، وإن اختلف هدفه في السّعي عن هدف المدافعين عن هذا الاتّجاه التّفسيري، فهو يتوخّى أن يبيِّن لقرّائه بأنَّ آيات القرآن لا تتعارض مع حقيقة المعايير العلميّة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يقدّم ويلانت في مقالته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في مطلع العصر الحديث والمعاصر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ببعض مَن مثّلو اتّجاه التّفسير العلميّ للقرآن الكريم من أمثال محمد بن أحمد بن الإسكندراني في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الأسرار النورانيّة القرآنيّة فيما يتعلّق بالأجرام السّماويّة والأرضيّة والحيوانات والنّبات والجواهر المعدنيّة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الطنطاوي الجوهري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في تفسير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العزيز إسماعيل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والطب والحديث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وحنفي أحمد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القرآن في وصف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الرازق نوفل في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مجمل آراء ويلانت التي عرضها تعليقًا على اتّجاه التّفسير العلمي للقرآن الكريم، ويمكن مناقشتها والرّدّ عليها فيما يلي</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935775_2870459653"/>
      <w:bookmarkStart w:id="473" w:name="_Toc179"/>
      <w:bookmarkEnd w:id="472"/>
      <w:r>
        <w:rPr/>
        <w:t>1</w:t>
      </w:r>
      <w:r>
        <w:rPr>
          <w:rtl w:val="true"/>
        </w:rPr>
        <w:t xml:space="preserve">- </w:t>
      </w:r>
      <w:r>
        <w:rPr>
          <w:rtl w:val="true"/>
        </w:rPr>
        <w:t>الخلط بين التّفسير العلمي والإعجاز العلمي للقرآن</w:t>
      </w:r>
      <w:r>
        <w:rPr>
          <w:rtl w:val="true"/>
        </w:rPr>
        <w:t>:</w:t>
      </w:r>
      <w:bookmarkEnd w:id="47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أمرٌ واضحٌ تمام الوضوح فيما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المقام؛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بينما يسعى المدافعون عن التّفسير العلميّ سبق علماء الغرب بقرون عدّة؛ لأنّه يشير لأمورٍ لم يكتشفها علماء الغرب إلّا في العصر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مقاصد الإعجاز العلميّ في القرآن، وليس التفسير العلمي، وثمّة فروق بين الأمرين تتّضح من خلال ما أورده العلماء من فروقٍ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فالتّفسير العلميّ كشف عن معاني الآية ومراد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أمَّا الإعجاز العلميّ، فهو إخبار القرآن الكريم أو السنّة النّبويّة بحقيقةٍ علميّةٍ أثبتها العلم أخيراً، وثبت عدم إدراكها بالوسائل البشريّة في زمن الرسول صلّی الله علیه و آله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474" w:name="pg8898_139541"/>
    </w:p>
    <w:p>
      <w:pPr>
        <w:pStyle w:val="BookText"/>
        <w:rPr/>
      </w:pPr>
      <w:bookmarkEnd w:id="474"/>
      <w:r>
        <w:rPr>
          <w:rFonts w:ascii="IRNazanin" w:hAnsi="IRNazanin" w:eastAsia="IRNazanin"/>
          <w:color w:val="111111"/>
          <w:sz w:val="28"/>
          <w:sz w:val="28"/>
          <w:szCs w:val="28"/>
          <w:rtl w:val="true"/>
          <w:lang w:bidi="fa-IR"/>
        </w:rPr>
        <w:t xml:space="preserve">وقريب من ذلك بشأن هذه التّفرقة الدّقيقة بين التّفسير العلميّ والإعجاز العلميّ ما ذكرته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الإعجاز العلمي في القرآن والسنة، والتي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والفرق بين التفسير العلمي والإعجاز العلمي هو أنَّ التفسير العلمي كشفٌ عن معاني الآية أو الحديث، في ضوء ما ترجّحت صحّته من حقائق العلوم الكونيّة، أمَّا الإعجاز العلمي فهو إخبار القرآن الكريم أو السِّنّة النبويّة بحقيقة أثبتها العلم التّجريبيّ أخيرًا وثبت عدم إدراكها بالوسائل البشريّة في زمن الرّسول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وتتّضح تلك التّفرقة أكثر في تلك التّعريفات التي أوردها مَنْ أصَّلوا لمناهج التّفسير في العصر الحديث، فيقول الدّكتور الذّهبي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التّفسير العلميّ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نريد بالتّفسير العلميّ التّفسير الذي يُحَكِّم الاصطلاحات العلميّة في عبارات القرآن، ويجتهد في استخراج مختلف العلوم والآراء الفلسفيّة منها</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فيما ذكره الدّكتور أمين الخولي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تعريفٍ للتفسير العلمي، يضع هذا المصطلح في موضعه الصّحيح، خاصّة وأنَّ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الخولي صاحب مدرسة لها منهج في تفسير القرآن الكريم،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التّفسير الذي يُحكّم الاصطلاحات العلميّة في عبارة القرآن، ويجتهد في استخراج مختلف العلوم والآراء الفلسفيّة منها</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كلّ ما سبق يؤكّد عمليّة الخلط بين التّفسير العلميّ والإعجاز العلميّ في ذهن ويلانت، حيث يسوقهما في المساق نفسه، بل ويبني عليهما أحكامًا في حديثه</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935777_2870459653"/>
      <w:bookmarkStart w:id="476" w:name="_Toc180"/>
      <w:bookmarkEnd w:id="475"/>
      <w:r>
        <w:rPr/>
        <w:t>2</w:t>
      </w:r>
      <w:r>
        <w:rPr>
          <w:rtl w:val="true"/>
        </w:rPr>
        <w:t>-</w:t>
      </w:r>
      <w:r>
        <w:rPr>
          <w:rtl w:val="true"/>
        </w:rPr>
        <w:t>اضطراب في فهم الهدف من التّفسير العلميّ للقرآن الكريم</w:t>
      </w:r>
      <w:r>
        <w:rPr>
          <w:rtl w:val="true"/>
        </w:rPr>
        <w:t>:</w:t>
      </w:r>
      <w:bookmarkEnd w:id="47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راترود 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مقالته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محدّدًا الهدف الذي يسعى إليه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والمذاهب المعاصرة، كلية أصول الدين، جامعة الإمام محمد بن سعود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محمد الحميدي، الأستاذ المشارك العام الجامعي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المدافعون عن التّفسير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يتمثّل في وجهة نظره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أنَّ القرآن سبق علماء الغرب بقرون عدّة؛ لأنّه يشير إلى أمورٍ لم يكتشفها علماء الغرب إلّا في العصر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كلامٌ عارٍ عن الصحة تمامًا، أو لعلَّ ما أورده هنا لا يمثّل إلّا نقطةً بسيطةً من الهدف الأسمى الذي نشأ من أجله هذا الاتّجاه التّفسيريّ، ولعلّ دراسة جذور التّفسير العلميّ في تراثنا العربي تؤكّد ذلك، والتي يربطها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رضائي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بعمليّة التّرجمة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أفضت عمليّة ترجمة بعض أفكار غير المسلمين في مجال مختلف العلوم ونقلها إلى البلاد الإسلاميّة مترامية الأطراف إلى حصول ما يبدو تعارضًا بين ظاهر بعض آيات القرآن والعلوم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العلماء المسلمون منذ القرون الأولى للإسلام سلوك طريقين؛ من أجل رفع هذه المعضلة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المطالب الباطلة في هذه العلوم في إطار إرشاد النّاس وهدايتهم؛ إذ كان الكثير من المباني الفلسفيّة والعلميّة المستوردة من الإغريقيين قابلًا للطعن والإشكال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وفاقم الأمر أنَّ هذه المطالب كانت من جهةٍ أخرى معارضةً لدين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تمَّ تأليف كتب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 الفلاسفة لأبي حامد الغزالي، ومفاتيح الغيب للفخر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آيات القرآن على العلوم التّجريبيّة الإغريقيّة؛ لإثبات أنَّ القرآن على حقّ، وأنَّ ما جاء به من المفاهيم العلميّة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تمَّ تطبيق الآيات القرآنيّة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السّيّارات السّبع في علم النّجوم عند الإغريق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ظهر أسلوب التّفسير العلمي، وبدأ بالتّطوّر التّدريجيّ</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لعلّ بعض التّعريفات المقدّمة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في طيّاتها بعض أهداف هذا النّوع من التّفسير من مثل ما أورده الأستاذ فهد الرّومي في </w:t>
      </w:r>
      <w:bookmarkStart w:id="477" w:name="pg8898_139543"/>
    </w:p>
    <w:p>
      <w:pPr>
        <w:pStyle w:val="BookText"/>
        <w:rPr/>
      </w:pPr>
      <w:bookmarkEnd w:id="477"/>
      <w:r>
        <w:rPr>
          <w:rFonts w:ascii="Amiri" w:hAnsi="Amiri" w:eastAsia="Amiri" w:cs="Amiri"/>
          <w:color w:val="111111"/>
          <w:sz w:val="28"/>
          <w:sz w:val="28"/>
          <w:szCs w:val="28"/>
          <w:rtl w:val="true"/>
          <w:lang w:bidi="ar-SA"/>
        </w:rPr>
        <w:t>تعريفه لمصطلح التّفسير العلميّ؛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يظهر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الأقرب إلى أن يكون جامعًا مانعًا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بالتّفسير العلميّ هو اجتهاد المفسّر في كشف الصّلة بين آيات القرآن الكريم الكونيّة ومكتشفات العلم التّجريبيّ على وجهٍ يُظهر به إعجازًا للقرآن يدلّ على مصدره وصلاحيّته لكلّ زمانٍ ومكانٍ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الهدف هنا هو إثبات إعجاز القرآن الكريم، وليس إثبات أنَّ القرآن سبق علماء الغرب بقرون عدّة، كما يقرّر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راترود 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مقالته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في العصر الحديث فإنَّ جلَّ ما كُتب في باب التفسير العلميّ للقرآن الكريم لم يكن المقصد منه إثبات تفوّق القرآن وسبقه لما توصّلت إليه الحضارة الغربيّة من مكتشفاتٍ، بقدر ما يهدف إلى إثبات الانسجام بين العلم والدّين، وأنّه لا شبهة تعارضٍ بين آيات القرآن والعلم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إنّها على العكس من ذلك تثبت المعطيات العلميّة، الأمر الذي من شأنه أن يؤكّد اشتمال القرآن على الإعجاز العلمي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فقد عملوا على توظيف العلوم في فهم القرآن، وألّفوا الكتب في موضوع التّفسير العلمي</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8" w:name="__RefHeading___Toc935779_2870459653"/>
      <w:bookmarkStart w:id="479" w:name="_Toc181"/>
      <w:bookmarkEnd w:id="478"/>
      <w:r>
        <w:rPr/>
        <w:t>3</w:t>
      </w:r>
      <w:r>
        <w:rPr>
          <w:rtl w:val="true"/>
        </w:rPr>
        <w:t xml:space="preserve">- </w:t>
      </w:r>
      <w:r>
        <w:rPr>
          <w:rtl w:val="true"/>
        </w:rPr>
        <w:t>خطأ في فرضيّة أنَّ التّفسير العلميّ قائمٌ على أساس أنَّ القرآن يشتمل على العلوم كافّة</w:t>
      </w:r>
      <w:r>
        <w:rPr>
          <w:rtl w:val="true"/>
        </w:rPr>
        <w:t>:</w:t>
      </w:r>
      <w:bookmarkEnd w:id="47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عن التّفسير العلميّ للقرآن الكريم بافتراض فرضيّة ناقصة، لم تشمل كلّ الرؤى التي دارت حول هذا الاتّجاه من التّفسير، وهي الفرضيّة التي تقول باشتمال القرآن على جميع العلوم،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فهم التّفسير العلميّ في ضوء الفرضيّة القائمة على أساس أنَّ كافّة ما توصّلت إليه العلوم الطبيعيّة الحديثة ورد ذكرها في القرآن، ويمكن العثور على إشاراتٍ صريحةٍ لها في كثيرٍ من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فرضيّة لا يُؤيّدها الواقع ولا تمثّل إلّا طائفةً بسيطةً ممن قال بهذا الأمر قديمًا، ولا تنسجم إطلاقًا مع الهدف من التّفسير العلمي للقرآن الكريم في العصر الحديث، والذي انطلق من مقصد البحث عن الانسجام بين القرآن والعلم الحديث ردًّا على موجات الإلحاد التي غزت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موقف العلماء تجاه التّفسير العلميّ للقرآن متفاوتٌ تفاوتًا كبيرًا، فمنهم من عارض هذا الاتّجاه معارضةً مطلقةً، مثل أبي إسحاق الشاطبي صاحب الموافقات، فالشّريعة في نظره ينبغي أن تكون أميّة؛ لأنّها نزلت في قومٍ أميين، وليس من الحكمة أن يُخاطب القوم بما لا يفهمون، وأن يكلّفوا ما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 الشّاطبيّ في الرّأي عددًا من العلماء المعاصرين، إلّا أنّهم وإن عارضوا القول بالتّفسير العلمي، فقد أكّدوا على عدم وجود تضاربٍ بين حقائق العلم وحقائق القرآن، ومن أمثال هؤلاء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الذهبي، والشيخ محمود شلتوت، والدكتور أحمد الشرباصي، والسيَّد محمد باقر الصدر، والأستاذ أمين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الخولي، والدكتورة بنت الشاطئ، والدكتور عبد المجيد عبد السلام المحتسب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ينطبق على المرحلة التي تلت مرحلة ابن سينا عند التأريخ لجذور هذا الاتّجاه التّفسيريّ، وكان أبو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القائلين بهذا الرأي، وتبعه على ذلك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تبقى بعد ذلك طائفةٌ ممّن رفض التّفسير العلميَّ رفضًا لا ينكر الإشارات العلميّة في القرآن الكريم، ويثبت في الوقت نفسه أنّه لا تعارض بين القرآن والعلم، وطائفة ثانية حاولت من خلال هذا اللّون من التّفسير البحث عن الانسجام بين النّصّ القرآنيّ ومكتشفات العلم الحديث، ثم طائفة ثالثة قالت بهذا اللّون من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قضيّة إعجاز القرآن الكريم، من أمثال محمد عبده، والطاهر بن عاشور، ومحمد متولي الشعراوي</w:t>
      </w:r>
      <w:r>
        <w:rPr>
          <w:rFonts w:eastAsia="Amiri" w:cs="Amiri" w:ascii="Amiri" w:hAnsi="Amiri"/>
          <w:color w:val="111111"/>
          <w:sz w:val="28"/>
          <w:szCs w:val="28"/>
          <w:rtl w:val="true"/>
          <w:lang w:bidi="ar-SA"/>
        </w:rPr>
        <w:t xml:space="preserve">. </w:t>
      </w:r>
      <w:bookmarkStart w:id="480" w:name="pg8898_139545"/>
    </w:p>
    <w:p>
      <w:pPr>
        <w:pStyle w:val="BookText"/>
        <w:rPr/>
      </w:pPr>
      <w:bookmarkEnd w:id="480"/>
      <w:r>
        <w:rPr>
          <w:rFonts w:ascii="Amiri" w:hAnsi="Amiri" w:eastAsia="Amiri" w:cs="Amiri"/>
          <w:color w:val="111111"/>
          <w:sz w:val="28"/>
          <w:sz w:val="28"/>
          <w:szCs w:val="28"/>
          <w:rtl w:val="true"/>
          <w:lang w:bidi="ar-SA"/>
        </w:rPr>
        <w:t xml:space="preserve">ولكن لم يقل أحدٌ من أصحاب الطّوائف الثّلاث باشتمال النّص القرآنيّ على العلوم كافّة، وهي الفرضيّة التي بدأ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في مقالته السّابقة تحت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يدعى بالتّفسير العلميّ</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935781_2870459653"/>
      <w:bookmarkStart w:id="482" w:name="_Toc182"/>
      <w:bookmarkEnd w:id="481"/>
      <w:r>
        <w:rPr/>
        <w:t>4</w:t>
      </w:r>
      <w:r>
        <w:rPr>
          <w:rtl w:val="true"/>
        </w:rPr>
        <w:t xml:space="preserve">. </w:t>
      </w:r>
      <w:r>
        <w:rPr>
          <w:rtl w:val="true"/>
        </w:rPr>
        <w:t>خطأ في تحديد الجذور الأولى لمنهج التّفسير العلميّ</w:t>
      </w:r>
      <w:r>
        <w:rPr>
          <w:rtl w:val="true"/>
        </w:rPr>
        <w:t>:</w:t>
      </w:r>
      <w:bookmarkEnd w:id="482"/>
    </w:p>
    <w:p>
      <w:pPr>
        <w:pStyle w:val="BookText"/>
        <w:rPr/>
      </w:pPr>
      <w:r>
        <w:rPr>
          <w:rFonts w:ascii="Amiri" w:hAnsi="Amiri" w:eastAsia="Amiri" w:cs="Amiri"/>
          <w:color w:val="111111"/>
          <w:sz w:val="28"/>
          <w:sz w:val="28"/>
          <w:szCs w:val="28"/>
          <w:rtl w:val="true"/>
          <w:lang w:bidi="ar-SA"/>
        </w:rPr>
        <w:t xml:space="preserve">لقد أخطأ ويلانت في تحديد الجذور الأولى لهذا الاتجاه التّفسيري، حيث ردّها إلى الفخر الرازي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طبعًا إِنَّ النّموذج الأصليّ للتفسير العلمي ليس مستجدًّا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لعدد من مؤلّفي التّفاسير الكلاسيكيّة، لا سيّما الفخر الرازي، أن طرحوا فكرة أنَّ القرآن يتضمّن العلوم كافّة، ونتيجة لذلك عملوا على استخراج علوم فلك عصرهم من 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تابع هذا النّوع من التّفسير شهاب الدين الألوسي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لم يظهر من هذا التّفسير أيُّ معرفةٍ من العلم الغربي الحديث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أنَّ البدايات الأولى لهذا اللّون التّفسيريّ تعود إلى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صحيحٍ، فبعض مؤلّفات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فيها نماذج من تدوين التّفسير العلمي، يقول الدكتور محمد علي رضائي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قسَّم مراحل التّفسير العلمي إلى ثلاث مراحل رئيسة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الأولى تبدأ من القرن الثاني تقريبًا، وتستمرّ إلى القرن الهجري الخامس، حيث بدأت بترجمة التّراث الإغريقي إلى اللّغة العربيّة، وسعى عددٌ من المسلمين إلى تطبيق آيات القرآن على علم الهيئة البطليموسية من أمثال ابن سينا، حيث نرى نماذج من تدوين التّفسير العلميّ في مؤلّفات ابن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935783_2870459653"/>
      <w:bookmarkStart w:id="484" w:name="_Toc183"/>
      <w:bookmarkEnd w:id="483"/>
      <w:r>
        <w:rPr>
          <w:rtl w:val="true"/>
        </w:rPr>
        <w:t>ثالثًا</w:t>
      </w:r>
      <w:r>
        <w:rPr>
          <w:rtl w:val="true"/>
        </w:rPr>
        <w:t xml:space="preserve">: </w:t>
      </w:r>
      <w:r>
        <w:rPr>
          <w:rtl w:val="true"/>
        </w:rPr>
        <w:t>تفسير القرآن في ضوء الدّراسات الأدبيّة</w:t>
      </w:r>
      <w:r>
        <w:rPr>
          <w:rtl w:val="true"/>
        </w:rPr>
        <w:t>:</w:t>
      </w:r>
      <w:bookmarkEnd w:id="48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الجزء من مقالته تلك الأراء التي دارت حول التّفسير الأدبيّ للقرآن الكريم، وذكر أنَّ هذا الاتّجاه التّفسيريّ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يصحّ أن نطلق عليه </w:t>
      </w:r>
    </w:p>
    <w:p>
      <w:pPr>
        <w:pStyle w:val="BookText"/>
        <w:rPr/>
      </w:pPr>
      <w:r>
        <w:rPr>
          <w:rFonts w:ascii="Amiri" w:hAnsi="Amiri" w:eastAsia="Amiri" w:cs="Amiri"/>
          <w:color w:val="111111"/>
          <w:sz w:val="28"/>
          <w:sz w:val="28"/>
          <w:szCs w:val="28"/>
          <w:rtl w:val="true"/>
          <w:lang w:bidi="ar-SA"/>
        </w:rPr>
        <w:t>اتّجاها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مع الشّيخ أمين الخولي، وانعكس في عددٍ من مؤلّفاته، يأتي على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التجديد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ويقرّر أنَّ طه حسين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أمين الخولي في الإشارة إلى أنَّ الكتب المقدّسة إرثٌّ أدبيٌّ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ويلانت أنَّ من تلامذة أمين الخولي الذين اقتنعوا بمنهجه وساروا على دربه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شكري عياد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خلف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الشاطئ، ويقف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البياني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لبنت الشاطئ ويرى أنّ منهج أمين الخولي واضح في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يعرض راترود ويلانت لتلك الإشكاليّة التي طرحها تلميذ أمين الخولي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أحمد خلف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الجامعيّة التي دارت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 القصصي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مناقشة الآراء السّابقة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 في تحديد البدايات الأولى لهذا الاتّجاه التّفسيري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وأن بينَّا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هذا الاتّجاه التّفسيري بدأ مع أمين الخولي، فقد قال في مقالته موطن الدّراسة النّقدية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في مطلع العصر الحديث والمعاصر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بدأ استخدام أساليب الدّراسات الأدبيّة في تفسير القرآن أساسًا مع أمين الخولي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يؤلّف كتابًا ،تفسيريَّا، إلّا أنّه خصّص محاضراته للمواضيع التّفسيريّة، ليتناول في مؤلّفاته التي طُبعت في أعقاب العام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التّفسير والوضع الرّاهن لمقدّمات مناهجه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الدّراسة التّاريخيّة لهذا اللّون من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الأدبي للقرآن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أنَّ جذوره أعمق من أمين الخولي ومعاصره طه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بدأت بذور هذا الاتّجاه في التّفسير تظهر في تفسير محمّد عبده، ومحمّد رشيد رضا، ومحمّد مصطفى المراغي، لكنّ جهودهم في هذا الصدد لا تتعدّى الإشارات واللمحات العابرة</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بالرّغم من ذلك تبقى إشارتهم في تفسيراتهم المختلفة ممثلةً البدايات الأولى لهذا المنهج في مطلع العصر الحديث، وإلا فبذوره الأولى أقدم من ذلك بكثير كما سنبيّنه فيما بعد، ويؤكّد تمثيلها لتلك البدايات شهادة الشيخ أمين الخولي نفسه، فعندما احتدمت المعركة بينه وبين المعارضين لهذا الاتّجاه الذي تبلور في رسالة تلميذه محمد أحمد خلف الله، وكانت تحت إشرافه، فقال بعد أن رُفضت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ترفض اليوم ما كان يقرّره الشيخ محمد عبده بين جدران الأزهر منذ اثنين وأربعين عامًا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يقرّره الدكتور الذهبي عند حديثه عن هذه المدرسة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اللون الأدبي الاجتماعي للتفسير في عصرنا الحاضر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يمتاز التّفسير في هذا العصر بأنّه يتلوّن باللّون الأدبيّ الاجتماعيّ، ونعني بذلك أنَّ التّفسير لم يعد يظهر عليه في هذا العصر ذلك الطّابع الجاف الذي يصرف النّاس عن هداية القرآن الكريم، وإنّما ظهر عليه طابعٌ آخر، وتلوّن بلونٍ يكاد يكون جديدًا وطارئًا على التّفسير، ذلك هو معالجة النّصوص القرآنيّة معالجةً تقوم أوّلًا وقبل كلّ شيءٍ على إظهار مواضع الدّقّة في التّعبير القرآنيّ، ثم بعد ذلك تُصاغ المعاني التي يهدف القرآن إليها في أسلوبٍ شيقٍ أخّاذٍ، ثم يُطبّق النّصّ القرآنيّ على ما في الكون من سنن الاجتماع ونظم 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اللّون الاجتماعيّ يعتبر في نظرنا عملًا جديدًا في التّفسير، وابتكارًا يرجع فضله إلى مفسّري هذا العصر الحديث، فإنّنا نستطيع أن نقول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في هذا اللّون التّفسيريّ يرجع إلى مدرسة الأستاذ الإمام الشيخ محمد عبده للتفسير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المدرسة التي قام زعيمها ورجالها من بعده بمجهودٍ كبيرٍ في تفسير كتاب الله تعالى، وهداية النّاس إلى ما فيه من خير الدنيا وخير الآخرة</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أكثر من ذلك فقد ردَّ البعض جذور هذا الاتّجاه الأدبيّ في التّفسير إلى اتّجاه </w:t>
      </w:r>
    </w:p>
    <w:p>
      <w:pPr>
        <w:pStyle w:val="BookText"/>
        <w:rPr/>
      </w:pPr>
      <w:r>
        <w:rPr>
          <w:rFonts w:ascii="Amiri" w:hAnsi="Amiri" w:eastAsia="Amiri" w:cs="Amiri"/>
          <w:color w:val="111111"/>
          <w:sz w:val="28"/>
          <w:sz w:val="28"/>
          <w:szCs w:val="28"/>
          <w:rtl w:val="true"/>
          <w:lang w:bidi="ar-SA"/>
        </w:rPr>
        <w:t xml:space="preserve">التّفسير البيانيّ للقرآن الكريم، والذي يعدُّ أحد الاتّجاهات الكبرى في علم التّفسير، والذي يستند إلى دعامتي اللّغة والصورة البيانيّة ليثبت من خلالهما إعجاز القرآن في هذا الجانب،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بدأت حركة التأليف في التّفسير في القرن الثاني الهجري، وبدأ معها جنبًا إلى جنب التّفسير اللغويِّ للقرآن، وليس معنى هذا أنَّ المعاني البيانيّة للقرآن لم تظهر إلّا في هذا الوقت، فالعرب الذين نزل القرآن بلغتهم كان البيان فيهم سجيّة ولهم طبعًا، والمطّلع على تفسيراتهم يجد أنَّ فيها حظًا وافرًا من 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من أمرٍ، فإنّ حركة التّدوين اللّغوي للقرآن الكريم واكبت حركة التّفسير بالمأثور كما أسلفت، وأوّل من أسهم في تلك الحركة اللّغويّون والنّحاة، حيث ظهر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للفرّاء، والفرّاء كما نعلم من أئمّة النّحو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عبيدة فيكفينا أن نقف مع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وسنجد في هذا الكتاب كثيراً من الأساليب البلاغيّة والمباحث البيانيّة التي كانت أساسًا أفاد منه كلّ أولئك الذين جاءوا من بعده، والتي تدلّ كذلك على أصالة نشأة البلاغة العربيّة</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ويمتدّ ذلك الدّرس البياني للقرآن الكريم، والذي يعدُّ أحد الجذور الأساسية لهذا اللّون من التّفسير الأدبي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يبدأ استخدام أساليب الدّراسات الأدبيّة في تفسير القرآن الكريم بالشيخ أمين الخولي، كما 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حديثه عن هذا الاتّجاه في مقالته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استقاء الملامح العامّة للتفسير الأدبي للقرآن الكريم من مدرسة الشيخ أمين الخولي فقط</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الملامح العامّة لاتّجاه التّفسير الأدبيِّ عند أمين الخولي يمكن الوقوف عليها فيما وضعته الدكتورة بنت الشاطئ من ضوابط للتفسير، التي ستبني عليها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البياني للقرآن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هذه المرتكزات والضّوابط اعتمد </w:t>
      </w:r>
    </w:p>
    <w:p>
      <w:pPr>
        <w:pStyle w:val="BookText"/>
        <w:rPr/>
      </w:pPr>
      <w:r>
        <w:rPr>
          <w:rFonts w:ascii="IRNazanin" w:hAnsi="IRNazanin" w:eastAsia="IRNazanin"/>
          <w:color w:val="111111"/>
          <w:sz w:val="28"/>
          <w:sz w:val="28"/>
          <w:szCs w:val="28"/>
          <w:rtl w:val="true"/>
          <w:lang w:bidi="fa-IR"/>
        </w:rPr>
        <w:t xml:space="preserve">راترود ویلانت في فهم الملامح العامّة لهذا الاتّجاه، والتي يأتي على رأسها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التّناول الموضوعيّ لِمَا يُراد فهمه من القرآن، ويبدأ بجمع كلّ ما في الكتاب من سور وآيات في الموضوع المدروس</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مقالته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في مطلع العصر الحديث والمعاصر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انتقت بنت الشاطئ بصورةٍ مقصودةٍ عددًا من قصار سور القرآن كي تُظهر ثمرات تبنّيها لمنهج خولي بصورةٍ جليّةٍ، إذ تُشكّل كل من السّور وحدة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منهج أمين الخولي وتلامذته ينطلق في الأساس من قضيّة الوحدة الموضوعيّة التي تعالجها قضيّةً معيّنةً تثيرها بعض الآيات القرآنيّة، ويقوم منهج المفسّر في هذا الاتّجاه على تحديد الموضوع القرآني، ثم جمع الآيات من مختلف السّور القرآنيّة التي تتّفق في الموضوع نفسه، ودراسة تراكيبها اللّغويّة والأسلوبيّة ودراسة أسباب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الملامح العامّة لهذا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ثمة تجربة أخرى في باب التّفسير الأدبي تتّفق مع تجربة الشيخ أمين الخولى في المقصد العام وهو بيان الإعجاز البياني للقرآن من خلال دراسة الموضوع الذي عبّر عنه القرآن الكريم، ولكنّها تختلف معها في آليّه التّطبيق، وفهم المقصود من قضيّة الوحدة الموضوعيّة للقرآن، وهي تجربة الشيخ محمد عبد الله دراز، وهذا مما لم يُشر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على سبيل الإجمال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اهتمّت محاولة الشيخ أمين الخولي وتلامذته في باب التّفسير الأدبي للقرآن الكريم بتتبّع الموضوع في آيات القرآن كلّه، بينما نجد الشيخ دراز يرصد الوحدة الموضوعيّة على مستوى السّورة القرآنيّة وحدها، وهو تناول آخر يختلف عن التّناول الأوّل، حيث يرى الشيخ دراز أنَّ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بنيةٌ متماسكةٌ، قد بُنيت من المقاصد الكلّية على أُسس وأُصول، وأُقيم على كلّ أصل منها شُعبٌ وفصول، </w:t>
      </w:r>
    </w:p>
    <w:p>
      <w:pPr>
        <w:pStyle w:val="BookText"/>
        <w:rPr/>
      </w:pPr>
      <w:r>
        <w:rPr>
          <w:rFonts w:ascii="Amiri" w:hAnsi="Amiri" w:eastAsia="Amiri" w:cs="Amiri"/>
          <w:color w:val="111111"/>
          <w:sz w:val="28"/>
          <w:sz w:val="28"/>
          <w:szCs w:val="28"/>
          <w:rtl w:val="true"/>
          <w:lang w:bidi="ar-SA"/>
        </w:rPr>
        <w:t xml:space="preserve">وامتدّ من كلّ شعبةٍ فروع تقصر أو تطول، فلا تزال تنتقل بين أجزائها كما تنتقل بين حُجُراتٍ وأفنيةٍ، في بنيانٍ واحدٍ، قد وضع رسمه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إنّها تلتحم كما تلتحم الأعضاء في جسم الإنسان، فبين كلّ قطعةٍ وجارتها رباطٌ موضعيٌّ من أنفسهما، كما يلتقي العظمان عند المفصل، ومن فوقهما تمتدّ شبكة من الوشائج تحيط بهما عن كثب، كما يشتبك العضوان بالشرايين والعروق والأعصاب، ومن وراء ذلك كلّه يسري في جملة السّورة اتجاهٌ معيّنٌ، وتؤدّي بمجموعها غرضًا خاصًّا، كما يأخذ الجسم قوامًا واحدًا، ويتعاون بجملته على أداء غرضٍ واحدٍ، وظائفه العضويّة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سار الشيخ محمد الغزالي على نفس النّهج الذي سلكه الشيخ درَّاز في التفسير، حيث طبّق منهجه في التّفسير الموضوعي للقرآن الكريم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تفسير موضوعي لسور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عنيت عنايةً شديدةً بوحدة الموضوع في السّورة وإن كثرت قضاياها، وتأسَّيتُ في ذلك بالشّيخ محمد عبد الله دراز عندما تناول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أطول سورة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منها باقةً واحدةً ملوّنةً نضيدةً، ويعرف ذلك من قرأ كتابه النبأ العظيم، وهو أوّل تفسيرٍ موضوعيٍّ لسورةٍ كاملةٍ، فيما أعتقد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هذا اتّجاه تفسيريٌّ آخر يتّفق مع المقصد نفسه الذي قصده الشيخ أمين الخولي في تناوله الأسلوب الأدبي في تفسير القرآن الكريم، وإن اختلف معه في آليّة التّطبيق، وهو حريّ أن يُشار إليه عند التأريخ لاتّجاه التّفسير الأدبي للقرآن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في فهم الملامح العامّة للتفسير الأدبي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الوقوف على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راترود 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يُنبئ عن اضطرابٍ في فهم ملامح الاتّجاه الأدبيّ في التّفسير، والذي اتّضحت معالمه الكبرى فيما دوّنته تلميذة الشّيخ أمين الخولى الدكتورة بنت الشاطئ 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البياني للقرآن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دراز، محمد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العظيم، لا ط، الكويت، دار القلم، لا ت،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تفسير موضوعي لسور القرآن الكريم،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القاهرة، دار الشروق،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استهلّته بالحديث عن المنهج الذي ستسلكه في كتابها هذا، وأقرَّت بأنّه نفس المنهج الذي رسّخه الشّيخ أمين الخولي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تتلخّص ضوابطه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الموضوعيّ لِمَا يُراد فهمه من القرآن، ويبدأ بجمع كلِّ ما في الكتاب من سورٍ وآياتٍ في الموضوع المدروس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فهم ما حول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الآيات فيه على حسب نزولها، لمعرفة ظروف الزّمان والمكان، كما يستأنس بالمرويّات في أسباب النّزول من حيث لابَسَتْ نزولَ الآية، دون ما يفوتنا ما تكون العبرة فيه بعموم اللفظ لا بخصوص السّبب الذي نزلت فيه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فهم دلالات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نقدِّر أنَّ العربيّة هي لغة القرآن، فنلتمس الدّلالة اللّغويّة الأصيلة، التي تُعطي حسَّ العربيّة للمادَّة في مختلف استعمالاتها الحسّيّة والمجازيّة، ثمّ يخلص لِلَمْح الدّلالة القرآنيّة باستقراء كلّ ما في القرآن من صِيَغ اللّفظ، وتدبّر سياقها الخاصّ في الآية والسّورة، وسياقها العامّ في القرآن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فهم أسرار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يُحتكم إلى سياق النّصّ في القرآن، بالالتزام بما يحتمله نصَّا وروحًا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عليه أقوال المفسِّرين، فيقبل منها ما يقبله النّصّ، ويتحاشى ما أُقحِم على كتب التّفسير من مدسوس الإسرائيليات، وشوائب الأهواء المذهبيّة، وبدع التأويل</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ملخّص الملامح العامّة لمدرسة التّفسير الأدبيّ للقرآن الكريم وفق منهج أمين الخولي وتلامذته وعلى رأسهم بنت الشاطئ، ولكن بالتّأمّل فيما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مقالته السّابقة يتّضح مدى الاضطراب في فهم ذلك المنهج،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طلاب خولي الآخرين كانت زوجته عائشة عبد الرحمن، والتي ألّفت تفسيرها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البياني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المعالم الأساسيّة لفكر منهجيّة الخولي، حيث </w:t>
      </w:r>
    </w:p>
    <w:p>
      <w:pPr>
        <w:pStyle w:val="BookText"/>
        <w:rPr/>
      </w:pPr>
      <w:r>
        <w:rPr>
          <w:rFonts w:ascii="Amiri" w:hAnsi="Amiri" w:eastAsia="Amiri" w:cs="Amiri"/>
          <w:color w:val="111111"/>
          <w:sz w:val="28"/>
          <w:sz w:val="28"/>
          <w:szCs w:val="28"/>
          <w:rtl w:val="true"/>
          <w:lang w:bidi="ar-SA"/>
        </w:rPr>
        <w:t>أشارت في المقدّمة صراحةً لآراء خولي ونظرياته التي اعتمدتها فيه، وقد انتقت بنت الشاطي بصورةٍ مقصودةٍ عددًا من قصار سور القرآن؛ كي تُظهر ثمرات تبنّيها المنهج خولي بصورةٍ جليّةٍ؛ إذ تشكّل كلُّ من تلك السّور وحدةً موضوعيّةً، وبعد أن استعرضت بشكلٍ مجملٍ ترتيب نزول كلّ سورةٍ بيّنت أهميّة موضوعها زمن نزولها مقارنةً مع باقي مراحل الرّسالة النّبويّة، ولتوضيح تلك النّقطة أشارت إلى باقي السّور أو الأقسام ذات الصّلة منها، وبحثت في أسباب نزولها، وهنا تسعى لاستعراض قسم على الأقلّ من الجوّ العام للخلفيّة التّاريخيّة للسّورة التي تبحث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وتبرز أكثر الخصائص الأسلوبيّة جذبًا للسّورة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لتعمل على خلق صلةٍ خاصّةٍ بين موضوع السّورة وتلك الخصائص، استنادًا للآيات المشابهة في السّور التي تهتمّ بالموضوع نفسه أو تحمل الخصائص الموضوعيّة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الانطلاق عند بنت الشاطئ لم يكن من الوحدة الموضوعيّة في السّورة الواحدة ثم محاولة تلمس الشبه الموضوعي بينها وبين غيرها من الآيات، ولكن المنطلق هو تحديد الموضوع القرآني أوّلاً، ثم محاولة جمع الآيات القرآنيّة التي تدخل تحت هذا الموضوع، وشتّان ما بين المنطلقين، ففي المنهج الأوّل الذي ينطلق من السّورة لتحديد الموضوع، ربّما نصل إلى موضوعاتٍ لا حصر لها، ولا نجد لبعضها انعكاسًا في آيات القرآن، ففي بعض الأحيان قد تحمل الآية الواحدة موضوعًا خاصًّا بها، تقول بنت الشاطئ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والأصل في منهج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تلقّيته عن أستاذي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التّناول الموضوعيّ الذي يفرغ لدراسة الموضوع الواحد فيه، فيجمع كلّ ما في القرآن منه، ويهتدي بمألوف استعماله للألفاظ والأساليب، بعد تحديد الدّلالة اللّغويّة لكلّ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منهجٌ يختلف والطريقة المعروفة في تفسير القرآن سورةً سورةً، يؤخذ اللّفظ أو الآية فيه مقتطعًا من سياقه العام في القرآن كلّه، مما لا سبيل معه إلى الاهتداء إلى الدّلالة القرآنيّة لألفاظه، أو لمح ظواهره الأسلوبيّة وخصائصه البيانيّة</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القصص القرآني لا تفضي إلى نتيجةٍ واحدةٍ في الأحوال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حديثه عن تفسير القرآن في ضوء الدّراسات الأدبيّة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ظهر في السّنوات الأخيرة مؤلّفون تناولوا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دراسة القصص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كانوا حذرين نسبيًّا في استنباط نتائجهم خوفًا من أن يلقوا مصير خلف الله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هذا أنّه لولا الخوف من المصير الذي لاقاه محمد أحمد خلف الله نتيجة دراسته للقصص القرآني لخرجت نتائج هؤلاء الدّارسين متّفقةً مع ما وصل إليه خلف الله في دراسته، وهذا وهم لا أساس له، ولا يمكن إثباته من قبل ويلانت، بل هو افتراض ناقٌص لا أساس له، فآراء خلف الله تمّ مناقشتها والرّدّ عليها، كما أنَّ الكثير من الدّراسات التي دارت حول القصص القرآني لم تصل إلى تلك النّيجة التي وصل إليها خلف الله من القول بأنّه لا يشترط الصّدق التاريخيّ في القصّة القرآنيّة ويكفي منها جانبا الموعظة والتأثير في النّفس اللذان قصدهما القرآن قصدًا، بل على العكس من ذلك إنَّ معظم الذين درسوا القصص القرآني أكّدوا على الصّدق التّاريخيّ للقصّة القرآنيّة، ولم يجدوا تعارضًا بين وظيفة القصّة في القرآن وصدقها التَّاريخيّ، ولنأخذ مثالًا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الإطالة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المؤلّفات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مقاله السابق، وهو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 القرآني في منطوقه ومفهومه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عبد الكريم الخطيب،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فالقصص القرآني نهج وحده في موضوعه، وفي أسلوب آدائه، وفي مقاصده وغاياته، فهو في موضوعه نسيج من الصّدق الخالص، وعصارة من الحقيقة المصفاة، لا تشوبه شائبة من وهم، أو خيال، إنّه يُبنى من لبنات الواقع، بلا تزويقٍ ولا 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الواقع لا يتغيّر وجهه حين يعرض هذا العرض المعجز في ذلك الأسلوب القرآنيّ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فالإعجاز والرّوعة إنّما يتجلّيان في صدق الآداء، وفي نقل الواقع وما تلبّس به من سرائر النّفوس وخلجات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ليس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يقف عند السّطح ولا يتجاوز شيئًا مما وراءه من أبعادٍ وأعماقِ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نقلٌ حيٍّ للأحداث، حتى </w:t>
      </w:r>
      <w:bookmarkStart w:id="485" w:name="pg8898_139554"/>
    </w:p>
    <w:p>
      <w:pPr>
        <w:pStyle w:val="BookText"/>
        <w:rPr/>
      </w:pPr>
      <w:bookmarkEnd w:id="485"/>
      <w:r>
        <w:rPr>
          <w:rFonts w:ascii="Amiri" w:hAnsi="Amiri" w:eastAsia="Amiri" w:cs="Amiri"/>
          <w:color w:val="111111"/>
          <w:sz w:val="28"/>
          <w:sz w:val="28"/>
          <w:szCs w:val="28"/>
          <w:rtl w:val="true"/>
          <w:lang w:bidi="ar-SA"/>
        </w:rPr>
        <w:t>لأنّها تتجسّد في الزّمان والمكان اللّذين حملاها، فتظهر وكأنّها في ساعة ميلادها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يومها عن أمسها، ولا يفقد من يشهدها اليوم شيئًا مما شهده منها الشّاهدون بالأمس من صورٍ وأشكالٍ، ومن مشاعر وأحاسيس، وهذا هو الإعجاز الذي نشهده في كلمات القرآن، وهو أيضًا الرّوعة التي تطلع علينا من عبقريات الفنّ وآياته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935785_2870459653"/>
      <w:bookmarkStart w:id="487" w:name="_Toc184"/>
      <w:bookmarkEnd w:id="486"/>
      <w:r>
        <w:rPr>
          <w:rtl w:val="true"/>
        </w:rPr>
        <w:t>الخاتمة</w:t>
      </w:r>
      <w:r>
        <w:rPr>
          <w:rtl w:val="true"/>
        </w:rPr>
        <w:t>:</w:t>
      </w:r>
      <w:bookmarkEnd w:id="487"/>
    </w:p>
    <w:p>
      <w:pPr>
        <w:pStyle w:val="BookText"/>
        <w:rPr/>
      </w:pPr>
      <w:r>
        <w:rPr>
          <w:rFonts w:ascii="Amiri" w:hAnsi="Amiri" w:eastAsia="Amiri" w:cs="Amiri"/>
          <w:color w:val="111111"/>
          <w:sz w:val="28"/>
          <w:sz w:val="28"/>
          <w:szCs w:val="28"/>
          <w:rtl w:val="true"/>
          <w:lang w:bidi="ar-SA"/>
        </w:rPr>
        <w:t xml:space="preserve">نحاول في نهاية هذه الدّراسة التي دارت حول نقد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راترود 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حملت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العصر الحديث والمعاصر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نورد على سبيل الإجمال أوجه هذا النّقد على شكل نتائج أسفر عنها هذا البحث في رحلته النّقديّة التي رصدنا من خلالها عددًا من الأوهام التي وقع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راترود 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مقالته السّابقة، وهي أوهام لعلّها ناتجةٌ عن جهله بمناهج التّفسير المختلفة في العصر الحديث ما جعلة يقع في أنواعٍ من الخلط والاضطراب، ونُجمل هذه النّتائج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راترود ويلانت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اختياره دراسة مناهج التّفسير في فترة مطلع العصر الحديث والمعاصر أنَّ هذه الفترة الزّمنيّة تمتَّعت بخصائص في مجال تفسير القرآن تميّزها عمَّا سبقها بشكلٍ ملحوظٍ، ولكنّه قرّر فيما بعد أنَّ هذه الخصائص لا يمكن أن تنسحب بأيّ حالٍ من الأحوال على كلّ محاولات التّفسير في هذه الفترة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الخصائص التي ميَّزت مناهج التفسير في العصر الحديث والمعاصر، والتي قال بها ويلانت لیست حدودًا صمّاء تمنع التّداخل بين المناهج المختلفة، و إنّما هي خصائص عامّة تميّز في المجمل العام كلّ منهجٍ من هذه المناهج، وإلّا </w:t>
      </w:r>
    </w:p>
    <w:p>
      <w:pPr>
        <w:pStyle w:val="BookText"/>
        <w:rPr/>
      </w:pPr>
      <w:r>
        <w:rPr>
          <w:rFonts w:ascii="Amiri" w:hAnsi="Amiri" w:eastAsia="Amiri" w:cs="Amiri"/>
          <w:color w:val="111111"/>
          <w:sz w:val="28"/>
          <w:sz w:val="28"/>
          <w:szCs w:val="28"/>
          <w:rtl w:val="true"/>
          <w:lang w:bidi="ar-SA"/>
        </w:rPr>
        <w:t>فقضيّة التّتداخل بين المناهج المختلفة في التّفسير الواحد مطروحة، ولعلّ خير مثال على ذلك ما ورد فيما أُثر من تفاسير عن الشيخ محمد 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ويلانت أنَّ المدرسة التّقليديّة في التّفسير ما زال لها امتدادٌ واسعٌ حتى يومنا هذا، وقد مثَّلت قاسمًا مشتركًا مع المناهج الحديثة في التّفسير، وهذا ما لم يؤيّده واقع علم التّفسير في العصر الحديث، فمعظم التّفاسير التي نشأت في العصر الحديث تندرج تحت مناهج التّفسير الحديثة، حتى وإن توزّعت البنية المعرفيّة لتفسير ما من هذه التّفاسير بين هذه المناهج، ولكنّه يبقى في النّهاية أنّه يدور في فلكها، ثم إنَّ المصادر التّقليديّة في التّفسير لم تنقطع حتى مع التّفاسير الحديثة، ولكنّها لا تمثّل اتّجاهًا عامًّا قائمًا بذاته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وهم راترود ويلانت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الأفكار الجديدة حول معنى النّصّ القرآنيّ غالبًا ما أتت ردًّا على الأسئلة المستحدثة التي أفرزتها التّحوّلات السّياسيّة، الاجتماعيّة والثّقافيّة نتيجة تأثير الحضارة الغربيّة في المجتمع الإسلامي، فلو صحّ جزءٌ من هذا الكلام لكان أولى به أن يحصره في المنهج العلمي في التّفسير، فوقفة بسيطة مع مبادئ اللّون الأدبيّ والاجتماعيّ في التّفسير يفنّد هذا الكلام تمامًا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يقرّر راترود ويلانت أنَّه نتج عن عمليّة تأثير الحضارة الغربيّة في المجتمع الإسلاميّ مسألتان، فرضت نفسيهما على مناهج التّفسير التّقليديّة التي كانت سائدةً في تلك الفترة أدّت إلى نشأة مناهج التّفسير الحديثة في مطلع العصر الحديث؛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اتّساق رؤية القرآن الكونيّة مع اكتشافات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السّياسيّ الاجتماعيّ المناسب على أساس الأصول القرآنيّة والذي يمكِّن المسلمين من التّخلّص من الهيمنة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قصور فهمٍ لأسباب نشأة هذه المناهج التّفسيريّة، فاكتشافات الحضارة الغربيّة للعلم الحديث ليست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وحدها الهدف في نشأة اتّجاه التّفسير العلميّ للقرآن الكريم،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يرمي إلى </w:t>
      </w:r>
    </w:p>
    <w:p>
      <w:pPr>
        <w:pStyle w:val="BookText"/>
        <w:rPr/>
      </w:pPr>
      <w:r>
        <w:rPr>
          <w:rFonts w:ascii="Amiri" w:hAnsi="Amiri" w:eastAsia="Amiri" w:cs="Amiri"/>
          <w:color w:val="111111"/>
          <w:sz w:val="28"/>
          <w:sz w:val="28"/>
          <w:szCs w:val="28"/>
          <w:rtl w:val="true"/>
          <w:lang w:bidi="ar-SA"/>
        </w:rPr>
        <w:t>جعل القرآن مشتملًا على إشاراتٍ عابرةٍ إلى كثير من أسرار الطبيعة التي كشف عنها العلم الحديث، ثم إنَّ الاتّجاه نحو النّزعة الاجتماعيّة في القرآن وتفسيرها لم ترتبط في أساسها بهيمنةٍ غربيّةٍ وغيرها، وإنّما نشأت نشأةً ذاتيّةً داخل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الكتب الحاوية للتفسير القرآني بحسب آليّة التناول إلى أنواعٍ عدّة؛ التفسير الترتيبي الذي یعتمد على تناول القرآن آيةً آيةً، ومشكل القرآن، والتّفسير الموضوعي؛ وهو الذي رتّبت فيه أقسامٌ مهمّةً من القرآن على أساس موضوعاتٍ أصليّةٍ، إلّا أنَّ الحدود الفاصلة بين هذا التّقسيم الثّلاثي، ليست حدودًا مانعةً من التّداخل بين هذه الأنواع الثلاثة من التفاسير، كما أنَّ اختصاص مشكل القرآن بقسمٍ وحده من أقسام آليّات التّناول لآيات القرآن الكريم فيه 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ثمة اضطرابًا في 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راترود ويلانت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ثلاثة مناهج من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انعكس ذلك على آرائه في مقالته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جذور منهج النّزعة العقليّة في تفسير القرآن الكريم أقدم بكثيرٍ من محاولتي السيد أحمد خان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عبده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لهذا النّوع من التّفسير جذورًا تعود لألف سنة مع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أثر من تفاسير للشيخ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خالصةً للنّزعة العقليّة في تفسير القرآن الكريم، وإنّما يدخل بعضها تحت اللّون الأدبيّ الاجتماعيّ في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امتدّت أوهام ويلانت في مقالته السّابقة إلى إدخال بعض المؤلّفات التّفسيريّة تحت أحد المناهج بشكلٍ لا ينسجم إطلاقًا والملامح أو الخصائص العامّة </w:t>
      </w:r>
    </w:p>
    <w:p>
      <w:pPr>
        <w:pStyle w:val="BookText"/>
        <w:rPr/>
      </w:pPr>
      <w:r>
        <w:rPr>
          <w:rFonts w:ascii="Amiri" w:hAnsi="Amiri" w:eastAsia="Amiri" w:cs="Amiri"/>
          <w:color w:val="111111"/>
          <w:sz w:val="28"/>
          <w:sz w:val="28"/>
          <w:szCs w:val="28"/>
          <w:rtl w:val="true"/>
          <w:lang w:bidi="ar-SA"/>
        </w:rPr>
        <w:t xml:space="preserve">لهذا المنهج، فقد أدخل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والعرفان في تفسير القرآن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منهج النّزعة العقليّة في التّفسير، حيث جعله في عداد ممثّلي التّفسير العقليّ بحسب تعبيره، وهو في الحقيقة ينتمي للّون الإلحادي في التّفسير في عصرنا الحاضر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الخلط بين التّفسير العلميّ والإعجاز العلميّ للقرآن يبدو واضحًا في مقالة ويلانت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ويلانت في فرضيّة أنّ التّفسير العلميّ قائمٌ على أساس أنَّ القرآن يشتمل على العلوم كافّة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الجذور الأولى لمنهج التّفسير العلميّ أقدم بكثير من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مؤلّفات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فيها نماذج من تدوين التّفسير العلميّ</w:t>
      </w:r>
      <w:r>
        <w:rPr>
          <w:rFonts w:eastAsia="Amiri" w:cs="Amiri" w:ascii="Amiri" w:hAnsi="Amiri"/>
          <w:color w:val="111111"/>
          <w:sz w:val="28"/>
          <w:szCs w:val="28"/>
          <w:rtl w:val="true"/>
          <w:lang w:bidi="ar-SA"/>
        </w:rPr>
        <w:t xml:space="preserve">. </w:t>
      </w:r>
      <w:bookmarkStart w:id="488" w:name="pg8898_139558"/>
    </w:p>
    <w:p>
      <w:pPr>
        <w:pStyle w:val="Heading3"/>
        <w:numPr>
          <w:ilvl w:val="2"/>
          <w:numId w:val="1"/>
        </w:numPr>
        <w:rPr/>
      </w:pPr>
      <w:bookmarkStart w:id="489" w:name="__RefHeading___Toc935787_2870459653"/>
      <w:bookmarkStart w:id="490" w:name="_Toc185"/>
      <w:bookmarkEnd w:id="488"/>
      <w:bookmarkEnd w:id="489"/>
      <w:r>
        <w:rPr>
          <w:rtl w:val="true"/>
        </w:rPr>
        <w:t>المصادر والمراجع</w:t>
      </w:r>
      <w:r>
        <w:rPr>
          <w:rtl w:val="true"/>
        </w:rPr>
        <w:t>:</w:t>
      </w:r>
      <w:bookmarkEnd w:id="4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الذهبي، التفسير والمفسرون، مكتبة وهبة، القاهرة، بدون تاريخ 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فهد الرومي، اتجاهات التفسير في القرن الرابع عشر، مؤسسة الرسالة، الطبعة الثالثة،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الاتجاهات الحديثة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الأدبي، بحث منشور في موسسة تبيان الثقافية والمعلوماتية، إعداد سيد مرتضى 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هذا الرابط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https://arabic.tebyan.net/index 4 .0 268642=aspx?pid</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نوري محمد المكاصيصي، الاتجاهات العامة في تفسير القرآن، كلية التربية للعلوم الإنسانية، جامعة بابل،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منشورة على الموقع الإلكتروني للجامعة تحت هذا الرابط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http://www.uobabylon.edu.iq/UOBCOLEGES/lecture_view. V1798=lcid&amp;r=depid&amp;=aspx?fid</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الرحمن العك، أصول التفسير وقواعده، دار النفائس بيروت، 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علي رضائي إصفهاني، الإعجاز والتفسير العلمي، ترجمة حسن علي مطر، مجلة نصوص معاصرة، السنة الثانية عشرة، العدد السابع والأربعون، صيف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الكونية دراسة عقدية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لنيل درجة الماجستير، قسم العقيدة والمذاهب المعاصرة، كلية أصول الدين، جامعة الإمام محمد بن سعود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بن محمد الوعلان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محمد الحميدي، الأستاذ المشارك العام الجامعي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الدكتورة عائشة عبد الرحمن، التفسير البياني للقرآن الكريم، دار المعارف، مصر، الطبعة السابعة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 شلبي، التفسير العلمي للقرآن الكريم بين النظريات والتطبيق، مطبعة تونس، قرطاج، الطبعة الأولى،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راترود ويلانت، تفسير القرآن في مطلع العصر الحديث والمعاصر، مقالة منشورة في موسوعة ليدن للدراسات القرآنية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عزوزي، تفسير النص القرآني بين النقل والعقل، مجلة دعوة الحق، العدد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حسن عباس، التفسير والمفسرون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أساسياته واتجاهاته ومناهجه في العصر الحديث، دار النفائس للنشر والتوزيع، عمان، الطبعة الأولى،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هادي معرفة، التفسير والمفسرون في ثوبه القشيب، الجامعة الرضوية للعلوم الإسلامية،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رضائي أصفهاني، جولة في دائرة معارف ليدن القرآنية، مجلة دراسات استشراقية، العدد الأول، صيف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أحمد خلف الله، الفن القصصي في القرآن الكريم، شرح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عبد الكريم، لا ط، بيروت، الانتشار العربي،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أمين الخولي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الكريم الخطيب، القصص القرآني في منطوقه ومفهومه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دراسة تطبيقية لقصتي آدم ويوسف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للطباعة والنشر، بيروت، لبنان، الطبعة الثانية،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جولدتسهر، مذاهب التفسير الإسلامي،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النجار، مكتبة الخانجي بمصر، ومكتبة المثنى ببغداد،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أمين الخولي، مناهج التجديد في النحو والبلاغة والتفسير والأدب، مكتبة الأسرة،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رضائي أصفهاني، مناهج التفسير واتجاهاته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مقارنة في مناهج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الحضارة لتنمية الفكر الإسلامي، الطبعة الثالثة، بيروت،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فهد بن عبد الرحمن بن سليمان الرومي، منهج المدرسة العقلية الحديثة في التفسير،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الله دراز، النبأ العظيم، دار القلم، 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الغزالي، نحو تفسير موضوعي لسور القرآن الكريم، دار الشروق، القاهرة، الطبعة الرابعة،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bookmarkStart w:id="491" w:name="pg8898_139560"/>
    </w:p>
    <w:p>
      <w:pPr>
        <w:pStyle w:val="Heading2"/>
        <w:numPr>
          <w:ilvl w:val="1"/>
          <w:numId w:val="1"/>
        </w:numPr>
        <w:rPr/>
      </w:pPr>
      <w:bookmarkStart w:id="492" w:name="__RefHeading___Toc935789_2870459653"/>
      <w:bookmarkStart w:id="493" w:name="_Toc186"/>
      <w:bookmarkEnd w:id="491"/>
      <w:bookmarkEnd w:id="492"/>
      <w:r>
        <w:rPr>
          <w:rtl w:val="true"/>
        </w:rPr>
        <w:t xml:space="preserve">الاعتقادات في موسوعة القرآن ليدن </w:t>
      </w:r>
      <w:r>
        <w:rPr>
          <w:rtl w:val="true"/>
        </w:rPr>
        <w:t xml:space="preserve">( </w:t>
      </w:r>
      <w:r>
        <w:rPr>
          <w:rtl w:val="true"/>
        </w:rPr>
        <w:t xml:space="preserve">مدخل الإيمان والكفر </w:t>
      </w:r>
      <w:r>
        <w:rPr>
          <w:rtl w:val="true"/>
        </w:rPr>
        <w:t>(</w:t>
      </w:r>
      <w:r>
        <w:rPr>
          <w:rtl w:val="true"/>
        </w:rPr>
        <w:t>نموذجًا</w:t>
      </w:r>
      <w:r>
        <w:rPr>
          <w:rtl w:val="true"/>
        </w:rPr>
        <w:t>)</w:t>
      </w:r>
      <w:bookmarkEnd w:id="493"/>
    </w:p>
    <w:p>
      <w:pPr>
        <w:pStyle w:val="Heading3"/>
        <w:numPr>
          <w:ilvl w:val="2"/>
          <w:numId w:val="1"/>
        </w:numPr>
        <w:rPr/>
      </w:pPr>
      <w:bookmarkStart w:id="494" w:name="__RefHeading___Toc935791_2870459653"/>
      <w:bookmarkStart w:id="495" w:name="_Toc187"/>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أبو لحية </w:t>
      </w:r>
      <w:r>
        <w:rPr>
          <w:rStyle w:val="FootnoteAnchor"/>
          <w:rtl w:val="true"/>
        </w:rPr>
        <w:footnoteReference w:id="453"/>
      </w:r>
    </w:p>
    <w:p>
      <w:pPr>
        <w:pStyle w:val="Heading3"/>
        <w:numPr>
          <w:ilvl w:val="2"/>
          <w:numId w:val="1"/>
        </w:numPr>
        <w:rPr/>
      </w:pPr>
      <w:bookmarkStart w:id="496" w:name="__RefHeading___Toc935793_2870459653"/>
      <w:bookmarkStart w:id="497" w:name="_Toc188"/>
      <w:bookmarkEnd w:id="496"/>
      <w:r>
        <w:rPr>
          <w:rtl w:val="true"/>
        </w:rPr>
        <w:t>ملخّص المداخلة</w:t>
      </w:r>
      <w:bookmarkEnd w:id="497"/>
    </w:p>
    <w:p>
      <w:pPr>
        <w:pStyle w:val="BookText"/>
        <w:rPr/>
      </w:pPr>
      <w:r>
        <w:rPr>
          <w:rFonts w:ascii="Amiri" w:hAnsi="Amiri" w:eastAsia="Amiri" w:cs="Amiri"/>
          <w:color w:val="111111"/>
          <w:sz w:val="28"/>
          <w:sz w:val="28"/>
          <w:szCs w:val="28"/>
          <w:rtl w:val="true"/>
          <w:lang w:bidi="ar-SA"/>
        </w:rPr>
        <w:t xml:space="preserve">يتناول هذا المقال مقاربةً نقديّةً لما طرحته المستشرقة كميلا آدنج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CAMILLA ADANG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مقالتها الخاصّة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BELIEF AND UNBELIEF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موسوعة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وردت في الجزء الأوّل منها في حوالي تسع صفحات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عرضٌ مختصرٌ لما ورد فيها، وللانتقادات الموجّهة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النّقد الموجّه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قسّمنا النّقد الموجّه للمقالة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الجانب المنهجي في المقالة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أربعة قضايا كبرى، لصلتها الشّديدة بموضوع الإيمان والكفر، ولكون الرّدّ عليها كافيًا في الرّدّ على الفروع المرتبطة بها، بالإضافة إلى نقد بعض المضامين أثناء النّقد المنهجي وعند ذكر الأمثلة، وهذه القضايا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المغالطات المرتبطة بالجبر والاختيار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المغالطات المرتبطة بالتّسامح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المغالطات المرتبطة بالجهاد في سبيل الله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المغالطات المرتبطة بالولاء والبراء</w:t>
      </w:r>
      <w:r>
        <w:rPr>
          <w:rFonts w:eastAsia="Amiri" w:cs="Amiri" w:ascii="Amiri" w:hAnsi="Amiri"/>
          <w:color w:val="111111"/>
          <w:sz w:val="28"/>
          <w:szCs w:val="28"/>
          <w:rtl w:val="true"/>
          <w:lang w:bidi="ar-SA"/>
        </w:rPr>
        <w:t xml:space="preserve">. </w:t>
      </w:r>
      <w:bookmarkStart w:id="498" w:name="pg8898_139561"/>
    </w:p>
    <w:p>
      <w:pPr>
        <w:pStyle w:val="Heading3"/>
        <w:numPr>
          <w:ilvl w:val="2"/>
          <w:numId w:val="1"/>
        </w:numPr>
        <w:rPr/>
      </w:pPr>
      <w:bookmarkStart w:id="499" w:name="__RefHeading___Toc935795_2870459653"/>
      <w:bookmarkStart w:id="500" w:name="_Toc189"/>
      <w:bookmarkEnd w:id="498"/>
      <w:bookmarkEnd w:id="499"/>
      <w:r>
        <w:rPr>
          <w:rtl w:val="true"/>
        </w:rPr>
        <w:t>المقدّمة</w:t>
      </w:r>
      <w:r>
        <w:rPr>
          <w:rtl w:val="true"/>
        </w:rPr>
        <w:t>:</w:t>
      </w:r>
      <w:bookmarkEnd w:id="500"/>
    </w:p>
    <w:p>
      <w:pPr>
        <w:pStyle w:val="Heading4"/>
        <w:numPr>
          <w:ilvl w:val="3"/>
          <w:numId w:val="1"/>
        </w:numPr>
        <w:rPr/>
      </w:pPr>
      <w:bookmarkStart w:id="501" w:name="__RefHeading___Toc935797_2870459653"/>
      <w:bookmarkStart w:id="502" w:name="_Toc190"/>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 xml:space="preserve">لم يتوقّف اهتمام المستشرقين عند دراستهم للإسلام، بما يرتبط بتاريخه ونظمه وما أنتجه المسلمون، من أدبٍ وثقافةٍ وعلومٍ، وإنّما راحوا يدرسون القرآن الكريم نفسه، وبنفس الأسلوب والمنهج الذي درسوا به التاريخ والأدب والعلوم، وذلك ما جعلهم يقعون في أخطاء منهجيّةٍ كبيرةٍ؛ ذلك لأنّ الدّراسات المرتبطة بالتّراث والتّاريخ لا تحتاج إلى الكثير من الجُهد؛ فهي قد تتعلّق بأديبٍ من الأدباء، أو فيلسوفٍ من الفلاسفة، أو فترةٍ تاريخيّةٍ، تتوفر فيها المراجع لدراستها، أو نقدها </w:t>
      </w:r>
      <w:r>
        <w:rPr>
          <w:rStyle w:val="FootnoteAnchor"/>
          <w:rtl w:val="true"/>
        </w:rPr>
        <w:footnoteReference w:id="454"/>
      </w:r>
      <w:r>
        <w:rPr>
          <w:rFonts w:ascii="Amiri" w:hAnsi="Amiri" w:eastAsia="Amiri" w:cs="Amiri"/>
          <w:color w:val="111111"/>
          <w:sz w:val="28"/>
          <w:sz w:val="28"/>
          <w:szCs w:val="28"/>
          <w:rtl w:val="true"/>
          <w:lang w:bidi="ar-SA"/>
        </w:rPr>
        <w:t>، لكن القرآن الكريم يحتاج في معرفته ومعرفة لغته ومنهجه في طرح القضايا، يحتاج إلى معارف وعلومٍ كثيرةٍ، يفتقر إليها المستشرقون، أو لا يهتمّون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ليس خاصًّا بالقرآن الكريم فقط، بل بكلّ المصادر المقدّسة للأديان؛ فالمعارف التي يحتاجها من يريد أن يُؤرّخ للأدب الفرنسيّ أو الفلسفة الألمانيّة، أقل بكثير من المعارف التي يحتاجها من يريد أن يدرس الكتاب المقدّس، أو يقدّم أيّ انتقاداتٍ تتعلّق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والخطورة الأكبر من ذلك أن سوء تقييم المستشرقين لأيّ فترةٍ أو شخصيّةٍ تاريخيّة، قد يكون تأثيره محدودًا وبسيطًا، وربّما لا وجود له، بخلاف تلك الأحكام التي تمسّ القرآن الكريم، فلها تأثيرها الكبير في جميع المسلمين الذين يعتبرونه كتابًا مقدّسًا، ويبنون على كلّ آيةٍ منه معارفهم وقيمهم وحياتهم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حاولنا في هذا المقال عرض ما كتبه بعض المستشرقين، وهي كميلا آدنج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CAMILLA ADANG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مقالتها الخاصّة بالإيمان والكفر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BELIEF AND UNBELIEF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في موسوعة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لنرى كيف طرحت هذا الموضوع؟ وهل استعملت فيه المنهج العلميّ الموضوعيّ الحياديّ، أم إنّها استعملت ما يستعمله المستشرقون الحداثيون عادةً من مناهج؟ </w:t>
      </w:r>
    </w:p>
    <w:p>
      <w:pPr>
        <w:pStyle w:val="BookText"/>
        <w:rPr/>
      </w:pPr>
      <w:r>
        <w:rPr>
          <w:rFonts w:ascii="Amiri" w:hAnsi="Amiri" w:eastAsia="Amiri" w:cs="Amiri"/>
          <w:color w:val="111111"/>
          <w:sz w:val="28"/>
          <w:sz w:val="28"/>
          <w:szCs w:val="28"/>
          <w:rtl w:val="true"/>
          <w:lang w:bidi="ar-SA"/>
        </w:rPr>
        <w:t xml:space="preserve">وقد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الجواب عن هذه التّساؤلات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لعدم التّحقيق وبذل الجهد الكافي في الموضوع أو لأسبابٍ أخرى وقعت في أخطاء كثيرةٍ، منها ما يتعلّق بالجانب المنهجيّ، ومنها ما يتعلّق بالمضامين والموضوعات المطروحة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قسّمنا هذا المقال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الملاحظات والانتقادات الموجّهة للجانب المنهجي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الانتقادات الموجّهة للمضامين والمواضيع المطروحة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نشرع في طرح هذه الملاحظات والانتقادات نحب أن نذكر بأنّ هذه المستشرقة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كاميلا أدانج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مستشرقةٌ هولنديّةٌ متخصّصةٌ في الدّراسات الإسلاميّة والدّراسات السّاميّة واللّغة الإسبانيّة، عملت بجامعة تل أبيب، وهي مهتمّةٌ خصوصًا بالجدال الحاصل بين المسلمين واليهود خلال القرون الوُسطى والحقبة العثمانيّة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ومن كتبها في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الآراء الإسلامية حول الكتاب المقدّس وكيفية تلقّيه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مؤلّفون مسلمون حول اليهودية والتوراة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ربّان إلى 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التفاعلات والخلافات بين المسلمين واليهود والمسيحيين في الدولة العثمانية وإيران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ولذلك اهتمّت بشخصيّة ابن حَزم القرطبيّ ومؤلّفاته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ونحب أن نشير إلى أنّ لها ثلاث مقالاتٍ في موسوعة ليدن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 والمنافقون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والكفر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ونشير كذلك من باب الإنصاف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وقوعها فيما وقع فيه أغلب المستشرقين من الأحكام المسبقة والمتسرّعة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لها بعض المواقف الإيجابيّة، مثل استغرابها من موقف أهل الكتاب ورفضهم لنبوَّة رسول الله صلّی الله علیه و آله مع أنَّه مذكورٌ في كتبهم</w:t>
      </w:r>
      <w:r>
        <w:rPr>
          <w:rFonts w:eastAsia="IRNazanin" w:cs="IRNazanin"/>
          <w:color w:val="111111"/>
          <w:sz w:val="28"/>
          <w:szCs w:val="28"/>
          <w:rtl w:val="true"/>
          <w:lang w:bidi="fa-IR"/>
        </w:rPr>
        <w:t xml:space="preserve">. </w:t>
      </w:r>
      <w:bookmarkStart w:id="503" w:name="pg8898_139563"/>
    </w:p>
    <w:p>
      <w:pPr>
        <w:pStyle w:val="Heading4"/>
        <w:numPr>
          <w:ilvl w:val="3"/>
          <w:numId w:val="1"/>
        </w:numPr>
        <w:rPr/>
      </w:pPr>
      <w:bookmarkStart w:id="504" w:name="__RefHeading___Toc935799_2870459653"/>
      <w:bookmarkStart w:id="505" w:name="_Toc191"/>
      <w:bookmarkEnd w:id="503"/>
      <w:bookmarkEnd w:id="504"/>
      <w:r>
        <w:rPr>
          <w:rtl w:val="true"/>
        </w:rPr>
        <w:t xml:space="preserve">أوّلًا </w:t>
      </w:r>
      <w:r>
        <w:rPr>
          <w:rtl w:val="true"/>
        </w:rPr>
        <w:t xml:space="preserve">- </w:t>
      </w:r>
      <w:r>
        <w:rPr>
          <w:rtl w:val="true"/>
        </w:rPr>
        <w:t>ملاحظات وانتقادات حول المنهجيّة المتّبعة</w:t>
      </w:r>
      <w:r>
        <w:rPr>
          <w:rtl w:val="true"/>
        </w:rPr>
        <w:t>:</w:t>
      </w:r>
      <w:bookmarkEnd w:id="505"/>
    </w:p>
    <w:p>
      <w:pPr>
        <w:pStyle w:val="Heading5"/>
        <w:numPr>
          <w:ilvl w:val="4"/>
          <w:numId w:val="1"/>
        </w:numPr>
        <w:rPr/>
      </w:pPr>
      <w:bookmarkStart w:id="506" w:name="__RefHeading___Toc935801_2870459653"/>
      <w:bookmarkStart w:id="507" w:name="_Toc192"/>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مع أنّ المشرفين على الموسوعات ودوائر المعارف يحرصون عادةً على تبنّي المنهجيّة العلميّة الصّارمة في تحكيمهم للمقالات، إلّا أنّنا للأسف نجد أخطاءً منهجيّةً كبيرةً في مقالة كميلا آدنج، ربّما يكون السّبب فيها عدم وجود محكّمين من علماء المسلمين الذين لهم خبرة بالمواضيع المطروحة، وربّما يكون ذلك مقصودًا من أصحاب الموسوعة، بناءً على توجّهها الأيديولوجي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أنّه يمكن تلخيص ما خالف المنهجيّة العلميّة في المقالة في ثلاثة جوانب، نشرحها مع أمثلتها في العناوين التالية</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935803_2870459653"/>
      <w:bookmarkStart w:id="509" w:name="_Toc193"/>
      <w:bookmarkEnd w:id="508"/>
      <w:r>
        <w:rPr/>
        <w:t>1</w:t>
      </w:r>
      <w:r>
        <w:rPr>
          <w:rtl w:val="true"/>
        </w:rPr>
        <w:t xml:space="preserve"> - </w:t>
      </w:r>
      <w:r>
        <w:rPr>
          <w:rtl w:val="true"/>
        </w:rPr>
        <w:t>التلخيص المخل والانتقائيّة في عرض المسائل</w:t>
      </w:r>
      <w:r>
        <w:rPr>
          <w:rtl w:val="true"/>
        </w:rPr>
        <w:t>:</w:t>
      </w:r>
      <w:bookmarkEnd w:id="509"/>
    </w:p>
    <w:p>
      <w:pPr>
        <w:pStyle w:val="Heading6"/>
        <w:numPr>
          <w:ilvl w:val="5"/>
          <w:numId w:val="1"/>
        </w:numPr>
        <w:rPr/>
      </w:pPr>
      <w:bookmarkStart w:id="510" w:name="__RefHeading___Toc935805_2870459653"/>
      <w:bookmarkStart w:id="511" w:name="_Toc194"/>
      <w:bookmarkEnd w:id="510"/>
      <w:r>
        <w:rPr>
          <w:rtl w:val="true"/>
        </w:rPr>
        <w:t>اشارة</w:t>
      </w:r>
      <w:bookmarkEnd w:id="511"/>
    </w:p>
    <w:p>
      <w:pPr>
        <w:pStyle w:val="BookText"/>
        <w:rPr/>
      </w:pPr>
      <w:r>
        <w:rPr>
          <w:rFonts w:ascii="IRNazanin" w:hAnsi="IRNazanin" w:eastAsia="IRNazanin"/>
          <w:color w:val="111111"/>
          <w:sz w:val="28"/>
          <w:sz w:val="28"/>
          <w:szCs w:val="28"/>
          <w:rtl w:val="true"/>
          <w:lang w:bidi="fa-IR"/>
        </w:rPr>
        <w:t>على الرّغم من أنّ الطّابع الذي تُكتب به المقالات في دوائر المعارف يميل عادةً إلى الاختصار، لكنّه مشروطٌ بعدم التّأثير في المعاني المطروحة؛ فالاختصار المخلّ من أخطر العيوب؛ لأنّه يشوّه الحقائق، ويُسيء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نتأمّل ما كُتب في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کمیلا آدنج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طروحاتٍ كثيرةً جدًا، تُعرض وكأنّها عناوينٌ وليست تحليلاتٍ أو أفكارًا، ذلك أنّها ذكرت أكثر المقولات المرتبطة بالإيمان والكفر، والعلاقة بينهما، في صفحاتٍ محدودةٍ، وهو ما يسّر عليها طرح ما تشاء من شبهٍ من غير مناقشتها مناقشةً 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بالإضافة إلى ذلك؛ فإنّ الباحث المنصف هو الذي يتحدّث عن كلّ المسائل المطروحة بدقّة وموضوعيّة وأمانة، لكنّ الملاحظ من خلال المقالة تلك الانتقائيّة في طرح المواضيع، وخاصّة تلك التي تُثير الشّبه لدى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هنا مثالين على هذا المنهج، أحدهما يتعلّق بالتلخيص المخل، والثاني بالانتقائيّة في عرض المسائل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الأمثلة على التلخيص المخل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الحديث عن علاقة الإيمان بالعمل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فالسور المدنيّة تُشدّد على أهميّة تلاحم مجتمع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الجماعة والمجتمع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فالمؤمنون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bookmarkStart w:id="512" w:name="pg8898_139564"/>
    </w:p>
    <w:p>
      <w:pPr>
        <w:pStyle w:val="BookText"/>
        <w:rPr/>
      </w:pPr>
      <w:bookmarkEnd w:id="512"/>
      <w:r>
        <w:rPr>
          <w:rFonts w:ascii="Amiri" w:hAnsi="Amiri" w:eastAsia="Amiri" w:cs="Amiri"/>
          <w:color w:val="111111"/>
          <w:sz w:val="28"/>
          <w:sz w:val="28"/>
          <w:szCs w:val="28"/>
          <w:rtl w:val="true"/>
          <w:lang w:bidi="ar-SA"/>
        </w:rPr>
        <w:t>انظر إلى أخوة وأخوّة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وينبغي أن يساعدوا وأن يحموا بعضهم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يوطّد السلام فيما بينهم في حال اقتتلوا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وينبغي أن يظهروا الرحمة تجاه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وأنّ إيذاء مؤمن آخر هو 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انظر إلى سيّئة، كبائر وصغائر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هذه الآيات تُظهر عرضيًا بأنّ الوضع العام لم يكن بحالٍ جيّدة وعلى انسجام بين المؤمنين في المدينة؛ بل كان هناك أحكامٌ خاصّة تحكم سلوكهم السّليم تجاه النّبي وزوجاته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انظر إلى زوجات الرّسول</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3" w:name="__RefHeading___Toc935807_2870459653"/>
      <w:bookmarkStart w:id="514" w:name="_Toc195"/>
      <w:bookmarkEnd w:id="513"/>
      <w:r>
        <w:rPr>
          <w:rtl w:val="true"/>
        </w:rPr>
        <w:t>من خلال هذا النّص نلاحظ ما يلي</w:t>
      </w:r>
      <w:r>
        <w:rPr>
          <w:rtl w:val="true"/>
        </w:rPr>
        <w:t>:</w:t>
      </w:r>
      <w:bookmarkEnd w:id="51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قمنا بحذف الإحالات الواردة بين قوسين في النّص، وهي كثيرةٌ، يصبح النّصّ مجرّد عناوين قد يُساء فهمها،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كان هناك أحكامٌ خاصّةٌ تحكم سلوكهم السّليم تجاه النّبيّ وزوجاته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العنوان لا علاقة له بالموضوع من جهةٍ، وهو يثير في الوقت نفسه حساسيّةً لدى القرّاء من غير المسلمين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تتعمّد في النّصّ كسائر نصوص المقالة عدم ذكر الآيات القرآنيّة، بل تكتفي بتوثيقها، وهو نفس ما يقوم به أكثر المستشرقين في هذه الموسوعة وغيرها، وربّما يتصوّر القارئ أنّ ذلك من باب الاختصار، لكن الحقيقة هي أنّ القارئ عندما يعود للمصدر يجد أنّ الآيات لا تتوافق تمامًا الموضوع الذي يطرحونه، بالإضافة إلى أنّها تتكاسل عادةً عن العودة للمصحف كي تبحث عن تلك الآيات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الأمثلة على ذلك أنّ الآية التي أشارت إليها عند ذكر زوجات رسول الله صلّی الله علیه و آله و سلّم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سَأَلْتُمُوهُنَّ مَتَاعًا فَاسْأَلُوهُنَّ مِنْ وَرَاءِ حِجَابٍ ذَلِكُمْ أَظْهَرُ لِقُلُوبِكُمْ </w:t>
      </w:r>
    </w:p>
    <w:p>
      <w:pPr>
        <w:pStyle w:val="BookText"/>
        <w:rPr/>
      </w:pPr>
      <w:r>
        <w:rPr>
          <w:rFonts w:ascii="Amiri" w:hAnsi="Amiri" w:eastAsia="Amiri" w:cs="Amiri"/>
          <w:color w:val="111111"/>
          <w:sz w:val="28"/>
          <w:sz w:val="28"/>
          <w:szCs w:val="28"/>
          <w:rtl w:val="true"/>
          <w:lang w:bidi="ar-SA"/>
        </w:rPr>
        <w:t>وَقُلُوبِهِنَّ وَمَا كَانَ لَكُمْ أَنْ تُؤْذُوا رَسُولَ اللهِ وَلَا أَنْ تَنْكِحُوا أَزْوَاجَهُ مِنْ بَعْدِهِ أَبَدًا إِنَّ ذَلِكُمْ كَانَ عِنْدَ اللهِ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الأحزاب،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فالآية الكريمة تشير إلى الكثير من المعاني الأخلاقيّة والآداب الرّفيعة التي يجب على المؤمنين التزامها، لا في بيت رسول الله صلّی الله علیه و آله و سلّم فقط، وإنّما في كلّ محلّ، لكنّها لم تلتفت إلّا إلى ما يرتبط بزوجات رسول الله صلّی الله علیه و اله و سلّم مع عدم وجود أيّ علاقةٍ لها بمفهوم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بالإضافة إلى أنّ الآيات التي تحتوي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كثيرةٌ جدًّا؛ حيث تبلغ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وكان في إمكانها أن تذكر الكثير من الشّواهد عنها، خاصّة تلك التي تُعرّف المؤمنين وتذكر أوصافهم،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الَّذِينَ إِذَا ذُكِرَ اللهُ وَجِلَتْ قُلُوبُهُمْ وَإِذَا تُلِيَتْ عَلَيْهِمْ آيَاتُهُ زَادَتْهُمْ إيمَانًا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أُولَبِكَ هُمُ الْمُؤْمِنُونَ حَقًّا لَهُمْ دَرَجَاتٌ عِنْدَ رَبِّهِمْ وَمَغْفِرَةٌ وَرِزْقٌ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الأنفال، 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وغيرها من الآيات الشّبيهة لها </w:t>
      </w:r>
      <w:r>
        <w:rPr>
          <w:rStyle w:val="FootnoteAnchor"/>
          <w:rtl w:val="true"/>
        </w:rPr>
        <w:footnoteReference w:id="457"/>
      </w:r>
      <w:r>
        <w:rPr>
          <w:rFonts w:ascii="Amiri" w:hAnsi="Amiri" w:eastAsia="Amiri" w:cs="Amiri"/>
          <w:color w:val="111111"/>
          <w:sz w:val="28"/>
          <w:sz w:val="28"/>
          <w:szCs w:val="28"/>
          <w:rtl w:val="true"/>
          <w:lang w:bidi="ar-SA"/>
        </w:rPr>
        <w:t>، والتي لها علاقة مباشرة بمفهوم الإيمان وصفات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تركتها إلى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وجود أي علاقة لها بالموضوع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المعاني المرتبطة بها تخدم الأهداف الاستشراقيّة أكثر من تلك الآيات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الأمثلة على الانتقائيّة ما قامت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کمیلا آدنج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الحديث عن الوثنيين؛ حيث لم تتطرّق إلى ممارساتهم الجاهليّة المتعلّقة بالمرأة والمستضعفين وغيرها، مما ورد ذكره في القرآن الكريم، وإنّما أوردت هذا النّص الممتلئ بالمغالطات، فقد قالت عنهم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وأنّهم ليسوا متأثّرين برسالةٍ آتيةٍ من شخصٍ بشريٍّ مثلهم، شخص لا يصنع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إلى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يطلبونها كبرهانٍ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للمعرفة أكثر حول ذلك يمكن العودة إليه؛ 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قارن ق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ولأنّهم كانوا يعتبرونه ممسوسًا كما اعتبرت الأمم السّابقة المنذرين الآخرين، فينادون محمدًا </w:t>
      </w:r>
    </w:p>
    <w:p>
      <w:pPr>
        <w:pStyle w:val="BookText"/>
        <w:rPr/>
      </w:pPr>
      <w:r>
        <w:rPr>
          <w:rFonts w:ascii="IRNazanin" w:hAnsi="IRNazanin" w:eastAsia="IRNazanin"/>
          <w:color w:val="111111"/>
          <w:sz w:val="28"/>
          <w:sz w:val="28"/>
          <w:szCs w:val="28"/>
          <w:rtl w:val="true"/>
          <w:lang w:bidi="fa-IR"/>
        </w:rPr>
        <w:t>بالكاذب لأنّه يمثّل قصصًا تلقّاها من جهةٍ خارجيّةٍ كإيحاءاتٍ إلاهيّةٍ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وبسبب رفضهم، كانت هذه الأمم قد تعرّضت للعقاب بشدّة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إلى قصص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کلٍّ من الحياة الدنيا والحياة الآخرة، وهذا هو ما ينتظر العرب الوثنيين ما لم يتوبوا ويعودوا إلى الله وإلى محمد</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هذا النّصّ نُلاحظ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تحاول أن تسوق بطريقةٍ غير مباشرةٍ شبهتين تعوّد المبشّرون والمستشرقون تسويقها بطرقٍ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نبوّة رسول الله صلّی الله علیه و آله و سلّم من المعجزات والبراهين الدّالة عليها، مع أنّ الآيات  المذكورة،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وَالْمَلَابِكَةِ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أَوْ تَرْقَى فِي السَّمَاءِ وَلَنْ نُؤْمِنَ لِرُقِيكَ حَتَّى تُنَزِّلَ عَلَيْنَا كِتَابًا نَقْرَؤُهُ قُلْ سُبْحَانَ رَبِّي هَلْ كُنْتُ إِلَّا بَشَرًا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الآيات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ذلك، بل هي تُشير إلى أنّه في حال تحقّق المعجزة؛ فإنّ الله تعالى هو الذي يفعل ذلك، لا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أنّهم رجعوا إلى الآيات السّابقة لتلك الآيات التي أوردوها، لوجدوا التّحدي القرآنيّ واضحًا جليًّا،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لَبِنِ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ذلك غيرها من الآيات التي تتحدّى المشركين، وتذكر أنواع المعجزات التي وفّرها الله تعالى لنبيّه صلّی الله علیه و آله و سلّم ليثبت بها نبوّته للمعارضين لها،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القمر، الآيتان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15" w:name="pg8898_139567"/>
    </w:p>
    <w:p>
      <w:pPr>
        <w:pStyle w:val="BookText"/>
        <w:rPr/>
      </w:pPr>
      <w:bookmarkEnd w:id="515"/>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ما کان المشرکون یرمون به رسول الله صلّی الله علیه و آله و سلّم من كونه ممسوسًا، وهو</w:t>
      </w:r>
    </w:p>
    <w:p>
      <w:pPr>
        <w:pStyle w:val="BookText"/>
        <w:rPr/>
      </w:pPr>
      <w:r>
        <w:rPr>
          <w:rFonts w:ascii="IRNazanin" w:hAnsi="IRNazanin" w:eastAsia="IRNazanin"/>
          <w:color w:val="111111"/>
          <w:sz w:val="28"/>
          <w:sz w:val="28"/>
          <w:szCs w:val="28"/>
          <w:rtl w:val="true"/>
          <w:lang w:bidi="fa-IR"/>
        </w:rPr>
        <w:t xml:space="preserve">مما یحرص المستشرقون و غیرهم علی إثارته، إمّا بطریقةٍ غیر مباشرةٍ، مثلما 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کميلا آدنج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بطريقةٍ مباشرةٍ مثلما فعل نولدكه </w:t>
      </w:r>
      <w:r>
        <w:rPr>
          <w:rStyle w:val="FootnoteAnchor"/>
          <w:rtl w:val="true"/>
        </w:rPr>
        <w:footnoteReference w:id="459"/>
      </w:r>
      <w:r>
        <w:rPr>
          <w:rFonts w:ascii="IRNazanin" w:hAnsi="IRNazanin" w:eastAsia="IRNazanin"/>
          <w:color w:val="111111"/>
          <w:sz w:val="28"/>
          <w:sz w:val="28"/>
          <w:szCs w:val="28"/>
          <w:rtl w:val="true"/>
          <w:lang w:bidi="fa-IR"/>
        </w:rPr>
        <w:t>من زعمه أنّ الوحي القرآنيّ وحيٌ شيطانيٌّ ناتجٌ عن إملاء الشيطان للرسول صلّی الله علیه و آله و سلّم، أو أنّ مصدر الوحي الحالة المرضيّة والهستيريّة، كما عبّر عن ذلك جولد تسيهر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خلال النّصف الأوّل من حياته اضطرته مشاغله إلى الاتّصال بأوساطٍ استقى منها أفكارًا أخذ يجترّها في قرارة نفسه وهو منطوٍ في تأمّلاته أثناء عزلته، ولميل إدراكه وشعوره للتأمّلات المجرّدة التي يلمح فيها أثر حالته المرضيّة، نراه ينساق ضدّ العقليّة الدّينيّة والأخلاقيّة القومه الأقربين والأبعدين</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المستشرق درمنغ الذي عبّر عن هذه الشّبهة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كانت سنة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م كانت الحالة النّفسيّة التي يعانيها محمد على أشدّها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في وحدة غار حراء مسرّة تزداد كلّ يوم عمقا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935809_2870459653"/>
      <w:bookmarkStart w:id="517" w:name="_Toc196"/>
      <w:bookmarkEnd w:id="516"/>
      <w:r>
        <w:rPr/>
        <w:t>2</w:t>
      </w:r>
      <w:r>
        <w:rPr>
          <w:rtl w:val="true"/>
        </w:rPr>
        <w:t xml:space="preserve"> - </w:t>
      </w:r>
      <w:r>
        <w:rPr>
          <w:rtl w:val="true"/>
        </w:rPr>
        <w:t>تاريخيّة القرآن الكريم وتطوّر مواقفه</w:t>
      </w:r>
      <w:r>
        <w:rPr>
          <w:rtl w:val="true"/>
        </w:rPr>
        <w:t>:</w:t>
      </w:r>
      <w:bookmarkEnd w:id="517"/>
    </w:p>
    <w:p>
      <w:pPr>
        <w:pStyle w:val="Heading6"/>
        <w:numPr>
          <w:ilvl w:val="5"/>
          <w:numId w:val="1"/>
        </w:numPr>
        <w:rPr/>
      </w:pPr>
      <w:bookmarkStart w:id="518" w:name="__RefHeading___Toc935811_2870459653"/>
      <w:bookmarkStart w:id="519" w:name="_Toc197"/>
      <w:bookmarkEnd w:id="518"/>
      <w:r>
        <w:rPr>
          <w:rtl w:val="true"/>
        </w:rPr>
        <w:t>اشارة</w:t>
      </w:r>
      <w:bookmarkEnd w:id="51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ونقصد بها دراسة النّصّ القرآنيّ، لا باعتباره نصًّا مقدّسًا، أو نصَّا قائمًا بذاته على الأقل، وإنّما باعتباره نتاجًا لواقعٍ تاريخيٍّ محدّدٍ، ولذلك لا يُعبّر عن الحقيقة بحدّ ذاتها، وإنّما يُعبّر عن حالةٍ نفسيّةٍ أو موقفٍ مرتبطٍ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أبرز المناهج المستعملة في الدّراسات الاستشراقيّة والحداثيّة، كما عبّر عن ذلك نصر حامد أبو زيد بقوله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لحظة الفصل بين الوجود المطلق والمتعالي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المشروط الزّماني</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وهي تقوم على مجموعة أسسٍ منها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النّزعة الإنسيّة التي ظهرت مع الحداثة الغربيّة، والحركة الإنسيّة، التي تجعل الإنسان سيّدًا للكون، بدلًا من كونه سيّدًا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ومُفادها أنّه لا وجود لشيءٍ مطلقٍ وحقيقيٍّ ويقينيٍّ، فالكلّ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الماديّ للتاريخ، بعيدًا عن كلّ مفاهيم الغيب والوحي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الهيرمينوطيقا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على البنيويّة والتّفكيك، والذي يخضع لذاتيّة القارئ، دون أيّ اعتبارٍ لمقاصد المتكلّم أو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هذا، نرى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هذا المنهج في المقالة كلّها؛ لتوهم القارئ أنّ المفاهيم المرتبطة بالإيمان والكفر بدأت سليمةً متسامحةً في الفترة المكّيّة، لكنّها سرعان ما استبدلت المسامحة بالشّدّة، وقامت بإلغاء الآخر، بل المواجهة معه في الفترة المدنيّة خصوصًا، ومن الأمثلة الدّالة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في المقالة من تغيّر موقف القرآن الكريم من اليهود بين الاعتراف بهم والدعوة إلى الاقتداء بتوحيدهم في السّور المكّيّة إلى التّشدّد معهم في السّور المدنيّة بناء على مواقفهم والظروف السياسيّة التي مرّ بها المسلمون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کمیلا آدنج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السّور المدنيّة تتضمّن القليل من الإشارة الجدليّة المباشرة ضدّ اليهوديّة أو النّصرانيّة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العكس من ذلك، يُقدّم كلّ من الإسرائيليين أو اليهود والنّصارى كمثلٍ لكي يُتّبعٍ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لأنّهم يعترفون بأنّه يوجد إلهٌ واحدٌ، خالق الكون الذي يجعل نفسه معروفًا للبشريّة من خلال التنزيلات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الفترة المكيّة، كان لا زال المؤمنون يُشجَّعون على أن يسعوا إلى الأخذ بنصح أهل الكتاب، الذين كونهم كانوا منغمسين ولا زالوا في التقليد التّوحيدي، والذين كان يمكن أن يكونوا قادرين على توضيح قضايا لا يفهموها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الموقف الأوّلي الخيٍّر يتغيّر بعد أن </w:t>
      </w:r>
    </w:p>
    <w:p>
      <w:pPr>
        <w:pStyle w:val="BookText"/>
        <w:rPr/>
      </w:pPr>
      <w:r>
        <w:rPr>
          <w:rFonts w:ascii="Amiri" w:hAnsi="Amiri" w:eastAsia="Amiri" w:cs="Amiri"/>
          <w:color w:val="111111"/>
          <w:sz w:val="28"/>
          <w:sz w:val="28"/>
          <w:szCs w:val="28"/>
          <w:rtl w:val="true"/>
          <w:lang w:bidi="ar-SA"/>
        </w:rPr>
        <w:t>ينتقل محمد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يصبح على معرفةٍ وثيقةٍ بأتباع الأديان التوحيديّة، لا سيّما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بعض اليهود قد تحوّلوا إلى الدين الجديد، ورفضت الأكثريّة ادّعاء محمد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مرفقًا بعوامل سياسيّةٍ أدّى إلى تدهور العلاقات بين محمد ويهود المدينة، كما انعكس في كثير من السّور في الفترة المدنيّة؛ فاليهود الآن قد جمعوا مع الوثنيين على أنّهم هم الذين الأكثر عداوةً تجاه المؤمنين</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وتذكر الموقف نفسه عند ذكر المصير الذي ينتظر أهل الكتاب في الآخرة،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رغم احتمال المكانة الأرفع للموحّدين السّابقين فإنّ الذين بينهم ممن هم مذنبين بالكفر سوف يشتركون مع الوثنيين بمصيرٍ مؤلمٍ ما لم يصلحوا طرق عيشهم، كما يراها سورةً مدنيّةً </w:t>
      </w:r>
      <w:r>
        <w:rPr>
          <w:rStyle w:val="FootnoteAnchor"/>
          <w:rtl w:val="true"/>
        </w:rPr>
        <w:footnoteReference w:id="466"/>
      </w:r>
      <w:r>
        <w:rPr>
          <w:rFonts w:ascii="Amiri" w:hAnsi="Amiri" w:eastAsia="Amiri" w:cs="Amiri"/>
          <w:color w:val="111111"/>
          <w:sz w:val="28"/>
          <w:sz w:val="28"/>
          <w:szCs w:val="28"/>
          <w:rtl w:val="true"/>
          <w:lang w:bidi="ar-SA"/>
        </w:rPr>
        <w:t xml:space="preserve">تضع الكافرين بين أهل الكتاب على نفس المستوى مثل المشركين واصفًا إيّاهم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المؤمنين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خَيْرُ البريَّة</w:t>
      </w:r>
      <w:r>
        <w:rPr>
          <w:rFonts w:eastAsia="Amiri" w:cs="Amiri" w:ascii="Amiri" w:hAnsi="Amiri"/>
          <w:color w:val="111111"/>
          <w:sz w:val="28"/>
          <w:szCs w:val="28"/>
          <w:rtl w:val="true"/>
          <w:lang w:bidi="ar-SA"/>
        </w:rPr>
        <w:t xml:space="preserve">» )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وتذكر الموقف نفسه من النّصارى بأنّ ما ورد حولهم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وَلَتَجِدَنَّ أَقْرَبَهُمْ مَوَدَّةٌ لِلَّذِينَ آمَنُوا الَّذِينَ قَالُوا إِنَّا نَصَارَى ذَلِكَ بِأَنَّ مِنْهُمْ قِسِيسِينَ وَرُهْبَانًا وَأَنَّهُمْ 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مَا أُنْزِلَ إِلَى الرَّسُولِ تَرَى أَعْيُنَهُمْ تَفِيضُ مِنَ الدَّمْعِ مِمَّا عَرَفُوا مِنَ الْحَقِّ يَقُولُونَ رَبَّنَا آمَنَّا فَاكْتُبْنَا مَعَ الشَّاهِدِينَ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الآيتان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معلّلًا بما ذكره القرآن الكريم عن رقّة قلوبهم وتواضعهم، وإنّما لكون النّصارى كانوا يشكّلون خطرًا أقل من خطر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تستدلّ لتغيّر هذا الموقف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 فَاسْأَلِ الَّذِينَ يَقْرَءُونَ الْكِتَابَ مِنْ قَبْلِكَ لَقَدْ جَاءَكَ الْحَقُّ مِنْ رَبِّكَ فَلَا تَكُونَنَّ مِنَ الْمُمْتَرِينَ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سورة يونس المكية،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يحكم من خلالها على إيمان أهل الكتاب، ولو من دون اتّباعهم لرسول الله صلّی الله علیه و آله و سلّم، </w:t>
      </w:r>
      <w:bookmarkStart w:id="520" w:name="pg8898_139570"/>
    </w:p>
    <w:p>
      <w:pPr>
        <w:pStyle w:val="BookText"/>
        <w:rPr/>
      </w:pPr>
      <w:bookmarkEnd w:id="520"/>
      <w:r>
        <w:rPr>
          <w:rFonts w:ascii="Amiri" w:hAnsi="Amiri" w:eastAsia="Amiri" w:cs="Amiri"/>
          <w:color w:val="111111"/>
          <w:sz w:val="28"/>
          <w:sz w:val="28"/>
          <w:szCs w:val="28"/>
          <w:rtl w:val="true"/>
          <w:lang w:bidi="ar-SA"/>
        </w:rPr>
        <w:t xml:space="preserve">مع أنّ المراد من هذه الآية هو ما نصّ عليه قوله تعالى في سورة البقرة المدنيّة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جَاءَهُمْ كِتَابٌ مِنْ عِنْدِ اللهِ مُصَدِّقُ لِمَا مَعَهُمْ 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 وَإِنَّ فَرِيقًا مِنْهُمْ لَيَكْتُمُونَ الْحَقَّ وَهُمْ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الآيات الكريمة، والتي تذكر أنّ أهل الكتاب كانوا يعرفون رسول الله صلّی الله علیه و آله و سلّم من خلال البشارات الواردة عنه في كتبهم، ولذلك دُعي المشركون إلى سؤالهم حتى يتأكّدوا من ذلك، وليس في ذلك دليلًا على إيمانهم؛ لأنّ الإيمان يعني الإذعان والتّسليم لا</w:t>
      </w:r>
    </w:p>
    <w:p>
      <w:pPr>
        <w:pStyle w:val="BookText"/>
        <w:rPr/>
      </w:pPr>
      <w:r>
        <w:rPr>
          <w:rFonts w:ascii="IRNazanin" w:hAnsi="IRNazanin" w:eastAsia="IRNazanin"/>
          <w:color w:val="111111"/>
          <w:sz w:val="28"/>
          <w:sz w:val="28"/>
          <w:szCs w:val="28"/>
          <w:rtl w:val="true"/>
          <w:lang w:bidi="fa-IR"/>
        </w:rPr>
        <w:t>مجرّد الاعتراف</w:t>
      </w:r>
      <w:r>
        <w:rPr>
          <w:rFonts w:eastAsia="IRNazanin" w:cs="IRNazanin"/>
          <w:color w:val="111111"/>
          <w:sz w:val="28"/>
          <w:szCs w:val="28"/>
          <w:rtl w:val="true"/>
          <w:lang w:bidi="fa-IR"/>
        </w:rPr>
        <w:t>.</w:t>
      </w:r>
    </w:p>
    <w:p>
      <w:pPr>
        <w:pStyle w:val="Heading6"/>
        <w:numPr>
          <w:ilvl w:val="5"/>
          <w:numId w:val="1"/>
        </w:numPr>
        <w:rPr/>
      </w:pPr>
      <w:bookmarkStart w:id="521" w:name="__RefHeading___Toc935813_2870459653"/>
      <w:bookmarkStart w:id="522" w:name="_Toc198"/>
      <w:bookmarkEnd w:id="521"/>
      <w:r>
        <w:rPr>
          <w:rtl w:val="true"/>
        </w:rPr>
        <w:t>المثال الثّاني</w:t>
      </w:r>
      <w:r>
        <w:rPr>
          <w:rtl w:val="true"/>
        </w:rPr>
        <w:t>:</w:t>
      </w:r>
      <w:bookmarkEnd w:id="522"/>
    </w:p>
    <w:p>
      <w:pPr>
        <w:pStyle w:val="BookText"/>
        <w:rPr/>
      </w:pPr>
      <w:r>
        <w:rPr>
          <w:rFonts w:ascii="Amiri" w:hAnsi="Amiri" w:eastAsia="Amiri" w:cs="Amiri"/>
          <w:color w:val="111111"/>
          <w:sz w:val="28"/>
          <w:sz w:val="28"/>
          <w:szCs w:val="28"/>
          <w:rtl w:val="true"/>
          <w:lang w:bidi="ar-SA"/>
        </w:rPr>
        <w:t>ما ورد في المقالة من تغيّر موقف القرآن الكريم من المشركين قبل فتح مكّة وبعدها، حيث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 محمدًا قد حاول حفظ علاقة ودّية مع الكفّار، فقد تغيّر هذا بعد إخضاع مكّة، فالآية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الْمُشْرِكُونَ نَجَسٌ فَلَا يَقْرَبُوا الْمَسْجِدَ الْحَرَامَ بَعْدَ عَامِهِمْ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تُعلن أنّ المشركين نجسون، وتحرِّم عليهم الدّنوّ من الحرم المكّيّ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أنّها طبّقت المنهج القرآنيّ في التّعامل مع الحقائق والقيم، والذي نصّ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لَوْلَا نُزِلَ عَلَيْهِ الْقُرْآنُ جُمْلَةٌ وَاحِدَةً كَذَلِكَ لِنُثَبِّتَ بِهِ فُؤَادَكَ وَرَتَّلْنَاهُ تَرْتِيلًا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الفرقان،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لعلمت أنّ الآيات القرآنيّة تتنزّل بحسب المواقف والحاجات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المسجد الحرام كان في الفترة المكّيّة وأكثر الفترة المدنيّة، قبل فتح مكّة، كان بيد المشركين، لا بيد المسلمين؛ فإنّ إنزال هذا الحكم الشّرعي في ذلك الحين، سيكون محلّ سخريةٍ منهم؛ فكيف ينهاهم عن القرب من المسجد الحرام، وهو تحت سيطرتهم، بل إنّ المسلمين هم المحرومون من الاقتراب منه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523" w:name="pg8898_139571"/>
    </w:p>
    <w:p>
      <w:pPr>
        <w:pStyle w:val="BookText"/>
        <w:rPr/>
      </w:pPr>
      <w:bookmarkEnd w:id="523"/>
      <w:r>
        <w:rPr>
          <w:rFonts w:ascii="IRNazanin" w:hAnsi="IRNazanin" w:eastAsia="IRNazanin"/>
          <w:color w:val="111111"/>
          <w:sz w:val="28"/>
          <w:sz w:val="28"/>
          <w:szCs w:val="28"/>
          <w:rtl w:val="true"/>
          <w:lang w:bidi="fa-IR"/>
        </w:rPr>
        <w:t>أمّا تعليل ذلك الحكم، والحكمة المرتبطة به، فهي واضحةٌ، فلكلّ أهل دینٍ شعائرهم الخاصّة بهم، ولذلك لا يصحّ أن يدخل المسجد الحرام من لم يؤمن بتلك الشّرائع، أو يسّلم لها، مثلما لا يقبل المسيحيون واليهود وغيرهم أن يدخل أحد أماكنهم المقدّسة ليؤدّي فيها شعائره الخاصّة به</w:t>
      </w:r>
      <w:r>
        <w:rPr>
          <w:rFonts w:eastAsia="IRNazanin" w:cs="IRNazanin"/>
          <w:color w:val="111111"/>
          <w:sz w:val="28"/>
          <w:szCs w:val="28"/>
          <w:rtl w:val="true"/>
          <w:lang w:bidi="fa-IR"/>
        </w:rPr>
        <w:t>.</w:t>
      </w:r>
    </w:p>
    <w:p>
      <w:pPr>
        <w:pStyle w:val="Heading6"/>
        <w:numPr>
          <w:ilvl w:val="5"/>
          <w:numId w:val="1"/>
        </w:numPr>
        <w:rPr/>
      </w:pPr>
      <w:bookmarkStart w:id="524" w:name="__RefHeading___Toc935815_2870459653"/>
      <w:bookmarkStart w:id="525" w:name="_Toc199"/>
      <w:bookmarkEnd w:id="524"/>
      <w:r>
        <w:rPr>
          <w:rtl w:val="true"/>
        </w:rPr>
        <w:t>المثال الثالث</w:t>
      </w:r>
      <w:r>
        <w:rPr>
          <w:rtl w:val="true"/>
        </w:rPr>
        <w:t>:</w:t>
      </w:r>
      <w:bookmarkEnd w:id="525"/>
    </w:p>
    <w:p>
      <w:pPr>
        <w:pStyle w:val="BookText"/>
        <w:rPr/>
      </w:pPr>
      <w:r>
        <w:rPr>
          <w:rFonts w:ascii="IRNazanin" w:hAnsi="IRNazanin" w:eastAsia="IRNazanin"/>
          <w:color w:val="111111"/>
          <w:sz w:val="28"/>
          <w:sz w:val="28"/>
          <w:szCs w:val="28"/>
          <w:rtl w:val="true"/>
          <w:lang w:bidi="fa-IR"/>
        </w:rPr>
        <w:t xml:space="preserve">ما ورد في المقالة من تغيّر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الكريم بين شموله لجميع من تحقّق بالإيمان في عصر رسول الله صلّی الله علیه و آله و سلّم أو ما قبله، وبين انحصاره في المؤمنين برسول الله صلّی الله علیه و آله و سلّم فقط، كما عبّرت عن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كميلا آدنج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أنّه من حيث المبدأ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معناها المطلق تُستعمل لوصف أيّ فردٍ من أتباع الدّين الذي أسّسه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التّشديد في البدء بأنّ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ليس لها ذلك المعنى الحصري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تشمل المؤمنين الذين سبقوا فترة محمد، أي أولئك الذين آمنوا بالأنبياء والرّسل الذين أرسلهم الله قبل ظهور محمد؛ والمثال الأكثر وضوحًا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داعمًا لموسى في محكمة فرعون ومجموعة ثانية من غير المؤمنين تتكون من أفراد بين أهل الكتاب الذين يوصفون في القرآن كمؤمنين مع أنّ أكثر المفسّرين يعتبرونهم متحوِّلين إلى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إذا تحدّثنا بشكلٍ صارمٍ، فإنّ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ليستا قابلتين أن تكونا مترادفتين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بما يتلو بعده، فإنّ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تُستعمل بما يعني تابع ملتزم بدین محمد</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تطوّر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فالقرآن الكريم في جميع مراحل نزوله يقرّ بإيمان من كانوا قبل رسول الله صلّی الله علیه و آله و سلّم ما داموا يتّبعون في ذلك من أرسل إليهم من الأنبياء، بل يوجب على المؤمنين من أتباع رسول الله صلّی الله علیه و آله و سلّم أن يؤمنوا بما آمن به من قبلهم، كما قال تعالى في سورة البقرة المدنيّة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آمَنَّا بِاللهِ وَمَا أُنْزِلَ إِلَيْنَا وَمَا أُنْزِلَ إِلَى إِبْرَاهِيمَ وَإِسْمَاعِيلَ وَإِسْحَاقَ وَيَعْقُوبَ وَالْأَسْبَاطِ </w:t>
      </w:r>
      <w:bookmarkStart w:id="526" w:name="pg8898_139572"/>
    </w:p>
    <w:p>
      <w:pPr>
        <w:pStyle w:val="BookText"/>
        <w:rPr/>
      </w:pPr>
      <w:bookmarkEnd w:id="526"/>
      <w:r>
        <w:rPr>
          <w:rFonts w:ascii="Amiri" w:hAnsi="Amiri" w:eastAsia="Amiri" w:cs="Amiri"/>
          <w:color w:val="111111"/>
          <w:sz w:val="28"/>
          <w:sz w:val="28"/>
          <w:szCs w:val="28"/>
          <w:rtl w:val="true"/>
          <w:lang w:bidi="ar-SA"/>
        </w:rPr>
        <w:t xml:space="preserve">وَمَا أُوتِيَ مُوسَى وَعِيسَى وَمَا أُوتِيَ النَّبِيُّونَ مِنْ رَبِّهِمْ لَا نُفَرِّقُ بَيْنَ أَحَدٍ مِنْهُمْ وَنَحْنُ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آمَنُوا بِمِثْلِ مَا آمَنْتُمْ بِهِ فَقَدِ اهْتَدَوْا وَإِنْ تَوَلَّوْا فَإِنَّمَا هُمْ فِي شِقَاقٍ فَسَيَكْفِيكَهُمُ اللَّهُ وَهُوَ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الآيات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سورة المائدة المدنية، والتي هي من أواخر ما نزل من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يَاأَهْلَ الْكِتَابِ هَلْ تَنْقِمُونَ مِنَّا إِلَّا أَنْ آمَنَّا بِاللَّهِ وَمَا أُنْزِلَ إِلَيْنَا وَمَا أُنْزِلَ مِنْ قَبْلُ وَأَنَّ أَكْثَرَكُمْ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اتباع رسول الله صلّی الله علیه و آله و سلّم و الحکم بالكفر على من لم يتّبعه؛ فهذا وارد فی جمیع القرآن الكريم مكيّه ومدنيّه، فكلّها متّفقة على عالميّة رسالة رسول الله صلّی الله علیه و آله و سلّم،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 بَشِيرًا وَنَذِيرًا وَلَكِنَّ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سبأ،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إِنِّي رَسُولُ اللهِ إلَيْكُمْ جَمِيعاً الَّذِى لَهُ مُلْكُ السَّمَاوَاتِ وَالْأَرْضِ لا إِلَهَ إِلَّا هُوَ يُحْيِي وَيُمِيتُ فَآمِنُوا بِاللَّهِ وَرَسُولِهِ النَّبِيِّ الْأُمِّتِ الَّذِي يُؤْمِنُ بِاللَّهِ وَكَلِمَاتِهِ وَاتَّبِعُوهُ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الفرقان ،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ذِكْرَى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إِلَّا ذِكْرُ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القلم، الآية</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هذه الآيات واردة في السور المكّيّة، وهي تدلّ على أنّ وجوب اتِّباع رسول الله صلّی الله علیه و آله و سلّم، ومن كلّ البشر سواء كانوا وثنيين أو أهل كتاب، لم تبدأ الدّعوة إليه من المدينة المنوّرة، وإنّما ابتدأت من مكّة المكرّمة، بل مع أوائل ما نزل فيها من القرآن الكريم، كما ورد في سورة القلم</w:t>
      </w:r>
      <w:r>
        <w:rPr>
          <w:rFonts w:eastAsia="IRNazanin" w:cs="IRNazanin"/>
          <w:color w:val="111111"/>
          <w:sz w:val="28"/>
          <w:szCs w:val="28"/>
          <w:rtl w:val="true"/>
          <w:lang w:bidi="fa-IR"/>
        </w:rPr>
        <w:t>.</w:t>
      </w:r>
    </w:p>
    <w:p>
      <w:pPr>
        <w:pStyle w:val="Heading5"/>
        <w:numPr>
          <w:ilvl w:val="4"/>
          <w:numId w:val="1"/>
        </w:numPr>
        <w:rPr/>
      </w:pPr>
      <w:bookmarkStart w:id="527" w:name="__RefHeading___Toc935817_2870459653"/>
      <w:bookmarkStart w:id="528" w:name="_Toc200"/>
      <w:bookmarkEnd w:id="527"/>
      <w:r>
        <w:rPr/>
        <w:t>3</w:t>
      </w:r>
      <w:r>
        <w:rPr>
          <w:rtl w:val="true"/>
        </w:rPr>
        <w:t xml:space="preserve"> - </w:t>
      </w:r>
      <w:r>
        <w:rPr>
          <w:rtl w:val="true"/>
        </w:rPr>
        <w:t>إثارة الخلافات المذهبيّة من غير حاجةٍ لها</w:t>
      </w:r>
      <w:r>
        <w:rPr>
          <w:rtl w:val="true"/>
        </w:rPr>
        <w:t>:</w:t>
      </w:r>
      <w:bookmarkEnd w:id="528"/>
    </w:p>
    <w:p>
      <w:pPr>
        <w:pStyle w:val="Heading6"/>
        <w:numPr>
          <w:ilvl w:val="5"/>
          <w:numId w:val="1"/>
        </w:numPr>
        <w:rPr/>
      </w:pPr>
      <w:bookmarkStart w:id="529" w:name="__RefHeading___Toc935819_2870459653"/>
      <w:bookmarkStart w:id="530" w:name="_Toc201"/>
      <w:bookmarkEnd w:id="529"/>
      <w:r>
        <w:rPr>
          <w:rtl w:val="true"/>
        </w:rPr>
        <w:t>اشارة</w:t>
      </w:r>
      <w:bookmarkEnd w:id="53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أسلوب استخدمه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محالٍ مختلفةٍ، ومن غير دواعٍ علميّةٍ تدعو إلى ذلك، بالإضافة إلى أنّه لم يطبّق في ذلك المنهج العلميّ الذي يستدعي التّحقيق </w:t>
      </w:r>
      <w:bookmarkStart w:id="531" w:name="pg8898_139573"/>
    </w:p>
    <w:p>
      <w:pPr>
        <w:pStyle w:val="BookText"/>
        <w:rPr/>
      </w:pPr>
      <w:bookmarkEnd w:id="531"/>
      <w:r>
        <w:rPr>
          <w:rFonts w:ascii="Amiri" w:hAnsi="Amiri" w:eastAsia="Amiri" w:cs="Amiri"/>
          <w:color w:val="111111"/>
          <w:sz w:val="28"/>
          <w:sz w:val="28"/>
          <w:szCs w:val="28"/>
          <w:rtl w:val="true"/>
          <w:lang w:bidi="ar-SA"/>
        </w:rPr>
        <w:t>الخلاف وحقيقته وموضع النّزاع، ولذلك وقع في التّدليس، ومن الأمثلة على ذلك</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935821_2870459653"/>
      <w:bookmarkStart w:id="533" w:name="_Toc202"/>
      <w:bookmarkEnd w:id="532"/>
      <w:r>
        <w:rPr>
          <w:rtl w:val="true"/>
        </w:rPr>
        <w:t>المثال الأوّل</w:t>
      </w:r>
      <w:r>
        <w:rPr>
          <w:rtl w:val="true"/>
        </w:rPr>
        <w:t>:</w:t>
      </w:r>
      <w:bookmarkEnd w:id="533"/>
    </w:p>
    <w:p>
      <w:pPr>
        <w:pStyle w:val="BookText"/>
        <w:rPr/>
      </w:pPr>
      <w:r>
        <w:rPr>
          <w:rFonts w:ascii="Amiri" w:hAnsi="Amiri" w:eastAsia="Amiri" w:cs="Amiri"/>
          <w:color w:val="111111"/>
          <w:sz w:val="28"/>
          <w:sz w:val="28"/>
          <w:szCs w:val="28"/>
          <w:rtl w:val="true"/>
          <w:lang w:bidi="ar-SA"/>
        </w:rPr>
        <w:t>إيرادها للخلاف الوارد بين المدارس الإسلاميّة حول التّقيّة، كما عبّرت عن ذلك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هذا السياق، يجري استعمال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يميل المفسّرون السنّة إلى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يعتبر نظراؤهم من الشيعة على أنها واجب عند مواجهة خطر تهديد الحياة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لم تذكر مراجعها من التّفاسير السّنيّة، بل اكتفت بذكر التّفاسير الشّيعيّة، كالتبيان والميزان ،وغيرهما، فالخطأ الذي وقعت فيه هو عدم عودتها للمصادر السّنيّة، وخصوصًا الفقهيّة منها؛ لأنّها هي المحال التي توضع فيها أمثال هذه المسائل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العودة إليها نجد اتّفاقًا كبيرًا بين أكثر المذاهب السّنيّة والشّيعة في هذا الجانب؛ فكلّهم يتّفقون على أنّ المكره على التّلفّظ بالألفاظ الدّالة على الكفر، يمكنه أن يفعل ذلك، كما عبّر عن ذلك شمس الأئمة السرخسي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والتقيّة أن يقي نفسه من العقوبة بما يظهره، وإن كان يضمر خلافه، وقد كان بعض الناس يأبى ذلك،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النّفاق، والصحيح أنّ ذلك جائز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آل عمران، الآية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وإجراء كلمة الشّرك على اللّسان مكرهًا مع طمأنينة القلب بالإيمان من باب النّقيّة، وقد بيّنا أنّ رسول الله صلّی الله علیه و آله و سلّم رخّص فيه لعمار بن ياسر</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خاف في بعض البلدان أو الأوقات من شرّهم، فله أن يتّقيهم بظاهره لا بباطنه ونيّته، كما حكاه البخاري عن أبي الدرداء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لنكشّر في وجوه أقوام وقلوبنا تلعنهم</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الألوسي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تفسيره للآية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الآية دليلٌ على مشروعيّة التّقيّة وعرّفوها بمحافظة النفس، أو العِرض أو المال من شرّ الأعداء، والعدو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كانت عداوته مبنيّة على اختلاف الدّين كالكافر والمسلم، والثّاني من كانت عداوته مبنيّة على أغراضٍ دنيويّةٍ كالمال والمتاع والملك والإمارة، ومن هنا صارت التَّقيّة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الأوّل فالحكم الشّرعيّ فيه أنّ كلّ مؤمنٍ وقع في محلٍ لا يمكن له أن يظهر دينه لتعرّض المخالفين وجب عليه الهجرة إلى محلٍ يقدر فيه على إظهار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ممن لهم عذر شرعيّ في ترك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له المكث مع المخالف والموافقة بقدر الضرورة</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الأقوال التي يتّفق فيها السّنّة مع الشّيعة، والخلاف بينهما ليس في هذه النّاحية، وإنّما في النّواحي المرتبطة بالخصوصيات المذهبيّة التي تبنّاها الشّيعة، والتي حرص أئمّتهم على ألّا تكون سببًا في التأثير في علاقات المسلمين بعضهم ببعض، ولذلك أوجبوا على أتباعهم أن يستعملوا التّقيّة، لا للحيلة والخداع، وإنّما لتحقيق الألفة والمودّة بينهم وبين سائر المسلمين، بالإضافة إلى عدم التّعرّض للأذى الذي يمارسه المتطرّفون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أمر متوافق مع ما ورد في المصادر السّنيّة من ترك رسول الله صلّی الله علیه و آله و سلّم البعض الأمور حرصًا على النّاس، كما ورد في الحديث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و سلّم عن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البيت،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منعهم أن يدخلوه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بهم النّفقة،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شأن بابه مرتفعًا، لا يُصعد إليه إلا بسلّم؟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فعل قومك، ليدخلوه من شاءوا ويمنعوه من شاءوا، ولولا أنّ قومك حديثو عهدٍ بكفر مخافة أن تنفر قلوبهم، لنظرت هل أغيّره فأدخل فيه ما انتقص منه، وجعلت بابه بالأرض</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ومثله ما وري في مداراة بعض النّاس خشية شرّهم، كما رُويَ عن عروة بن الزّبير أنّ عائشة أخبرته أنّ رجلًا استأذن في الدّخول إلى منزل النّبيّ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ائذنوا له فبئس ابن العشيرة، أو بئس أخو العشيرة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دخل ألآن له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قلت ما قلت ثمّ ألنت له في القول؟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شرّ الناس منزلة عند الله من 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ودَعَهُ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اتّقاء فُحشه</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فقد صّرح رسول الله صلّی الله علیه و آله و سلّم في هذا الحديث بأنّه ترك مصارحة ذلك الشّخص، اتقاء لفحشه، مع أنّ رسول الله صلّی الله علیه و آله و سلّم لم يخف على نفسه منه، وإنّما حرص على الوحدة وتآلف القلوب، ولو في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ذلك ما يدلّ عليه ما ورد في القرآن الكريم على لسان هارون علیه السّلام في حواره أخيه موسى علیه السلام، فقد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تَأْخُذُ بِلِحْيَتِي وَلَا بِرَأْسِي إِنِّي خَشِيتُ أَنْ تَقُولَ فَرَّقْتَ بَيْنَ بَنِي إِسْرَابِيلَ وَلَمْ تَرْقُبْ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جواب عن ذلك العتاب الذي تلقّاه من أخيه بسبب عدم شدّته مع السّامري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ذكره أئمة الشّيعة جميعهم، وأوصوا به أتباعهم، فعن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إمامًا مخالفًا، وهو يبغض أصحابنا كلهم؟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من قوله، والله لئن كنت صادقًا لأنت أحق بالمسجد منه، فكُنْ أول داخل وآخر خارج، وأحسن خلقك مع الناس، وقُلْ خيرًا</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أتصلي معهم في المسجد؟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معهم؛ فإن المصلي معهم في الصف الأول كالشاهر سيفه في سبيل الله</w:t>
      </w:r>
      <w:r>
        <w:rPr>
          <w:rFonts w:eastAsia="Amiri" w:cs="Amiri" w:ascii="Amiri" w:hAnsi="Amiri"/>
          <w:color w:val="111111"/>
          <w:sz w:val="28"/>
          <w:szCs w:val="28"/>
          <w:rtl w:val="true"/>
          <w:lang w:bidi="ar-SA"/>
        </w:rPr>
        <w:t xml:space="preserve">) </w:t>
      </w:r>
      <w:r>
        <w:rPr>
          <w:rStyle w:val="FootnoteAnchor"/>
          <w:rtl w:val="true"/>
        </w:rPr>
        <w:footnoteReference w:id="476"/>
      </w:r>
      <w:bookmarkStart w:id="534" w:name="pg8898_139576"/>
    </w:p>
    <w:p>
      <w:pPr>
        <w:pStyle w:val="Heading6"/>
        <w:numPr>
          <w:ilvl w:val="5"/>
          <w:numId w:val="1"/>
        </w:numPr>
        <w:rPr/>
      </w:pPr>
      <w:bookmarkStart w:id="535" w:name="__RefHeading___Toc935823_2870459653"/>
      <w:bookmarkStart w:id="536" w:name="_Toc203"/>
      <w:bookmarkEnd w:id="534"/>
      <w:bookmarkEnd w:id="535"/>
      <w:r>
        <w:rPr>
          <w:rtl w:val="true"/>
        </w:rPr>
        <w:t>المثال الثّاني</w:t>
      </w:r>
      <w:r>
        <w:rPr>
          <w:rtl w:val="true"/>
        </w:rPr>
        <w:t>:</w:t>
      </w:r>
      <w:bookmarkEnd w:id="536"/>
    </w:p>
    <w:p>
      <w:pPr>
        <w:pStyle w:val="BookText"/>
        <w:rPr/>
      </w:pPr>
      <w:r>
        <w:rPr>
          <w:rFonts w:ascii="Amiri" w:hAnsi="Amiri" w:eastAsia="Amiri" w:cs="Amiri"/>
          <w:color w:val="111111"/>
          <w:sz w:val="28"/>
          <w:sz w:val="28"/>
          <w:szCs w:val="28"/>
          <w:rtl w:val="true"/>
          <w:lang w:bidi="ar-SA"/>
        </w:rPr>
        <w:t>ما ورد في المقالة من أنّ هناك خلافًا بين المدارس الإسلاميّة حول الجزم والتأكيد في الإيمان، وربطها للمسألة بإيمان المقلّد، وذلك في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ذلك، بعض المفسّرين يُصرّحون بأنّه حتى يكون الإيمان صحيحًا، ينبغي أن يكون تأكيدًا حقيقيًّا وليس مجرّد موقف مُكتسب عن طريق الذي يميّز بين الإيمان التقليدي والإيمان التّحقيقيّ</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وما ذكرته من الخلاف بين المدارس الإسلاميّة صحيحٌ، لكنّه لا يرتبط بالجزم واليقين والتّأكّد، ذلك أنّ الجمع متّفقٌ على وجوب اليقين وعدم الشّكّ والرّيب في الإيمان،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ـإِنَّمَا الْمُؤْمِنُونَ الَّذِينَ آمَنُوا بِاللَّهِ وَرَسُولِهِ ثُمَّ لَمْ يَرْتَابُوا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فالآية الكريمة تشترط في صدق الإيمان ألّا يتخلّله ريبٌ أو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الله تعالى اعتبر المرتاب والشّاك منافقًا،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يَسْتَأْذِنُكَ الَّذِينَ لَا يُؤْمِنُونَ بِاللَّهِ وَالْيَوْمِ الْآخِرِ وَارْتَابَتْ قُلُوبُهُمْ فَهُمْ فِي رَيْبِهِمْ يَتَرَدَّدُونَ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فإنّ كلّ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أولئك الذي يوجبون الاجتهاد أو لا يوجبونه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متّفقون على اشتراط الجزم وعدم الشّك والرّيب، كما قال 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وتارة يكون الجزم من غير ضرورةٍ، ولا دليل خاص، كإيمان العوام، أو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إيمان صحيح عند جميع العلماء، خلافًا لأبي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علمًا في عرف كثير من الناس، وإن كان بعض المتكلّمين لا يسمّيه علمًا</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حكى النووي اتّفاق المتكلّمين على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واتّفق أهل السّنّة من المحدثين والفقهاء والمتكلّمين على أنّ المؤمن الذي يحكم بأنّه من أهل القبلة ولا يُخلّد في النّار لا يكون إلّا من اعتقد بقلبه دين الإسلام اعتقادًا جازمًا خاليًا من </w:t>
      </w:r>
      <w:bookmarkStart w:id="537" w:name="pg8898_139577"/>
    </w:p>
    <w:p>
      <w:pPr>
        <w:pStyle w:val="BookText"/>
        <w:rPr/>
      </w:pPr>
      <w:bookmarkEnd w:id="537"/>
      <w:r>
        <w:rPr>
          <w:rFonts w:ascii="Amiri" w:hAnsi="Amiri" w:eastAsia="Amiri" w:cs="Amiri"/>
          <w:color w:val="111111"/>
          <w:sz w:val="28"/>
          <w:sz w:val="28"/>
          <w:szCs w:val="28"/>
          <w:rtl w:val="true"/>
          <w:lang w:bidi="ar-SA"/>
        </w:rPr>
        <w:t xml:space="preserve">الشّكوك، ونطق بالشهادتين، فإن اقتصر على إحداهما لم يكن من أهل القبلة أصلًا إلَّا إذا عجز عن النّطق لخللٍ في لسانه أو لعدم التّمكّن منه لمعاجلة المنية أو لغير ذلك فإنّه يكون مؤمنًا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واعتبر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المجيزين لإيمان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في الإيمان، وأنّه قد يتحقّق من غير أدلّةٍ معلومة ظاهرة، ولذلك فإنّ العبرة باليقين وليس بالطريق المؤدّي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ظنّ أنّ مدرك الإيمان الكلام والأدلّة المحرزة والتقسيمات المرتّبة فقد أبعد، لا بل الإيمان نور يقذفه الله في قلوب عباده عطيةً وهديّةً من عنده، تارةً بتنبيهٍ في الباطن لا يمكن التّعبير عنه، وتارةً بسبب رؤيا في المنام، وتارةً بقرينة حال رجلٍ متديّنِ وسراية نوره إليه عند صحبته ومجالسته، وتارة بقرينة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 أكثر من أن تحصى، ولم يشتغل واحد منهم قط بكلام وتعلّم الأدلّة، بل كان يبدو نور الإيمان أوّلًا بمثل هذه القرائن في قلوبهم لمعة بيضاء ثم لا يزال يزداد وضوحًا وإشراقًا بمشاهدة تلك الأحوال العظيمة، وبتلاوة القرآن، وتصفية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الصريح أنّ كلّ من اعتقد أنّ كلّ ما جاء به الرسول واشتمل عليه القرآن حقّ، اعتقادًا جازمًا ، فهو مؤمن، وإن لم يعرف أدلّته</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8" w:name="__RefHeading___Toc935825_2870459653"/>
      <w:bookmarkStart w:id="539" w:name="_Toc204"/>
      <w:bookmarkEnd w:id="538"/>
      <w:r>
        <w:rPr>
          <w:rtl w:val="true"/>
        </w:rPr>
        <w:t>المثال الثالث</w:t>
      </w:r>
      <w:r>
        <w:rPr>
          <w:rtl w:val="true"/>
        </w:rPr>
        <w:t>:</w:t>
      </w:r>
      <w:bookmarkEnd w:id="53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في المقالة من إقحامها لمسألة غياب الإمام المهدي والاختلاف فيها من غير حاجةٍ إلى ذلك، وذلك في قولها عند الحديث عن الإيمان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وشرط مستقلّ عن الإيمان هو الإيمان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النّظرة المقبولة بشكلٍ شائعٍ هي التي تُشير إلى أشياء غير منظورةٍ، وهي معرفةٌ مخفيّةٌ عن الجنس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ولمفسِّر شيعي مثل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التبيان،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الفترة لاحتجاب الإمام المُنتظر ومجيء المهدي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وطرحها المسألة بهذه الطريقة يوهم أنّ هناك خلافًا كبيرًا بين المسلمين في هذا الشأن، وهذا غير صحيح؛ فالمسلمون بفرقهم جميعًا، يؤمنون بالإمام المهدي، ويعتبرونه من البشائر التي بُشّروا بها، والتي نصّ عليها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الَّذِى ارْتَضَى لَهُمْ وَلَيُبَدِّلَنَّهُمْ مِنْ بَعْدِ خَوْفِهِمْ أَمْنًا يَعْبُدُونَنِي لَا يُشْرِكُونَ بِي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النور،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الآيات الكريمة التي تعد المؤمنين بتمكين دينه في الأرض، وهيمنته على الدين كلّه،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وَكَفَى بِاللَّهِ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الأحاديث الكثيرة المتواترة في مصادر السنة والشيعة، والتي تتّفق في الكثير من التّفاصيل، والاختلاف بينها لا يعدو في المصداق الذي وردت فيه تلك الأحاديث، وبذلك يكون الإيمان بالإمام المهدي غيبًا لدى الفريقين، سواء أولئك الذين يقولون بولادته واحتجابه، أو أولئك الذين يؤمنون بتأخّر ولادته؛ فكلاهما متّفقان على ضرورة الإيمان به، وإن اختلفوا في درجة تفعيل ذلك الإيمان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ذلك؛ فإنّ الإيمان بالغيب يقصد به كلّ الحقائق العقديّة الواردة في القرآن الكريم، مما غاب عنّا حضورها، كما قال تعالى بعد إيراده لقصّة نوح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مِنْ أَنْبَاءِ الْغَيْبِ نُوحِيهَا إِلَيْكَ مَا كُنْتَ تَعْلَمُهَا أَنْتَ وَلَا قَوْمُكَ مِنْ قَبْلِ هَذَا فَاصْبِرْ إِنَّ 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بعد إيراده لقصّة يوسف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مِنْ أَنْبَاءِ الْغَيْبِ نُوحِيهِ إِلَيْكَ وَمَا كُنتَ لَدَيْهِمْ إِذْ أَجْمَعُوا أَمْرَهُمْ وَهُمْ يَمْكُرُونَ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يوسف، الآية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بعد إيراده لقصّة مريم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أَنْبَاءِ الْغَيْبِ نُوحِيهِ إِلَيْكَ وَمَا كُنْتَ لَدَيْهِمْ إِذْ يُلْقُونَ أَقْلَامَهُمْ أَيُّهُمْ يَكْفُلُ مَرْيَمَ وَمَا كُنْتَ لَدَيْهِمْ إِذْ يَخْتَصِمُونَ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540" w:name="pg8898_139579"/>
    </w:p>
    <w:p>
      <w:pPr>
        <w:pStyle w:val="BookText"/>
        <w:rPr/>
      </w:pPr>
      <w:bookmarkEnd w:id="540"/>
      <w:r>
        <w:rPr>
          <w:rFonts w:ascii="Amiri" w:hAnsi="Amiri" w:eastAsia="Amiri" w:cs="Amiri"/>
          <w:color w:val="111111"/>
          <w:sz w:val="28"/>
          <w:sz w:val="28"/>
          <w:szCs w:val="28"/>
          <w:rtl w:val="true"/>
          <w:lang w:bidi="ar-SA"/>
        </w:rPr>
        <w:t>وبذلك يكون إقحامها لذكر الإمام المهدي وغيابه في هذا الموضع خصوصًا نوعًا من إثارة الخلاف في غير محلّه، ومن غير دراسةٍ علميّةٍ واعيةٍ له، قد تزيل الشّبه المرتبطة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ومن باب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لذكرها له في هذا المحلّ نوع من الوجاهة، باعتبار أنّ لهذه القضيّة تأثيرها الكبير في الموقف من الإمام المهدي بين السنة والشيعة؛ فالسّنّة يعتبرونه مجرّد حدثٍ عابرٍ وعاديّ يقع في آخر الزمان، بينما يعتبره الشيعة إمامهم وصاحب عصرهم، ولذلك تتأثّر حياتهم جميعًا بهذا الاعتقاد</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935827_2870459653"/>
      <w:bookmarkStart w:id="542" w:name="_Toc205"/>
      <w:bookmarkEnd w:id="541"/>
      <w:r>
        <w:rPr>
          <w:rtl w:val="true"/>
        </w:rPr>
        <w:t>المثال الرابع</w:t>
      </w:r>
      <w:r>
        <w:rPr>
          <w:rtl w:val="true"/>
        </w:rPr>
        <w:t>:</w:t>
      </w:r>
      <w:bookmarkEnd w:id="542"/>
    </w:p>
    <w:p>
      <w:pPr>
        <w:pStyle w:val="BookText"/>
        <w:rPr/>
      </w:pPr>
      <w:r>
        <w:rPr>
          <w:rFonts w:ascii="Amiri" w:hAnsi="Amiri" w:eastAsia="Amiri" w:cs="Amiri"/>
          <w:color w:val="111111"/>
          <w:sz w:val="28"/>
          <w:sz w:val="28"/>
          <w:szCs w:val="28"/>
          <w:rtl w:val="true"/>
          <w:lang w:bidi="ar-SA"/>
        </w:rPr>
        <w:t xml:space="preserve">إِنَّ مع قصر المقالة، وعظم الموضوع المرتبط بها،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تخوض أحيانًا كثيرةً في قضايا فرعيّةٍ جدليّةٍ لا علاقة لها بالموضوع، وتحتلّ فوق ذلك مساحةً كبيرةً من المقال، والقصد منها ليس سوى بيان اختلاف المسلمين، ولو من غير داعٍ يدعو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على ذلك قولها عند ذكر ما ورد في القرآن الكريم من نجاسة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فَسّر كل من المدرسة الشرعيّة المالكيّة والمدرسة الشّرعيّة الجعفريّة هذه الآية على أنّها منع غير المسلمين جميعًا من دخول أماكن عبادة المسلمين، وأدّى ذلك إلى أبحاثٍ حول طبيعة النّجاسة عند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كانوا بالحرف فعلًا قذرين أو طقوسيًّا نجسين لأنّهم لا يتوضؤون؟ هل أنّ نجاستهم حكمًا أو مفهومًا في عقول المؤمنين؟ أو أنّهم نجسون بطبيعتهم وباعثون على الاتّساخ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النّصّ الطويل، وهو ما يُبيّن أنّ الغرض من المقال يتجاوز التّعرّف على حقيقة الإيمان والكفر، والعلاقة بينهما في القرآن الكريم، وإنّما البحث عن أيّ شيءٍ قد يجعل القارئ نافرًا من الحقائق القرآنيّة</w:t>
      </w:r>
      <w:r>
        <w:rPr>
          <w:rFonts w:eastAsia="Amiri" w:cs="Amiri" w:ascii="Amiri" w:hAnsi="Amiri"/>
          <w:color w:val="111111"/>
          <w:sz w:val="28"/>
          <w:szCs w:val="28"/>
          <w:rtl w:val="true"/>
          <w:lang w:bidi="ar-SA"/>
        </w:rPr>
        <w:t xml:space="preserve">. </w:t>
      </w:r>
      <w:bookmarkStart w:id="543" w:name="pg8898_139580"/>
    </w:p>
    <w:p>
      <w:pPr>
        <w:pStyle w:val="BookText"/>
        <w:rPr/>
      </w:pPr>
      <w:bookmarkEnd w:id="543"/>
      <w:r>
        <w:rPr>
          <w:rFonts w:ascii="Amiri" w:hAnsi="Amiri" w:eastAsia="Amiri" w:cs="Amiri"/>
          <w:color w:val="111111"/>
          <w:sz w:val="28"/>
          <w:sz w:val="28"/>
          <w:szCs w:val="28"/>
          <w:rtl w:val="true"/>
          <w:lang w:bidi="ar-SA"/>
        </w:rPr>
        <w:t>ولو أنّها تركت أقوال الفقهاء، وراحت تبحث في معنى النّجاسة في القرآن الكريم، وسرّ وصم المشركين بها، أو راحت تبحث في كتب التاريخ لتعرف مدى تنزّه المشركين عن القاذورات والأخلاق المنحرفة، لما احتاجت لكلّ التّفاصيل الفقهيّة التي ذكرتها في غير الموضع المناسب لها</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935829_2870459653"/>
      <w:bookmarkStart w:id="545" w:name="_Toc206"/>
      <w:bookmarkEnd w:id="544"/>
      <w:r>
        <w:rPr>
          <w:rtl w:val="true"/>
        </w:rPr>
        <w:t xml:space="preserve">ثانيًا </w:t>
      </w:r>
      <w:r>
        <w:rPr>
          <w:rtl w:val="true"/>
        </w:rPr>
        <w:t xml:space="preserve">- </w:t>
      </w:r>
      <w:r>
        <w:rPr>
          <w:rtl w:val="true"/>
        </w:rPr>
        <w:t>ملاحظات وانتقادات حول القضايا المطروحة</w:t>
      </w:r>
      <w:r>
        <w:rPr>
          <w:rtl w:val="true"/>
        </w:rPr>
        <w:t>:</w:t>
      </w:r>
      <w:bookmarkEnd w:id="545"/>
    </w:p>
    <w:p>
      <w:pPr>
        <w:pStyle w:val="Heading5"/>
        <w:numPr>
          <w:ilvl w:val="4"/>
          <w:numId w:val="1"/>
        </w:numPr>
        <w:rPr/>
      </w:pPr>
      <w:bookmarkStart w:id="546" w:name="__RefHeading___Toc935831_2870459653"/>
      <w:bookmarkStart w:id="547" w:name="_Toc207"/>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 xml:space="preserve">بناء على عدم 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تقتضيه المنهجيّة العلميّة من شروط البحث العلمي؛ وأوّلها البحث في المصادر الإسلاميّة بأنواعها المختلفة، وسؤال المتخصّصين من المسلمين عن ذلك؛ فقد وقعت في مغالطاتٍ أو أخطاء موضوعيّة كثيرة، ربما يكون سببها الأكبر اعتمادها على ما كتبه المستشرقون قبلها، وخصوصًا في نفس الموسوعة التي كتبت فيها مقالتها، ولذلك تُحيل عليها وعليهم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هذا المقال لا يتّسع لنقد كلّ المغالطات التي طرحتها بتفصيل؛ فسنكتفي هنا بذكر أربعة نماذج عنها، وهي كلّها مما له علاقة بالإيمان، أو بآثاره</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935833_2870459653"/>
      <w:bookmarkStart w:id="549" w:name="_Toc208"/>
      <w:bookmarkEnd w:id="548"/>
      <w:r>
        <w:rPr/>
        <w:t>1</w:t>
      </w:r>
      <w:r>
        <w:rPr>
          <w:rtl w:val="true"/>
        </w:rPr>
        <w:t xml:space="preserve"> - </w:t>
      </w:r>
      <w:r>
        <w:rPr>
          <w:rtl w:val="true"/>
        </w:rPr>
        <w:t>المغالطات المرتبطة بالجبر والاختيار في القرآن الكريم</w:t>
      </w:r>
      <w:r>
        <w:rPr>
          <w:rtl w:val="true"/>
        </w:rPr>
        <w:t>:</w:t>
      </w:r>
      <w:bookmarkEnd w:id="549"/>
    </w:p>
    <w:p>
      <w:pPr>
        <w:pStyle w:val="BookText"/>
        <w:rPr/>
      </w:pPr>
      <w:r>
        <w:rPr>
          <w:rFonts w:ascii="Amiri" w:hAnsi="Amiri" w:eastAsia="Amiri" w:cs="Amiri"/>
          <w:color w:val="111111"/>
          <w:sz w:val="28"/>
          <w:sz w:val="28"/>
          <w:szCs w:val="28"/>
          <w:rtl w:val="true"/>
          <w:lang w:bidi="ar-SA"/>
        </w:rPr>
        <w:t>وهي من المغالطات التي يتعمّد المستشرقون عادة إثارتها لتشويه القرآن الكريم والحقائق العقديّة الإسلاميّة، ولهم في ذلك مسلكان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الطرح المباشر للشبهة عبر اختيار ما ينتقونه من الآيات الدّالة على علم الله الواسع وإرادته النّافذة في كلّ شيءٍ، والتي هي من مقتضيات الألوهيّة، ليصلوا من خلالها إلى أنّ القرآن الكريم ينفي الحريّة الإنسانيّة، ويقرّر عقيدة الجبر، بما تحمله من الظلم والجور والتكليف بما لا يطاق ومعاقبة من لا يستحق العقوبة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الطرح غير المباشر للشّبهة، وذلك بالجمع بين الآيات التي يعتمدها المنهج السّابق بالآيات الدّالة على الحريّة الإنسانيّة، وأنّ الله لا يعاقب أحدًا إلا بعد استحقاقه لذلك عبر الحريّة المتاحة له، ولكنّهم بدل أن يوفّقوا بين هذه الآيات جميعًا يدعون التّناقض بينها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والأسلوب الثّاني هو الذي استعملته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وفقًا للقرآن يمكن تقسيم البشريّة إلى قسمين أساسيين، أولئك الذين يؤمنون وأولئك 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إلى أيّ مدى البشر أحرار بالاختيار بين الإيمان والكفر؟ في الوقت الذي تشير آيات عدّة في القرآن إلى أنّ النّاس يُعطَون الخيار لأن يختاروا ما إذا كانوا يريدون الإستجابة أم لا لدعوة رسول الله أو رسله، وعلى أنّه في التحليل النّهائي يعتمد مصير الشّخص في الحياة الآخرة على ذلك الشّخص حصرًا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عدد أكبر من الآيات التي تعطي الإنطباع أو لا تترك شكًّا بأنّ الله هو من يقرّر ضلال من يشاء وهداية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آخر، إنّه هو من يقرّر قدر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التّناقض الظّاهر سمح للجدل في العلوم الدينيّة في الإسلام لاحقًا حول قضيّة اللّاحتميّة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الإرادة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والقدر</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مخلِّ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المغالطات المرتبطة بموقف الفرق الإسلاميّة من الجبر والاختيار، والتي تجافي الحقيقة، ومقصدها منها ليس ذلك الخلاف الحاصل، وإنّما كون التّناقض الذي تزعمه للقرآن الكريم هو السبب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تذكر أمثلة عمّا تتوهّمه جبرًا في القرآن الكريم،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يصف القرآن الكافرين على أنّهم أناس في آذانهم وقر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قارن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أغلق الله على قلوبهم أكنّة وجعل في أسماعهم وقرًا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جعل بينهم وبينه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قلوبهم قد قست أو صدأت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فيقارن الكافرين بأناس صمٌ بكمٌ وعميٌ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 الله أصفادًا على أعناقهم</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تبدو موضوعيّة، تذكر الاختلاف في التّفسيرات التي فسّرت بها تلك الآيات </w:t>
      </w:r>
    </w:p>
    <w:p>
      <w:pPr>
        <w:pStyle w:val="BookText"/>
        <w:rPr/>
      </w:pPr>
      <w:r>
        <w:rPr>
          <w:rFonts w:ascii="Amiri" w:hAnsi="Amiri" w:eastAsia="Amiri" w:cs="Amiri"/>
          <w:color w:val="111111"/>
          <w:sz w:val="28"/>
          <w:sz w:val="28"/>
          <w:szCs w:val="28"/>
          <w:rtl w:val="true"/>
          <w:lang w:bidi="ar-SA"/>
        </w:rPr>
        <w:t xml:space="preserve">التي أوردتها،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إذا كان ينبغي أن يُنظر إلى هذا على أنّه السّبب أم إنّه النتيجة للكفر هو قضيّة خلاف بين المفسّرين حيث إنّ أجوبتهم تعتمد على توجّهاتهم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كذلك الحريّة والقدريّة</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ذلك غير صحيحٍ، فالمفسّرون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مهما اختلفت مدارسهم حتى الأشاعرة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يتفّقون على أنّ كلّ ما حصل للمشركين من الطبع على القلوب ونحوها ليس سوى نتيجة للران والمعاصي والكبر الذي ملأ قلوبهم، وبذلك هم يعترفون بالحريّة الإنسانيّة، ولا يقولون بالجبر المطلق كما تزعم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فالفخر الرازي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استدلت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کمیلا آدنج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تفسير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فالمعنى ليس الأمر كما يقوله من أنّ ذلك أساطير الأولين، بل أفعالهم الماضية صارت سببًا لحصول الرين في قلوبهم</w:t>
      </w:r>
      <w:r>
        <w:rPr>
          <w:rFonts w:eastAsia="IRNazanin" w:cs="IRNazanin"/>
          <w:color w:val="111111"/>
          <w:sz w:val="28"/>
          <w:szCs w:val="28"/>
          <w:rtl w:val="true"/>
          <w:lang w:bidi="fa-IR"/>
        </w:rPr>
        <w:t xml:space="preserve">) </w:t>
      </w:r>
      <w:r>
        <w:rPr>
          <w:rStyle w:val="FootnoteAnchor"/>
          <w:rtl w:val="true"/>
        </w:rPr>
        <w:footnoteReference w:id="486"/>
      </w:r>
      <w:r>
        <w:rPr>
          <w:rFonts w:ascii="Amiri" w:hAnsi="Amiri" w:eastAsia="Amiri" w:cs="Amiri"/>
          <w:color w:val="111111"/>
          <w:sz w:val="28"/>
          <w:sz w:val="28"/>
          <w:szCs w:val="28"/>
          <w:rtl w:val="true"/>
          <w:lang w:bidi="ar-SA"/>
        </w:rPr>
        <w:t>، وبذلك يعترف بأنّ الرين ومثله الختم والطبع لم يكن ليحصل للمستكبرين المعاندين إلا بسبب استكبارهم وعنادهم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كان في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تستنير بما قاله المفسّرون أو علماء الكلام الذين أوضحوا المراد من تلك النّصوص، وجمعوا بينها، لتحلّ التّناقض الذي توهّمته، لكنّها للأسف لم تفعل؛ لأنّ الغرض ليس فهم عقائد القضاء والقدر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وردت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إثارة الشّبه حولها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 يكون ذلك هو الدّافع والسّبب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حسن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وحينها يكون الدّافع هو تصوّراتها المرتبطة بالله تعالى، والتي تتبنّاها الدّيانات المحرّفة، ولذلك تجعل علم الله تعالى وإرادته وقدرته مثل علم البشر وإرادتهم وقدرتهم؛ وذلك ما يُعسر فهم ما ورد في القرآن الكريم من الجمع بين إرادة الله المطلقة، وإرادة البشر المحدودة، وعدم التّنافي بين الإرادتين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أشار القرآن الكريم إلى تلك التّصوّرات التي انحرفت بها الأديان في هذا الجانب في ذكره مقالة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بخيلة، ثم رد عليهم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وَلُعِنُوا بِمَا قَالُوا بَلْ يَدَاهُ مَبْسُوطَتَانِ يُنْفِقُ كَيْفَ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بل هو الواسع، الجزيل العطاء الذي ما من شيء إلا عنده خزائنه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نرى الفرق بين الرّؤية القرآنيّة لصفات الله تعالى، والتي تتّسم بالتّنزيه والكمال المطلق، وبين الرّؤية التي تبنّتها الأديان نتيجة التّحريفات التي أصابت كتبها، ولهذا فإنّ القرآن الكريم يذكر أنّ يد الله مبسوطة، تتصرّف في الكون تصرّفًا لا تحدّه الحدود، بل لا يحدث في الكون شيء إلّا بعد إذن الله ومشيئته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خلاف تلك الصّورة التي يصوّر بها الكتاب المقدّس الله تعالى، وكمثالٍ على ذلك ما ورد في سفر التكوين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 لما ابتدأ النّاس يكثرون على الأرض وولد لهم بنات أنّ ابناء الله رأوا بنات الناس أنهنّ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فاتّخذوا لأنفسهم نساء من كل ما اختاروا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 الرب أنه عمل الإنسان في الأرض، وتأسّف في قلبه فقال الرب امحو عن وجه الأرض الإنسان الذي خلقته، الإنسان مع بهائم ودبابات وطيور السماء، لأني حزنت أني عملتهم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أنّه بعد أن محا الرب الحياة من على وجه الأرض بالطوفان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نوح الذي كان من 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الله وبنات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من نسل بنات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الرب مرة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الرب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ألعن الأرض أيضا من أجل الإنسان لأن تصور قلب الإنسان شرير منذ حداثته ولا أعود أيضًا أميت كل كما فعلت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سفر التكوين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لا ينسى الله عهده مع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قوسه في السحاب، فعندما يرى المطر هاطلًا يضع قوس قزح، فيذكر أنه قد عقد عقدًا نوح ألا يُغرق الأرض فيكفّ المطر</w:t>
      </w:r>
      <w:r>
        <w:rPr>
          <w:rFonts w:eastAsia="Amiri" w:cs="Amiri" w:ascii="Amiri" w:hAnsi="Amiri"/>
          <w:color w:val="111111"/>
          <w:sz w:val="28"/>
          <w:szCs w:val="28"/>
          <w:rtl w:val="true"/>
          <w:lang w:bidi="ar-SA"/>
        </w:rPr>
        <w:t xml:space="preserve">. </w:t>
      </w:r>
      <w:bookmarkStart w:id="550" w:name="pg8898_139584"/>
    </w:p>
    <w:p>
      <w:pPr>
        <w:pStyle w:val="BookText"/>
        <w:rPr/>
      </w:pPr>
      <w:bookmarkEnd w:id="550"/>
      <w:r>
        <w:rPr>
          <w:rFonts w:ascii="IRNazanin" w:hAnsi="IRNazanin" w:eastAsia="IRNazanin"/>
          <w:color w:val="111111"/>
          <w:sz w:val="28"/>
          <w:sz w:val="28"/>
          <w:szCs w:val="28"/>
          <w:rtl w:val="true"/>
          <w:lang w:bidi="fa-IR"/>
        </w:rPr>
        <w:t xml:space="preserve">ونرى أنّ هذه الصّورة المرتبطة بالله وصفاته في الكتاب المقدّس هي التي تتحكّم في المواقف من القضاء والقدر عند المستشرقين وغيرهم من الذين لم تستطع عقولهم الجمع بين صفات الله المتّسمة بالكمال المطلق، وما أتيح للبشر من حريّة الاختيار والإرادة والقدرة، والتي لا تخرج عن إرادة الله ولا عن علمه وقدرته، أو كما عبّر عن ذلك الإمام علي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سأله عن القدر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أمرٌ بين أمرين لا جبر ولا تفويض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فلانًا يقول بالاستطاعة وهو حاضر،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الاستطاعة تملكها مع الله أو من دون الله؟ وإياك أن تقول واحدة منهما فترتد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أقول يا أمير المؤمنين؟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أملكها بالله الذي أنشأ ملكتها</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935835_2870459653"/>
      <w:bookmarkStart w:id="552" w:name="_Toc209"/>
      <w:bookmarkEnd w:id="551"/>
      <w:r>
        <w:rPr/>
        <w:t>2</w:t>
      </w:r>
      <w:r>
        <w:rPr>
          <w:rtl w:val="true"/>
        </w:rPr>
        <w:t xml:space="preserve"> - </w:t>
      </w:r>
      <w:r>
        <w:rPr>
          <w:rtl w:val="true"/>
        </w:rPr>
        <w:t>المغالطات المرتبطة بالتّسامح في القرآن الكريم</w:t>
      </w:r>
      <w:r>
        <w:rPr>
          <w:rtl w:val="true"/>
        </w:rPr>
        <w:t>:</w:t>
      </w:r>
      <w:bookmarkEnd w:id="552"/>
    </w:p>
    <w:p>
      <w:pPr>
        <w:pStyle w:val="BookText"/>
        <w:rPr/>
      </w:pPr>
      <w:r>
        <w:rPr>
          <w:rFonts w:ascii="IRNazanin" w:hAnsi="IRNazanin" w:eastAsia="IRNazanin"/>
          <w:color w:val="111111"/>
          <w:sz w:val="28"/>
          <w:sz w:val="28"/>
          <w:szCs w:val="28"/>
          <w:rtl w:val="true"/>
          <w:lang w:bidi="fa-IR"/>
        </w:rPr>
        <w:t xml:space="preserve">وقد ورد ذلك في نصوصٍ كثيرةٍ في المقالة، وربّما تكون هي النّتيجة الكبرى، أو الهدف الأكبر منها جميعًا، كما أشرنا إلى ذلك عند ذكر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کمیلا آدنج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للقراءة التّاريخيّة عند ذكرها للقيم القرآنيّة، وكيفية تطوّرها بحسب الظّروف التي يمرّ بها المسلمون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وسنكتفي هنا بما ذكرته من الفهام المرتبطة بالموقف من المشركين، وجبرهم على الإسلام، أو قتلهم في حال عدم إسلامهم، فقد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التّسامح الذي كان ممنوحًا لأهل الكتاب لم يكن ممنوحًا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لهم كان الخيار بين الإسلام والموت؛ فالآية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في الأوقات الحاليّة غالبًا ما يدلى بها كحجّةٍ عن تسامح المسلمين تجاه الأديان الأخرى، يعتبر من قبل أكثريّة المفسّرين أنّه قد أبطل بمقولة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w:t>
      </w:r>
    </w:p>
    <w:p>
      <w:pPr>
        <w:pStyle w:val="BookText"/>
        <w:rPr/>
      </w:pPr>
      <w:r>
        <w:rPr>
          <w:rFonts w:ascii="Amiri" w:hAnsi="Amiri" w:eastAsia="Amiri" w:cs="Amiri"/>
          <w:color w:val="111111"/>
          <w:sz w:val="28"/>
          <w:sz w:val="28"/>
          <w:szCs w:val="28"/>
          <w:rtl w:val="true"/>
          <w:lang w:bidi="ar-SA"/>
        </w:rPr>
        <w:t>التوبة، الآية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ومقاطع أخرى تدعو إلى شنّ حربٍ على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وَهُوَ كُرْهُ لَكُمْ وَعَسَى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مقطع آخر غالبًا ما يُعتبر برهانًا للتسامح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الكافرون،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تفسّر كلمة دين إما على أنّها تعني دين أو على أنّها جزاءٌ لإيمان الشّخص، ومعظم المفسّرين يفسّرون هذه الآية على أنّها إيقافٌ جذريٌّ مع الوثنيين من قبل أولئك الذين قبلوا نبوّة محمد</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ممتلئٌ بالمغالطات والانتقائيّة؛ ذلك أنّه كان لصاحبة المقال أن تختار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دراسة الآيات من خلال نصّها الوارد في القرآن الكريم بعد جمع كلّ ما يتعلّق بها، للوصول إلى معناها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استقراء ما كتب في التّفاسير والتّمييز بين الآراء المختلفة الواردة فيها، وهو يحتاج بحثًا أكثر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لم تفعل كلا الأمرين، وإنّما عمدت إلى خدمة غايتها في إنكار التّسامح القرآني، باختيار بعض الآيات التي لم تضعها في سياقها الصّحيح، واختيار بعض التّفاسير التي رأت أنّها تخدم هدفها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أحسن من يعبّر عن أيّ مصدرٍ ويوضّح معانيه هو المصدر نفسه، فسنحاول الرّدّ على ما طرحته من خلال القرآن الكريم، والآية التي أوردتها، والتي يطلق عليها آية السيف،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الآية التي ذكر المتشدّدون من المفسّرين أنّها نسخت كلّ آيات الرحمة والحكمة والإحسان في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لكنّنا لو عدنا إلى الآية والسّياق الذي وردت فيه من بداية سورة التّوبة، فسنراها منسجمةً مع كلّ ما ورد في القرآن الكريم من الدّعوة إلى التّسامح مع الخلق جميعًا، مؤمنهم وكافرهم، وأنّها لا تتناقض بأيّ حالٍ من الأحوال مع النّهي عن الإكراه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ذلك أنّها لا تتحدّث عن المشركين جميعًا، وفي كلّ العصور والبيئات، وإنّما تتحدّث عن نوعٍ خاصٍّ منهم، كانوا محاربين لرسول الله صلّی الله علیه و آله و سلّم، وأقيمت معهم العهود، لكنّهم نكثوها، مثلما يفعل المنافقون الذين يتربّصون الفرص، ويظاهرون على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فسورة التّوبة التي وردت فيها تلك الآية الكريمة تبدأ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وَرَسُولِهِ إِلَى الَّذِينَ عَاهَدْتُمْ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 الآية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فإنّها تتحدّث عن نوعٍ خاصٍّ من المشركين، وليست من الآيات الني تسنّ قانونًا عامًا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هذا فإنّ السّياق الذي وردت فيه تدلّ على الأمر بإجارة المستجيرين من المشركين المحاربين حتى يسمعوا كلام الله، ثم يتمّ إيصالهم إلى مأمنهم، أي أن يصلوا إلى قومهم المشركين المحاربين، وهو ظاهرٌ في الدّلالة فيه على أنّه لا وجود للإكراه في الدين، وإنّما سبب القتال هو المحاربة والعداوة، وإلّا فكيف يُجار المشرك، ثم تتمّ حمايته إلى أن يبلغ مأمنه، فلو كان الكفر سبب القتال لما كانت هذه الإجارة والحماية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هو الذي يتّسق مع كلّ ما ورد في القرآن الكريم من آياتٍ حول القتال، والذي لا يتناقض أبدًا مع التّسامح؛ ذلك أنّه لا يتوجّه إلّا للمعتدين؛ فلا توجد آية تدعو إلى القتال إلا ونجد بجانبها ما ينهى عن الاعتداء، أو يبيّن أنّ القتال خاصّ بالمعتدين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الأمثلة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وَقَاتِلُوا فِي سَبِيلِ اللَّهِ الَّذِينَ يُقَاتِلُونَكُمْ وَلَا تَعْتَدُوا إِنَّ اللهَ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وَقَاتِلُوهُمْ حَتَّى لَا تَكُونَ فِتْنَةٌ وَيَكُونَ الدِّينُ لِلَّهِ فَإِنِ انْتَهَوْا فَلَا عُدْوَانَ إِلَّا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الآيات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فالآیات صريحةٌ بأنّه لا يجوز قتال المشرك لشركه، ولا الكافر لكفره، وإنّما يقاتل العداوته ومحاربته المسلمين، كما يُشرع قتال الكافر إذا اضطهد المسلمين وأراد فتنتهم عن دينهم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 ذلك 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لِلَّذِينَ كَفَرُوا إِنْ يَنْتَهُوا يُغْفَرْ لَهُمْ مَا قَدْ سَلَفَ وَإِنْ يَعُودُوا فَقَدْ مَضَتْ سُنَّتُ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وَقَاتِلُوهُمْ حَتَّى لَا تَكُونَ فِتْنَةٌ وَيَكُونَ الدِّينُ كُلُّهُ لِلَّهِ فَإِنِ انْتَهَوْا فَإِنَّ اللهَ بِمَا يَعْمَلُونَ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تَوَلَّوْا فَاعْلَمُوا أَنَّ اللَّهَ مَوْلَاكُمْ نِعْمَ الْمَوْلَى وَنِعْمَ النَّصِيرُ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الأنفال، الآيات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آيات سلامٍ لا حرب؛ فهي تأمر بقتال المشركين الذين يضطهدون من أسلم منهم ليردّوهم عن دينهم عن طريق الإكراه، والأحاديث والسّير متواترة في الدّلالة على هذا المعنى، وقد عبّرت عنهم بكونهم كفارا، ولم تعبّر عنهم بكونهم معتدين، كما عبّرت عن ذلك آيات أخرى، لتبيّن أنّ كفرهم وعدم إيمانهم بالله واليوم الآخر هو السّبب في ذلك الطغيان والعدوان الذي يمارسونه على المستضعفين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ذلك 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الدَّوَاتٍ عِنْدَ اللهِ الَّذِينَ كَفَرُوا فَهُمْ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عَاهَدْتَ مِنْهُمْ ثُمَّ يَنْقُضُونَ عَهْدَهُمْ فِي كُلِّ مَرَّةٍ وَهُمْ لَا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تَنْقَفَنَّهُمْ فِي الْحَرْبِ فَشَرِدْ بِهِمْ مَنْ خَلْفَهُمْ لَعَلَّهُمْ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تَخَافَنَّ مِنْ قَوْمٍ خِلانَا فَانْبِذْ إِلَيْهِمْ عَلَى سَوَاءٍ إِنَّ اللهَ لا يُحِبُّ الْحَابِنِينَ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الَّذِينَ </w:t>
      </w:r>
    </w:p>
    <w:p>
      <w:pPr>
        <w:pStyle w:val="BookText"/>
        <w:rPr/>
      </w:pPr>
      <w:r>
        <w:rPr>
          <w:rFonts w:ascii="Amiri" w:hAnsi="Amiri" w:eastAsia="Amiri" w:cs="Amiri"/>
          <w:color w:val="111111"/>
          <w:sz w:val="28"/>
          <w:sz w:val="28"/>
          <w:szCs w:val="28"/>
          <w:rtl w:val="true"/>
          <w:lang w:bidi="ar-SA"/>
        </w:rPr>
        <w:t xml:space="preserve">كَفَرُوا سَبَقُوا إِنَّهُمْ لَا يُعْجِزُونَ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جَنَحُوا لِلسَّلْمِ فَاجْنَحْ لَهَا وَتَوَكَّلْ عَلَى اللَّهِ إِنَّهُ 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الأنفال، الآيات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الكريمة واضحةٌ في الدّلالة على أنّ الجهاد لا يشرع إلّا في حقّ أولئك المعتدين من الكفّار الذين ينقضون عهودهم، وليس بعد النّقض إلّا القتال، وما تواتر من السّيرة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عَدُوّى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يَثْقَفُوكُمْ يَكُونُوا لَكُمْ أَعْدَاءً وَيَبْسُطُوا إِلَيْكُمْ أَيْدِيَهُمْ وَأَلْسِنَتَهُمْ بِالسُّوءِ وَوَدُّوا لَوْ تَكْفُرُونَ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تَنْفَعَكُمْ أَرْحَامُكُمْ وَلَا أَوْلَادُكُمْ يَوْمَ الْقِيَامَةِ يَفْصِلُ بَيْنَكُمْ وَاللَّهُ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الممتحنة،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الآيات الكريمة ذكرت الأسباب الموجبة لقتال الكفار، وهي محاربة من أراد إخراج الرسول صلّی الله علیه و آله و سلّم والمسلمين من ديارهم، ومن استعدادهم لقتال المسلمين إذا ثقفوهم في أيّ مكان، فهم أعداء صرحاء، ومحاربون أصليون، وقتالهم ليس من باب القتال على الدين والعقيدة، وإنّما لمحاربتهم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ذلك 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يَنْهَاكُمُ اللَّهُ عَنِ الَّذِينَ لَمْ يُقَاتِلُوكُمْ فِي الدِّينِ وَلَمْ يُخْرِجُوكُمْ مِنْ دِيَارِكُمْ أَنْ تَبَرُّوهُمْ وَتُقْسِطُوا إِلَيْهِمْ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يَنْهَاكُمُ اللهُ عَنِ الَّذِينَ قَاتَلُوكُمْ فِي الدِّينِ وَأَخْرَجُوكُمْ مِنْ دِيَارِكُمْ وَظَاهَرُوا عَلَى إخْرَاجِكُمْ أَنْ تَوَلَّوْهُمْ وَمَنْ يَتَوَلَّهُمْ فَأُولَيكَ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الممتحنة، الآيتان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الآيات من أصرح الآيات التي تذكر أسباب مشروعيّة الجهاد، وأنّه فقط في حقّ الذين يقاتلون المسلمين على دينهم ليردّوهم عنه، ويخرجونهم من ديارهم، أو في حقّ الذين يظاهرون المشركين ويساعدونهم على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الآيات تأمر بالبرّ والإحسان للمشركين والكفّار الذين لم يظاهروا عليهم عدوًا ولم يحاربوهم ولم يخرجوهم من ديارهم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فَلْيُقَاتِلْ فِي سَبِيلِ اللَّهِ الَّذِينَ يَشْرُونَ الحَيَاةَ الدُّنْيَا بِالْآخِرَةِ وَمَنْ يُقَاتِلُ فِي سَبِيلِ اللَّهِ فَيُقْتَلْ أَوْ يَغْلِبْ فَسَوْفَ نُؤْتِيهِ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الآيتان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واضحةٌ في الدّلالة على أنّ من أسباب تشريع الجهاد محاربة الاضطهاد الديني؛ فكفار قريش أو غيرهم إذا اضطهدوا المسلمين دينيًّا، فالواجب نصرة المستضعفين الذين يجدون أقسى أنواع العذاب لأنّهم اختاروا الإيمان بالإسلام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هناك آياتٍ قرآنيّةً أخرى تُبيّن أنّ الجهاد يجب أن يكون ضدّ كلّ مضطهدٍ حتى الذين يضطهدون اليهود والنصارى،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 الحج، الآية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لِلْمُخَلَّفِينَ مِنَ الْأَعْرَابِ سَتُدْعَوْنَ إِلَى قَوْمٍ أُولِي بَأْسٍ شَدِيدٍ تُقَاتِلُونَهُمْ أَوْ يُسْلِمُونَ فَإِنْ تُطِيعُوا يُؤْتِكُمُ اللَّهُ أَجْرًا حَسَنًا وَإِنْ تَتَوَلَّوْا كَمَا تَوَلَّيْتُمْ مِنْ قَبْلُ يُعَذِّبْكُمْ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الفتح،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الآية لا تحمل أي دلالةٍ على مشروعيّة الإكراه الدّينيّ، ومبادأة الآخرين بالقتال لإدخالهم في الإسلام، ذلك أنّ المراد بالإسلام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معهود في اللغة العربية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ينقادون</w:t>
      </w:r>
      <w:r>
        <w:rPr>
          <w:rFonts w:eastAsia="Amiri" w:cs="Amiri" w:ascii="Amiri" w:hAnsi="Amiri"/>
          <w:color w:val="111111"/>
          <w:sz w:val="28"/>
          <w:szCs w:val="28"/>
          <w:rtl w:val="true"/>
          <w:lang w:bidi="ar-SA"/>
        </w:rPr>
        <w:t xml:space="preserve">. </w:t>
      </w:r>
      <w:bookmarkStart w:id="553" w:name="pg8898_139590"/>
    </w:p>
    <w:p>
      <w:pPr>
        <w:pStyle w:val="BookText"/>
        <w:rPr/>
      </w:pPr>
      <w:bookmarkEnd w:id="553"/>
      <w:r>
        <w:rPr>
          <w:rFonts w:ascii="Amiri" w:hAnsi="Amiri" w:eastAsia="Amiri" w:cs="Amiri"/>
          <w:color w:val="111111"/>
          <w:sz w:val="28"/>
          <w:sz w:val="28"/>
          <w:szCs w:val="28"/>
          <w:rtl w:val="true"/>
          <w:lang w:bidi="ar-SA"/>
        </w:rPr>
        <w:t xml:space="preserve">وهذه الآية تشبه الآية التي تتحدّث عن 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 وَإِنْ تُطِيعُوا اللَّهَ وَرَسُولَهُ لَا يَلِثْكُمْ مِنْ أَعْمَالِكُمْ شَيْئًا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الحجرات،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استسلمنا وانقدنا إلى نظام الدولة العادلة، فإنّ الإيمان يعني القناعة الدّاخلية، أمّا الإسلام فكلّ من دخل تحت نظام الدّولة العادلة، والتزم نظامها فيدخل في مسمّى الإسلام بالمعنى العام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الانقياد</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935837_2870459653"/>
      <w:bookmarkStart w:id="555" w:name="_Toc210"/>
      <w:bookmarkEnd w:id="554"/>
      <w:r>
        <w:rPr/>
        <w:t>3</w:t>
      </w:r>
      <w:r>
        <w:rPr>
          <w:rtl w:val="true"/>
        </w:rPr>
        <w:t xml:space="preserve"> - </w:t>
      </w:r>
      <w:r>
        <w:rPr>
          <w:rtl w:val="true"/>
        </w:rPr>
        <w:t>المغالطات المرتبطة بالجهاد في سبيل الله</w:t>
      </w:r>
      <w:r>
        <w:rPr>
          <w:rtl w:val="true"/>
        </w:rPr>
        <w:t>:</w:t>
      </w:r>
      <w:bookmarkEnd w:id="555"/>
    </w:p>
    <w:p>
      <w:pPr>
        <w:pStyle w:val="BookText"/>
        <w:rPr/>
      </w:pPr>
      <w:r>
        <w:rPr>
          <w:rFonts w:ascii="Amiri" w:hAnsi="Amiri" w:eastAsia="Amiri" w:cs="Amiri"/>
          <w:color w:val="111111"/>
          <w:sz w:val="28"/>
          <w:sz w:val="28"/>
          <w:szCs w:val="28"/>
          <w:rtl w:val="true"/>
          <w:lang w:bidi="ar-SA"/>
        </w:rPr>
        <w:t xml:space="preserve">وهي من المغالطات التي يتعمّد المستشرقون إثارتها في كلّ مناسبة، ولو لم يستدع الموضوع الحديث عنها، مثلما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عندما أقحمت موضوع الجهاد عند حديثها عن الإيمان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استعملت منهجها في القراءة التّاريخيّة للقرآن الكريم لتلك الآيات التي تأمر بالجهاد، مدّعيةً أنّها تتناقض مع السماحة التي دعا إليها في مكة المكرّمة، وقد قالت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الآيات المسرودة حتى الآن تقترح تبنّي موقفًا هامدًا تجاه الكافرين، ولكن آيات أخرى يمكن أن تُواجه في أيّ بحث حول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على أنّ واجب المؤمنين بذل جهدٍ في سبيل الله في خضم صراعهم في مواجهة الكفر أو أن يفرضون القتال ضد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ظروف معيّنة، يمكن مسالمتهم</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علّقت على ذلك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ليس بالمستغرب؛ فجميع هذه الآيات هي من الفترة المدينيّة عندما كان محمد في موقع القوّة ولم يعد الواعظ المضطهد الذي كان في مكة سابقًا</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تردّد نفس ما يردّده غيرها من المستشرقين، مثل المستشرق بلاشر الفرنسي الذي قسّم السّور القرآنيّة إلى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مراحل في مكّة، والمرحلة الرابعة </w:t>
      </w:r>
    </w:p>
    <w:p>
      <w:pPr>
        <w:pStyle w:val="BookText"/>
        <w:rPr/>
      </w:pPr>
      <w:r>
        <w:rPr>
          <w:rFonts w:ascii="Amiri" w:hAnsi="Amiri" w:eastAsia="Amiri" w:cs="Amiri"/>
          <w:color w:val="111111"/>
          <w:sz w:val="28"/>
          <w:sz w:val="28"/>
          <w:szCs w:val="28"/>
          <w:rtl w:val="true"/>
          <w:lang w:bidi="ar-SA"/>
        </w:rPr>
        <w:t>كلّها في المدينة، ثم قال عن المرحلة المدنية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دور محمد في هذه المرحلة بحيث لم يعد ذلك النّبيّ الذي اصطفاه الله لنشر رسالته في الصحراء، ولكنّه أصبح رئيسًا لجماعة دينيّةٍ فرضت عليها الظّروف المحيطة بها أن تتميّز في مظهرها وسلوكها وعبادتها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الجماعة التي عليها مواجهة ليس المشركين فحسب، ولكن ثلاث قبائل يهوديّة منظمة تنظيمًا دقيقًا في المدينة، وخلقت لنبيّها العديد من المشاكل الدّينيّة والدّنيويّة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علاقة هذه الجماعة مع مشركي مكة لم تلبث أن تحوّلت إلى نزاعٍ مسلّحٍ كان النّصر فيه حليفها أوّلاً، ثمّ كانت الهزيمة من نصيبها في معركة أحد، ثم توالت الحروب سجالاً إلى أنّ انتهت إلى غايتها، وهي عودة النبي إلى مسقط رأسه فاتحًا مكلّلاً بالغار</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ختمت وصفها للسّور المدنيّة بقولها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العلاقة بين الجماعة الإسلاميّة النّاشئة وبين نصارى الجزيرة العربيّة جيّدة في بدايتها، ولم تسجّل الفترة الأولى من هذه المرحلة أيّ عداءٍ بينهما، بالرّغم من إنكار القرآن لألوهيّة المسيح، وعبادة التثليث، ولكن تغيّر الأمر عندما اصطدمت هذه الجماعة بالإمبراطورية البيزنطيّة، وخاصّة بعد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واندلع بينهما ذلك النّزاع المسلّح الذي انتهى هو الآخر إلى غايته بعد حين</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المستشرق شير لامانس، الذي لم يكتفِ بذكر التّطور في المواقف، وإنّما راح يشير إلى ما لم يذكره بلغاء العرب في جميع فترات التّاريخ من التّفاوت بين السّور المكّيّة والمدنيّة من حيث الفصاحة والبلاغة،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السّهل التّعرف إلى السّور المدنيّة وتمييزها عن السّور المكّيّة في عهديها، سواء من حيث الشّكل أو الموضوع، فمن حيث الشّكل أصبح أُسلوبها يقترب إلى النّثر العادي، كما أنّ النّغم قد تغيّر عمّا كان عليه بمكّة، فأصبح أكثر ثقةً وأكثر تناسقًا، كما أصبحت مجادلة الكفّار نادرةً، إلاّ أنّ الهجوم قد انصبّ في هذه الفترة على اليهود والمنافقين والذين </w:t>
      </w:r>
    </w:p>
    <w:p>
      <w:pPr>
        <w:pStyle w:val="BookText"/>
        <w:rPr/>
      </w:pPr>
      <w:r>
        <w:rPr>
          <w:rFonts w:ascii="Amiri" w:hAnsi="Amiri" w:eastAsia="Amiri" w:cs="Amiri"/>
          <w:color w:val="111111"/>
          <w:sz w:val="28"/>
          <w:sz w:val="28"/>
          <w:szCs w:val="28"/>
          <w:rtl w:val="true"/>
          <w:lang w:bidi="ar-SA"/>
        </w:rPr>
        <w:t>في قلوبهم مرض، كما أصبحت الخطب والأوامر العسكريّة تحتلّ مكانًا بارزاً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الكريم بقسميه المكّيّ والمدنيّ تأثّر في المواقف الحربيّة مع الأمم الأخرى، وخاصّة اليهود والنّصارى والوثنيين، مما جعله أكثر تطوّرًا حتى بالنّسبة لألفاظه ومفاهيمه ونصوصه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الأساس لكلّ هذه المواقف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والشّريعة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بدء رسالته كانت تأمّلات محمد تأخذ طريقها إلى الخارج في شكل أمثالٍ مضروبةٍ للحياة الأخرى، فكانت تفرض نفسها على مخيّلته بقوّة تزداد يومًا بعد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التّأمّلات هي التي كوّنت الفكرة الأساسيّة التي بنى عليها تبشيره، ولكن إذا كان محمد في حالته الجديدة قد استمرّ في الشعور برسالته وبوجوب تأديتها، فإنّ تبشيره قد اتّخذ إلى جانب هذا اتّجاها جديدًا، فلم يصبح حديثه حديثَ من استولت عليه الرّؤى المشبعة بالدّار الآخرة وما يكون فيها، بل إنّ تلك الحالة الجديدة جعلت منه أيضًا مجاهدًا غازيًا، ورجل دولةٍ، ومنظّم جماعاتٍ جديدةٍ أصبحت تتّسع وتنمو شيئًا فشيئًا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المواقف ناتجةٌ عن عدم القراءة الجادّة والموضوعيّة والحياديّة للقرآن الكريم، والذي ورد فيه تمجيد الجهاد في الفترة المكّيّة قبل الفترة المدنيّة؛ فقد قال الله تعالى في سورة المزمل وهي من أوائل السّور المكّيّة يذكر فضل الجهاد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سَيَكُونُ مِنْكُمْ مَرْضَى وَآخَرُونَ يَضْرِبُونَ فِي الْأَرْضِ يَبْتَغُونَ مِنْ فَضْلِ اللَّهِ وَآخَرُونَ يُقَاتِلُونَ فِي سَبِيلِ اللَّهِ فَاقْرَهُوا مَا تَيَسَّرَ مِنْهُ وَأَقِيمُوا الصَّلَاةَ وَآتُوا الزَّكَاةَ وَأَقْرِضُوا اللَّهَ قَرْضًا حَسَنًا وَمَا تُقَدِّمُوا لِأَنْفُسِكُمْ مِنْ خَيْرٍ تَجِدُوهُ عِنْدَ اللَّهِ هُوَ خَيْرًا وَأَعْظَمَ أَجْرًا وَاسْتَغْفِرُوا اللَّهَ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المزمل،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تلك المفاهيم التي يحملها هؤلاء المستشرقون عن الجهاد 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ساسي سالم، نقد الخطاب الاستشراقي،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حول القرآن وتفنيدها، لا ط، بیروت، دار ومكتبة الهلال،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أغناطوس جولدزيهر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والشريعة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التطور العقدي والتشريعي في الدين الإسلامي،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يوسف موسى وعلي حسن عبد القادر وعبد العزيز عبد الحق،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الحديثة بمصر، ومكتبة المثنى ببغداد،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تتناسب مع النّزعة الاستعماريّة الغربيّة، ولكنّه لا يتناسب أبدًا مع ما طرحه القرآن الكريم حوله وحول دوافعه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الكريم يذكر أنّ دوافع الإذن بالجهاد في سبيل الله، هو ذلك الظّلم الكبير الذي حصل للمسلمين نتيجة تكالب جميع المعتدين عليهم، ولهذا فإنّ غاية الجهاد ليست سوى مقاومة الظّلمة والمستكبرين الذين يريدون استئصال</w:t>
      </w:r>
    </w:p>
    <w:p>
      <w:pPr>
        <w:pStyle w:val="BookText"/>
        <w:rPr/>
      </w:pPr>
      <w:r>
        <w:rPr>
          <w:rFonts w:ascii="Amiri" w:hAnsi="Amiri" w:eastAsia="Amiri" w:cs="Amiri"/>
          <w:color w:val="111111"/>
          <w:sz w:val="28"/>
          <w:sz w:val="28"/>
          <w:szCs w:val="28"/>
          <w:rtl w:val="true"/>
          <w:lang w:bidi="ar-SA"/>
        </w:rPr>
        <w:t>المؤمنين والمستضعفين،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 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 الآيتان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فهاتان الآيتان الكريمتان لا تبرّران فقط حقّ المؤمنين في الجهاد لمواجهة الظلمة، والدّفاع عن النّفس، وإنّما تبينان مشروعيّة المقاومة في كلّ الأديان، وهو ما يدلّ عليه الكتاب المقدّس نفسه، والذي يمتلئ بالدّعوة للمواجهة المسلّحة مع الذين يحاربون اليهود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الله تعالى يأمر بالجهاد، ليس لحماية المسلمين المستضعفين فقط، وإنّما لحماية غيرهم أيضًا،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75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سبب ورود الجهاد وأحكامه بالتفصيل في السّور المدنيّة خلافًا للسّور المكّيّة؛ فشيءٌ طبيعيٌّ؛ ذلك أنّ القرآن الكريم يتنزّل لتوجيه المؤمنين، وفي الظروف المختلفة، حتى يتسنّى لهم تطبيق شريعة الله فى الأحوال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كان الموقف القرآني من المعتدين في حال الاستضعاف هو الصّبر وعدم المواجهة، لكنّه في حال حصول القوّة، وتمكّن المؤمنين؛ فإنّ عليهم أن يقاوموا الظّلم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المسلّط عليهم، وهو ما تعتقده جميع العقول، ويفعله جميع البشر، ولذلك دعا القرآن الكريم إلى الإعداد، لا للاستعمار والتّوسّع ، وإنّما لحماية النّفس والمؤمنين من هجمات الظّالمين،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إنّه ذكر العدد الذي يمكنه أن يواجه المستكبرين، ويقاومهم،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حَرِضِ الْمُؤْمِنِينَ عَلَى الْقِتَالِ إِنْ يَكُنْ مِنْكُمْ عِشْرُونَ صَابِرُونَ يَغْلِبُوا مِائَتَيْنِ وَإِنْ يَكُنْ مِنْكُمْ مِائَةٌ يَغْلِبُوا أَلْفًا مِنَ الَّذِينَ كَفَرُوا بِأَنَّهُمْ قَوْمٌ لَا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عَنْكُمْ وَعَلِمَ أَنَّ فِيكُمْ ضَعْفًا فَإِنْ يَكُنْ مِنْكُمْ مِائَةٌ صَابِرَةٌ يَغْلِبُوا مِائَتَيْنِ وَإِنْ يَكُنْ مِنْكُمْ أَلْفُ يَغْلِبُوا أَلْفَيْنِ بِإِذْنِ اللَّهِ وَاللَّهُ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الأنفال، الآيتان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كان الموقف الطبيعيّ في مكّة المكرّمة، والتي كان المسلمون فيها قلّةً محدودةً مستضعفةً أن يؤمروا بالصّبر، وعدم المواجهة؛ لأنّهم إن فعلوا ذلك، فسيلقون مواجهةً كبيرةً تستأصلهم، لكنّهم عندما تمكّنوا في المدينة، وكانت لهم قوّة وشوكة أذن لهم في القتال دفاعًا عن أنفسهم، وبذلك فإنّ الآيات المرتبطة بالجهاد متناسقةً فيما بينها لا يعارض بعضها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المغالطات المرتبطة بالولاء والبراء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من المغالطات التي تعمّدت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والتّفصيل فيها بطريقةٍ تُوحي بأنّ الإسلام دينٌ عنصريٌّ، يقف موقفًا سلبيًّا من الآخر المخالف له، وهي بذلك تطبّق المفهوم الخاطئ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والبراء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كما ورد في القرآن الكريم، وإنّما كما تطبّقه الجماعات التكفيريّة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قالت في تقريرها لهذه المغالطة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مختلفةٌ في القرآن تتحدّث عن موقفٍ ليتبنّاه المؤمنون تجاه الكفّار محذّرين إيَّاهم من العلاقات الوثيقة مع الآخرين الذين ليسوا في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من يرتبط بهم هو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كفروا هم أولياء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الجلوس مع من يهزأ من القرآن فهو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النّفقات من الكفّار الذين يستهزئون 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الصلاة عليهم والإقامة على قبورهم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الآيات تمنع بوضوح إقامة العلاقات مع العرب الوثنيين حتى لو كانوا من أقارب المرء الخاصين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مناسبة النّزول ليس واضحًا في كلّ حالة من الحالات، وليس هو واضح أيّ صنفٍ من الكفّار الذين تتمّ الإشارة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 الوثنيون، أم أهل الكتاب أم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بالمستغرب إذًا أن يقدّم أدب التّفسير حلولًا مختلفةً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يُعرّفون مرّة كيهود ومرّة أخرى كوثنيي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 الجوزي، الزاد،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تكتفِ بذلك، بل راحت إلى الآيات التي تصف تلك المواقف العدائيّة من المشركين مقابل المواقف السّلميّة من المؤمنين لتستثمرها لخدمة هذا الغرض،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 سوف يضحكون ويتغامزون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يحاولون إفسادهم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ينبغي على المؤمن أن يتجاهلهم ولا يُعِر لغوهم انتباهًا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حالات الخوف حصرًا على حياة المؤمن يمكن المخالطة مع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السياق، يجري استعمال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وسنجيب على ما طرحته من خلال النّقاط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القراءة التّاريخيّة للقرآن الكريم التي تعوّدت استعمالها، ثمّ راحت تطبّقها على تلك الآيات الكريمة التي استعرضتها، لفهمت المراد منها بسهولةٍ تامّةٍ، ذلك أنّ تلك الآيات الكريمة تدعو إلى استبدال العلاقات المبنيّة على أسسٍ جاهليّةٍ، بالعلاقات المبنيّة على أسس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فالعلاقات الجاهليّة كانت مبنيّةً على القبيلة، ولذلك كان الولاء والبراء على أساسها؛ كما عبّر عن ذلك شاعرهم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إلا من غُزَيَّةَ إِن 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غويتُ وإن ترشُد غزيةُ أرشدِ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كما أشار القرآن الكريم إلى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مَا أَرْسَلْنَا مِنْ قَبْلِكَ فِي قَرْيَةٍ مِنْ نَذِيرٍ إِلَّا قَالَ مُتْرَفُوهَا إِنَّا وَجَدْنَا آبَاءَنَا عَلَى أُمَّةٍ وَإِنَّا عَلَى آثَارِهِمْ مُقْتَدُونَ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الزخرف،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لهذا النّوع من العلاقة آثاره السّلبيّة في الحياة الجاهليّة، حيث ملأها بالصّراع والحروب والعنصريّة، فلمّا جاء الإسلام أزال ذلك جميعًا، ودعا إلى الأخوّة بين جميع المؤمنين مهما اختلفت أعراقهم وألوانهم وأوطانهم،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الحجرات،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وَأَقَامُوا الصَّلَاةَ وَآتَوُا الزَّكَاةَ فَإِخْوَانُكُمْ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ولهذا استطاع رسول الله له صلّی الله علیه و آله و سلّم عندما دخل المدينة المنوّرة، أن يوقف تلك الحروب التي كانت تحدث كلّ حين بين الأوس والخزرج، والتي امتدّت قرابة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بدأت بيوم سمير، وانتهت بيوم بعاث قبل الهجرة النّبويّة بخمس سنوات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والبراء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بالكفر ليس كما فهمتها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المستشرقين، ذلك أنّ الكفر في القرآن الكريم قد يُراد به الاعتقاد، وقد يُراد به الاعتداء، وذلك ما يدلّ عليه قوله تعالى في الآية الكريمة التي تضع قانون التّعامل مع المخالف في الدين أيًّا كان كتابيًّا أو غير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الممتحنة،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فالآية الكريمة من سورة الممتحنة، وهي من أواخر ما نزل من القرآن الكريم، تدعو إلى البرّ والقسط بين المسلمين وغيرهم من أهل الأديان المختلفة، بل حتى مع الملحدين لأنّ القيد فيها مرتبطٌ بالمحاربة، ولا علاقة له بالدّين، وهي بذلك تقسّم النّاس إلى معتدين ومسالمين، كما تقسّمهم آيات أخرى إلى مستضعفين ومستكبرين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فإنّ كلّ آيات الولاء والبراء التي استندت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تفسّر على هذا الأساس؛ فالمقصود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توضّح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النّهي عن موالاة المعتدين الذين يقاتلون المؤمنين بسبب دينهم، ويخرجوهم من ديارهم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ولذلك يرد في القرآن الكريم ربط الكفر بالاعتداء، ليبيّن أنّه هو سبب الاعتداء والدّافع له، فالمؤمن إنسانٌ مسالٌم، كما ورد في الحديث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 لسانه ويده، والمؤمن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أمنه الناس على دمائهم وأموالهم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الإمام علي علیه السّلام في عهده لمالك الأشتر لمّا ولاه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قلبك الرحمة للرّعيّة والمحبّة لهم واللّطف بهم، ولا تكونن عليهم سبعًا ضاريًا تغتنم أكلهم، فإنّهم صنفان إما أخ لك في الدين، أو نظير لك في الخلق</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الكريم مليءٌ بالآيات التي تتحدّث عن تلك المشاعر الطيّبة التي يحملها رسول الله صلّی الله علیه و آله و سلّم لغير المؤمنين، والتي تجعله حزينًا عليهم بسبب إعراضهم، حتى نهاه الله تعالى عن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نَفْسُكَ عَلَيْهِمْ حَسَرَاتٍ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وَلَيَزِيدَنَّ كَثِيرًا مِنْهُمْ مَا أُنْزِلَ إِلَيْكَ مِنْ رَبِّكَ طُغْيَانًا وَكُفْرًا فَلَا تَأْسَ عَلَى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القرآن الكريم شبّه حال رسول الله صلّی الله علیه و آله و سلّم وحزنه عليهم بحال الذي يهلك نفسه من الأسف،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الكهف،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إنّه ذكر أن حرصه الشّديد عليهم، بلغ إلى درجة ودّ فيها لو يجابون لكلّ آية يطلبونها، حتى لو كانوا متعنّتين في طلبهم،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كَبُرَ عَلَيْكَ إِعْرَاضُهُمْ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اسْتَطَعْتَ أَنْ تَبْتَغِي نَفَقًا فِي الْأَرْضِ أَوْ سُلَّمًا فِي السَّمَاءِ فَتَأْتِيَهُمْ بِآيَةٍ وَلَوْ شَاءَ اللَّهُ لَجَمَعَهُمْ عَلَى الْهُدَى فَلَا تَكُونَنَّ مِنَ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علّق الزمخشريّ على الآية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بيان حرصه على إسلام قومه وتهالكه عليه، وأنّه لو استطاع أن يأتيهم بآية من تحت الأرض أو من فوق السماء لأتى بها رجاء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يقترحون الآيات فكان يودّ أن يجابوا إليها لتمادى حرصه على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ذلك فافعل، دلالة على أنّه بلغ من حرصه أنّه لو استطاع ذلك لفعله حتى يأتيهم بما اقترحوا من الآيات لعلهم يؤمنون</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من النّهي عن مجاراتهم في السّبّ ونحوه، أو الإعراض عنهم تدلّ على أنّ مفهوم الولاء والبراء ليس كما فهمته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تدلّ على أنّ الكفّار يمكن أن يعيشوا مع المؤمنين بصفةٍ طبيعيّةٍ، وأن تكون العلاقات بينهم وبين المؤمنين علاقاتٍ مبنيّةً على التّعايش السّلمي، إلّا إذا تحوّلوا إلى السّبّ والجهل؛ فحينها لم يؤمر المؤمنون بقتالهم، وإنّما بالإعراض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في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تستنتج من هذه الآيات أنّه في حال عدم وقوع الكفّار في تلك المخالفات، واحترامهم للمؤمنين أن يعاملهم المؤمنون بنفس المعاملة المبنيّة على البرّ والمودّة وتأليف القلوب، لكنّها نتيجة تصوّراتها الخاطئة المرتبطة بالولاء والبراء، اعتبرت الدّعوة إلى الإعراض عنهم دعوةً للمفاصلة لا للتعايش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عن ذكر تلك الآيات الكريمة التي تدعو إلى تأليف القلوب وإقامة حوار بين المؤمنين وغيرهم، وهي آياتٌ كثيرةٌ جدًّا،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النَّاسُ إِنَّا خَلَقْنَاكُمْ مِنْ ذَكَرٍ وَأُنْثَى وَجَعَلْنَاكُمْ شُعُوبًا وَقَبَابِلَ لِتَعَارَفُوا إِنَّ أَكْرَمَكُمْ عِنْدَ اللهِ أَتْقَاكُمْ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الآية التي تُبيّن أنّ أساس العلاقات بين الخلق هي التّعارف، لا العداوة أو الصراع، مع العلم أنّ هذه السّورة مدنيّة، وهي تخالف بذلك تلك الأوهام التي يتصوّرها المستشرقون حول السّور المدنيّة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قوله تعالى في سورة العنكبوت المكية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 إِلَّا الَّذِينَ ظَلَمُوا مِنْهُمْ وَقُولُوا آمَنَّا بِالَّذِى أُنْزِلَ إِلَيْنَا وَأُنْزِلَ إِلَيْكُمْ وَإِلَهُنا وَإِلَهُكُمْ وَاحِدٌ وَنَحْنُ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 نفس المعنى في سورة آل عمران المدنية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تيربل إنّ القرآن الكريم دعا إلى إعطاء غير المسلمين نصيبًا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الحاجة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لتأليف قلوبهم، وبثّ قيم المودّة بينهم وبين المؤمنين،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وَالْمُؤَلَّفَةِ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سورةالتوبة،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هذا لا يوجد في أيّ دينٍ من الأديان، ولا في أيّ كتابٍ مقدّسٍ، بل لا يوجد حتى في القوانين الوضعيّة الحاليّة، ولأكثر الدول ديمقراطيّة وسماحة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نهي المسلمين عن الصّلاة على المنافقين وغيرهم من الشّعائر التّعبديّة، والتي يوجد مثلها في كلّ الأديان، بالإضافة إلى أنّ الكافر والمنافق لا يؤمن بصلاة المسلمين أصلاً، وهو يذكر عدم حاجته لدعائهم؛ فلذلك لا معنى لصلاتهم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لا يُطبّق في الأديان فقط، بل في كلّ المحال والمؤسّسات، ذلك أنّ الصلاة على الميّت هي نوع من التكريم الخاص به، والتّكريم في الواقع لا يتمّ إلّا من الجهة التي ينتمي إليها من يراد تكريمه، فالأستاذ في الجامعة لا يكرّم إلّا من الجامعة التي ينتمى إليها، وهكذا كلّ جهةٍ تكرّم من ينتسب لها دون غيرهم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خلال هذا العرض لما ورد في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والانتقادات الموجّهة لها نخرج بالنّتائج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الإيمان والكفر مع محدوديّة عدد صفحاتها إلّا أنّها حوت الكثير من المغالطات والشّبهات التي تعوّد المستشرقون إثارتها بطرقٍ مباشرةٍ وغير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استعمالها للقراءة التّاريخيّة للقرآن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توهم القارئ بوجود تناقضٍ بين القرآن المكّيّ والقرآن المدنيّ، واعتبار الأوّل أكثر سماحةً، والثّاني أكثر عنفًا، وهو خلاف الواقع؛ فتقرير الجهاد في المدينة لحماية المستضعفين ليس مخالفًا للسماحة، بل هو ركنٌ من أركانها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كميلا آدنج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طرحت الكثير من القضايا الفرعيّة التي لا علاقة لها بموضوع المقالة، مثل تعدّد زوجات رسول الله صلّی الله علیه و آله و سلّم، أو عدم وجود معجزات حسّيّة له، وكلّ ذلك مخالفٌ للمنهج العلميّ في طرح القضايا في محالها المناسبة لها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كميلا آدنج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أوهمت القارئ أنّه يعود للمصادر الإسلاميّة، مع أنّ عودته لها محدودة جدًّا، وانتقائيّة، بالإضافة إلى أنّها تفهم من النّصوص خلاف ما يرد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المقالة مثل أكثر المقالات الاستشراقيّة تفتقر للموضوعيّة العلميّة إمّا بسبب رجوع المستشرقين لبعضهم بعضًا، بدل العودة إلى المصادر الإسلاميّة، أو نتيجة الأهداف المبيّتة، والتي تخالف الموضوعيّة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النتائج المطروحة نرى ضرورة الاهتمام بما يطرحه المستشرقون والرّدّ التّفصيليّ عليه وخاصّة ما ارتبط بالموسوعات ودوائر المعارف، والتي كثيرًا ما إليها الباحثون عادة باعتبارها أكثر علميّةً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والمراجع</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محمّد بن يعقوب الكليني، دار الكتب الإسلامية، طهران، ط السادسة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تحقيق عدة من الأفاضل، دار الكتب الإسلامية، طهران</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القرآن، نولدکه، تيودور، ترجمة، جورج تامر، منشورات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أبو الفداء إسماعيل بن عمر بن كثير القرشي البصري ثم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بن محمد سلامة،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طيبة للنشر والتوزيع،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المسند الصحيح المختصر من أمور رسول الله صلّی الله علیه و آله و سلّم وسننه وأيامه صحيح البخاري، محمد بن إسماعيل أبو عبد الله البخاري الجعفي،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زهير بن ناصر الناصر، دار طوق النجاة،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محمد بن عيسى بن سَوْرة بن موسى بن الضحاك، الترمذي، أبو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دار الغرب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محمد، در منغم، امیل، ترجمة، عادل زعيتر،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إحياء الكتاب العربي، مصر،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المعاني في تفسير القرآن العظيم والسبع المثاني، شهاب الدین محمود بن عبد الله الحسيني الألوسي،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عبد الباري عطية،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في سيرة خير العباد، وذكر فضائله وأعلام نبوته وأفعاله وأحواله في المبدأ والمعاد، محمد بن يوسف الصالحي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هـ،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الشيخ علي محمد معوض،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حول القرآن وتفنيدها، غازي عنایت، بیروت، دار و مكتبة الهلال،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والشريعة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التطور العقدي والتشريعي في الدين الإسلامي، أغناطوس جولد تسيهر،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يوسف موسى وعلي حسن عبد القادر وعبد العزيز عبد الحق، دار الكتب الحديثة بمصر ومكتبة المثنى ببغداد، ط</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والشريعة في الإسلام، جولدتسيهر، إجناس، ترجمة،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مترجمين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الرائد 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العلمانيون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تاريخية النص، إدريس الطعان،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دار 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السبكي، أبو الحسن تقي الدين علي بن عبد الكافي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هـ</w:t>
      </w:r>
      <w:r>
        <w:rPr>
          <w:rFonts w:ascii="IRNazanin" w:hAnsi="IRNazanin" w:eastAsia="IRNazanin"/>
          <w:color w:val="111111"/>
          <w:sz w:val="28"/>
          <w:sz w:val="28"/>
          <w:szCs w:val="28"/>
          <w:rtl w:val="true"/>
          <w:lang w:bidi="fa-IR"/>
        </w:rPr>
        <w:t>، دار المعارف</w:t>
      </w:r>
      <w:r>
        <w:rPr>
          <w:rFonts w:eastAsia="IRNazanin" w:cs="IRNazanin"/>
          <w:color w:val="111111"/>
          <w:sz w:val="28"/>
          <w:szCs w:val="28"/>
          <w:rtl w:val="true"/>
          <w:lang w:bidi="fa-IR"/>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التفرقة بين الإسلام والزندقة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القصور العوالي أبو حامد محمد بن محمد الغزالي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التنزيل وعيون الأقاويل في وجوه التأويلن أبو القاسم جار الله محمود بن عمر الزمخشري،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محمد بن أحمد بن أبي سهل شمس الأئمة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هـ،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الرازي، التفسير الكبير، أبو عبد الله محمد بن عمر الملقب بفخر الدين الرازي خطيب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 دار الفكر للطباعة والنشر والتوزيع،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شرح صحیح مسلم بن حجاج، أبو زكريا محيي الدين يحيى بن شرف النووي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والسلطة والحقيقة، نصر حامد أبو زيد، المركز الثقافي العربي،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الخطاب الاستشراقي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الاستشراقية وأثرها في الدراسات الإسلامية، ساسي سالم الحاج، بيروت، دار المدار الإسلامي، ط</w:t>
      </w:r>
      <w:r>
        <w:rPr>
          <w:rFonts w:eastAsia="Amiri" w:cs="Amiri" w:ascii="Amiri" w:hAnsi="Amiri"/>
          <w:color w:val="111111"/>
          <w:sz w:val="28"/>
          <w:szCs w:val="28"/>
          <w:lang w:bidi="ar-SA"/>
        </w:rPr>
        <w:t>1.</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الامام علي بن ابي طالب علیه السّلام، جمع الشريف الرضي، شرح الاستاذ محمد عبده، دار المعرفة للطباعة</w:t>
      </w:r>
      <w:r>
        <w:rPr>
          <w:rFonts w:eastAsia="IRNazanin" w:cs="IRNazanin"/>
          <w:color w:val="111111"/>
          <w:sz w:val="28"/>
          <w:szCs w:val="28"/>
          <w:rtl w:val="true"/>
          <w:lang w:bidi="fa-IR"/>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الإنجيل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اشارةالشيخ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إسماعيل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مقدمةالحمد لله ربّ العالمين والصّلاة والسّلام على سيّدنا ونبيّنا محمد وآله الطيّبين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يُعالج هذا البحث بالدّراسة والنّقد مقالًا عن الإنجيل ونظرة القرآن الكريم إليه، وضعه الباحث سيدني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غريفيث في دائرة المعارف القرآنيّة، التي وضعها عددٌ من المستشرقين، زعموا فيها البحث الموضوعيّ حول مدى مصداقيّة القرآن الكريم، كما تناول البحث فيها عددٌ من الكتّاب المسلمين، وقد لوحظ أنّ هذه المقالة مليئةٌ بالمغالطات، وبعيدةٌ عن الموضوعيّة والبحث العلميّ الرّصين والهادف للوصول إلى الحقيقة، رغم كونها بحثًا مختصرًا ومكثّفًا، فعزم هذا البحث على الكشف عن هذه المغالطات المقصودة وغير المقصودة فيه، فكان بيانًا للحقيقة وانتصارًا للدّين الحنيف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اشارةلم يتوقّف البحث عند الغربيين جدّيًّا عن إيجاد خللٍ في البنية الفكريّة والاجتماعيّة في الإسلام لأجل إبطاله وتزييفه، تارةً بالحديث عن الخطأ في عقائده وأسسه الفكريّة، وأخرى من خلال ادّعاء الموضوعيّة والبحث العلميّ الهادئ والهادف، بدعوى الوصول إلى الحقيقة، ولكنّه يستبطن محاولة إسقاطه والقضاء عليه، في نفوس المسلمين قبل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بدأت هذه الحملات الفكريّة والعلميّة المزعومة، بعدما فشل الأوّلون في القضاء عليه بالقوّة والبطش، مع الحركات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التّبشيريّة المسيحيّة مع الحروب الصّليبيّة التي أرادت غزو بلاد المسلمين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الأراضي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بكلّ عنفٍ وشدّةٍ، وعبر التّضليل الفكريّ، تارة بالمجازر والقتل في المسلمين، وأخرى بمحاولة نشر المسيحيّة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تبيّن للغرب عدم جدوى هذا النّوع من الحرب في ثني المسلمين عن التّمسّك بدينهم، والذود عنه بكلّ ما أوتوا من قوّةٍ وبأسٍ، بدأت مرحلةٌ جديدةٌ من الحرب على الإسلام، من خلال حركة الاستشراق، التي بدأت في حدود القرن الحادي عشر الميلادي، وبلغت الذّروة في القرن الثّامن عشر، حيث نشطت البعثات الاستشراقيّة تتوافد إلى الشّرق، ودراسة المفاهيم والعقائد الإسلاميّة، وشدّة تأثيرها في نفوس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استعانوا لذلك بسرقة المخطوطات العلميّة والدّينيّة ونقلها إلى متاحف الغرب ومكتباته العامّة، إضافة إلى نهب كلّ ما يرتبط بهذه المنطقة، من تراثٍ وأثرياتٍ، ربّما تنفعهم في تحصيل الغاية التي رجوها من سيطرةٍ وغلبةٍ على المسلمين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ولما فشلت الأساليب القديمة والتّقليديّة في إيصالهم إلى هذه الغاية والهدف عمدوا إلى محاولة تزييف الإسلام، وهدم أركانه، وأهمّها إسقاط القداسة عن القرآن الكريم، وإسقاط شخصيّة الرّسول الأعظم صلّی الله علیه و آله و سلّم في نفوس المسلمين، من خلال إثارة بعض المرويّات التي وردت في كتب الحديث، وأغلبها من الإسرائيليات، والتحاليل يقرّها العقل الحديث، ولا تنسجم مع الفطرة الإنسانيّة، ويمقتها الوجدان الحديث والمعاصر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شُكّلت لجانٌ وهيئاتٌ من المفكّرين والباحثين الغربيين لتنفيذ هذه المهمّة، وبدؤوا بالدّراسات الإسلاميّة في المجالات كافّة، وكان من جملة هذه الأبحاث والدّراسات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بزعمهم، ما يسمّى بدائرة المعارف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لا يعني خلوّها من بعض الدّراسات الموضوعيّة، والتي تكتسب أهمّيّةً في مجال البحث العلمي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الإنجیل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جملة هذه الأبحاث المنشورة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سيدني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غرنفيث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حاول فيه تخطئة القرآن الكريم، وإثبات زيف المعلومات الواردة فيه استنادًا إلى الأناجيل الأربعة والاعتقادات التي يؤمن بها المسيحيون وأهل الكتاب عمومًا، تحت عنوان ما يُسمّى البحث العلميّ والموضوعيّ الهادف إلى كشف الحقائق، والوصول إلى النتائج السّليمة التي ينبغي قبولها، والرّكون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الحقيقة التي تبرز من طيّات هذا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كونها تزعم الموضوعيّة، والبحث المجرّد، تظهر بما لا يدع مجال للشّكّ أنّها تنطلق من خلفيّاتٍ دينيّةٍ، ومسلّماتٍ عقائديّةٍ عند الكاتب، ولا تقارب البحث الموضوعي الذي غلّفت به واستترت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البحث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اشارةإنّ من أهمّ شروط البحث العلميّ، التَّجرّد من الخلفيّات والمسلّمات المسبقة، والدّراسة الموضوعيّة بمعنى دراسة الموضوع محلّ البحث من حيث هو موضوع بمعزلٍ عن الذّاتيات وتحميله الأفكار المسبقة، والإنصاف في الحكم، خصوصًا في الأمور العقائديّة والقوانين والمسائل الاعتباريّة التي ترتبط بحياة الإنسان في عاجله وآجله، وكلّ ذلك موقوف على سلامة الذّهن ليصحّ الاستنتاج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الشّروط وإن كانت صعبة التّحقّق عند البعض، إلّا أنّ ذلك ليس بمستحيلٍ، إذا حاول أن يدرس الظّاهرة بإنصافٍ وحاول التّجرّد من هذه الخلفيّات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 الظّاهرة بما هي ظاهرة، أي ينظر إليها بما موضوعٌ خارجيٌّ بالنّسبة إليه، ويُحلّلها استنادًا إلى الأصول العقليّة التي شكّلت شخصيّته وجبلت عليها طينته، التي يتفق عليها العقلاء، بعيدًا عن خلفيّاته الدّينيّة، ومسلّماته الثّقافيّة التي اكتسبها من البيئة والمحيط الذي نشأ عليه أو يعيش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وسنحاول في هذا المقام أن ندرس موضوع البحث بتجرّدٍ من خلال تساؤلاتٍ منطقيّةٍ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ومعالجتها بعيدًا عن الخلفيّة الدّينيّة التي ننتسب إليها، ونؤمن بها وأنّها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الإنجيل في المفهوم المسيحيّ هو إعلان البشارة السّعيدة في داخل الجماعة الإنسانيّة، إلا أنّه قد 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لعامّة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عن الخلاص الذي أتمّه الله تعالى بيسوع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بدّ من الاحتكام إلى نصوص الأناجيل القانونيّة نفسها، لنرى ما إذا كانت تُؤيّد هذه الدعوى وتقرّها، أم إنّ لهذه النّصوص دلالةً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الوثائق الأساسيّة لكلّ مدرسةٍ فكريّةٍ أو دينيّةٍ هي التي يجب أن يرتكز البحث عليها، ليصل إلى الهدف الذي يُراد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الاعتماد على الأذواق، والاستئناس بآراء النّاس، بعيدًا عن هذه الوثائق، فإنّه يضيع الهدف والغاية المرجوّة من البحث والدّراسة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السّيد المسيح علیه السّلام قد أُرسل إلى خصوص بني إسرائيل، ولم يرسل إلى غيرهم بحسب النّصوص الإنجيليّة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جاءته امرأةٌ كنعانيّةٌ ورجته أن يشفي ابنتها المجنونة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أرسل إلّا إلى خراف بيت إسرائيل الضالة</w:t>
      </w:r>
      <w:r>
        <w:rPr>
          <w:rFonts w:eastAsia="IRNazanin" w:cs="IRNazanin"/>
          <w:color w:val="111111"/>
          <w:sz w:val="28"/>
          <w:szCs w:val="28"/>
          <w:rtl w:val="true"/>
          <w:lang w:bidi="fa-IR"/>
        </w:rPr>
        <w:t xml:space="preserve">»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كاتب إنجيل يوحنا بذلك،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خاصته جاء وخاصته لم تقبله</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أنّه أوصى تلاميذه الاثني عشر الذين أرسلهم للوعظ والإرشاد قائلًا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طريق أمم لا تمضوا وإلى مدينة للسامريين لا تدخلوا، بل اذهبوا بالحري إلى خراف بيت إسرائيل الضالة</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وهذه النّصوص تدلّ بصراحةٍ على أنّه علیه السّلام لم يكن خلاصًا للإنسانيّة كلّها، بل هو رسولٌ لبني إسرائيل دون سواهم كما صرّح هو بنفسه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صحيحٌ في بداية دعوته، إلّا أنّه في النّهاية وبعد صلبه وقيامته تجلّى لتلاميذه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إلي كلّ سلطان في السماء وعلى</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فاذهبوا وتلمذوا جميع الأمم وعمدوهم باسم الآب والابن والرّوح القدس، وعلّموهم جميع ما أوصيتكم به</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وهذا يعني أنّ الخلاص لجميع النّاس وليس لبني إسرائيل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ومع غضّ النّظر عن الإشكال العقائديّ فيه، والذي هو مقولة التثليث المعارضة لمجمل دعوته الشّريفة </w:t>
      </w:r>
      <w:r>
        <w:rPr>
          <w:rStyle w:val="FootnoteAnchor"/>
          <w:rtl w:val="true"/>
        </w:rPr>
        <w:footnoteReference w:id="505"/>
      </w:r>
      <w:r>
        <w:rPr>
          <w:rFonts w:ascii="Amiri" w:hAnsi="Amiri" w:eastAsia="Amiri" w:cs="Amiri"/>
          <w:color w:val="111111"/>
          <w:sz w:val="28"/>
          <w:sz w:val="28"/>
          <w:szCs w:val="28"/>
          <w:rtl w:val="true"/>
          <w:lang w:bidi="ar-SA"/>
        </w:rPr>
        <w:t>، مضافًا إلى معارضتها مع تصريحه بوظيفته ووصيّته لتلاميذه المتقدّمة، بل تصريحاته المتتالية في أنّه مجرّد رسول، وأنّه من نفسه لا يقدر أن يفعل شيئًا، بل يتبع ما أوصاه به الله تعالى، فإنّ صدورها منه حين التّجلّي وبعد الصّلب والقيامة المزعومين، يدلّ على تجاوزه حدود الدّعوة المكلّف بها، فإنّه قبل حادثة الصّلب وبعدما خطب في تلاميذه الخطبة الأخيرة حتى توجّه في نهايتها إلى الله تعالى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الحياة الأبديّة أن يعرفوك أنت الإله الحقيقيّ وحدك ويعرفوا يسوع المسيح الذي أرسلته، أنا مجّدتك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الذي أعطيتني لأعمل قد أكملته</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مهمّته قد انتهت وما يحدث بعدها خارجٌ عن مهمّته وتجاوزٌ لما قد أنيط به؛ إذ لو كانت من مهمّته وحقّه لم يكن لإكمال العمل الموكل إليه أيّ معنى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وإن كان يمكن حمل العبارة على معنًى آخر، وهو تذكيرهم بالمهمّة الأساسيّة التي بعث علیه السّلام من أجلها، وهي البشارة بملكوت الله الآتي بعد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ويُؤيّد هذا المعنى قوله علیه السّلام لتلاميذه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علّموهم أن يحفظوا جميع ما أوصيتكم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يدلّ على أنّ مهمّة التّلاميذ فضلًا عن مهمّته علیه السّلام هي التّعلیم والبشارة باقتراب ملكوت السّموات، وبيان خصائص هذا الملكوت، فقد صرّحت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يطوف المجامع كلّها ويعظ ويكرز ويبشّر باقتراب ملكوت السّموات</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فمهمّة السّيد المسيح علیه السّلام كانت تعليميّةً ووعظيّةً وتبشيريّةً، ولم تكن خلاصيّة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بالمعنى الذي يزعمه المسيحيون، فإنّهم يزعمون أنّه ملك اليهود، بل ملك كلّ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نفى هذه الدّعوى عن نفسه حين المحاكمة المزعومة، فقد سأله بيلاطس إن كان ملك اليهود فأجابه يسوع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مملكتي ليست من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مملكتي من هذا العالم لكان خدامي يجاهدون لكي لا أسلم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الآن ليست مملكتي من هنا</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فرضت صحّة هذه الدّعوى، فإنّ الواقع يكذبها؛ إذ لم يملك السّيد المسيح على اليهود ولا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موته قبل تحقّق حاكميّته كاشفٌ عن عدم صحّة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هروبه من اليهود، بعدما صنع معجزة الطعام، عندما علم أنّهم مزمعون أن يأتوا ويختطفوه ليجعلوه ملكًا وذهابه إلى الجليل وحده </w:t>
      </w:r>
      <w:r>
        <w:rPr>
          <w:rStyle w:val="FootnoteAnchor"/>
          <w:rtl w:val="true"/>
        </w:rPr>
        <w:footnoteReference w:id="509"/>
      </w:r>
      <w:r>
        <w:rPr>
          <w:rFonts w:ascii="Amiri" w:hAnsi="Amiri" w:eastAsia="Amiri" w:cs="Amiri"/>
          <w:color w:val="111111"/>
          <w:sz w:val="28"/>
          <w:sz w:val="28"/>
          <w:szCs w:val="28"/>
          <w:rtl w:val="true"/>
          <w:lang w:bidi="ar-SA"/>
        </w:rPr>
        <w:t>، دالٌ على عدم دعواه أنّه ملك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إنجيل أو أناجيل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من جملة المطاعن التي يذكرها الباحثون الغربيّون، ومن ورائهم عامّة المسيحيين، أنّ القرآن الكريم يتعرّض إلى الإنجيل بلفظ المفرد، وأنّه موحى به من الله تعالى إلى السّيد المسيح علیه السّلام، ولا يتعرّض إلى الحقيقة التي توارثها المسيحيون جيلًا بعد جيلٍ، وهي أنّه علیه السّلام قد كان تعليمه شفويًّا، ولم يأتِ بكتابٍ خاصٍّ، وإنّما تلاميذه هم الذين كتبوا هذه الأناجيل الأربعة التي اعتمدتها الكنيسة واعتبرتها قانونيّةً، أي شرعيّة وصحيحة، فقد جانب القرآن الكريم الحقيقة من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کتابٌ موحی به من السّماء، إلى السّيد المسيح علیه السّلام، وإنّه كتابٌ واحدٌ، وليس أربعة كتبٍ أنشأها تلاميذه بإلهامٍ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بأنّه علیه السّلام لم يأتِ بكتاب منزلٍ وأنّ تعليمه كان شفويًّا، يعني أنّه كغيره من الوعّاظ والكهنة الذين مرّوا في التّاريخ، وفي أحسن الأحوال يكون كسائر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الأنبياء الآخرين، وأنّه ليس له أيّة خصوصيّةٍ زائدةٍ عليهم، بل ربّما يكون الأنبياء الآخرون أفضل حالًا منه؛ لأنّهم جاؤوا بتعاليم خلّدها لهم الزّمان بخلافه، فإنّ الفضل يعود إلى الذّين دوّنوا سيرته وأعماله، ولولا هؤلاء لانتهت دعوته واندرست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فتخصيصه بالذّكر دون غيره يبقى بلا مبرّرٍ معقولٍ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هذا بالإضافة إلى أنّ معنى ذلك أنّ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تبقى مؤقّتةً بزمانٍ معيّنٍ، وهو زمانه علیه السّلام؛ إذ لا يبقى لها مقتضى للاستمرار ووصولها إلى الأجيال اللّاحقة لزمانه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بالإضافة إلى أنّ الأفضليّة تستلزم أن يكون ما يأتي به أفضل وأعظم ممّن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جاء به، بحسب الأناجيل، لا يمكن أن يصل إلى ما جاء به موسى علیه السّلام، فإنّه قد جاء بشريعةٍ وقوانين، تنظّم حياة النّاس من بني إسرائيل، وهو ما تفتقده دعوة السّيد المسيح علیه السّلام بحسب الأناجيل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أنّه لا يمكن أن يكون غاية الشّريعة الموسويّة، فإنّه قد أكد علیه السّلام أنّ التّوراة غير قابلةٍ للتغيير والتّبديل إلى أن تزول السّماء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القول بأنّ تلاميذه هم الذين دوّنوا تعاليمه في كتب الأناجيل لا يخلو من أن يكون ذلك بإذنه أو بدون إذنه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كان بإذنه فقد كان الأحرى به أن يبادر بنفسه إلى الكتابة، إلّا إذا فرضنا أنّه لم يكن يعرف القراءة والكتابة، وهو مخالفٌ لما ورد في الأناجيل،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إلى النّاصرة حيث كان تربّي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المجمع حسب عادته يوم السبت وقام ليقرأ، فدفع إليه سفر أشعياء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فتح السفر وجد الموضع الذي كان مكتوبًا فيه إلخ</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وهذا يعني أنّه كان يعرف القراءة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لهذا الأمر لا يعدو كونه تفريطًا بالرّسالة التي جاء من 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فرض أنّه قد أمرهم بكتابة هذه الأناجيل، فإنّ الصّحيح أن يأمرهم بكتابة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الأناجيل أمام عينيه، حتى لا يقع خطأٌ أو تعارضٌ بينها، كما هو حاصل فعلًا، بل حتى لا يحصل تلاعب أو تحريف فيما دعا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وأنّهم غير معصومين عن الخطأ، فإنّه قد منح تلاميذه ذلك دون غيرهم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وإن كانت كتابة الأناجيل بعد ارتفاعه ونهاية دعوته الشّريفة، فلا بدّ أن يكون كتاّبها من التّلاميذ الذين حمّلهم الأمانة دون سواهم، فقد ورد عنه علیه السّلام أنّه قال لتلاميذه الإثني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أقول لكم كل ما تربطونه على الأرض يكون مربوطا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تحلونه على الأرض يكون محلولا في السماء</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أنّه خصّص بطرس بهذا الوسام الرّفيع أيضًا وجعله وصيًّا له، حين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هذه الصّخرة أبني كنيستي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وأبواب الجحيم لن تقوى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وأعطيك مفاتيح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تربطه على الأرض يكون مربوطا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تحله على الأرض يكون محلولا في السموات</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حيث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حيث العلم والمعرفة، فقد قال لتلاميذه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 لكم أن تعرفوا أسرار ملكوت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لأولئك فلم يعط، فإن من له سيعطى ويزاد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ليس له فالذي عنده سيؤخذ منه</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غيرهم فلا يؤمن على التّلاعب بالتّعاليم بالنّقص أو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والأناجيل الأربعة لم يثبت تاريخ كتابتها ومن هو كاتبها فعلًا، بل من المعلوم أنّ كتّابها ليسوا من التّلاميذ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كتبت بعد ارتفاعه بزمنٍ ليس بالقصير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المعلوم والمتسالم عليه بين المسيحيين أنّ هذه الأناجيل قد كُتبت جميعها باللّغة اليونانيّة، مع أنّ لغة السّيد المسيح علیه السّلام ومخاطبيه اليهود كانت الآراميّة باللّهجة العبرانيّة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تلاميذه يحرصون على عدم توجيه الدّعوة إلى غير اليهود، الذين كانوا يصّرون على استخدام لغتهم حفاظًا على الخصوصيّة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التي يزعمون أنّهم يتمتّعون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تدخل اليونانيّة إليهم، إلّا بعدما أعلن بولس اهتداءه إلى الدّين الجديد، بعد ارتفاع السّيد المسيح علیه السّلام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للميلاد، أي بعد خمس سنوات، وذهب إلى أنطاكيّة بلد نشأته، وأخذ يبشّر بين اليونانيين، خلافًا لوصيّة السّيد المسيح، مما أثار الخلاف والجدل بينه وبين تلاميذ السّيد المسيح والقطيعة بينهم، وقد صرّح أنّه كان عدوًّا للمسيح ودعوته، كما صرّح أنّ الإنجيل الذي يبشّر به لم يتعلّمه من أحد وإنما أعطاه المسيح إيّاه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دنّه لم یرَ المسیح ولم يقبله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ذلك أنّ اللّغة اليونانيّة قد انتشرت بين المسيحيين بعد هذه الفترة بزمن، أي حين دخل قسمٌ منهم في الدين الجديد على طريقة بولس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فالأناجيل قد كتبت إلى اليونانيين، من أتباع بولس، لا إلى العبرانيين من تلاميذه وغيرهم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فمن غير المنطقي ألّا يكون للإنجيل أو الأناجيل أصولاً آراميّةً أو عبرانيّةً، وقد تُرجمت إلى اليونانيّة، مع أنّه لا نجد لهذه الأصول عينًا ولا أثرًا في التّاريخ المسيحي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فرض حصول التّرجمة، فمن المعلوم والثّابت أنّ التّرجمة مهما كانت دقيقةً، وكان المترجم عالماً بكلا اللّغتين، وبالموضوع المترجم، إلّا أنّه من غير الممكن أن تحافظ على كافّة الخصوصيات الموجودة في لغة الأصل المترجم عنه، وهذا يستلزم حصول التّلاعب بالمعنى المنشأ، سواء عن حسن نيّةٍ أو سوء نيّةٍ، وهو ما اعترف به الآباء اليسوعيّون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إلى العهد الجديد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هذا مضافًا إلى أنّ الكنيسة لم تسمح بترجمة أيّ سفرٍ من أسفار الكتاب المقدّس من اليونانيّة إلى أيّ لغة من اللّغات، قبل حركة الإصلاح الكنسي التي قام بها مارتن لوثر، في القرن الخامس عشر الميلادي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الحريّ بها أن تُحافظ على النّسخة الأصليّة، أي الآراميّة أو السّريانيّة، التي هي لغة السّيد المسيح علیه السّلام، للحفاظ على مراداته الواقعيّة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الأناجيل ليست بإلهام إلهيٍّ؛ لأنّ المفروض أن يكون قد ألهمهم بلغة الأصل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إلى غلاطية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الجديد، طبعة دار المشرق، 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الأناجيل الأربعة، وخصوصًا الأناجيل الازائيّة منها،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إنجيل متى، مرقس، ولوقا، هي في الحقيقة عبارة عن كتب سيرة، تعرّض أصحابها لبعض أعمال السّيد المسيح علیه السّلام، دون أن تستوعبها، فهي قصّة أو رواية مختصرة، ذكر فيها ما كان الكاتب يريد أن يبيّنه ويدعو إليه، دون أن تستوعب حياة السّيد المسيح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کتب تعاليم أو مواعظ أو دعوة، إنما تشمل بالعرض خطبتين أو ثلاثة خطب للسّيد المسيح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دعوته استمرّت ثلاث سنوات، فمن غير الطبيعي أن لا يوجّه للناس إلا موعظتين أو ثلاثة في هذه المدّة، والتأكيد على خصوص المعجزات التي اجترحها، من دون أن تبيّن الغاية من اجتراحها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فيها من الاختلاف والتّعارض، بل التّناقض في مضامينها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مع العلم أنّ هذه الأناجيل لم تكتب إلّا للذكرى، كما صرّح لوقا في بداية إنجيله،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كان كثيرون قد اخذوا بتأليف قصّة في الأمور المتيقّنة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سلّمها إلينا الذين كانوا منذ البدء معاينين وخدّامًا للكلمة، رأيت أنا أيضًا إذ قد تتبّعت كلّ شيء من الأوّل بتدقيق أن اكتب على التّوالي إليك أيّها العزيز ثاوفيلس، لتعرف صحّة الكلام الذي علمت به</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فهو إذًا قصّة أرسلت إلى رجلٍ من بني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اليونانيين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سمعه وتعلّمه من غیره برسائل متلاحقةٍ، ولم يكتب ليكون كتابًا مقدّسًا كما هو صريحه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 رجال الكنيسة والمؤرّخون أنّه كان طبيبًا يونانيًّا، اهتدى على يد بولس وأخذ عنه وتأثّر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وعليه، فمن المنطقيّ أن يكون كتابه انعكاسًا للرؤية البولسيّة في السّيد المسيح علیه السّلام، أو تكون عبارة عن إعجابه وانبهاره بالمعجزات التي صنعها السّيد المسيح، من جهة كونه طبيبًا، فرأى أنّ تلك المعجزات من سنخ علم الطب التي عجز الأطباء عن تحقيقها في حينه، فإنّ مجمل الإنجيل يسلّط الضّوء عليها أكثر من تعرضه لتعاليمه ومواعظه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كما أنّ مرقس هو الآخر كان من تلاميذ بولس، ولم يكن من تلاميذ المسيح، وإن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اختلفا في ما بعد أواخر الرّحلات التّبشيريّة، حيث امتنع بولس عن أخذه معه في رحلته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متى قد أخذ من إنجيل مرقس، كما عليه أكثر المؤرّخين من رجال الكنيسة، ظهر أنّ الأناجيل القانونيّة تابعةٌ لتلك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الأناجيل أربعة؟إنّ ممّا لا شكّ فيه أنّ الأناجيل كانت تزيد على الأربعين إنجيلًا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منسوبٌ إلى تلاميذ المسيح، وبعضها الآخر منسوبٌ إلى غيرهم، وقد كشفت الآثار قسمًا منها، بعدما ظلّت قروناً لا تُعرف إلّا أسماؤها، من خلال الرّدود التي كان رجال الكنيسة يناقشونها ويعملون على نقض مضامينها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ذلك لا يعني عدم انتشارها في القرون الأولى للمسيحيّة، فإنّ شدّة الرّدود ومحاولات إبطال مضامينها، تكشف عن مدى انتشارها بين الناس، وتأثيرها فيهم، حتى اضطرّ البابا جيلاسيوس الأوّل سنة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م إلى إصدار أمرٍ يمنع فيه قراءة بعض الكتب التي كانت معروفةً ومنتشرةً بين النّاس حينها، وقد ذكر من هذه الكتب إنجيل برنابا، الذي أخذ شهرةً واسعةً بعد ترجمته إلى العربيّة في أوائل القرن العشرين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تُرجم إلى العربيّة عددٌ من هذه الأناجيل بعد اكتشافها، ونشره دير سيدة النصر عام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الأناجيل المنحولة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عددٌ منها غير معروفٍ إلا بعض شذرات منها، نقلها رجال الكنيسة أنفسهم للرّدّ عليها، وقد ذكرها مترجم الأناجيل المنحولة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أناجيل ضائعة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إنجيل العبرانيين وإنجيل الإبيونيين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ظلّت هذه الأناجيل معمولًا بها حتى عام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أقرّ مجمع نيقية، وهو المؤتمر الأوّل الذي انعقد بأمرٍ من الإمبراطور قسطنطين الأوّل وأقرّ أنّ الأناجيل الأربعة المعتمدة فعلًا هي التي تعترف الكنيسة بشرعيّتها وقانونيّتها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أنّها متأخّرةً عن بعض الأناجيل من النّاحية التّاريخية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الذي لا يوجد له جوابٌ شافٍ، هو أنّه لماذا اختارت الكنيسة هذه الأناجيل الأربعة دون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غيرها أولى بالاتّباع، خصوصًا تلك المنسوبة إلى التّلاميذ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أقرّ رجال الكنيسة أنّ بعض هذه الأناجيل على الأقلّ أسبق من الأناجيل الأربعة من النّاحية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لماذا تمّ اختيارها في القرن الرّابع بعد سيطرة الكنيسة على مقاليد الأمور الدّينيّة بأمر الإمبراطور قسطنطين بعد تنصّره، وهل كان هذا الاختيار تنفيذاً لأوامره، وللعقائد التي تناسب خلفيّاته 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الإنجيل في الأناجيل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اشارةرغم كثرة الأناجيل واختلافها، إلّا أنّ ما يُهمّنا فعلاً في المقام الأناجيل القانونيّة الأربعة، فإنّها التي أقرّتها الكنيسة واعتمدتها، وتابعها على ذلك عامّة المسيحيين بمختلف انتماءاتهم ومذاهبهم، فلا بدّ من الاحتكام إليها في بيان الحقّ الذي يعتمدونه، لنرى ما هي حقيقة الإنجيل من خلالها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ترد كلمة الإنجيل في مختلف أسفار العهد الجديد بصيغة الجمع أصلًا، فقد وردت فيه ستّة وأربعين مرّة كلّها بصيغة المفرد، وما يهمّنا في المقام ورودها في الأناجيل الأربعة؛ لأنّ المفروض أنّها تذكر كلمات المسيح أو تتحدّث عنه، فقد ورد على لسانه علیه السّلام قوله في قصّة مريم المجدلية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أقول لكم حيثما يكرز بهذا الإنجيل في كلّ العالم يخبر أيضًا بما فعلته هذه تذكارًا لها</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وبعدما أسلم يوحنا جاء يسوع إلى الجليل يكرز ببشارة ملكوت الله، ويقول قد كمل الزّمان واقترب ملكوت الله فتوبوا وآمنوا بالإنجيل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قال علیه السّلام لتلاميذه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أراد أن يخلص نفسه يهلكها ومن يهلك نفسه من أجلي ومن أجل الإنجيل فهو يخلصها</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أقول لكم ليس أحد ترك بيتا أو إخوة أو أخوات أو آباء أو أما أو امرأة أو أولادا أو حقولا لأجلي ولأجل الإنجيل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وينبغي أن يكرز أوّلًا بالإنجيل في جميع الأمم</w:t>
      </w:r>
      <w:r>
        <w:rPr>
          <w:rFonts w:eastAsia="IRNazanin" w:cs="IRNazanin"/>
          <w:color w:val="111111"/>
          <w:sz w:val="28"/>
          <w:szCs w:val="28"/>
          <w:rtl w:val="true"/>
          <w:lang w:bidi="fa-IR"/>
        </w:rPr>
        <w:t xml:space="preserve">»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عنه علیه السّلام قوله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إلى العالم اجمع واكرزوا بالإنجيل للخليقة كلها</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هذه النّصوص الواردة على لسان السّيد المسيح علیه السّلام، وكذلك النّصوص الأخرى الواردة في رسائل القدّيسين، تدلّ على أنّه لا يوجد أكثر من إنجيلٍ واحدٍ، فلا معنى لأن يُعبّر بالأناجيل بصيغة الجمع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والأمر الجدير بالاهتمام أنّه قد عبّر عن الإنجيل باسم الإشارة القريب، وهو ما لا يصحّ إلّا أن يكون المشار إليه ماثلًا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حيثما يكرز بهذا الإنجيل، ولا يعقل أن يشير إلى واحدٍ من الأربعة أو الأربعين المكتوبة بعده بزمن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تصديقٌ لما ورد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أن يكون الإنجيل الذي يتحدّث عنه ويُبشّر به قد أنزل عليه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لماذا حافظ المترجمون على لفظة الإنجيل التي يقولون إنّها كلمةٌ يونانيّةٌ، مع أنّ ديدنهم في التّرجمة حتى لأسماء الأعلام، حيث يترجمونها بمعانيها اللّغويّة، ولا ينقلونها بألفاظها كما تقتضيه الأمانة في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وهنا يرد السّؤال المهمّ، وهو عن مضمون الإنجيل الذي بشّر به السّيد المسيح علیه السّلام، وهل أنّه أتى بدينٍ جديدٍ، أو لم يأتِ بل حافظ على الاعتقادات الأساسيّة في رسالة موسى علیه السّلام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لا بدّ من الإشارة إلى أنّ القرآن الكريم قد بيّن بشكٍل صريحٍ وواضحٍ أنّ مهمّة السّيد المسيح علیه السّلام كانت عبارة عن إرجاع بني إسرائيل إلى جادّة الصّواب، واتِّباع التّوراة التي فيها هدًى ونورٌ لهم إذا اتّبعوها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البشارة بخاتم الأنبياء محمد صلّی الله علیه و آله و سلّم،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عِيسَى ابْنُ مَرْيَمَ يَا بَنِي إِسْرَابِيلَ إِنِّي رَسُولُ اللَّهِ إِلَيْكُم مُّصَدِّقًا لِمَا بَيْنَ يَدَيَّ مِنَ التَّوْرَاةِ وَمُبَشِّرًا بِرَسُولٍ يَأْتِي مِن بَعْدِى اسْمُهُ أَحْمَدُ فَلَمَّا جَاءَهُم بِالْبَيِّنَاتِ قَالُوا هَذَا سِحْرٌ مُّبِينٌ</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الأناجيل الأربعة تقرّ هذه الحقيقة القرآنيّة بكلا المهمّتين المذكورتين، والتي جاء بها القرآن لاحقًا؛ وهما التّصديق بما جاء في القرآن الكريم، حيث نقل عنه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تظنّوا أنّي جئت لأنقض النّاموس أو الأنبياء، ما جئت لأنقض بل لأكمّل فإنّي الحقّ أقول لكم إلى أن تزول السماء والأرض لا يزول حرف واحد أو نقطة واحدة حتى يكون الكل</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وتقدّم قوله للمرأة الكنعانيّة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أرسل إلا إلى خراف بني إسرائيل الضّالة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تصديقٌ للمهمّة الأولى التي صرّح بها القرآن الكريم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البشارة بالنّبي الأعظم صلّی الله علیه و آله و 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وأمّا المهمّة الثّانية، وهي البشارة بالرّسول الذي يأتي من بعده، وهو خاتم الأنبياء صلّی الله علیه و آله فيبدو أنّها كانت المحور الأساسيّ لدعوته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تحتاج إلى بعض التّوضيح </w:t>
      </w:r>
      <w:r>
        <w:rPr>
          <w:rStyle w:val="FootnoteAnchor"/>
          <w:rtl w:val="true"/>
        </w:rPr>
        <w:footnoteReference w:id="523"/>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الأناجيل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الازائيّة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تتحدّث في مختلف إصحاحاتها عن أنّ محور دعوى السّيد المسيح علیه السّلام هي البشارة بملكوت السّماوات، أو ملكوت الله تعالى، وهو عبارة عن حاكميّة جميع العالم بواسطة رسولٍ يأتي ليدعو العالم إلى الله تعالى</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هذا النّبيّ معروفًا باسمه وصفته عند بني إسرائيل، كما تدلّ عليه بعض العبارات الواردة، مثل قول 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هي شهادة يوحنا حين أرسل اليهود من أورشليم كهنة ولاويين ليسألوه من أنت، فاعترف ولم ينكر وأقرّ إنِّي لست أنا المسيح، فسألوه إذا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إيليا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لست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وقالوا له فما بالك تعمد أن كنت لست المسيح ولا إيليا ولا النبي</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الواضح أنّ هذا الحوار يكشف عن وجود ثلاثة أشخاصٍ موعودين ينتظرهم النّاس،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وإيليا والنّبيّ، وأنّهم لم يكونوا قد أتوا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بعدما صنع معجزة الطّعام وما حصل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الناس الآية التي صنعها يسوع قالوا إنّ هذا هو بالحقيقة النبي الآتي إلى العالم</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خطب بالنّاس وانتهى قال كثير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بالحقيقة هو النبي، آخرون قالوا هذا هو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قالوا ألعل المسيح من الجليل يأتي</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الظّاهر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معرّفةً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العهديّة الدّالّة على أنّه كان معروفًا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كانوا يظنّون أنّه من بني إسرائيل، فأراد السّيد المسيح علیه السّلام أن يظهر لهم الحقيقة، وأنّه ليس إسرائيليًّا، بل هو من نسل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ذلك لم يكن سهلًا عليهم، ولا مقبولًا عندهم، فإنّهم لا يستطيعون أن يتصوّروا أن عليهم نسل الأمّة، أبناء الحرّة، ولعلّهم لهذا السّبب عملوا على قتله علیه السّلام، بعدما أيقنوا بالحقيقة التي كشفها لهم في نهاية المطاف، بعدما تبعه الكثيرون في البداية، لمّا رأوا من الآيات والمعجزات الكثيرة التي اجترحها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السّبب في تنوّع الآيات التي اجترحها لهم، لِما لهذا الأمر من خطورةٍ وتهديدٍ للمجتمع الإسرائيلي 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الفريسيون وتشاوروا ليصطادوه بكلمة، فأرسلوا تلاميذهم والهيردوسيين 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رؤساء الكهنة والفريسيون مجمعًا وقالوا ماذا نصنع فإنّ هذا الإنسان يعمل آيات كثيرة، إن تركناه هكذا يؤمن الجميع به فيأتي الرومانيون ويأخذون موضعنا وامتنا، فقال لهم واحد منهم وهو قيافا، كان رئيسًا للكهنة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لستم تعرفون شيئًا، ولا تفكرون أنه خير لنا أن يموت إنسان واحد عن الشعب ولا تهلك الأمة كلها</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فهم إذًا يعرفون صدقه، وأنّه يقول الحقّ، بدليل الآيات الكثيرة التي كان يصنعها لهم، وإقرارهم بصحّتها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حرصًا منهم على رئاستهم ونفوذهم بين النّاس، خافوا على سلطانهم، حتى لا يأتي الرومانيون ويأخذوا المكانة التي حصلوا عليها من الرومانيين أنفسهم، فصدق عليهم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المهمّة الصّعبة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أمام هذا الخطر الدّاهم، الذي يُهدّد مصير الدّعوة كلّها، فضلًا عن حياة السّيد المسيح علیه السّلام نفسه، لم يكن من الحكمة أن يصرّح لهم بحقيقة النّبيّ الآتي إلى العالم، رغم قبول النّاس له واعتقادهم أنه هو المراد بهذا النّبيّ بعدما رأوا من الآيات ما أبهر عقولهم، فإنّ من الطبيعي، وهو ما يقتضيه العقل والحكمة أن يمهّد لهم الأمر، ويحاول التّخفيف من وقع الصّدمة على قلوبهم ونفوسهم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فابتدأ في بيان ذلك عبر استخدام الأمثال والتشبيهات والكنايات، لتقريب فكرة الملكوت إلى أذهانهم، وهو ما حفلت به الأناجيل في كثيرٍ من إصحاحاتها، حتى إذا أوضح ذلك، وقرنه بالآيات والمعجزات الخارقة، التي لم تبقِ مجالًا للشّكّ في صدقه وصحّة كلامه علیه السّلام، صرّح لهم بالحقيقة المرّة، التي كانت أولى بشائرها كناية عن مقيم الملكوت، فإنّه بعدما ذكر لهم تشبيهًا للملكوت، وحاول تقريبه إلى أذهانهم بصورٍ وطرقٍ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وبعدما أحسّ أنّه قادرٌ على بيان هذه الحقيقة، بعدما طرد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الباعة والصيارفة من الهيكل، 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قرأتم قط في الكتب الحجر الذي رفضه البناؤون هو قد صار رأس الزاوية من قبل الرب كان هذا وهو عجيب في أعيننا، لذلك أقول لكم إن ملكوت الله ينزع منكم ويعطى لأمة تعمل أثماره، ومن سقط على هذا الحجر يترضض، ومن سقط عليه هو يسحقه</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والحجر الذي رفضه البناؤون وصار رأس الزاوية هو إسماعيل علیه السّلام الذي حاول اليهود إزاحته من طريق تسلّطهم وحرمانه من حق البكوريّة في العهد القديم، مع أنّه كان رجلًا بارًا، وسيجعل الله من نسله أمّةً عظيمةً، فإنّ العهد القديم يصرّح بأنّ الربّ قال لإبراهيم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إسماعيل فقد سمعت لك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أباركه وأثمره وأكثره كثيرا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 عشر رئيسا 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وأجعله أمة كبيرة</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وما ذلك إلّا لأنّه ابن الجارية وهم أبناء السّيدة كما يزعمون، وقد عالجنا هذه المسألة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التوراة 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أنهى السّيد المسيح علیه السّلام كلّ هذا بأنّ ملكوت الله سيعطى لأمّة تعمل أثماره، وإنّ الوقوف بوجهه يعني الهلاك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لبث أن بيّن لهم حقيقة الموعود في جملةٍ من النّصوص، وأنّه النّبيّ الخاتم صلّی الله علیه و آله، حين أطلق عليه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البارقليط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الفارقليط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تعني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ترجموها إلى العربيّة بكلمة المعزّي، أو الشّفيع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أحمد وليس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أطلق الإنجيل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اسمه الذي عُرف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والأمر الطّبيعيّ أن يُسمّى المرء باسمه، بل ربّما أدّى ذلك إلى التّضليل وضياع الحقيقة، وفي أقلّ الفروض إلى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القرآن الكريم ينسب إلى أهل الكتاب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 كما يعرفون أبناءهم</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يجدونه مكتوبًا عندهم في التوراة والإنجيل</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بأنّه لا فرق بين محمد وأحمد من حيث الدّلالة اللّغويّة، فإنّهما مشتقّان من الحمد، والفرق بينهما أنّ محمدًا أو محمود صيغتان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لفظ أحمد فهي صيغة أفعل التفضيل، أي أنّ الصيغتين الأوليين تدلّان على من وقع عليه الحمد، أما الصّيغة الثالثة فتدلّ على من أكثر حمد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فالتّعبير عنه صلّی الله علیه و آله بأحمد أنسب من النّاحية اللغويّة؛ لأنّ صيغة اسم المفعول لا يحسن استعمالها، إلّا لمن تلبّس بالوجود فعلًا ليقع عليه الحمد، بخلاف صيغة التّفضيل، فإنّها يصح أن تستعمل في المتلبّس بالوجود وفي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المراد هو البشارة بالنّبيّ الآتي مستقبلًا، وليس متلبّسًا بالوجود الخارجيّ بعد، كان الأنسب التعبير عنه صلّی الله علیه و آله بأحمد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إلى أنّها تكشف عن الذّات من حيث هي اسم علم، وعلى الصّفة التي تلبّس وتميّز بها النّبيّ الأعظم صلّی الله علیه و آله، خصوصًا وأنّ من المعهود عند أهل الكتاب كثيرًا ما كانوا يترجمون أسماء الأعلام إلى معانيها الصّفتيّة، ممّا يفقد الدّلالة الواقعيّة على الذات المقصودة، فاستخدام لفظة أحمد في التّعبير عنه صلّی الله علیه و آله يحافظ على المعنى المراد بأيّ لغةٍ كانت، حتى في حالة تحريف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أسمائه المشهورة صلّی الله علیه و آله فلا مجال للاستشكال على تسميته 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يدلّنا على ذلك أنّ الآية الكريمة التي عبّرت عن اسمه الشّريف أحمد هي من الآيات المدنيّة، فإنّها قد وردت في سورة الصف المدنيّة باتّفاق العلماء، أي أنّها نزلت بعد هجرة الرسول إلى المدينة المنورة، مع أنّ اسم أحمد كان يطلق عليه صلّی الله علیه و آله قبل ذلك بزمن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 أبي طالب علیه السلام، الذي تُوفّي قبل الهجرة أنّه قال فيه شعرًا وأسماه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يقول من جملة قصيدة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فَلَسنا وَرَبِّ البَيتِ نُسلِمُ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لِعَزَّاءَ مِن عَضُ الزَمانِ وَلا كَرِبٍ</w:t>
      </w:r>
      <w:r>
        <w:rPr>
          <w:rFonts w:ascii="IRNazanin" w:hAnsi="IRNazanin" w:eastAsia="IRNazanin"/>
          <w:color w:val="111111"/>
          <w:sz w:val="28"/>
          <w:sz w:val="28"/>
          <w:szCs w:val="28"/>
          <w:rtl w:val="true"/>
          <w:lang w:bidi="fa-IR"/>
        </w:rPr>
        <w:t>وورد عنه 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یا شاهِدَ اللَّهِ عَلَيَّ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عَلى دينِ النَّبِيِّ أَحمَدِ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ألم ترني من بعد همّ هممته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بفرقة حر الوالدين حرامبأحمد لما أن شددت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برحلي وقد ودعته بسلامومعنى ذلك انه كان معروفا بهذا الاسم، ومشتهرا به، فلا إشكال من هذه الجهة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بن نوفل ودوره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لقد اشتهر بين المؤرّخين والباحثين أنّ النّبيّ الأعظم صلّی الله علیه و آله لم يطمئن إلى نزول الوحي عليه، وأنّه قد بعث نبيًّا، إلّا بعد أن طمأنه ورقة بن نوفل، وهوّن عليه الأمر، حينما استعانت خديجة بنت خويلد ابنة عمّه وزوج النّبيّ صلّی الله علیه و آله به لبيان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رواية عن عائشة، واستخدمت كحقيقةٍ ثابتةٍ لا شبهة فيها، وحاصلها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الملك جاء إلى النّبيّ صلّی الله علیه و آله وهو في غار حراء،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فأخذني فغطني حتى بلغ مني الجهد، ثم أرسلني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فأخذني الثانية حتى بلغ مني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فأخذني فغطني الثالثة ثم أرسلني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ربك الذي خلق، خلق الإنسان من علق، اقرأ وربك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بها رسول الله صلّی الله علیه و آله يرجف فؤاده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على خديجة بنت خويلد، فقال زمّلوني زمّلوني، حتى ذهب عنه الرّوع، فقال لخديجة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أخبرها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خشيت على نفسي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فقالت خديجة كلّا والله، ما يخزيك الله أبدًا، إنّك لتصل الرّحم، وتحمل الكل، وتكسب المعدوم، وتقري الضّيف، وتعين على نوائب الحق، فانطلقت به خديجة، حتى أتت به ورقة بن نوفل بن أسد بن عبد العزى ابن عم خديجة، وكان امرءًا قد تنصّر في الجاهليّة، وكان يكتب الكتاب العبرانيّ، فيكتب من الإنجيل بالعبرانيّة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شاء الله أن يكتب، وكان شيخًا كبيرًا قد عمي، فقالت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اسمع من ابن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ورقة ماذا ترى؟ فأخبره رسول الله خبر 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النّاموس الذي أنزل الله على موسى، يا ليتني فيها جذعًا، ليتني أكون حيًّا إذ يخرجك قومك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مخرجي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يأت رجل قط بمثل ما جئت به إلا عودي، وإن يدركني يومك أنصرك نصرا مؤزرا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ينشب ورقة أن توفي وفتر الوحي</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تساؤلات حول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صارت هذه الرّواية من المسلّمات بين الباحثين والمؤرّخين، بل لقد استفاد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سيدني هـ غريفيث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غريبةً، وهي أنّ بعض المسلمين التقليديين يعتقدون أنّ ورقة قد ترجم الإنجيل إلى العربيّة، مع أنّه صرّح أنّ التّرجمة العربيّة للإنجيل تعود إلى القرن الثامن الميلادي حسب الوثائق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بدّ من الوقوف عند محطّاتٍ عدّةٍ في هذه الرّواية من خلال مضمونها ودلالاتها؛ إذ هي مليئةٌ بالإشكالات والتّساؤلات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التّساؤلات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النّبيّ يعلم أنَّ الذي أتى إليه هو الملك؟ ولماذا غطّه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عصره ثلاث مرات</w:t>
      </w:r>
      <w:r>
        <w:rPr>
          <w:rFonts w:ascii="IRNazanin" w:hAnsi="IRNazanin" w:eastAsia="IRNazanin"/>
          <w:color w:val="111111"/>
          <w:sz w:val="28"/>
          <w:sz w:val="28"/>
          <w:szCs w:val="28"/>
          <w:rtl w:val="true"/>
          <w:lang w:bidi="fa-IR"/>
        </w:rPr>
        <w:t>، وهل هكذا ينزل الوحي؟ وهل جبرائيل علیه السّلام بهذه الخشونة والغلظة الشّديدة؟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ولماذا فزع النّبيّ صلّی الله علیه و آله لهذه الدّرجة، أم لم يكن يتمتّع بالشّجاعة الكافية ليدافع عن نفسه، حينما عصره الملك وكادت نفسه تزهق؟</w:t>
      </w:r>
      <w:r>
        <w:rPr>
          <w:rFonts w:ascii="Amiri" w:hAnsi="Amiri" w:eastAsia="Amiri" w:cs="Amiri"/>
          <w:color w:val="111111"/>
          <w:sz w:val="28"/>
          <w:sz w:val="28"/>
          <w:szCs w:val="28"/>
          <w:rtl w:val="true"/>
          <w:lang w:bidi="ar-SA"/>
        </w:rPr>
        <w:t>ثم لماذا استغاث بخديجة، حتى هدّأت من روعه أوّلًا؟ثم لماذا أخذته إلى ابن عمها ليطمئنه ويعلمه أنّه نبي، وهل عجزت عن إقناعه ما قالته له؟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هذه الحقيقة بنفسه، وكيف تتحقّق فيه النّبوّة إذن؟ثم ما هي حقيقة ورقة بن نوفل هذا وما هو دوره؟أ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النبي والملك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المعروف ولا المألوف أن يحلّ الضّيف ثقيلًا عن من يتلقّاه، خصوصًا إذا كانت مهمّته المكلّف بها مهمّةً خطيرةً وشاقّة؛ لأنّها ترتبط بالمجتمع الإنساني كلّه، خصوصًا إذا كان الضّيف من الملائكة المكرّمين وأنّه حامل رسالةٍ كبرى من الله تعالى إلى عبدٍ من عباده الصّالحين أرسله رحمةً للعالمين، وهل مثل هذا السّلوك الضّاغط والعنيف والقاسي من مصاديق الرّحمة، وإذا كان الله تعالى يأمره بالرّحمة واللّين مع النّاس، حينما قال 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أمره الله تعالى بالدّعوة إلى الحقّ عبر سلوك طريق الهداية، التي يمكن أن تجذبهم إلى اتّباعه والاقتداء به،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أمر المسلمين باتّباع النّبيّ صلّی الله علیه و آله والاقتداء به،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كلّه فضلًا عن مدح الله تعالى 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كذلك، فلا يتصوّر، ولا يمكن تصديق حصول اللّقاء بين النبيّ صلّی الله علیه و آله والملك المرسل إليه بهذه الصّفة الفجّة والمنفّرة للناس، بل وللنبيّ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هذه الطريقة لا تصدر إلّا من الأعداء والخصوم، لا للأولياء والأحباب المصطفين، ومثل هذا التّصرّف ليس عقلانيًّا كما هو ظاهر</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أمر النّبيّ بالقراءة وتمنّعه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أمر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تقول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بالقراءة وتمنّع النّبيّ من ذلك، لا يخلو من أن يكون جبرائيل عالماً بعدم معرفة النّبيّ صلّی الله علیه و آله بالقراءة أو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عالماً بذلك يكون أمره للنّبي صلّی الله علیه و آله، عبثيًّا، وتكليفًا له بغير المقدور، وكلاهما غير متصوّرين بحقّه، فإنّ المفروض أنّه مرسلٌ من الله تعالى، وهو يعني أنّه يتمتّع بتمام العقل والحكمة، فلا يصدر منه العبث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صدوره عنه مع معرفته وتكليفه بغير المقدور ينعكس سلبًا على معرفة الله وحكمته نعوذ بالله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إذا لم يكن عالماً بذلك فيكون العبث صادرًا من الله عزّ وجل عن ذلك؛ لأنّه بعث رسولًا لا يعرف المهمّة، التي أرسل بها، وهي كلّها محاذيرٌ مستحيلةٌ بحقّه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إلى أمر جبرائيل للنّبي صلّی الله علیه و آله بالقراءة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بالنسبة لتمنّع رسول الله صلّی الله علیه و آله عن ذلك، فلا يخلو أمره أيضًا من أن يكون قادرًا على القراءة، ومع ذلك تمنّع عن الامتثال، أو لا يكون قادرًا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عالماً بالقراءة ومع ذلك تمنّع ولم يمتثل لأمره علیه السّلام، الذي هو أمر الله تعالى، فلا يستحقّ أن يكون نبيًّا من الأساس؛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لِيُطَاعَ بِإِذْنِ اللَّهِ 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لم يكن الرّسول نفسه مطيعًا فكيف نتصوّر أن يعده الله تعالى أن يكون مُطاعًا، بل يستجيب له إذا استغفر لهم؟ بل كيف يأمر النّاس بإطاعته تعالى وامتثال أوامره، وهو تعالى يصف من يفعل ذلك بعدم التّعقّل حين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هو المبرّر لتمنّعه صلّی الله علیه و آله  عن القراءة ثلاث مرات إذا كان قادرًا عليها، إلَّا إذا لم يكن يعلم أن ضيفه هو الملك جبرائيل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يكن عالماً بالقراءة في المرّتين</w:t>
      </w:r>
      <w:r>
        <w:rPr>
          <w:rFonts w:eastAsia="IRNazanin" w:cs="IRNazanin"/>
          <w:color w:val="111111"/>
          <w:sz w:val="28"/>
          <w:szCs w:val="28"/>
          <w:rtl w:val="true"/>
          <w:lang w:bidi="fa-IR"/>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الأوليين، كيف تمكّن من ذلك بعدما كتم جبرائيل أنفاسه في المرّة الثّالثة، فإنّ ذلك يُعيد المشكلة من أساسها حول تمتّع الله تعالى والملك بالحكمة وحسن 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السّؤال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جبرائيل علیه السّلام بكتاب وأعطاه إيّاه، ثمّ أمره بقراءة ما يحتويه أم لا؟ مع أنّه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وَقُرْآنًا فَرَقْنَاهُ لِتَقْرَأَهُ عَلَى النَّاسِ عَلَى مُكْثٍ وَنَزَّلْنَاهُ تَنْزِيلًا</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كان القرآن قد نزل به الرّوح الأمين على قلبه الشّريف، ونزّله تنزيلًا أي متفرقًا وعلى دفعات، فكيف يتصوّر لقاؤه معه، وجذبه وكتم أنفاسه؟</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طمأنة خديجة علیهما السّلام 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الرّواية ذكرت أمرًا غريبًا آخر، وهو أنّ رسول الله صلّی الله علیه و آله، عاد إلى المنزل وفؤاده يرتجف، وأخبر خديجة بنت خويلد علیها السّلام ما جرى معه،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خشيت على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وطلب منها أن تزمّله، فأخبرته أنّ ذلك مما لا يُخيف، وأظهرت ثقتها العالية بالله تعالى، وحسن ظنّها به، وأبرزت للنّبيّ حسن شمائله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وهذه تدعو إلى التّساؤل والاستغراب كذلك، فما معنى أن يخشى الرّسول على نفسه، إلّا أن يكون في شكٍّ في أمره، وأنّ خديجة كانت أحسن ثقةً بالله منه، أم إنّ لقاء الملك كان موحشًا إلى هذا الحدّ، وهو الذي كان يتعبّد لله تعالى في غار حراء مدّةً طويلةً لوحده، أم إنّه كان يكره لقاء الملائكة، حاشاه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وما معنى تزمّله صلّی الله علیه و آله؟ فإنّ التَّزمّل إنّما يكون من شدّة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التّزمّل من الخشية والخوف فليس له معنًى إلّا الاختباء من الخطر القادم، فهل كان النّبيّ صلّی الله علیه و آله يخشى من أن يلحق به الملك، أم إنّ الرّجفة من الخوف تُعالج بالتّزمّل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الفعل لا يصدر من عاقلٍ كما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معنى لهذا الفعل الذي تذكره الرّواية سوى الانتقاص من مقام النّبيّ الأعظم صلّی الله علیه و آله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أين حصّلت خديجة هذه الثّقة بالله، ألعلّها كانت أعلم منه صلّی الله علیه و آله، وأقرب إلى الله تعالى، حتى علمت أنّ الأوصاف التي يتّصف بها الرسول الله صلّی الله علیه و آله، تعني عناية الله تعالى به دونه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مع أنّ لقاءه مع الملك بنفسه يجب أن يكون مطمئنًّا له صلّی الله علیه و آله، فإنّه أنهى اللّقاء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كان يُطيل التّعبّد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معنى أن تأخذه إلى ورقة بن نوفل، بعدما زمّلته وهدّأت من روعه، وهل لم يطمئن لكلامها حتى اضطرّت إلى أخذه، وقد كان يحتاج إلى نصرانيٍّ یُعرّفه معنی اللّقاء ويُبيّن له حقيقة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قومه سيخرجونه من موطنه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ماذا عن ورقة بن نوفل؟</w:t>
      </w:r>
      <w:r>
        <w:rPr>
          <w:rFonts w:ascii="IRNazanin" w:hAnsi="IRNazanin" w:eastAsia="IRNazanin"/>
          <w:color w:val="111111"/>
          <w:sz w:val="28"/>
          <w:sz w:val="28"/>
          <w:szCs w:val="28"/>
          <w:rtl w:val="true"/>
          <w:lang w:bidi="fa-IR"/>
        </w:rPr>
        <w:t>أمّا عنّ قصّته صلّی الله علیه و آله مع ورقة بن نوفل فقد ورد فيها مجموعة أمورٍ لا يمكن قبولها ولا تصديقها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يتعلّق بنفس الحادثة وما جرى بينهما، ومنها ما يتعلّق بحقيقة معرفته بالعبرانيّة والكتاب وتنصّره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يتعلّق بحقيقة وجوده وعدمها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بين ورقة والنّبي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في ما يتعلّق بالمسألة الأولى، وهي في ما جرى بينه وبين النبيّ صلّی الله علیه و آله،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هذه القصّة عددٌ من الأمور لا بدّ من كشف حقيقتها ومعرفة خلفيّاتها</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قد تنصّر في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يكتب من الإنجيل بالعبرانيّة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شيخًا كبيرًا قد عمي</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أخبر رسول الله صلّی الله علیه و آله أنّ ما رآه هو النّاموس الذي نزل على موسى علیه السّلام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الرّسولَ صلّی الله علیه و آله بأنّ قومه سيخرجونه من دياره، وأنّه تمنّى أن يكون حيًّا حين يخرجونه فينصره نصرًا مؤزّرًا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ورقة ما لبث أن مات وفتر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كونه قد تنصّر من الجاهليّة ويقرأ الكتاب ويكتب الإنجيل بالعبرانيّة فسيأتي الكلام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إخباره النّبيَّ صلّی الله علیه و آله بأنّ ما رآه هو النّاموس الذي أنزل على موسى علیه السّلام، فهو أمرٌ مريبٌ؛ إذ لو كان نصرانيًّا فعلًا فلماذا لم يتحدّث عمّا نزل على عيسى علیه السّلام، خصوصًا وأنّ النّصارى يعتقدون أنّ السّيد المسيح علیه السّلام قد جاء ونسخ ناموس موسى علیه السّلام، وأنّه هو الغاية والخلاص به، فكان الأجدر به أن يقرّب المسألة بالسّيد المسيح علیه السّلام بناءً على ذلك، إذ التّوراة لا تعني شيئًا عند النّصارى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يُقال إنّه كان يعتقد بآراء آريوس، من اعتماد العهد القديم والاعتقاد بالشّريعة وببشريّة السّيد المسيح علیه السّلام، وأنّه ابن الله على المجاز، فيكون ذكره لناموس موسی علیه السّلام طبيعيًّا ومنطقيًّا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من أتباع آريوس يستلزم ألّا يقول بأنّ السّيد المسيح ابن الله تعالى عن ذلك، وأنّه نبيّ مرسلٌ، فيكون أحقّ أن يشبّه النّبيّ صلّی الله علیه و آله به لا بموسى علیه السّلام، فإنّه الأقرب عهدًا إليه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إرساله ناموس موسى علیه السّلام إرسال المسلّمات، یعني أنّه صلّی الله علیه و آله كان على اطّلاعٍ ومعرفةٍ برسالة موسى علیه السّلام، مع أنّه تعالى يخاطبه في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رُوحًا مِنْ أَمْرِنَا مَا كُنتَ تَدْرِى مَا الْكِتَابُ وَلَا الْإِيمَانُ وَلَكِن جَعَلْنَاهُ نُورًا نَّهْدِى بِهِ مَن نَّشَاءُ مِنْ عِبَادِنَا وَإِنَّكَ لَتَهْدِى إِلَى صِرَاطٍ مُّسْتَقِيمٍ</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شَاءَ اللَّهِ مَا تَلَوْتُهُ عَلَيْكُمْ وَلَا أَدْرَاكُم بِهِ فَقَدْ لَبِثْتُ فِيكُمْ عُمُرًا مِّن قَبْلِهِ أَفَلَا تَعْقِلُونَ</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كذلك، فإنّ من غير الممكن أن يرسل ورقة كلامه، دون أن يعترض عليه رسول الله صلّی الله علیه و آله</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بالإضافة إلى أنّ كون ورقة من أتباع آريوس أو المتأثّرين به، يستلزم القول بعدم قدرة الكنيسة، التي كانت مسيطرةً على شؤون الإمبراطوريّة البيزنطيّة من النّاحية الدّينيّة، في القضاء على حركة آريوس، فقد ألقت الحرم الكنسية على آريوس وأتباعه، وأحرقت كلّ الكتب التي تدعو بدعوته، واعتبرتها هرطقةً في الدّيانة المسيحيّة، وذلك قبل بعثة النّبي صلّی الله علیه و آله بحوالي أربعة قرون، فانتفت عن صفحة الوجود بالمرّة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إخباره النّبيّ بأنّ قومه سيخرجونه من مكّة، وتمنّيه أن يكون حينها على قيد الحياة، فأمرٌ غريبٌ في نفسه هو الآخر؛ لأنّه لا يخلو من أن يكون قد أوحي إليه بذلك، أو يكون قد قرأه في أسفار أهل الكتاب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كان قد أوحي إليه، فمعنى ذلك أنّه كان نبيًّا، ولم ينقل ذلك أحد عنه، مع أنّه كان الأحرى به أن يكون هو الرسول، دون رسول الله صلّی الله علیه و آله؛ إذ هو من بني أسد، أي أنّه عربيٌّ سيرسل إلى بني قومه العرب، وطبقًا للرواية فقد كان ذا مقامٍ سامٍ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قد قرأه في أسفار أهل الكتاب، فلماذا لم يُبيّن لنا في أيّ سفر أو كتاب قرأه واستفاده، بل جزم بحصوله، مع أنّ المسيحيين يعتقدون أنّ هذه الأسفار الموجودة بين أيدينا هي التي كانت في عهد الرّسول صلّی الله علیه و آله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ويُؤيّد ذلك القرآن الكريم،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يُحَكِّمُونَكَ وَعِنْدَهُمُ التَّوْرَاة فِيهَا حُكْمُ الله</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ولا يوجد ما يدلّ على ذلك فيها، خصوصًا الأناجيل الأربعة، التي يعتمدونها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تمنّيه أن يكون على قيد الحياة حين إخراج الرّسول من دياره لينصره نصرًا مؤزّرًا، فلا يمكن أن يصحّ هو الآخر؛ لأنّ الرّواية صريحةٌ بأنّه كان قد شاخ وكفّ بصره، وكلا الأمرين يمنعان من تحقّق ذلك، كما هو ظاهر، فلا يمكن قبول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بالنّسبة للحوار الذي جرى بينهما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 بالعبرانیّة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وتقول الرّواية أنّ ورقة بن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يكتب الكتاب العبرانيّ وكان يكتب من الإنجيل بالعبرانيّة ما شاء الله أن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بمعزلٍ عن ضعف التّركيب في العبارة المذكورة من النّاحية اللّغويّة، فإنّ مضمونها يكشف عن أنّ الرّاوي، أو أحد الرّواة، كان جاهلًا بالكتاب المقدّس وأهله، فإنّه لم يكن موجودًا باللّغة العبرانيّة أصلًا، فإنّ الثّابت أنّ العهدين قد كانا باللّغة 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العهد القديم فلا يوجد منه سوى التّرجمة السبعينيّة، وهي ترجمة العهد القديم في القرن الثاني قبل الميلاد، كما أنّه لا توجد منها أيّة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النّسخة العبرانيّة الموجودة فقد نقلت عن النّسخة السبعينيّة في القرن العاشر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العهد الجديد فقد كُتب أكثره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والأناجيل الأربعة على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اليونانيّة، وليس بالعبرانيّة أصلًا، وهذا يعني أنّ ورقة لم يكن يقرأ في الكتاب المقدّس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هي حاجته إلى معرفة اللّغة العبرانيّة أصلًا، ما دام عربيًّا من بني أسد، وكان يعيش في مكّة المكرّمة، حسب المفروض من الرّواية، ولم يذكر التّاريخ أنّه غادرها، أو كان فيها قوم من اليهود ليتعلّمها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وجود اليهود أو بعضهم في مكّة المكرمة، لم يكن من فائدةٍ ترجى من تعلّمه لغتهم، طالما أنّه كان ،نصرانيًّا، أي معادٍ لليهود، فقد كان يحتاج إلى اللّغة اليونانيّة؛ لأنّ المفروض أنّها لغة الدّين الذي ينتمي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تنصّر ورقة؟وأمّا كونه قد تنصّر في الجاهليّة، وأنّه كان يُلقّب بالقسّ، كما يذكر بعض علماء الرّجال، فلم يظهر له وجه يمكن أن يُستند إليه أو يُعتمد عليه، وذلك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تنصّره متفرّعٌ عن أن يكون للنصرانيّة وجودٌ في مكّة قبل الإسلام، وأن يكون قد تعلّمها من الكهنة، فإنّ المسيحيّة مبنيّةٌ على الدّعوة والبشارة، التي كانت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منحصرةً بالكهنة ورجال الكنيسة حينها، وهو مستندٌ إلى حدٍّ كبيرٍ خصوصًا في ماضي الأيّام إلى التّبشير الكنسي، وهو يقتضي وجود معابد وكنس للمسيحيين فيها، وهو ما لا عين له ولا أثر في مكّة أو محيطها، فمن أين تعلّم النّصرانيّة وآمن بها؟واحتمال أن يكون قد أخذها من خلال هجرته إلى بلاد الرّوم، حيث النّصرانيّة، وإن كان ممكنًا في نفسه، إلّا أنّه مجرّد احتمالٍ لا شاهد له؛ إذ لم يتعرّض المؤرّخون إلى حياته، ولا إلى ترحّله وسفره في بلاد العرب، فضلًا عن الرّوم، بل إنّ كلّ علماء الرّجال، من الشّيعة والسّنّة قد حكموا عليه بالجهالة، لمن راجع كتبهم المختصّة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وصفه بالقسّ، فإنّ أولى وظائف القسّ أو الكاهن هي الدّعوة والتّبشير بالمسيحيّة، إضافةً إلى إقامة القداديس، وهذا يعني أنّه لا بدّ من وجود كنيسةٍ يعمل فيها، ولم يحدّثنا التّاريخ عن أيّة كنيسةٍ في تلك الديار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وهل يمكن أن يتقبّل أهل مكّة دعوته أم يحاربونها؟ ولا ذكر لشيءٍ من ذلك عند المؤرّخين أو المحدّثين والرّواة، مع ما نراه من محاربتهم لرسول الله صلّی الله علیه و آله، ومحاولتهم القضاء على دعوته الشّريفة؛ لأنّهم رأوا فيها ما يُهدّد مصالحهم بزعمهم، أم إنّ دعوة ورقة كانت متطابقةً مع ما يزعمونه لأنفسهم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مضافًا إلى أنّ الدّعوة الإنجيليّة تحارب الغنى وتدعو إلى الفقر وترك الدنيا، فقد نُسب إلى السّيد المسيح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أقول لكم أنه يعسر أن يدخل غني إلى ملكوت السماوات، وأقول لكم أيضًا أن مرور جمل من ثقب ابرة أيسر من أن يدخل غني إلى ملكوت الله</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 بدّ أن يكون لهذه الدّعوة منافسةٌ شديدةٌ من قبل أهل مكّة، ويحاربونها بكلّ ما أوتوا من قوّة، وهو يقتضي أن يصل إلينا شيءٌ من ذلك، مهما كان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لم نجد شيئًا من هذا القبيل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أنّ الدّولة الإسلاميّة التي حكمت في تلك الفترة، منعت من ذلك، باطلةٌ،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أهل الكتاب عاشوا فترةً ذهبيّةً في العصر الإسلامي، سواء في الدّعوة إلى دينهم، أو في الحياة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أن نذكر شاهدًا واحدًا على ذلك، وهو أنّ يوحنا الدّمشقي كان أمين المال، أي كان وزيرًا للماليّة، في دولة معاوية بن أبي سفيان، في بداية العصر الأموي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وكذلك ورد عنه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خبزنا كفافنا أعطنا اليوم</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مدى اعتبار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ما تقدّم يدعونا إلى عدم اعتبار الرّواية المذكورة، لما فيها من توهينٍ وتصغيٍر لشخص النّبيّ صلّی الله علیه و آله وحكمته وتعقّله، نعوذ بالله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لمناقضتها لصريح القرآن الكريم، ولما فيها من تحقيرٍ للذات الإلهيّة المقدّسة والملائكة وخصوصًا جبرائيل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بالإضافة إلى ضعف سندها، رغم ورودها في صحيح البخاري، فإنّ روّاتها كلّهم متّهمون في نقل الحديث، فقد ذكرها البخاري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يحيى بن بكير قال حدثنا الليث عن عقيل عن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 عن عروة بن الزبير عن عائشة أم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بدأ به رسول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مع أنّ عائشة لم تُبيّن لنا من الذي أخبرها بذلك، فإنّها لم تكن موجودةً حينها؛ لأنّها إذا كانت قد تزوّجها رسول الله صلّی الله علیه و آله في المدينة المنوّرة، وهي بنت تسع سنين، كما يقولون، فتكون ولادتها بعد السنة الثالثة أو الرابعة من البعثة، ولا ندري من أخبرها بهذه القصّة إن لم تكن قد ولدت يومها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يقال إنّ الرّواية قد نُسبت إليها من قبل بعض الوضّاعين، من مسلمة أهل الكتاب، ووضع هذا السّند والقصّة، ليقبلها الناس بعد ذلك، وهذا ليس بغريبٍ عنهم، فقد وضعوا كثيرًا من الأحاديث وأسانيدها، ونسبوها إلى رسول الله صلّی الله علیه و آله، خصوصًا وأنّ الرّواية تجعل من أهل الكتاب حجّةً ومرجعًا للنّبيّ صلّی الله علیه و آله يعتمد عليه، وإلّا لم تصدق نبوّته، وكفى بذلك تعظيمًا لهم وانتقاصًا من مقامه الشّريف صلّی الله علیه و آله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ورقة بن نوفل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الكلام حول شخصيّة ورقة بن نوفل، وأنّه موجودٌ واقعيٌّ، أم هو شخصّ مختلقٌ، أبدعته المخيّلة الإنسانيّة لغايةٍ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 والمشاهد أنّ عظماء التّاريخ، يظهرون على صفحات الزّمن بشكلٍ واضحٍ، كما يظهر لهم موالون، يقدّمونهم بصورةٍ قدسيّةٍ، وتحاك حولهم القصص والحكايات الخياليّة والواقعيّة، ويبرزونهم على أنّهم صانعوا مجدٍ وحضارةٍ وبطولةٍ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هؤلاء نجد فئة أخرى تخاصمهم بل تعاديهم، وتبرز لهم المثالب والخطايا، ويحاربونهم بكلّ ما أوتوا من قوةٍ وبأسٍ، بل دهاء وكذب، لأجل إسقاطهم وتزييف إنجازاتهم، بل إسقاط ما يعملون له ويدعون إليه، خصوصًا إذا كان يرتبط بالآخرين، وبالواقع الاجتماعي للناس ومستقبلهم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أنّنا لم نجد لورقة بن نوفل هذا أيّ موقفٍ أو عملٍ يمكن أن يخلّد له، ما منحه الرّواة من الأوصاف، التي تنبّئ عن أهمّيته وخطره في التّاريخ، غير هذه القصّة التي تقدّم ذكرها والحديث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وأنّ الرّواية تظهره شيخًا عجوزًا قد أضرّ بصره وعمي، ولا بدّ أن يكون ذلك بعد تاريخٍ طويلٍ، حافل بالانجازات، وعلى الأخصّ قضيّة تنصّره ومعرفته العبرانيّة والكتاب، فلم يذكر التّاريخ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كلّ من ترجم له من علماء الرّجال أكّد على أنّه مجهولٌ، لا يعرف عنه شيئًا، سوى هذه الرّواية المختلقة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والأدهى من ذلك أنّ الرّواية المذكورة نفسها قد ذكرت أنّه ما لبث أن مات وفتر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بدّ من إثارة بعض التّساؤلات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فلماذا لم يعلن إيمانه برسول الله صلّی الله علیه و آله قبل موته، مع أنّه كان صريحًا في إعلان نبوّته صلّی الله علیه و آله؟ ثمّ لماذا فتر الوحي بعد موته؟ وهل كان الوحي مرتبطًا به أو بحياته، أم أنّ النّبيّ صلّی الله علیه و آله كان محتاجًا إلى تفسير الوحي له لمرّةٍ واحدةٍ فقط؟ والأسئلة كثيرةٌ في هذا المجال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كلّ ذلك وغيره يدعونا إلى الشّكّ في حقيقة وجود هذا الشّخص في زمان النّبي صلّی الله علیه و آله، وأنّه شخصيّةٌ مختلقةٌ لا واقع لها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والنّصوص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اشارةيذكر غريفيث في مقام المقارنة بين النّصّ القرآنيّ والنّصوص الإنجيليّة، مجموعة نقاطٍ تُشير إلى عدم دقّة النّقل القرآنيّ لمعلوماته، أو عدم أمانته في نقلها، وعدم دقّته فى بيان عقائد المسيحيين، ما خلاصته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القرآن الكريم يذكر بعض القضايا والقصص التي تتعلّق بالسّيد المسيح علیه السّلام، وعقائد المسيحيين على ثلاثة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يناظر المعلومات والسّرديات الواردة في الإنجيل الشّرعي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يناظر المعلومات الواردة في الأناجيل المنحولة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والمعلومات التي كانت متوافرةً في التّقاليد المسيحيّة المبكرة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ليس له ما يناظره في النّصوص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ويخلص من ذلك إلى أنّ بعض المسلمين، بل عامّتهم، يتّهمون المسيحيين بتحريف الإنجيل الأصلي، الذي يتحدّث عنه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معالجة هذه الإشكاليات الثلاثة، بما يتيحه المقام والوقت لنتبيّن مدى صحّتها أو عدمه، وبيان الحق فيها، فنقول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تحريف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القول أوّلًا، بأنّ التّحريف يعني التّغيير في اللّفظ أو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يستلزم وجود الأصل ليمكن القول بتحقّق التّحريف، فإذا لم يكن الأصل موجودًا فلا معنى للقول بوقوع التّحريف، وإنّما هو تبديلٌ أوحذفٌ وإلغاءٌ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والتّحريف تارةً يكون بالزّيادة والنّقيصة في الكلام فيتغيّر المعنى تبعًا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تحريفًا في مراد المتكلّم، مع المحافظة على الأصل من حيث تركيبه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بوجود أناجيل شرعيّةٍ، وفرضها صحيحةً ومسلّمةً، في مقابل أخرى غير شرعيّةٍ أو مشكوكٍ فيها، لا يخلو من مصادرة على المطلوب، ومجانبة للحقيقة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من المعلوم والذي تسالم عليه المسيحيون، أنّ هذه الأسفار الأربعة قد كُتبت بعد ارتفاع السّيد المسيح علیه السّلام بزمن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المسيحيون إنّها دوّنت في أواخر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القرن الأوّل وأوائل القرن الثاني للميلاد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هذه الدّعوى تفتقر إلى الدّليل، أو القرائن المثبتة لها، فإنّ الوثائق والأدلّة الموجودة تدلّ على عدم وجود أيّ أثرٍ منها، يعود إلى ما قبل القرن الثالث للميلاد، أي أنّها ترجع إلى فترة ما قبل مجمع نیقیا، الذي انعقد في سنة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م بقليلٍ أو أثناءها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أقرّ شرعيّة هذه الأناجيل دون غيرها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كما أنّ أقدم مخطوطة اكتشفت لها هي المخطوطة السينائيّة، التي دير القدّيسة كاترينا في صحراء سيناء، ويرجع تاريخ كتابتها إلى القرن الخامس الميلادي </w:t>
      </w:r>
      <w:r>
        <w:rPr>
          <w:rStyle w:val="FootnoteAnchor"/>
          <w:rtl w:val="true"/>
        </w:rPr>
        <w:footnoteReference w:id="549"/>
      </w:r>
      <w:r>
        <w:rPr>
          <w:rFonts w:ascii="Amiri" w:hAnsi="Amiri" w:eastAsia="Amiri" w:cs="Amiri"/>
          <w:color w:val="111111"/>
          <w:sz w:val="28"/>
          <w:sz w:val="28"/>
          <w:szCs w:val="28"/>
          <w:rtl w:val="true"/>
          <w:lang w:bidi="ar-SA"/>
        </w:rPr>
        <w:t>، وفيها اختلافٌ كثيرٌ عن النّسخ الموجودة، من حيث الزّيادة والنّقيصة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إقرار الآباء أنّ الأناجيل كانت تزيد على الأربعين إنجيلاً، منع العمل بها واقتناؤها، وأنّ تاريخ كتابة بعضها يعود إلى القرن الأوّل الميلادي، أي أنّها أسبق زمنًا من الأناجيل الأربعة المعترف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فالكلام تارةً يكون حول إثبات التّحريف، من كتابات المسيحيين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عن نسبة التّحريف إلى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الكهنة بالتّحريف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بالنسبة إلى المسألة الأولى، فمضافًا إلى الإقرار بأنّ مؤلّفي هذه الكتب مجهولون </w:t>
      </w:r>
      <w:r>
        <w:rPr>
          <w:rStyle w:val="FootnoteAnchor"/>
          <w:rtl w:val="true"/>
        </w:rPr>
        <w:footnoteReference w:id="550"/>
      </w:r>
      <w:r>
        <w:rPr>
          <w:rFonts w:ascii="Amiri" w:hAnsi="Amiri" w:eastAsia="Amiri" w:cs="Amiri"/>
          <w:color w:val="111111"/>
          <w:sz w:val="28"/>
          <w:sz w:val="28"/>
          <w:szCs w:val="28"/>
          <w:rtl w:val="true"/>
          <w:lang w:bidi="ar-SA"/>
        </w:rPr>
        <w:t>، فيكفي أن نذكر نصّين لهم في إثبات ذلك</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اعترف الأب سليم بسترس بالتّحريف من قبل المؤلّفين أنفسهم، حين صرّح بأنّ إنجيل مرقس هم أقدم الأناجيل، وأنّ متى استند إليه في كتابة إنجيله، وقد ورد فيه أنّ بطرس قال للسّيد المسيح عیه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فزاد فيها متى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الله الحي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إضافة متى لهذه العبارة كانت ليعلن أنّ ليس إيمان بطرس في أثناء حياة يسوع، بل إيمان بطرس والرسل والكنيسة الأولى بألوهيّة المسيح من بعد قيامته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التّصريح وإن كان جزئيًّا وفي موردٍ واحدٍ، إلّا أنّه يدلّ صراحةً على وقوع أصل التّحريف، كما يكشف عن أخطر تحريفٍ فيه؛ لأنّه ناظرٌ إلى أهمّ معتقدٍ عند المسيحيين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يتضمّن اتّهامًا للتلاميذ بالجهل بما هو مضمون الدّعوة المسيحيّة، بل الأساس فيها، وهو أنّهم لم يعلموا أنّ السّيد المسيح ابنٌ لله تعالى، إلّا بعد صلبه وقيامته، التي لم تثبت يقينًا، إذ التي جاءت بها مريم المجدلية، ولم يصدّقها التّلاميذ أوّل الأمر واتّهموها بالهذيان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منافٍ للأوسمة التي منحهم إيّاها السّيد المسيح علیه السّلام في حياته</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الآباء اليسوعيون في المدخل إلى العهد الجديد، إنّه قد زيد فيه وأنقص منه مرّات عديدة على يد النّسّاخ،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النّصّ الذي وصل إلى عهد الطّباعة مثقلًا بمختلف ألوان التّبديل ظهرت في عددٍ كبير من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وخلصوا إلى القول بأنّ غاية ما يهدف إليه علم نقد النّصوص، هو محاولة الوصول أن يقيموا نصًّا أقرب ما يكون إلى النّص الأصليّ، ولا يرجى بحالٍ من الأحوال الوصول إلى النّصّ الأصليّ نفسه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وشهادات اللاّهوتيين المسيحيين في تحريف الكتاب المقدّس، والتّلاعب بنصوصه كثيرة جدًا، وإن جادل بعضهم في ذلك، في محاولة إسكات النّقّاد والمسلمين منهم على وجه الخصوص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وتحريف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بالنّسبة للمسألة الثانية، وهي نسبة تحريف الإنجيل للقرآن الكريم والمسلمين، فنقول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القرآن الكريم يتحدّث عن الإنجيل الذي أُنزل على السّيد المسيح عليه السّلام، والمسيحيون لا يعتقدون بنزول كتابٍ باسم الإنجيل على السّيد المسيح علیه السّلام، وإنّما يقولون كما تقدّم أنّ تعليمه كان شفويًّا، وأنّ الذين كتبوا الإنجيل أناسٌ آخرون غيره، وهذا التّوصيف ينطبق على الأناجيل الأربعة، كما على الأناجيل الأخرى</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معنى ذلك أنّ هذه الأناجيل خاليةٌ من تعاليم السّيد المسيح علیه السّلام، التي أنزلت عليه، وأراد إيصالها إلى بني إسرائيل، وتصحيح تشريعات التّوراة في أذهانهم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على الرّغم من نسبتها إلى غيره من الرّجال، إلّا أنّها تشتمل على بعض تعاليمه ووصاياه الأخلاقيّة، رغم خلوها من الأحكام والقوانين التشريعيّة، حيث اكتفت بالتّعاليم التّوراتيّة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فالإنجيل الذي يتحدّث عنه القرآن الكريم مغايرٌ للإنجيل الذي يتحدّث المسيحيّون عنه، فلا يبقى أيّ معنى للقول بأنّ القرآن الكريم يصفهم بتحريف الإنجيل كما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القرآن الكريم يطلب منهم الاستناد إلى الإنجيل في شؤونهم كافّة،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وَلْيَحْكُمْ أَهْلُ الْإِنجِيلِ بِمَا أَنزَلَ اللهُ فِيهِ وَمَن لَّمْ يَحْكُم بِمَا أَنزَلَ اللهُ فَأُولَيكَ هُمُ الْفَاسِقُونَ</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الآية المباركة تدلّ على أنّ كهنتهم يعرفون بنزول الإنجيل على السّيد المسيح من عند الله تعالى، بدليل الآية السابقة عليها،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وَقَفَّيْنَا عَلَى آثَارِهِم بِعِيسَى ابْنِ مَرْيَمَ مُصَدِّقًا لِّمَا بَيْنَ يَدَيْهِ مِنَ التَّوْرَاةِ وَآتَيْنَاهُ الْإِنجِيلَ فِيهِ هُدًى وَنُورُ وَمُصَدِّقًا لِمَا بَيْنَ يَدَيْهِ مِنَ التَّوْرَاةِ وَهُدًى وَمَوْعِظَةٌ لِلْمُتَّقِينَ</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لم ينطبق عليهم القول بأنّهم حرّفوا الإنجيل، فإنّ ممّا لا شكّ فيه أنّه يصدق عليهم أنّهم أخفوه، وكتبوا أسفارًا أخرى أطلقوا عليها اسم الإنجيل ونسبوها إلى الله تعالى؛ إذ يعتقد المسيحيون أنّ مؤلّفي تلك الأناجيل حرّروها بإلهاٍم من الله تعالى، أي بوحيٍ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واضحٌ بين القول بالتّحريف والقول بنفي نزول کتابٍ على السّيد المسيح أصلاً، وأنّ تعليمه كان شفويًّا، معرّضًا للزّوال لولا هؤلاء الكتبة، والذي يمكن أن يقال فيهم إنّهم مصداقٌ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وَوَيْلٌ لَّهُم مِّمَّا يَكْسِبُونَ</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وماذا عن إنجيل برنابا </w:t>
      </w:r>
      <w:r>
        <w:rPr>
          <w:rStyle w:val="FootnoteAnchor"/>
          <w:rtl w:val="true"/>
        </w:rPr>
        <w:footnoteReference w:id="5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تعرّض غريفيث لإنجيل برنابا، وقال إنّ هذا الإنجيل يرجع تاريخه إلى القرن السادس عشر؛ حيث وجدت نسخةٌ منه باللّغة الإيطاليّة، ثم زعم أنّ بعض المسلمين يدّعون أنّه حافظ على الإنجيل الأصلي الذي تحدّث عنه القرآن، مع أنّهليس له أصلٌ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من المسلمين لم يكن يعرف شيئًا عن هذا الإنجيل، ولا ورد اسمه على لسان أيّ منهم، قبل أن يترجمه إلى العربيّة الدكتور خليل سعادة ويطبع في مصر في أوائل القرن العشرين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الكتاب كان منشورًا ومشتهرًا باللّغة الانكليزية وغيرها، إلّا أنّه لم ترصد أيّة ردّة فعلٍ ضدّه من قبل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صدرت التّرجمة العربية ثارت ثائرة المسيحيين العرب، وحملوا عليه حملةً شعواء، وأخذت مقولة أنّ بعض المسلمين قد كتب هذا الكتاب، نصرةً لدينه ومعتقده، تشقّ طريقها إلى الوجود، فانتشرت بين الباحثين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والتّبرير الأهم لهذا القول، أنّ نسخته قد اكتشفت في القرن السادس عشر، في مكتبة البابا سكتس الخامس في الفاتيكان، ثم اختلست منه، وقد وجد عليها بعض التّعليقات باللّغة العربية، بأسلوبٍ رديءٍ، يكشف عن قلّة معرفة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الباحثون المسيحيون ذلك دليلًا على أنّ كاتب الإنجيل رجلٌ مسلمٌ، خصوصًا وأنّه لم توجد نسخةٌ أخرى من هذا الإنجيل بغير الإيطاليّة، سوى نسخةٍ وجدت في القرن الثّامن عشر في أسبانيا، فاستنبطوا من ذلك أنّه كتابٌ حديث العهد، وليس له جذور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الاستدلال والاستنتاج مجانبٌ للحقيقة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أنّ البابا جيلاسيوس الأوّل، والذي تربّع على عرش البابويّة سنة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أصدر أمرًا منع فيه قراءة بعض الكتب، وذكر من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إن دلّ على شيءٍ، فإنّما يدلّ على وجود الأصل القديم لهذا الإنجيل، أي أنّه يرجع إلى ما قبل الإسلام بأكثر من قرن من الزمن، فلا يمكن أن يكتبه مسلمٌ في الخامس عشر أو السادس عشر،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واللّافت أنّ بعض آباء الكنيسة، وفي مقام تزييف الأصل القديم لهذا الإنجيل، تعرّض لهذا الأمر البابوي، إلّا أنّه علّق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مجرّد اسمٍ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أحد من المسيحيين أو المسلمين أو اليهود، يذكر هذا الإنجيل أو يستشهد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أيضًا على أنّ ذكر إنجيل برنابا في قرار البابا جيلاسيوس مدسوسٌ أنّ تحريم المطالعة لكتاب يدلّ على شهرته و خطره، ولا أحد يعرفه في زمن جيلاسيوس أو قبل القرآن أو بعده، حتى زمن الأخ مارينو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مكتشف الإنجيل ومختلسه من مكتبة البابا سكتس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القرن السادس عشر، فأين خطره لتحريمه</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في الحقيقة من غريب الاستدلال، فإنّ أيّ عاقلٍ لا يمكن أن يتصوّر أن يكون جيلاسيوس قد حرّم قراءة كتابٍ لا وجود له، بل لا يعرف أحدٌ عنه شيئًا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قد تنبّأ بحدوثه بعد أكثر من عشرة قرون، وهو أمرٌ غير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هذا البابا بمثّل هذه البساطة والسّذاجة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ذكره كتابًا على فرض وجوده، لا يتمتّع بأهميّةٍ وخطرٍ خاصّين، لا يُحتمل أن يصدر أمرًا بمنعه؛ لأنّ ذلك مدعاة إلى البحث عنه والتّأمّل فيه، وهو يعني انقلاب التّحذير إلى دافعٍ للبحث عنه، وربّما إلى العمل به، وهو في غير مصلحة الكنيسة،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لا يعرف أحد عنه شيئًا، فهو أمرٌ طبيعيٌّ ومنطقيٌّ؛ لأنّ هذه الأمور والقرارات، تشكّل سرًّا من الأسرار الكنسية، التي لا يتاح الاطّلاع عليها، إلّا لرجال الكنيسة أنفسهم، فإنّه بعد مجمع نيقيا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أحرقت ومنعت كثيرٌ من الكتب والأسفار، وألقيت الحرم الكنسية على العاملين بها والمروّجين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كشفت الآثار من مقابر الكهنة كثيراً من هذه الكتب الممنوعة والمحرّم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قراءتها والتّداول بها، إذ كانت تدفن معهم عند موتهم، خوفًا من بطش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كونه مدسوسًا في قرار البابا، فهو أشدّ غرابةً، وأكثر سخفًا مما سبق؛ لأنّ معناه أن يكون الذي دسّ مثل هذا الاسم الذي لم يكن له وجود حتى فترةٍ متأخرةٍ، وإمّا أن يكون أحد البابوات، أو أحد أمناء سرّ الكنيسة قام بذلك، لما تقدم من أنّها أسرارٌ ليس لأحدٍ أن يطّلع عليها من خارج الجهاز الكنسي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يُضاف إلى ما تقدّم، ما ذكرته صحيفة السفير اللّبنانيّة، في العدد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والصادر يوم الاثنين بتاريخ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سنة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تمّ العثور على نسخةٍ من هذا الإنجيل باللّغة السّريانيّة يرجع تاريخها إلى ما قبل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أي أنّها نسخت قبل الإسلام بحوالي قرن من الزّمان، وهي تتّفق في مضامینها مع النّسخة المعروفة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دعا البابا بنديكتوس السادس عشر إلى المطالبة بفحص النّسخة المكتشفة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وهذا يدلّ على أنّ النّسخة أصيّلةٌ ؛ لأنّها محرّرةٌ باللّغة السّريانيّة الآراميّة التي كان السّيد المسيح علیه السّلام يتكلّم بها، كما اعترف بذلك بعض آباء الكنيسة؛ حيث قال إنّه كان يدعو النّاس باللّغة الآراميّة بلهجتها الغربيّة أو السّريانية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ذلك لا يعني الالتزام بوثاقتها، أو قبول ما فيها على أنّه الحقِّ، فإنّ شأن هذا الإنجيل شأن سائر الأناجيل الأخرى من جهة الوثاقة؛ لأنّه ليس الكتاب الذي أنزل على السّيد المسيح علیه السّلام من عند الله تعالى، بل هو واحدٌ من الأناجيل الأربعين التي كتبت سيرة السّيد المسيح وبعض أعماله وعظاته ومعجزاته والتي لا يختلف عن غيره إلّا بما يمكن أن يكون أقرب إلى الحقيقة، بمعنى أنّه أقرب إلى روح دعوة السّيد المسيح علیه السّلام، وليس إنجيل المسيح نفسه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الإنجيل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يرد السّؤال المهمّ، وهو أنّه طالما أنّ الأناجيل الموجودة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منها المعترف بها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المنحولة والمكتشفة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مغايرةٌ لإنجيل السّيد المسيح علیه السّلام، فأين هو الإنجيل الذي أنزل عليه، وما هو مصيره، وهل هو محفوظ أم زال عن صفحة الوجود؟ وإذا لم يكن محفوظًا فكيف تقوم الحجّة على المسيحيين، والكلام نفسه يجري بالنّسبة إلى اليهود والتّوراة؟</w:t>
      </w:r>
      <w:r>
        <w:rPr>
          <w:rFonts w:ascii="Amiri" w:hAnsi="Amiri" w:eastAsia="Amiri" w:cs="Amiri"/>
          <w:color w:val="111111"/>
          <w:sz w:val="28"/>
          <w:sz w:val="28"/>
          <w:szCs w:val="28"/>
          <w:rtl w:val="true"/>
          <w:lang w:bidi="ar-SA"/>
        </w:rPr>
        <w:t>وفي مقام الإجابة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الإنجيل ومضمونه، وكذلك ما يتعلّق بحياة السّيد المسيح علیه السّلام ودعوته، قد ذُكرت في القرآن الكريم؛ ذلك أنّ دعوته علیه السّلام کكلّ دعوةٍ دينيّةٍ، لا بدّ وأن تشتمل على عقيدةٍ وشريعةٍ وأخلاقٍ، ولا بدّ من الالتزام بها، ليصحّ وصف المرء أنّه منتمٍ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دين الله واحدًا منذ بدء الخليقة، وإليه دعا كل الأنبياء علیهم السّلام،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w:t>
      </w:r>
      <w:r>
        <w:rPr>
          <w:rFonts w:eastAsia="Amiri" w:cs="Amiri" w:ascii="Amiri" w:hAnsi="Amiri"/>
          <w:color w:val="111111"/>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 فإنّ مضمون دعوة السّيد المسيح علیه السّلام موجودة في القرآن الكريم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العقيدة واحدةٌ عند جميع الأنبياء علیهم السّلام، وهي الإقرار لله تعالى بالألوهيّة والرّبوبيّة للعالمين، وأنّه سبحانه خالقُ كلّ شيء، والإيمان بالرّسل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 بِكَتِهِ وَكُتُبِهِ وَرُسُلِهِ لَا نُفَرِّقُ بَيْنَ أَحَدٍ مِّن رُّسُلِهِ وَقَالُوا سَمِعْنَا وَأَطَعْنَا غُفْرَانَكَ رَبَّنَا وَإِلَيْكَ الْمَصِيرُ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الشّريعة فيمكن أن تختلف وتتغيّر تبعًا لتغيّر المجتمع الذي تنزّل إليه، فإنّ لكلّ مجتمعٍ عاداتٍ وتقاليدَ خاصّةً به، فيُنزّل الله تعالى لهم ما يُصلح حالهم وينسجم مع عقلهم وثقافتهم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وبالنّسبة للسّيد المسيح علیه السلام فإنّه لمّا أرسل إلى بني إسرائيل، وهم يرون أنفسهم مرتبطين بموسى علیه السّلام، فقد جاء مصدّقًا لما ورد فيها من تعاليم وقوانين، دون أن ينسخها إلّا بعض أحكامها،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الطَّعَامِ كَانَ حِلَّا لِبَنِي إِسْرَابِيلَ إِلَّا مَا حَرَّمَ إِسْرَابِيلُ عَلَى نَفْسِهِ مِن قَبْلِ أَن تُنَزَّلَ التَّوْرَاةُ قُلْ فَأْتُوا بِالتَّوْرَاةِ فَاتْلُوهَا إِن كُنتُمْ صَادِقِينَ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لمّا انحرف بنو إسرائيل عن جادّة الحقّ عاقبهم الله تعالى، بتحريم بعض الطيّبات عليهم، وهي التي كانت في الأصل حلالًا لهم، تبعًا لما التزم به إسرائيل،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طَيِّبَاتٍ أُحِلَّتْ لَهُمْ وَبِصَدِّهِمْ عَن سَبِيلِ اللَّهِ كَثِيرًا</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إنّه تعالى لمّا أرسل السّيد المسيح علیه السّلام إليهم، وأراد أن يُخفّف عنهم ويرحمهم، فجاء لهم بالآيات والبيّنات، ورفع عنهم حرمة بعض الطيّبات التي كانت حُرّمت عليهم بظلمهم،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وَمُصَدِّقًا لِمَا بَيْنَ يَدَيَّ مِنَ التَّوْرَاةِ وَلِأُحِلَّ لَكُم بَعْضَ الَّذِي حُرِّمَ عَلَيْكُمْ وَجِئْتُكُم بِآيَةٍ مِّن رَّبِّكُمْ فَاتَّقُوا اللهَ وَأَطِيعُونِ</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تخلو هذه الآية الشّريفة من الإشارة إلى إقناعهم بما يدعوهم إليه من انتظار ملكوت الله بالنّبيّ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تحقّق دين الله الواحد والثَّابت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الأخلاق والسّلوكيات الأخلاقيّة، فقد حفظت عبر السِّنّة النّبويّة الشّريفة عن النّبيّ الأعظم صلّی الله علیه و آله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المسيحيّون والقرآن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ولكنّ المسيحيين لا يؤمنون بالقرآن الكريم، فلا يمكنهم الرّجوع إليه والاحتكام عنده في قضايا السّيد المسيح علیه السّلام، فقد يقال بناء على ذلك إنّه لا حجّة عليهم في إثبات الحقّ والرّكون إليه، مما يفقده الاحتجاج عليهم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إيمانهم وعدم قبولهم للقرآن الكريم، لا يعني سقوط الحجّة عنهم؛ لأنّ الميزان في إثبات الحقّ 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خاطب القرآن الكريم العقل أوّلًا وبالذّات، ودعا إلى تحكيمه، للوصول إلى الحقّ، مضافًا إلى الفطرة التي فطر الناس عليها، ولولاهما لم يمكن الوصول إلى أيّة نتيجةٍ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ملاحظة الظّروف والملابسات التي رافقت الدّعوة الإسلاميّة، والتي تُؤكّد صحّة المعلومات القرآنيّة المتعلّقة بالشّؤون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نزول القرآن الكريم في بيئة وقوم لا يعرفون شيئًا عن الأمم والحضارات السّابقة ولا عن مستقبل العلوم التي يبيّن الواقع</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صدقها مع الأيّام، بل مطابقتها مع ما هو موجودٌ عند أهل الكتاب كافٍ في إثبات صدقها وإمكان الرّجوع إليها، بغضّ النّظر عن انتماء النّاظر إلى الإسلام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القرآن الكريم كثيراً من الأمور التي أحاطت ببعثة السّيد المسيح علیه السّلام، وكثيرٌ منها مبثوثٌ في مختلف الأناجيل القانونيّة وغيرها، وكلّ ذلك لم يكن معروفًا، لانحصار هذه المعرفة بالكهنة ورجال الكنيسة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كانت ترجمة الأناجيل محظورةً حينها، وخصوصًا تلك الأناجيل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كانت مخفيّةً أو ضائعةً، فإنّ فرض عدم صحّتها لا يعني عدم صحّة كلّ ما احتوته من معلومات، سواء عن دعوة السّيد المسيح علیه السّلام أو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الأناجيل القانونيّة لم تتعرّض لشيءٍ من طفولة السّيد المسيح علیه السّلام وحياته قبل بعثته الشّريفة، وولادته الإعجازيّة، بل لم تتعرّض لحياة السّيدة العذراء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أمورٌ يحتاج إليها الباحث عن الحقّ في إثبات مدى صدق الدّعوى وصحّتها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ذكر القرآن الكريم لهذه القضايا، وتفصيلها، رغم إخفائها منذ قرونٍ، وكشفه النّقاب عنها، لهو دليلٌ كافٍ على صحّة ما ورد فيه، لمن أعمل عقله، وتأمّل في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ذلك يكفي في البحث عن الحقيقة تأمّل الأناجيل القانونيّة بعين العقل وعدم الانحياز العاطفي، في إلقاء الحجّة عليهم، ولزوم تصديقهم بحقيقة دعوته علیه السّلام، وأنّها تخالف معتقدات المسيحيين في المسائل العقائديّة، التي اعتقد بها ودعا إليها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واستنتاج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هذه الجولة القصيرة تتبيّن لنا حقائق مهمّة عدّة لمن تأمّل بها، وهي على نحو العموم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الكريم حين يتحدّث عن الإنجيل، إنّما يتحدّث عن الإنجيل الذي أنزله الله تعالى على السّيد المسيح علیه السّلام، ولا يتحدّث عن الأناجيل التي كتبها أناسٌ مجهولون بأشخاصهم وهوياتهم، وتاريخ كتابتهم لهذه الكتب، التي أطلقوا عليها اسم الإنجيل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الأناجيل المنسوبة إلى أشخاصٍ آخرين غير المسيح علیه السّلام من أناسٍ ينتسبون إليه، ويدّعون أنّهم يؤرّخون له، قد احتفظت ببعض الحقيقة، وبالتالي فهي لیست خاليةً من تعاليمه ومعجزاته وأعماله، كتبت لإثبات بعض العقائد التي أريد للمسيحيين أن يعتنقوها ويعتقدوا بها على أنّها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تتعرّض لكلّ سيرته علیه السّلام ولكلّ ما يرتبط به وبأعماله، فقد كتب كاتب إنجيل يوحنا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وآيات أخر كثيرة صنع المسيح قدام تلاميذه لم تكتب في هذا الكتاب، وأما هذه فقد كتبت لتؤمنوا أن يسوع هو المسيح ابن الله ولكي تكون لكم إذ آمنتم حياة باسمه</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الأناجيل نفسها، والتي أقرّتها الكنيسة تصدّق القرآن الكريم في إثبات الأصول الكلّيّة للدين،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الله تعالى، وتنزيهه هن الشّبيه والشّريك، وعن كلّ صفات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تثبت النّبوّة والتّصديق بالأنبياء الذين سبقوه، وأنّه رسولٌ أرسله الله تعالى إلى بني إسرائيل، مصدّقًا لما بين يديه من التّوراة، وأنّه لم يخرج عن تعاليم التّوراة في أصول العقائد، وإرجاع بني إسرائيل إلى جادّة الصّواب من خلال</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تطبيق تعاليم التّوراة، وإن تغيّرت بعض أحكامها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جاء تأكيده على الإيمان بالحياة الآخرة والحثّ على العمل من أجل الوصول إليها والحصول عليها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الرّابعة ولعلّها الأصل في دعوته المباركة، وهي البشارة بالرّسول الآتي من بعده، تارة بالإشارة والتلميح، وأخرى بالكناية وثالثة بالتّصريح باسمه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عبّر عنه بملكوت الله تعالى، وبيان مواصفات هذا الملكوت وتقريبه إلى أذهانهم، وثالثة بذكر اسمه الشّريف بعدما بيّن لهم أنّهم ليسوا هم الذين يقيمون الملكوت، بل نسل إسماعيل الذين حاول اليهود أن يبعدوه عن دائرة الأحداث، فعبّر عنه بالحجر الذي رفضه البنّاؤون وصار رأس الزّاوية، حتى وصل به الحال إلى التّصريح باسمه، مما دفعهم إلى العمل على قتله والخلاص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تصديقٌ لما جاء به القرآن الكريم في الحديث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افترضه أعداء الإسلام من نقضٍ على القرآن الكريم، فإنّه لم يكن دقيقًا ولا أمينًا في الحديث عن السّيد المسيح علیه السّلام وهو ناشئٌ عن رؤيةٍ سابقةٍ، وغير موضوعيّةٍ عن الإسلام، وتشتمل على تضليلٍ مستندٍ إلى مسلّماتٍ لا تثبت أمام البحث 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كلّ ذلك من باب تعمّد الكذب، خدمةً للهدف الذي يسعون إليه، ويعملون لأجله بمختلف الوسائل التي يمكنهم استخدامها، لإبطال الدّين الحق، وتضليل النّاس وإبعادهم عنه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فإذا كان الكذب مدعاةً للفخر من أجل الوصول إلى الغاية المرجوّة والهدف المنشود عندهم، سواء من قبل قديسيهم، أو من قبل المفكرين منهم، فلا يمكن الاطمئنان إلى ما يزعمونه من الموضوعيّة والبحث العلمي لأجل الوصول إلى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القليلين منهم وخاصّة من الذين ابتعدوا عن التّعاليم المسيحيّة، ونظروا إليها من الخارج، فأخذوا يبحثون عن الحقيقة بصدق، وهم 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كيف تطمئن النّفس إلى اهتداء بولس المزعوم، بعد ما صرّح بأنّه لم يأخذ الإنجيل</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 يُبشّر به من أحدٍ من التلاميذ، ولا رأى السّيد المسيح علیه السّلام قبل ارتفاعه، وزعم أنّ</w:t>
      </w:r>
      <w:r>
        <w:rPr>
          <w:rFonts w:ascii="Amiri" w:hAnsi="Amiri" w:eastAsia="Amiri" w:cs="Amiri"/>
          <w:color w:val="111111"/>
          <w:sz w:val="28"/>
          <w:sz w:val="28"/>
          <w:szCs w:val="28"/>
          <w:rtl w:val="true"/>
          <w:lang w:bidi="ar-SA"/>
        </w:rPr>
        <w:t>المسيح تجلّى له بعد رحيله بسنوات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يمكن أن يكون ذلك من جملة أكاذيبه من أجل الهدف الذي سعى إليه جاهدًا من ملاحقة المهتدين من بني إسرائيل؟والحمد لله رب العالمين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والمراجع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إنجيل متى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إنجيل لوقا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إنجيل مرقس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إنجيل يوحنا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الجديد، طبعة دار المشرق، بيروت، </w:t>
      </w:r>
      <w:r>
        <w:rPr>
          <w:rFonts w:eastAsia="Amiri" w:cs="Amiri" w:ascii="Amiri" w:hAnsi="Amiri"/>
          <w:color w:val="111111"/>
          <w:sz w:val="28"/>
          <w:szCs w:val="28"/>
          <w:lang w:bidi="ar-SA"/>
        </w:rPr>
        <w:t>1988.7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الجديد، الطبعة الثالثة، دار المشرق، بيروت، </w:t>
      </w:r>
      <w:r>
        <w:rPr>
          <w:rFonts w:eastAsia="Amiri" w:cs="Amiri" w:ascii="Amiri" w:hAnsi="Amiri"/>
          <w:color w:val="111111"/>
          <w:sz w:val="28"/>
          <w:szCs w:val="28"/>
          <w:lang w:bidi="ar-SA"/>
        </w:rPr>
        <w:t>1994.8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التكوين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دار الكتب العلمية، بيروت، كتاب بدء الوحي</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 المسيح في الإنجيل، المركز الإسلامي للدراسات، بیروت، </w:t>
      </w:r>
      <w:r>
        <w:rPr>
          <w:rFonts w:eastAsia="IRNazanin" w:cs="IRNazanin"/>
          <w:color w:val="111111"/>
          <w:sz w:val="28"/>
          <w:szCs w:val="28"/>
          <w:lang w:bidi="fa-IR"/>
        </w:rPr>
        <w:t>1999.</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 الأب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إنجيل برنابا شهادة زور على القرآن الكريم،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المكتبةالبولسية، </w:t>
      </w:r>
      <w:r>
        <w:rPr>
          <w:rFonts w:eastAsia="Amiri" w:cs="Amiri" w:ascii="Amiri" w:hAnsi="Amiri"/>
          <w:color w:val="111111"/>
          <w:sz w:val="28"/>
          <w:szCs w:val="28"/>
          <w:lang w:bidi="ar-SA"/>
        </w:rPr>
        <w:t>1990.12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بسترس،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اللاهوت المسيحي والإنسان المعاصر، الطبعة الثانية، بيروت، منشوراتالمكتبة البولسية، </w:t>
      </w:r>
      <w:r>
        <w:rPr>
          <w:rFonts w:eastAsia="Amiri" w:cs="Amiri" w:ascii="Amiri" w:hAnsi="Amiri"/>
          <w:color w:val="111111"/>
          <w:sz w:val="28"/>
          <w:szCs w:val="28"/>
          <w:lang w:bidi="ar-SA"/>
        </w:rPr>
        <w:t>198.13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 يوسف 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دعوة نصرانية، المكتبة البولسية، بيروت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التحيّز المعرفي في موسوعة ليدن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مداخل الأنبياء أنموذجًا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اشارةالسيد يعقوب الميالي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البحثإنّ المراد من التحيّز المبحوث عنه هنا، هو محاولة الكاتب سوق القارئ إلى فكرةٍ معيّنةٍ، هو يريدها ويسوقها من دون أن يشعر القارئ والمتلقّي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فالكاتب يفهم الأشياء وفق ما تُمليه عليه منظومته المعرفيّة، ولا يستطيع أن يتخلّص من المرجعيّة الثّقافيّة والمعرفيّة التي ينتمي إليها في فهم الأشياء والأفكار، ويحاول من جهةٍ أخرى أن يقدّم هذا الفهم على أنّه فهمٌ محايدٌ، وهو خلاف الواقع، بل هو متحيّزٌ إلى بيئةٍ معرفيّةٍ ومنهجٍ معرفيٍّ محدّدٍ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هذا التحيّز يبرز بشكلٍ واضحٍ في النّتاج الثّقافيّ الغربيّ في نظرته إلى الثّقافة الشّرقيّة بشكلٍ عام وإلى الثّقافة الإسلاميّة بشكلٍ خاصٍّ، وليست موسوعة ليدن القرآنيّة محلّ استثناءٍ من هذا التّحيّز، فرغم أنّ موسوعة ليدن القرآنيّة تتّسم بالموضوعية بشكلٍ ما بالمقارنة مع غيرها من الكتابات الغربيّة في مجال القرآن الكريم، إلّا أنّها لم تخلوا من تحيّزٍ في كثيرٍ من الموارد، بل نجدها متحيّزةً إلى البيئة الثّقافيّة الغربيّة في فهم القرآن الكريم وبشكلٍ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اتّخذ التّحيّز المعرفيّ في موسوعة ليدن القرآنيّة أنحاءً 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التحيّز في توظيف المعلومات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التحيّز للمعلومة الخطأ</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التحيّز للرؤية الاستشراقيّة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نظريّة التّناص بين القرآن والكتاب المقدّس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التحيّز للرؤية اليهوديّة والمسيحيّة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التحيّز في استعمال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اشارةيعدّ القرآن المصدر الأساسيّ للتشريعات والمعارف الإسلاميّة، وقد تركّزت الدّراسات في الشّرق والغرب على هذا الكتاب الإلهي؛ من أجل الوصول إلى فهمه وإدراك مضامينه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أنّ تأليف الموسوعات أو دوائر المعارف حول القرآن الكريم عاملٌ مهمٌّ في نشر الثّقافة القرآنيّة، كما ويُسهّل الأمر على الدّارسين والباحثين في الحصول على المعلومة التي تخصّ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وموسوعة ليدن القرآنيّة إحدى هذه الموسوعات التي حاولت أن تقدّم للباحثين بشكلٍ عام وللغربيين بشكلٍ خاص صورةً مغايرةً من الاستشراق نوعًا ما، من جهة الموضوعيّة في تناول الموضوعات التي تمّت دراستها في هذه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شارك في كتابة هذه الموسوعة العديد من الكتّاب الكبار من المسلمين وغير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ما جاء في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ادّعى أصحابها الاتّصاف بالموضوعيّة مقارنةً بكتابات المستشرقين والمنهج الاستشراقي السابق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يخلو من ترسّباتٍ استشراقيّةٍ متحيّزة للفكر الاستشراقي على مستوى المنهج والمضمون والمصطلح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مستوى المنهج من الواضح أنّ التّعامل كان مع القرآن ومعارفه لا على أنّه نصٌّ إلهيٌّ، بل كانت النّظرة التّاريخانيّة للنصّ القرآنيّ حاضرةً في عموم الموضوعات</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تناولتها الموسوعة، وتاريخيّة النّصّ القرآنيّ هي منهجٌ يحكّمه الاستشراق والمستشرقون في دراسة النّصّ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مستوى المضمون فقد أسقط الباحثون فيها خلفيّاتهم الفكريّة والفلسفيّة على الكثير من مضامين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مستوى المصطلح فالمفروض أن يستعمل المصطلح القرآنيّ لأيّ معنى ذكره القرآن، إلّا أنّنا نجد في كثيرٍ من الموارد استعمال مصطلحات لا تنتمي إلى فكر القرآن، والتّعويض عنها بمصطلحاتٍ تنتمي إلى بيئة أخرى، 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في القرآن الكريم فالتّعريف المناسب لها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القرآنيّ أو القصّة في القرآن، إلّا أن التّعبير عن هذا المعنى جاء بالأسطورة؟</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والتّعبير بالأسطورة عن القصص القرآنيّ تعبيرٌ متحيّزٌ يكشف عن النّظرة المسبقة للقرآن والقصص القرآني، ويحمل رسالةً سلبيّةً للقارئ أو المتلقّي بشكلٍ عام عن موضوع القصص القرآني بشكلٍ خاصّ، والقرآن كلّه بشكلٍ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تعريف الأنبياء على أنّهم ملوكٌ، كما جاء في تعريف النّبيّ داوود </w:t>
      </w:r>
      <w:r>
        <w:rPr>
          <w:rStyle w:val="FootnoteAnchor"/>
          <w:rtl w:val="true"/>
        </w:rPr>
        <w:footnoteReference w:id="568"/>
      </w:r>
      <w:r>
        <w:rPr>
          <w:rFonts w:ascii="Amiri" w:hAnsi="Amiri" w:eastAsia="Amiri" w:cs="Amiri"/>
          <w:color w:val="111111"/>
          <w:sz w:val="28"/>
          <w:sz w:val="28"/>
          <w:szCs w:val="28"/>
          <w:rtl w:val="true"/>
          <w:lang w:bidi="ar-SA"/>
        </w:rPr>
        <w:t xml:space="preserve">، والنّبيّ سليمان </w:t>
      </w:r>
      <w:r>
        <w:rPr>
          <w:rStyle w:val="FootnoteAnchor"/>
          <w:rtl w:val="true"/>
        </w:rPr>
        <w:footnoteReference w:id="569"/>
      </w:r>
      <w:r>
        <w:rPr>
          <w:rFonts w:ascii="Amiri" w:hAnsi="Amiri" w:eastAsia="Amiri" w:cs="Amiri"/>
          <w:color w:val="111111"/>
          <w:sz w:val="28"/>
          <w:sz w:val="28"/>
          <w:szCs w:val="28"/>
          <w:rtl w:val="true"/>
          <w:lang w:bidi="ar-SA"/>
        </w:rPr>
        <w:t xml:space="preserve">، وتعريف النّبيّ عيسى على أنّه مرشدٌ روحيٌّ وصاحب كراماتٍ يهوديّ </w:t>
      </w:r>
      <w:r>
        <w:rPr>
          <w:rStyle w:val="FootnoteAnchor"/>
          <w:rtl w:val="true"/>
        </w:rPr>
        <w:footnoteReference w:id="570"/>
      </w:r>
      <w:r>
        <w:rPr>
          <w:rFonts w:ascii="Amiri" w:hAnsi="Amiri" w:eastAsia="Amiri" w:cs="Amiri"/>
          <w:color w:val="111111"/>
          <w:sz w:val="28"/>
          <w:sz w:val="28"/>
          <w:szCs w:val="28"/>
          <w:rtl w:val="true"/>
          <w:lang w:bidi="ar-SA"/>
        </w:rPr>
        <w:t>، وغيرها من المصطلحات التي لم ترد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هذا نتاج البيئة الثّقافيّة التي كتبت فيها هذه الموسوعة، وهي البيئة الثّقافيّة الغربيّة، وحتّى المشاركون من المسلمين في كتابة هذه الموسوعة فهم الغالب ينتمون إلى الفكر الحداثوي، ولم توجّه الدّعوات للمشاركة في هذه الموسوعة للكثير من العلماء المسلمين الكبار، ومن أصحاب الاختصاص في الدّراسات القرآنيّة الذين لا ينتمون إلى الفكر الحداثوي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ونحاول في هذا البحث أن نسلّط الضّوء على ظاهرة التّحيّز المعرفيّ الذي اشتملت عليه موسوعة ليدن، ومقتصرين البحث على المداخل التي تناولت قصص الأنبياء، ولم نتناول بالبحث كلّ قصص الأنبياء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اشارةالمراد من التحيّز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القيم الكامنة المستترة في النّماذج المعرفيّة والوسائل والمناهج البحثيّة التي توجّه الباحث دون أن يشعر بها، وإن شعر بها وجدها لصيقةً بالمنهج لدرجةٍ يصعب معه التخلّص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إنّها مجموعةٌ من القيم التي تحدّد مجال الرّؤية ومسار البحث، وتقرّر كثيرًا من النّتائج عند المتلقّي أو الباحث من دون أن يشعر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 هو تكوين صورةٍ أو خريطةٍ معرفيّةٍ من خلال حذف بعض العناصر، وتضخيم البعض الآخر ومنحها مركزيّة، واستبعاد أو حذف العناصر الأخرى، من أجل خدمة نموذجٍ معرفيٍّ يتبنّاه الكاتب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وبعبارةٍ أخرى إنّ الكاتب يحاول أن يسوق القارئ إلى فكرةٍ معينةٍ هو يريدها، ويسوقها من دون أن يشعر القارئ والمتلقّي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فالكاتب يفهم الأشياء وفق ما تمليه عليه منظومته المعرفيّة ولا يستطيع أن يتخلّص من المرجعيّة الثّقافيّة والمعرفيّة التي ينتمي إليها في فهم الأشياء والأفكار، ويحاول من جهةٍ أخرى أن يقدّم هذا الفهم على أنّه فهمٌ محايدٌ، وهو خلاف الواقع، بل هو متحيّزٌ إلى بيئةٍ معرفيّةٍ ومنهجٍ معرفيٍّ محدّدٍ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التّحيّز يبرز بشكلٍ واضحٍ في النّتاج الثّقافي الغربي في نظرته إلى الثّقافة الشّرقيّة بشكلٍ عام وإلى الثّقافة الإسلاميّة بشكلٍ خاص، وليس موسوعة ليدن القرآنيّة محلّ استثناءٍ من هذا التحيّز، فرغم أنّ موسوعة ليدن القرآنيّة تتّسم بالموضوعيّة بشكلٍ ما بالمقارنة مع غيرها من الكتابات الغربيّة في مجال القرآن الكريم، إلّا أنّها لم تخلوا من تحيّزٍ في كثيرٍ من الموارد، بل نجدها متحيّزةً إلى البيئة الثّقافيّة الغربيّة في فهم القرآن، وذلك على مستوى المنهج والاصطلاح وكذلك الأخبار والأفكار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والتحيّز الذي تمّ رصده في موسوعة ليدن القرآنيّة اتّخذ أشكالا عدّة، وسنحاول أن نبيّن مجموعةً من الموارد المتحيّزة التي جاءت بها الموسوعة، وبالخصوص في المداخل التي تناولت الأنبياء علیهم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التحيّز في توظيف المعلوماتفي بعض الأحيان تكون معلوماتنا صحيحةً، ولكنّها تحتاج إلى التوظيف الصحيح؛ لأنّ عدم التّوظيف الصّحيح يُذهب الغرض المفيد من هذه المعلومات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جاء في موسوعة ليدن القرآنيّة مجموعةً من المعلومات الصّحيحة حول بعض المداخل القرآنيّة، ولكنّ توظيفها كان متحيّزاً لخدمة الرؤية اليهوديّة، وهى أفكارٌ لا يريدها القرآن الكريم وليست غرضًا له، وإن كانت مطابقةً للواقع، وهو ما يُبيّن دور البيئة الثّقافيّة التي كتبت فيها هذه الموسوعة، والأهداف التي وضعها القائمون عليها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فمثلًا في المدخل الذي يتناول الحديث عن النبيّ إبراهيم علیه السلام وفي أوّل الكلام عنه عرّفت موسوعة ليدن القرآنيّة إبراهيم علیه السّلام بأنّه جدُّ إسرائيل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يعقوب</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المعلومة وإن كانت صحيحةً ومطابقةً للواقع، لكنّها ليست غرضًا للقرآن؛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القرآن يعرِّف إبراهيم علیه السّلام على أنّه أحد أنبياء أولي العزم، وهو أبو الأنبياء، وقد وصفه القرآن بأنّه حنيفٌ مسلمٌ، والإسلام الذي ينادي به النبيّ محمّد صلّی الله علیه و آله امتدادٌ لذلك الدِّين الذي جاء به إبراهيم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فالمفروض أنّ النّبيّ يعقوب هو الذي يُعرّف بإبراهيم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يعقوب حفيد إبراهيم لا العكس كما جاءت به موسوعة ليدن القرآنيّة، حيث إنّهم عرّفوا إبراهيم من خلال حفيده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عن النّظرة المتحيّزة من خلال توظيف هذه المعلومة بشكلٍ متحيّزٍ توهم القارئ وتوجّهه من دون أن يشعر، فتوحي له أنّ النّبيّ يعقوب أفضل من النبيّ إبراهيم، في حين أنّ القرآن يحترم يعقوب النبيّ ويعرِّفه على أنّه أحد الأنبياء، ولكنّه لا يقدّمه على إبراهيم من حيث الأفضليّة، بل يرى أفضليّة إبراهيم على النّبيّ يعقوب؛ لأنّ إبراهيم من أنبياء أولي العزم، وليس يعقوب منهم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كما أنّ القرآن يرى أنّ الامتداد الطبيعي لإبراهيم يكون من خلال النبيّ محمّد صلّی الله علیه و آله وليس من خلال يعقوب، كما حاولت الموسوعة الإشارة إلى هذا الشّيء من خلال تعريف النبيّ إبراهيم بأنّه جدّ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الآيات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وَلاَ نَصْرَانِيًّا وَلَكِن كَانَ حَنِيفًا مُّسْلِمًا وَمَا كَانَ مِنَ الْمُشْرِكِينَ 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الآيتان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اللَّهِ حَقَّ جِهَادِهِ هُوَ اجْتَبَاكُمْ وَمَا جَعَلَ عَلَيْكُمْ فِي الدِّينِ مِنْ حَرَجٍ مِلَّةَ أَبِيكُمْ إِبْرَاهِيمَ هُوَ سَمَّاكُمُ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78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w:t>
      </w:r>
      <w:r>
        <w:rPr>
          <w:rFonts w:ascii="IRNazanin" w:hAnsi="IRNazanin" w:eastAsia="IRNazanin"/>
          <w:color w:val="111111"/>
          <w:sz w:val="28"/>
          <w:sz w:val="28"/>
          <w:szCs w:val="28"/>
          <w:rtl w:val="true"/>
          <w:lang w:bidi="fa-IR"/>
        </w:rPr>
        <w:t xml:space="preserve">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دينه؛ لأنّ ملة إبراهيم داخلةٌ في ملّة محمد صلى الله علیه و آله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الحديث عن أنّ إبراهيم جدّ النبيّ يعقوب، في المدخل الخاص بإبراهيم علیه السّلام يُذكر أنّ أكثر الشّخصيات التي تحدّث عنها الكتاب المقدّس هي شخصيّة موسى، وفي القرآن فإنّ إبراهيم وموسى فقط هما النبيّان اللذان صرّح القرآن عنهما بأنّهما أصحاب كتاب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القرآن ذكر أنّ إبراهيم عنده كتاب وكذلك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ولكنّه ذكر أنبياء آخرين نزلت عليهم كتب من السّماء، كما في الإنجيل أنزله على النبيّ عيسى،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وَقَفَيْنَا عَلَى آثَارِهِم بِعِيسَى ابْنِ مَرْيَمَ مُصَدِّقًا لّمَا بَيْنَ يَدَيْهِ مِنَ التَّوْرَاةِ وَآتَيْنَاهُ الإِنجِيلَ فِيهِ هُدًى وَنُورُ وَمُصَدِّقًا لِّمَا بَيْنَ يَدَيْهِ مِنَ التّوْرَاةِ وَهُدًى وَمَوْعِظَةٌ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قَفَّيْنَا عَلَى آثَارِهِم بِرُسُلِنَا وَقَفَّيْنَا بِعِيسَى ابْنِ مَرْيَمَ وَآتَيْنَاهُ الإنجِيلَ وَجَعَلْنَا فِي قُلُوبِ الَّذِينَ اتَّبَعُوهُ رَأْفَةٌ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الحديد الآية </w:t>
      </w:r>
      <w:r>
        <w:rPr>
          <w:rFonts w:eastAsia="Amiri" w:cs="Amiri" w:ascii="Amiri" w:hAnsi="Amiri"/>
          <w:color w:val="111111"/>
          <w:sz w:val="28"/>
          <w:szCs w:val="28"/>
          <w:lang w:bidi="ar-SA"/>
        </w:rPr>
        <w:t>27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والزبور أنزله على النبيّ داوود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أَوْحَيْنَا إِلَيْكَ كَمَا أَوْحَيْنَا إِلَى نُوحٍ وَالنَّبِيِّينَ مِن بَعْدِهِ وَأَوْحَيْنَا إِلَى إِبْرَاهِيمَ وَإِسْمَاعِيلَ وَإِسْحَاقَ وَيَعْقُوبَ وَالْأَسْبَاطِ وَعِيسَى وَأَيُّوبَ وَيُونُسَ وَهَارُونَ وَسُلَيْمَانَ وَآتَيْنَا دَاوُودَ زَبُورًا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163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سورة الإسراء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أَعْلَمُ بِمَن فِي السَّمَاوَاتِ وَالأَرْضِ وَلَقَدْ فَضَّلْنَا بَعْضَ النَّبِيِّينَ عَلَى بَعْضٍ وَآتَيْنَا دَاوُودَ زَبُورًا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55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ما جاءت به موسوعة ليدن حول من ذكرهم القرآن من أصحاب الكتب السّماوية، هو توظيفٌ ناقصٌ من جهة عدم ذكر كلّ الكتب السّماوية التي أشار إليها القرآن، والتركيز على تبيين اثنين وهما إبراهيم وموسى عليهما السلام، وهذا التّوظيف جاء من أجل خدمة وجهة النّظر اليهوديّة، التي تؤكّد على أنّ الامتداد الحقيقيّ لإبراهيم هو عن طريق موسى، وهو مناقضٌ للغرض القرآني الذي يعبّر عن إبراهيم بأنّه حنيف مسلم ، ولم يكن يهوديًّا أو نصرانيًّا،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يَهُودِيًا وَلاَ نَصْرَانِيًّا وَلَكِن كَانَ حَنِيفًا مُّسْلِمًا وَمَا كَانَ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67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ينتقل الكلام عن الاشتراك الكبير بين القرآن والكتاب المقدّس وكذلك المتون التفسيريّة لليهود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الكلام يبدو صحيحًا، أي الاشتراك بين القرآن والكتاب المقدّس في بعض ما احتواه القرآن، وإن تعرّضت التوراة والإنجيل للتحريف، ولكنّ موسوعة ليدن القرآنيّة حاولت أن توظّف هذه المعلومة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اقتبس من الكتاب المقدّس، وهو ما يعبّرون عنه بالتّناص أو التّعالق النّصّي، وهو ما سنتناوله في مطلبٍ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والحال أنّ هذا الاشتراك بين القرآن من جهة والكتاب المقدّس من جهة أخرى يكشف عن أنّ مصدرهما واحدٌ وهو الوحي، وهذا ما عبّر عنه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عَلَيْكَ الْكِتَابَ بِالْحَقِّ مُصَدِّقًا لِمَا بَيْنَ يَدَيْهِ وَأَنزَلَ التَّوْرَاةَ وَالإِنجِيلَ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أنّ القرآن اقتبس من الكتب السابقة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والملاحظ هنا في تعريف النبيّ إبراهيم علیه السّلام بعد ذكر هذه المقدمات الثلاث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إبراهيم جد إسرائيل، وإنّ في القرآن اهتمامًا كبيرًا بموسى وإبراهيم كما اهتم الكتاب المقدّس بموسى، والتأكيد على المشتركات الكثيرة بين القرآن والكتاب المقدّس والمتون التفسيريّة لليهود ينتقل الكلام عن إشارة القرآن إلى أنّ النّبيّ محمّد امتدادٌ لإبراهيم علیه السّلام، وإنّ إبراهيم هو مؤسّس شعيرة وآداب الحج التي يتمسّك بها المسلمون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فهنا نلاحظ التّحيّز الواضح في ترتيب المعلومات لخدمة غرض غير الغرضٍ القرآنيّ، فالقارئ حين يبدأ بقراءة أنّ إبراهيم جدّ إسرائيل، وأنّ موسى هو فقط من ذكر في</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من الأنبياء على أنّه صاحب كتابٍ، ويشاركه في ذلك إبراهيم، والحديث عن المشتركات بين الكتاب المقدّس والمتون التّفسيريّة اليهوديّة والمسيحيّة من جهة مع القرآن من الجهة الثانية، كلّ هذه الأفكار تزرع في ذهن المتلقّي النّظرة اليهوديّة للقرآن الكريم، أو ما يُعبّر عنه بالإسرائيليات في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تحاول أن تؤكّد على أفضليّة اليهود ومركزيّة الكتاب المقدّس في الثقافة الدّينيّة، سواء أكانت يهوديّةً أم مسيحيّةً أم إسلاميّةً أو غيرها، فهي تزرع في ذهن المتلقّي كلّ هذه الأفكار من دون أن يشعر المتلقّي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هذه الأشياء تكشف عن التحيّز للمرجعيّة الثّقافيّة التي تتبنّاها موسوعة ليدن القرآنيّة من خلال التّركيز على النّظرة اليهوديّة والمسيحيّة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التّحيّز للمعلومة الخطأكثيرًا ما نجد الخلاف بين الرّؤية القرآنيّة مع ما جاء به الكتاب المقدّس، وباعتبار أنّ موسوعة ليدن القرآنيّة تبحث عن الرّؤية القرآنيّة لا بدّ أن تقدّم للقارئ ما يراه القرآن، وبغضّ النّظر عن قبول هذه الرؤية أو عدم قبولها بالنّسبة لكتّاب هذه الموسوعة أو القائمين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نجدهم يقدِّمون ما جاء في الكتاب المقدّس على الرؤية القرآنيّة في كثيرٍ من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الحديث عن الذبيح من ولد إبراهيم تذكر موسوعة ليدن القرآنيّة أنّ الذّبيح من ولد إبراهيم، وهو النبيّ إسحاق من بطن سارة، وليس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الكلام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وقع الخلاف بين المفسّرين المسلمين في أنّ الذّبيح من ولد إبراهيم هل هو إسماعيل أم إسحاق؟ والقول بأنّ إسحاق هو الذبيح يتلاءم مع ما جاء به الكتاب المقدّس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بل إنّ أكثر مفسّري القرآن في أواسط القرن الثاني الهجري كانوا يرون أنّ إسحاق هو القربان الذي قدّمه إبراهيم وليس إسماعيل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الرأي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إسماعيل هو الذّبيح فلم يقل به أكثر المسلمين، إلّا في أوائل القرن الرابع الهجري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عند مراجعة آيات القرآن الكريم نجد أنّ القرآن الكريم نفسه دلّ في موضعين على أنّ الذبيح هو إسماعيل وليس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الصافات، وسياق الآيات فيها واضح الدّلالة على أنّ الذبيح هو إسماعيل، ولإيضاح هذا الكلام، فإنّ الله تعالى قال عن نبيه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إِنِّي ذَاهِبٌ إِلَى رَبِّي سَيَهْدِينِ رَبِّ هَبْ لِي مِنَ الصّالِحِينَ فَبَشِّرْنَاهُ بِغُلَامٍ حَلِيمٍ فَلَمّا بَلَغَ مَعَهُ السّعْيَ قَالَ يَا بُنَى إِنِّي أَرَى فِي الْمَنَامِ أَنِّي أَذْبَحُكَ فَانْظُرْ مَاذَا تَرَى قَالَ يَا أَبَتِ افْعَلْ مَا تُؤْمَرُ سَتَجِدُنِي إِنْ شَاءَ الله مِنَ الصَّابِرِينَ فَلَمّا أَسْلَمَا وَتَلَّهُ لِلْجَبِينِ وَنَادَيْنَاهُ أَنْ يَا إِبْرَاهِيمُ قَدْ صَدَقْتَ الرُّؤْيَا إِنَّا كَذَلِكَ نَجْزِي الْمُحْسِنِينَ إِنْ هَذَا لَهُوَ الْبَلَامُ الْمُبِينُ وَفَدَيْنَاهُ بِذِبْحٍ عَظِيمٍ وَتَرَكْنَا عَلَيْهِ فِي الْآخِرِينَ سَلَامٌ عَلَى إِبْرَاهِيمَ كَذَلِكَ نَجْزِي الْمُحْسِنِينَ إِنَّهُ مِنْ عِبَادِنَا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الصافات، الآيات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 عاطفًا على البشارة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وَبَشِّرْنَاهُ بِإِسْحَاقَ نَبِيًّا 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الصافات، الآية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بشارتان، البشارة الثانية مصرّح المراد منها وهو إسحاق، وعطف المُبَشِّر به في البشارة الثانية على المبشّر به في البشارة الأولى، وهذا يدلّ على أنّ المبشّر به أوّلاً غير المبشّر به ثانيًا؛ لأنّ العطف يقتضي المغايرة في العربية، والمبشّر به في البشارة الثّانية مذكورٌ وهو إسحاق، فيتعيّن الأوّل إسماعيل؛ لأنّه لو كان المُبشّر به في الأولى هو إسحاق لكان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بإسحاق، ثمّ بعد انتهاء قصّة ذبحه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وبشّرناه بإسحاق، فهذا تكرار لا فائدة فيه ينزّه عنه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في أنّ الغلام المُبّشَّر به أوّلًا الذي فُدي بالذِبح العظيم هو إسماعيل، وإنّ البشارة بإسحاق نصّ عليها الله بعد ذلك مستقلّة عن الأولى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البشارة الثانية بإسحاق هي من باب التأكيد على البشارة الأولى، والمقصود في البشارتين هو إسحاق، ونقول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يُحتمل التّأكيد ويُحتمل التّأسيس، ولكنّ النّصّ في كتاب الله إذا احتُمِلَ فيه التّأكيد والتّأسيس وجب حمله على التّأسيس، ولا يجوز حمله على التّأكيد، إلّا إذا دلّ دليلٌ خاصٌّ، والدّليل الخاصّ هنا مفقودٌ، فيقدّم التأسيس على التّأكيد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سورة هود،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وَامْرَأَتُهُ قَابِمَةٌ فَضَحِكَتْ فَبَشَّرْنَاهَا بِإِسْحَاقَ وَمِن وَرَاءِ إِسْحَاقَ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فرُسل الله بشّرتها بإسحاق، وإنّ إسحاق يلد يعقوب، فكيف يُعقل أن يُؤمر إبراهيم بذبحه وهو صغير، وهو عنده علمٌ يقينيٌّ بأنّه يعيش حتّى يلد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إسحاق هو الذّبيح لعلم إبراهيم أنّ الذبّح أمرٌ صوريٌّ؛ لأنّه يعلم أنّ إسحاق سيكبر وسيولد عنده يعقوب، والحال أنّ الذّبح ليس صوريًّا، فلو كان صوريًّا لذهبت قيمة الذبح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ورد عن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بين بشارة الله لإبراهيم بإسماعيل وبين بشارته بإسحاق خمس سنين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ونُسب في موسوعة ليدن إلى بعض مفسّري الشّيعة القول بأنّ إسحاق هو الذّبيح وليس إسماعيل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القول الذي تنسبه الموسوعة إلى الشّيعة لم يُذكر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يرتقي إلى مرتبة التّدليس المعرفيّ منه إلى التحيّز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الرّوايات الشّيعيّة أشارت إلى أنّ الذّبيح هو إسماعيل وليس إسحاق، ونذكر منها روايات عدّة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عن الرضا علیه السّلام أنّه سأله عن معنى قول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الذبيحين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إسماعيل بن إبراهيم الخليل، وعبد الله بن عبد المطلب، أمّا إسماعيل فهو الغلام الحليم الذي بشّر الله به إبراهيم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عن أبي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عن صاحب الذبح،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الذبيحين يعني إسماعيل وعبد الله بن عبد المطلب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الحسين بن أسباط أبا الحسن الرضا علیه السّلام ، وأنا أسمع، عن الذبيح إسماعيل أو إسحاق؟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أما سمعت 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وَبَشِّرْنَاهُ بِإِسْحَاقَ</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 إنّ البشرى بإسحاق جاءت بعد عمليّة افتداء إسماعيل بالكبش، كما هو معلومٌ في تسلسل آيات سورة الصافات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عقدة عن جعفر بن عنبسة بن عمرو عن سليمان ابن يزيد عن الرضا عن آبائه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الذبيح إسماعيل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أيهما كان أكبر إسماعيل أو إسحاق؟ وأيهما كان الذبيح؟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أكبر من إسحاق بخمس سنين، وكان الذبيح إسماعيل، وكانت مكة منزل إسماعيل، وإنما أراد إبراهيم أن يذبح إسماعيل أيام الموسم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بشارة الله لإبراهيم بإسماعيل وبين بشارته بإسحاق خمس سنين، أما تسمع لقول إبراهيم علیه السّلام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الله عزّ وجل أن يرزقه غلامًا من الصّالحين، وقال في سورة 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إسماعيل من 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ففدي إسماعيل بكبش عظيم،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وَبَشِّرْنَاهُ بِإِسْحَاقَ نَبِيًا مِّنَ الصّالِحِينَ وَبَارَكْنَا عَلَيْهِ وَعَلَى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إسماعيل قبل البشارة بإسحاق، فمن زعم أنّ إسحاق أكبر من إسماعيل وأنّ الذبيح إسحاق فقد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 بما أنزل الله عزّ وجل في القرآن من نبئهما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الصادق علیه السّلام عن الذبيح من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علیه السّلام؛ لأنّ الله ذكر قصّته في كتابه،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وَبَشِّرْنَاهُ بِإِسْحَاقَ نَبِيَّا مِّنَ الصَّالِحِينَ</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كما أنَّ الشّواهد التّاريخيّة تُشير إلى أنّ حادثة الذّبح كانت في مكّة، وإسماعيل هو الذي عاش في مكّة وليس إسحاق، فعن الإمام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يذبحه في الموضع الذي حملت أمّ رسول الله عند الجمرة الوسطى، فلم يزل مضربهم يتوارثونه كابرا عن كابر حتّى كان آخر من ارتحل منه علي بن الحسين علیه السّلام في شيء كان بين بني هاشم وبني أميّة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فالملاحظ هنا أنّ موسوعة ليدن تبنّت القول بأنّ إسحاق هو الذبيح، وليس إسماعيل، اعتمادًا على رواية الكتاب المقدّس، والرّوايات الإسرائيليّة الواردة في بعض المصادر الإسلاميّة، وهو ما يخالف النّصّ القرآنيّ، والرّوايات الإسلاميّة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التّحيّز للرؤية الاستشراقيّةرغم أنّ موسوعة ليدن القرآنيّة حاولت أن تخرج من الرؤية الاستشراقيّة للقرآن الكريم، إلا أنّها لم تكسر قيود الاستشراق والمستشرقين بشكلٍ كاملٍ، بل ظلّ القائمون عليها في كثيرٍ من المداخل ضمن الإطار والنّظرة الاستشراقيّة في فهم القرآن الكريم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فعند الحديث عن النبيّ إدريس علیه السّلام تصف دائرة المعارف هذا النبيّ بأنّه كان منجّمًا، بل هو أوّل المنجّمين على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وتنسب هذا الادّعاء إلى الأحاديث الإسلاميّة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هي الرّؤية الاستشراقيّة للأنبياء؛ حيث تارة ينسبونهم إلى التّنجيم، وتارة إلى السّحر، وأخرى إلى الشعبذة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الكلام عن حزقيال النّبيّ تنقل موسوعة ليدن القرآنيّة عن بعض التّفاسير الغربيّة الحديثة للقرآن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من صناعة النّبيّ وليس وحيًا سماويًّا، وإنّه حاول أن يحرّف تاريخ بني إسرائيل؛ وذلك بسبب اقتباسه غير الدّقيق من السّنن اليهوديّة</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وهذه الرّؤية لمحتوى القرآن مخالفةٌ لدعوى النّبوّة التي تنسب القرآن إلى الله تعالى، وأنّه وحيٌ إلهيٌّ أوحاه الله إلى رسوله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نراه جليًّا عند المستشرقين، فإذا ما رجعنا إلى المستشرق جولد زهير وكغيره من المستشرقين، الذين يرفضون ارتباط النّبيّ بالله تعالى، ويُرجعون القرآن إلى مصادر داخليّة وخارجيّة حيث يرى جولدزهير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عبارة عن معارف دينيّةٍ استقاها محمّد بسبب اتّصاله بالعناصر اليهوديّة والمسيحيّة، وغيرها، وتأثّر بهذه الأفكار تأثّرًا وصل إلى أعماق نفسه فصارت عقيدةً انطوى عليها قلبه، كما صار يعتبر هذه التّعاليم وحيًا إلهيَّا، فأصبح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يقينٍ بأنّه أداةٌ لهذا الوحي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نظريّة النّبوغ التي يتبنّاها المستشرق الألماني ثيودور نولدكه،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حمل طويلًا في وحدته ما تسلّمه من الغرباء، وجعله يتفاعل وتفكيره، ثمّ أعاد صياغته بحسب فكره، حتّى أجبره أخيرًا الصوت الدّاخلي الحازم على أن يبرز لبني قومه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فهنا نلاحظ توافق بین ما جاءت به موسوعة ليدن القرآنيّة والرّؤية الاستشراقيّة، من جهة أنّ القرآن صناعة النّبيّ وليس وحيًا إلهيًّا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ولكن القرآن نفسه يخالف هذه الرّؤية، ويؤكّد وحيانيّته، وذلك في كثيرٍ من آياته نذكر منها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النجم، الآيتان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 نُوحِيهِ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44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أَوْحَيْنَا إِلَيْكَ كَمَا أَوْحَيْنَا إِلَى نُوحٍ وَالنَّبِيِّينَ مِن بَعْدِهِ وَأَوْحَيْنَا إِلَى إِبْرَاهِيمَ وَإِسْمَاعِيلَ وَإِسْحَاقَ وَيَعْقُوبَ وَالأَسْبَاطِ وَعِيسَى وَأَيُّوبَ وَيُونُسَ وَهَارُونَ وَسُلَيْمَانَ وَآتَيْنَا دَاوُودَ زَبُورًا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163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إِلَى هَذَا الْقُرْآنُ لأُنذِرَكُم بِهِ وَمَن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مَا أُوحِيَ إِلَيْكَ مِن رَّبِّكَ لَا إِلَهَ إِلَّا هُوَ وَأَعْرِضْ عَنِ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106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مِنْ أَنبَاء الْغَيْبِ نُوحِيهَا إِلَيْكَ مَا كُنتَ تَعْلَمُهَا أَنتَ وَلاَ قَوْمُكَ مِن قَبْلِ هَذَا فَاصْبِرْ إِنَّ 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49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 بِمَا أَوْحَيْنَا إِلَيْكَ هَذَا الْقُرْآنَ وَإِن كُنتَ مِن قَبْلِهِ لَمِنَ الْغَافِلِينَ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فكلّ هذه الآيات وغيرها تؤكّد على وحيانيّة القرآن الكريم، ولكنّ موسوعة ليدن القرآنيّة تركت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نظريّة التّناص بين القرآن والكتاب المقدّسوالبحث في هذا المطلب يدخل ضمن التحيّز في توظيف المعلومة، بسبب تطابق بعض ما جاء به القرآن مع الكتاب المقدّس من جهة، ومن جهة أخرى يدخل ضمن التّحيّز للرؤية الاستشراقيّة والحداثويّة التي نادت بوجود التّناص بين القرآن والكتب السّابقة له وبالتّالي هو صناعةٌ 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بالتّناص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التّناص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 النّصيّة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التّعالق النّصّي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يُراد</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في التأويل الحداثي أنّ النّصّ ليس بنيةً مغلقةً ومنكفئةً على نفسها، ولكنّها تحمل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منشئها أم 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بصمات نصوصٍ سابقةٍ، وآثار مبدعين آخرين، تسهم في تشكيلها وتعميق رمزيّتها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هو تشكيلُ نصٍّ جديدٍ من نصوصٍ سابقةٍ، وأنّ النّصّ أي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النصوصٍ تماهت فيما بينها فلم يبقَ منها إلّا الأثر، ولا يمكن إلّا للقارئ النموذجيّ أن يكتشف الأصل، فهو الدّخول في علاقةٍ مع نصوصٍ بطرقٍ مختلفةٍ يتفاعل بواسطتها النّصّ مع الماضي والحاضر والمستقبل، وتفاعله مع القرّاء والنّصوص الأخرى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وعند الرّجوع إلى موسوعة ليدن القرآنيّة نجد الكثير من المداخل التي تناولتها تؤكّد على وجود التّناص والتّعالق النّصّي بين القرآن الكريم والكتب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ذكر مجموعةٍ من الموارد التي استُدِّل بها على وجود التّناص بين القرآن والكتب السّابقة وبالخصوص الكتاب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أنّ هناك مشتركاتٍ كثيرةً بين الرؤية القرآنيّة لإبراهيم من جهة ورؤية الكتاب المقدّس لإبراهيم، وكذلك المتون التّفسيريّة لليهود من جهة أخرى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أنّ إسحاق هو الذبيح من ولد إبراهيم، وأنّ هذه الرؤية تتلاءم مع ما جاء به الكتاب المقدّس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بعض الرّوايات الإسلاميّة غير الرّسميّة وتبعًا لروايات الكتاب المقدّس ذكرت أنّ إلياس النبيّ أرسله الله بعد موت حزقيال النبيّ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التّفريق بين النبيّ والرسول نجد الكلام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يعطي مقامًا أعلى للرسول من النبيّ وهو كما جاء في الكتاب المقدّس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الحديث عن احترام القرآن الكريم للكتب السابقة أشارت موسوعة ليدن القرآنية إلى أنّ هذا المعنى قد جاء في العهد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الإنجيل، وإنّ بولس كان يؤمن بكلّ ما هو موجود في التوراة وكذلك كتب الأنبياء السابقة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عن قصص الأنبياء في القرآن تؤكّد موسوعة ليدن القرآنيّة على أنّ أكثر هذه القصص استفيدت من الكتاب المقدّس، بعضها جاءت بشكلٍ مضغوطٍ ومختصرٍ، وبعضها الآخر بشكلٍ مطوّلٍ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عن أيوب علیه السّلام ذكرت موسوعة ليدن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أيوب أحد الأنبياء، ويشترك بهذا الاعتقاد السّنن اليهوديّة والمسيحيّة والإسلاميّة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المدخل الذي جاء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إسرائيل فقد ذكروا أنّ تسمية القرآن ليعقوب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وأبناءه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تناولوا البحث هناك عن إطلاق هذه التّسمية على بني إسرائيل في العهد الجديد، وكذلك في العهد القديم، وهكذا جاء في سفر التثنية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بنيامين أخو يوسف وابن يعقوب ورحيل هكذا جاء تعريفه في الكتاب المقدّس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حزقيال أحد الأنبياء الذين جاء ذكرهم في الكتاب المقدّس كما جاء في الرّوايات الإسلاميّة، ولم يرد ذكره في القرآن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اخترنا هذه النّماذج العشرة التي يلاحظ فيها تأكيد موسوعة ليدن القرآنيّة على رؤية الكتاب المقدّس في المسائل التي ذكرناها، 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الإصرار على إقحام غير الرّؤية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وبالخصوص الرّؤية اليهوديّة والنصرانيّة؟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فالمفروض هو بيان الرّؤية القرآنيّة وبغضّ النّظر عن موقفهم منها من جهة القبول أو الرّفض، إلّا أنّنا نلاحظ الإقحام غير المبرّر لما جاء به الكتاب المقدّس، وهذا الأسلوب يزرع عند القارئ من حيث لا يشعر أنّ اللّاحق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متأثّرٌ بالسّابق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 وهذا أحد أساليب التحيّز المعرفيّ الذي سارت عليه موسوعة ليدن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التّحيّز للرؤية اليهوديّة والمسيحيّةعند مراجعة موسوعة ليدن القرآنيّة نجدها كثيراً ما تقحم فيها النّظرة اليهوديّة أو المسيحيّة وبشكلٍ صريحٍ في كثيرٍ من المداخل البحثيّة، وفي بعض الأحيان يُقام الدليل على أرجحيّة الرّؤية اليهوديّة على الرّؤية القرآنيّة من خلال الاستشهاد ببعض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هنا بعض الأمثلة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تُعرِّف موسوعة ليدن القرآنيّة النّبيّ عيسى علیه السّلام على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وصاحب کراماتٍ يهودي عاش في القرن الأوّل الميلادي، وهو عند المسيحيين ابن الله، ثمّ بعد ذلك يقولون هو في القرآن من الأنبياء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فالرؤية القرآنيّة لعيسى علیه السّلام أنّه نبيٌّ مرسلٌ من قبل الله، ومن أنبياء أولي العزم وليس مرشدًا يهوديًّا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ومثله ما تذهب إليه موسوعة ليدن القرآنيّة إلى أنّ رؤية القرآن عيسى ليست قطعيّةً وليست واضحةً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ويسوقون في هذا المجال شواهد وأدلّة عدّة، يحاولون من خلالها تضعيف</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بنجاة عيسى من الصلب، ويحاولون من خلالها إثبات صحّة القصّة المرويّة في الكتاب المقدّس بأنّ عيسى قد صُلب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الرؤية القرآنيّة لعيسى علیه السّلام قطعيّة وواضحة، حيث إنّ الله تعالى أخبرنا بأنّه لم يمت بل رفعه إليه،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بَلْ رَفَعَهُ الله إِلَيْهِ وَكَانَ الله عَزِيزًا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الآيتان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موضعٍ آخر عرّفت موسوعة ليدن القرآنيّة النبيّ داوود علیه السّلام بأنّه ملك بني إسرائيل، ولم يأتِ ذكر النبيّ داوود باعتباره ملكَ بني إسرائيل كإشارةٍ عابرةٍ، بل أوّل جملةٍ ذكرت عن النبيّ داوود علیه السّلام في المدخل الخاصّ بالنبيّ داوود كانت عبارة عن تعريفه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ملك بني إسرائيل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عبّرت عن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ابن داوود الملك، والذي ورث الملوكيّة عن أبيه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تحيّزٌ واضحٌ للرؤية اليهوديّة دون القرآنيّة؛ لأنّ الرؤية القرآنيّة للنبيّ داوود وسليمان أنّهما نبيّان مرسلان من الله تعالى وليسا ملكين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يُقال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عبّرت الموسوعة عن النبيّ داوود والنبي سليمان بأنّهما ملکان مراعاةً للمخاطبين الذين تخاطبهم الموسوعة، وأكثرهم من المسيحيين واليهود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المفروض أنّ هذه الموسوعة مختصّةٌ بالقرآن، فالكتابة عن داوود أو سليمان ليس بشكلٍ عام، بل بما حملت الرّؤية القرآنيّة لهذين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w:t>
      </w:r>
      <w:r>
        <w:rPr>
          <w:rFonts w:ascii="Amiri" w:hAnsi="Amiri" w:eastAsia="Amiri" w:cs="Amiri"/>
          <w:color w:val="111111"/>
          <w:sz w:val="28"/>
          <w:sz w:val="28"/>
          <w:szCs w:val="28"/>
          <w:rtl w:val="true"/>
          <w:lang w:bidi="ar-SA"/>
        </w:rPr>
        <w:t>الاهتمام بالرؤية القرآنية دون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تعريف زكريا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يحيى المعمدان في الكتاب المقدّس والقرآن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إقحامٌ واضحٌ للكتاب المقدّس في تعريف شخصيّة النبيّ زكريا علیه السّلام، وهو دليلٌ على التحيّز في بيان الأفكار وبيان المنظومة المعرفيّة التي تنتمي إليها موسوعة ليدن القرآنيّة، فزكريا وإن كان والدًا ليحيى النّبيّ كما في القرآن والثّقافة الإسلاميّة، إلّا أنّ المعمدان مصطلحٌ ليس له علاقة بالثّقافة الإسلاميّة، حيث يُنسب إليه مسألة التّعميد السّائدة فى الثّقافة المسيحيّة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والتّعميد طقسٌ من الطقوس المسيحيّة يقومون بمسح رأس الأطفال بالماء من قبل كاهن الكنيسة، ويعتقدون أنّ أوّل من قام بهذا العمل النّبيّ يحيى عندما عمّد المسيح، وهو صغير، لهذا يسمّونه بالمعمدان، واسمه عندهم يوحنا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والمثال الآخر الذي نستطيع أن نقدّمه في هذا المجال هو الإشارة إلى قصّة داوود مع زوجة أوريا، فقد جاء الكلام على نحو أنّ القرآن لم يشر إلى هذه الحادثة مطلقًا، وهو على خلاف ما جاء في التوراة، كما لم يتطرّق القرآن إلى ذكر آبشالوم أو أي أحدٍ من أبناء داوود ماخلا سليمان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والمتأمّل يجد أنّ هذا المقطع يحاول أن يقدِّم الرؤية اليهوديّة لداوود، وإنّه ارتكب المعصية مع زوجة أوريا، بعد أن أرسله للحرب، وبعبارة أخرى يسوّق هذه الحادثة وكأنّها من المسلّمات التي يجب أن تذكر ولكنّ القرآن أغفلها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حاولت موسوعة ليدن القرآنيّة أن تستشهد للقصّة المزعومة بين داوود علیه السّلام وأوريا ببعض تفاسير المسلمين كما نقلوا ذلك عن الطبري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 لنصّ القرآن؛ لأنّ الأنبياء مطهّرون من الرذيلة والمعصية، وهذا من الإسرائيليات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موضع آخر في المدخل الذي يتكلّم عن نبيّ الله إبراهيم، المتكوّن من ستّ صفحات، ورد ذكر اليهود واليهوديّة سبعة عشر مرّة، وذُكر الكتاب المقدّس تسع مرّات، والعهد الجديد مرّة واحدة، ذُكر من خلالها ما لا يقلّ عن اثنتي عشرة فكرةً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الأفكار والآراء التي تخص الرّؤية اليهوديّة حول إبراهيم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فمثلاً عند الكلام عن إبراهيم الخليل علیه السّلام ذكر بأنّه مؤسّس اليهوديّة من وجهة نظر اليهود، وإنّ المسيحيّة مرتبطةٌ ومتفرّعةٌ عن اليهوديّة، وهم كذلك يعتقدون بأنّ مشروعيّة دينهم من إبراهيم علیه السّلام، ثمّ بعد ذلك ينتقل الكلام إلى أنّ إبراهيم في الرؤية القرآنيّة ليس بيهوديٍّ ولا مسيحيّ، بل كان حنيف مسلم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الإقحام للرؤية اليهوديّة والمسيحيّة لإبراهيم علیه السّلام نوع من أنواع التحيّز المعرفيّ، ففي حين أنّ المفروض أن يركّز الكلام على الرّؤية القرآنيّة لإبراهيم علیه السّلام دون غيرها، والكلام عن الرؤى الأخرى لإبراهيم يجب الابتعاد عنها، ولو من باب الاستطراد؛ لأنّ المفروض أنّ البحث ليس بحثًا مُقارنًا تذكر فيه الرّؤى المختلفة، بل البحث منصبٌّ بالأساس على بيان الرّؤية القرآنيّة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والأدهى من ذلك هو ألّا تُقدّم الرّؤية القرآنيّة في تسلسل البحث، بل تذكر الرّؤية اليهوديّة والمسيحيّة ثمّ يؤتى بالرؤية القرآنيّة على أنّ إبراهيم لم يكن يهوديًّا ولا مسيحيًّا، بل كان حنيفًا مسلمًا، وكأنّ الكلام منصبٌّ حول الرؤية اليهوديّة والمسيحيّة لإبراهيم، وأمّا النّظرة القرآنيّة لإبراهيم فإنّ ذكرها جاء من باب الاستطراد؛ لذا جاء ذكرها متأخرًا في سياق البحث، وهذا التّسلسل له تأثيرٌ كبيرٌ على المتلقّي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الأحيان يُذكر ما جاء بالكتاب المقدّس كدليلٍ وقولٍ فصلٍ في ترجيح ما وقع الخلاف فيه عند المسلمين، فمثلًا عند الكلام عن ذي الكفل ذكرت موسوعة ليدن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قد وقع بين المفسّرين المسلمين في ذي 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الأنبياء، أم هو عبد صالح؟ ثم يأتي الخبر على أنّ ذي الكفل لم يرد ذكره في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جوابٌ وحلٌّ للنّزاع الحاصل بين المفسّرين المسلمين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أسلوبٌ من أساليب تسويق الرّؤية التي يحملها الكتاب المقدّس على حساب الرّؤية القرآنيّة، وهو ما نعبِّر عنه بالتحيّز المعرفيّ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التّحيّز في استعمال المصطلحعبّرت موسوعة ليدن القرآنية عن بعض القصص القرآنيّ بالأسطورة، وهذا التّعبير يدخل ضمن التّحيّز المعرفيّ في المصطلح، فبينما التّعبير القرآنيّ يعبّر عنها بالقصص يأتي تعبيرهم عنها بأنّها أسطورةٌ، وقد جاء أحد المداخل في هذه الموسوعة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كتبوا لهذا المدخل حوالي عشرين صفحة، وهو ما يكشف عن نوعٍ من الاهتمام بهذا المدخل، وهو ما يضع أكثر من سؤال وتعجّب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حيث ذكرت موسوعة ليدن القرآنيّة الكثير من القصص القرآنيّة على أنّها مجموعةٌ من الأساطير، كما في قصّة آدم وخروجه من الجنّة وبداية نشأة الخليقة، وداوود وسليمان وملكهما الأسطوري، وخروج موسى مع قومه وهروبه من فرعون، وقصّة يوسف مع زوجة العزيز، وقصّة تحطيم إبراهيم علیه السّلام للأصنام، كلّ هذه الموضوعات جاءت ضمن مدخل الأسطورة في القرآن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والسبب الذي دعاهم إلى هذا الاعتقاد، هو نظرتهم الماديّة للنّص القرآني، من جهة أنّ القرآن ابن ثقافة العصر الذي نشأ فيه، فلا بدّ من سلب القداسة عنه، والقول بأنسنته، وهي مجموعة الأفكار التي نادت بها مدرسة الحداثة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الدكتور نصر حامد أبو زيد، وهو من روّاد الحداثويين في البلاد الإسلاميّة، وهو أحد الكتّاب في هذه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المستقبل الأوّل للنصّ ومبلّغه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من الواقع والمجتمع، كان ابن المجتمع ونتاجه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هو شعار الحداثويّة في قراءة النصوص الدّينيّة، وهو يعني فصل القرآن عن مصدره الإلهي، بل إنّ الاتّصال بعالمٍ آخر غير عالمنا إنّما هو مجرّد خرافةٍ وأسطورةٍ، ولهذا فهم يرون أنّ الأساس الثّقافيّ لظاهرة الوحي نابعٌ من اعتقاد العرب بإمكانيّة الاتّصال بالعالم الآخر، كالاتّصال بين البشر والجن، ويتمّ هذا الاتّصال من خلال ظاهرتي الشّعر والكهانة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ويستدلّون بهذا على أنّ ظاهرة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مفارقةً للواقع، أو تمثّل وثبًا عليه وتجاوزاً لقوانينه، بل كانت جزءًا من مفاهيم الثّقافة، ونابعةً من مواضعاتها وتصوّراتها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العربيّ الذي يدرك أنّ الجنّي يخاطب الشّاعر ويلهمه شعره، ويدرك أنّ العرّاف والكاهن يستمدّان النّبوءة من الجنّ، لا يستحيل عليه أن يصدّق بملكٍ ينزل بكلامٍ على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دعاهم إلى أن يعبّروا بالأسطورة عن بعض القصص القرآني، ولكنّ القرآن نصٌ مُعجِزٌ، وليس مرتبطًا بالبيئة التي نزل بها، بل عامٌّ لكلّ زمانٍ ومكانٍ، ولكنّ تفسيره وفهمه يخضع للزمان والمكان دون النّصّ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يبدو واضحًا الانحياز نحو الرّؤية الحداثويّة للقرآن الكريم؛ لأنّ هناك نظرتين للنص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النّصّ القرآنيّ نصٌّ إلهيٌّ مُعجِزٌ لا يأتيه الباطل من بين يديه ولا من خلفه صالحٌ لكلّ زمانٍ ومكانٍ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للقرآن لا على أنّه نصٌّ إلهيٌّ، بل تنظر إليه على أنّه نصٌّ بشريٌّ مرتبطٌ بالزّمان والمكان الذي نزل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اتّخذ القائمون على موسوعة ليدن القرآنيّة الرّؤية الثانية للنّصّ القرآنيّ، وهذا ما انعكس على محتويات الكثير من المداخل القرآنيّة، ومن ضمنها المداخل التي تناولت الأنبياء وقصصهم، ونعتها على أنّها مجرّد أساطير، وأنّ القرآن قد اقتبس من الكتب السّابقة له كالتّوراة والإنجيل، والواقع أنّ هذه المقولات متحيّزةً للواقع الثّقافيّ الغربيّ، الذي سيطر عليه المنهج التّجريبيّ، والمنهج التجريبيّ يفرض عليهم أن يُفسرّوا كلّ الأشياء تفسيرًا ماديًّا، فما لا يكون خاضعًا للحسّ والتّجربة يجب نفيه وعدم الاعتراف به إن لم يمكن تأويله وفق مناهج الفلسفة الوضعيّة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يُصرّحون بهذا الأمر، يقول محمّد أركون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شيءٍ يتجاوز الماديات يُعتبر ميتافيزيقيًّا لا معنى لها، وهذه هي العقلانيّة الوضعية التي لا تعترف إلّا بالماديات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حسن حنفي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مفكّرٌ،وضعيٌّ، وأقصد وضعيٌّ منهجيٌّ، ولست وضعيًّا مذهبيًّا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يخرج عن نطاق الحسّ والمادة والتّحليل أضعه بين قوسين، لذلك أنتسب كثيرًا إلى الظاهريات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الفينومينولوجيا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والوحي بالنّسبة لي فإنّني آخذه على سبيل الافتراض، فالوحي افتراضٌ في البحث العلمي، والتّحقّق من صدقه، أي التّحقّق تجريبيًّا وليس صوريًّا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موسوعة ليدن القرآنيّة وإن كانت تدّعي الموضوعيّة خلافًا لغيرها في ما كُتب عن القرآن الكريم إلّا أنّها اشتملت على الكثير الأخطاء من جهة وقوع القائمين عليها في التحيّز المعرفيّ، فهم يقدِّمون رؤيةً معرفيّةً لا تنفصل عن واقعهم الثّقافي والبيئة المعرفيّة التي ينتمون إليها في فهم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التحيّز المعرفي في موسوعة ليدن القرآنيّة على أشكالٍ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هو على مستوى الاصطلاح، ومنها في المنهج، وفي توظيف المعلومات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المداخل الخاصّة في الحديث عن الأنبياء تقدّم موسوعة ليدن القرآنيّة الرؤية اليهوديّة والمسيحيّة على الرؤية القرآنيّة، وهذا يدخل ضمن التحيّز المعرفيّ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التحيّز للرؤية الاستشراقيّة والحداثويّة في كتابة المداخل والموضوعات ،القرآنيّة، ظاهرةٌ واضحةٌ وخاصّة في المداخل الخاصّة بالأنبياء</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التحيّز في استعمال المصطلح كإطلاق لقب الملك على بعض الأنبياء تماشيًا مع الثّقافة غير الإسلاميّة كما في النّبيّ داوود وسليمان عليهما السلام، أو كإطلاق لقب المرشد الرّوحي على النبيّ عيسى علیه السّلام، بينما القرآن يسميهم أنبياء</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والمراجع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نصر حامد، مفهوم النص دراسة في علوم القرآن، الهيئة المصرية للكتاب،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أركون، محمد القرآن من التفسير الموروث إلى تحليل الخطاب الديني، دار الطليعة،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المسيري، عبد الوهاب، إشكالية التحيّز رؤية معرفية ودعوة للاجتهاد، المعهد العالمي للفكر الإسلامي،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المسيري، عبد الوهاب، العالم من منظور غربي، دار الهلال، القاهرة،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مجمع البيان، مؤسسة الأعلمي للمطبوعات،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بحار الأنوار، مؤسسة الوفاء، ط</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الشاهرودي، الشيخ علي النمازي، مستدرك سفينة البحار،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علي النمازي، مؤسسة النشر الإسلامي التابعة لجماعة المدرسين، 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من لا يحضره الفقيه،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الريسوني، قطب، النص القرآني من تهافت القراء إلى أفق التدبير، منشورات وزارة الأوقاف والشؤون الإسلامية، المملكة المغربية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إنجيل مرقص،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جولد زهير، العقيدة والشريعة في الإسلام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قرآن، ترجمة للفارسية مؤسسة التبليغ الإسلامي، مؤسسة انتشارات حكمت التابعة لمؤسسة التبليغ الإسلامي،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حنفي ومجموعة مؤلفين، الإسلام والحداثة، دار الساقي، بيروت،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ثيودور نولدکه، تاریخ القرآن،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تامر، مؤسسة كونراد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أدناور،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عزام، محمد، النقد والدلالة نحو تحليل سيميائي للأدب، منشورات وزارة الثقافة،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والعمران في موسوعة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تحليلية ونقدية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زكي الميلاد</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مثَّل القرآن الكريم حقلًا دراسيًّا واسعًا في منظومة المعارف الاستشراقيّة، وظلّ هذا الحقل محافظًا على ديناميّته وتراكمه بحثًا وتحقيقًا وتنقيبًا وتصنيفًا وترجمةً، عابرًا بين أزمنةٍ طويلةٍ في أوروبا، متعاقبًا بين أجيالٍ متتاليةٍ، ممتدًّا بين مجتمعاتٍ مختلفةٍ، مسجّلًا أثرًا بارزًا في المدارس الاستشراقيّة المتعدّدة بحسب بلدانها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الألمانيّةوالفرنسيّة والإنجليزيّة والإيطاليّة والهولنديّة والإسبانيّة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ارتبط هذا الحقل من ناحية الأشخاص بأسماء لامعةٍ وكبيرة، ظلّت حاضرةً ومؤثّرةً في ساحة المستشرقين المشتغلين بهذا الحقل، يبرز من هؤلاء ويتقدّم الألمانيون الثلاثة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جوستاف فلوجل </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الذي صنّف أوّل معجم لفهرسة ألفاظ القرآن الكريم، صدر سنة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 ،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نجوم الفرقان في أطراف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خصّه الدكتور عبدالرحمن بدوي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موسوعته بالثّناء والتّبجيل، واسمًا الكتاب بالدّقّة والاستيعاب مادحًا صاحبه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أسدى فلوجل بهذا الفهرس للقرآن خدمةً جلّى للجميع من الباحثين وعامة الناس</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تيودور نولدكه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الذي اشتهر بكتابه عن تاريخ القرآن الكريم، مقدّمًا رسالة للدكتوراه في هذا الموضوع، ناقشها سنة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م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وتركيب سور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نال عليها مرتبة الشّرف الأولى في جامعة جوتنجن،</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وطوّرها لاحقًا ونشرها في كتاب سنة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النص القرآني، مسجّلًا به أثرًا بات يؤرّخ له في تاريخ تطوّر الدّراسات التّاريخيّة للقرآن في الفكر الأوروبي، وفي ساحة المستشرقين بصورةٍ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رودي بارت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الذي عرف بترجمته الألمانيّة الكاملة للقرآن الكريم، صدرت هذه الترجمة في مجلّد وعلّق عليها في مجلد ثانٍ، ظهرت خلال الفترة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جاءت حسب قول 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اشتغال عميق بالنّصّ القرآنيّ استمرّت سنوات طويلة</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قاصدًا منها المساعدة على فهم القرآن فهمًا تاريخيًّا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ويبرز من هؤلاء الأشخاص كذلك، المستشرق المجري أجناتس جولدتسهير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م</w:t>
      </w:r>
      <w:r>
        <w:rPr>
          <w:rFonts w:ascii="IRNazanin" w:hAnsi="IRNazanin" w:eastAsia="IRNazanin"/>
          <w:color w:val="111111"/>
          <w:sz w:val="28"/>
          <w:sz w:val="28"/>
          <w:szCs w:val="28"/>
          <w:rtl w:val="true"/>
          <w:lang w:bidi="fa-IR"/>
        </w:rPr>
        <w:t xml:space="preserve">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التفسير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 سنة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م، الكتاب الذي عدّه مؤلّفه بأنّه فلذة كبده وميّزه المترجم المصري عبد الحليم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ترجمته العربية للكتاب الصادرة سنة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 قائلًا في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وكتاب مذاهب التفسير الإسلامي عملٌ مبتكرٌ من حيث المنهج وأسلوب البحث، طريف في عرض مناحي الدّراسات القرآنيّة</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وختم المستشرق الألماني يوهان فوك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 الحديث عن جولدتسهير كاشفًا عن أثره وتأثيره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مارس على درب الدّراسات الإسلامية تأثيرًا عظيمًا أكثر ممّا أثر أيُّ معاصر ،له كما رسم مسار وتطوّر البحث العلمي بصورة حاسمة</w:t>
      </w:r>
      <w:r>
        <w:rPr>
          <w:rFonts w:eastAsia="Amiri" w:cs="Amiri" w:ascii="Amiri" w:hAnsi="Amiri"/>
          <w:color w:val="111111"/>
          <w:sz w:val="28"/>
          <w:szCs w:val="28"/>
          <w:rtl w:val="true"/>
          <w:lang w:bidi="ar-SA"/>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هؤلاء الأشخاص الأسترالي آرثر جفري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والفرنسي ريجيس بلاشير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جانب آخرين كذلك</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وتطوَّر الدّراسات القرآنيّةأسهم هؤلاء الأعلام وغيرهم في ترسيخ حقل الدّراسات القرآنيّة وتدعيمه في الجامعات الأوروبية وفي منظومة المعارف الاستشراقيّة متمثّلين موقعيّة الأعلام الأوروبيين الكبار لهذا الحقل وقد أكسبه جدّية وتتابعًا، بخلاف الوضع لو كان هذا الحقل بلا أعلام كبار من الأوروبيين أنفسهم، فالارتباط بهذا الحقل يسهم في تأكيد الارتباط بهؤلاء الأشخاص، كما أنّ الارتباط بهؤلاء الأشخاص يسهم كذلك في تأكيد الارتباط بهذا الحقل، وذلك من خلال علاقةٍ تفاعليّةٍ تبادليّةٍ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آخر، إن ما تركه هؤلاء الأشخاص من تراثٍ متراكمٍ أسهم كذلك في ترسيخ هذا الحقل وتدعيمه فلم يكن حقلًا بلا سند من تراث أو يفتقر إلى تراثٍ مميّزٍ من ،داخله ولو كان هذا الحقل بلا هذا التّراث لكانت له وضعيّة أدبيّة ومعرفيّة مختلفة ومغايرة لما هي عليه، فالحقل المعرفيّ في أيَّ مجالٍ من مجالات المعرفة على أقسامها الاجتماعيّة والإنسانيّة والطبيعيّة، يزداد قوّةً وتألُّقًا بقوّة التّراث المتصل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برزت أهميّة هذا الحقل وانكشفت في منظومة المعارف الاستشراقيّة متجلّيًا ذلك في تنوُّع موضوعاته التي غطّت وشملت جميع أو معظم جوانبه تقريبًا، وبقي هذا الحقل متميّزاً بهذه السّمة الجادّة ومتفرّدًا بها، فقد غطّت هذه الموضوعات وشملت الجوانب التّاريخيّة والكلاميّة واللغويّة والبلاغيّة، وامتدّت إلى جوانب فنّيّةٍ وتطبيقيّةٍ تعلّقت بالتّرجمة والتّصنيف والتّبويب والفهرسة وبات كلّ جانبٍ من هذه الجوانب يمثّل حقلًا دراسيًا واسعًا وممتدًّا ومتراكمًا، له أزمنته وأطواره وتحقيباته من جهة، وله أعلامه ورجاله ورموزه من جهةٍ ثانيةٍ، وله تأليفاته ومصنّفاته ومصادره من جهةٍ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أن نأخذ الجانب التّاريخي مثالا على ذلك وبرهانًا، فقد استقطب هذا الجانب اهتمام المستشرقين وعنايتهم وفضولهم، ومثَّل لهم حقلًا دراسيًّا جادًّا ومثيرًا، امتدَّ في أزمنته وأطواره وتحقيباته من أوائل القرن التاسع عشر إلى منتصف الثاني</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القرن العشرين</w:t>
      </w:r>
      <w:r>
        <w:rPr>
          <w:rStyle w:val="FootnoteAnchor"/>
          <w:rtl w:val="true"/>
        </w:rPr>
        <w:footnoteReference w:id="628"/>
      </w:r>
      <w:r>
        <w:rPr>
          <w:rFonts w:ascii="Amiri" w:hAnsi="Amiri" w:eastAsia="Amiri" w:cs="Amiri"/>
          <w:color w:val="111111"/>
          <w:sz w:val="28"/>
          <w:sz w:val="28"/>
          <w:szCs w:val="28"/>
          <w:rtl w:val="true"/>
          <w:lang w:bidi="ar-SA"/>
        </w:rPr>
        <w:t>وتجدّد بعد ذلك وامتدَّ عابرًا إلى القرن الحادي والعشرين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هذا الحقل الدّراسيّ التّاريخيّ للقرآن بأعلام ورجال يبرز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الفرنسي بوتيه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w:t>
      </w:r>
      <w:r>
        <w:rPr>
          <w:rFonts w:ascii="IRNazanin" w:hAnsi="IRNazanin" w:eastAsia="IRNazanin"/>
          <w:color w:val="111111"/>
          <w:sz w:val="28"/>
          <w:sz w:val="28"/>
          <w:szCs w:val="28"/>
          <w:rtl w:val="true"/>
          <w:lang w:bidi="fa-IR"/>
        </w:rPr>
        <w:t xml:space="preserve">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والمستشرق الإنجليزي إدوارد سيل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التطوّر التاريخي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والمستشرق الألماني جوستاف فایل </w:t>
      </w:r>
      <w:r>
        <w:rPr>
          <w:rFonts w:eastAsia="IRNazanin" w:cs="IRNazanin"/>
          <w:color w:val="111111"/>
          <w:sz w:val="28"/>
          <w:szCs w:val="28"/>
          <w:rtl w:val="true"/>
          <w:lang w:bidi="fa-IR"/>
        </w:rPr>
        <w:t>(</w:t>
      </w:r>
      <w:r>
        <w:rPr>
          <w:rFonts w:eastAsia="IRNazanin" w:cs="IRNazanin"/>
          <w:color w:val="111111"/>
          <w:sz w:val="28"/>
          <w:szCs w:val="28"/>
          <w:lang w:bidi="fa-IR"/>
        </w:rPr>
        <w:t>1808</w:t>
      </w:r>
      <w:r>
        <w:rPr>
          <w:rFonts w:eastAsia="IRNazanin" w:cs="IRNazanin"/>
          <w:color w:val="111111"/>
          <w:sz w:val="28"/>
          <w:szCs w:val="28"/>
          <w:rtl w:val="true"/>
          <w:lang w:bidi="fa-IR"/>
        </w:rPr>
        <w:t>-</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تاريخي نقدي إلى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المستشرق الألماني تيودور نولدكه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النص القرآني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والمستشرق الألماني جوتهلفبرجشتريسر </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جانب آخرین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مع مطلع القرن الحادي والعشرين تجدّد الاهتمام بهذا الحقل وشهد تطوّرًا وازهارًا مهمًّا، جاء مستفيدًا من حصيلة التراكمات المعرفيّة الممتدّة لسنواتٍ طويلةٍ تزيد على قرن من الزمان في المجال الأوروبي، ومتأثّرًا بعاملٍ موضوعيًّ خارجيًّ متمثّلًا في ديناميات الظّواهر الإسلاميّة بأنماطها المختلفة المعتدلة والمتطّرفة التي أثارت انتباه العالم بشدّة خاصّة تلك الظواهر التي شغلت اهتمام المجتمعات الغربية وظلّت محتكّةً بها في داخلها متحسّسةً منها ومنفعلة، مصوّبة النظر على ما بات يعرف بالظّاهر الإسلاميّة الأوروبيّة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القرآن المنسوبة مكانيًّا إلى مدينة ليدن الهولنديّة أهمّ تطوّرٍ معرفيًّ في حقل الدّراسات القرآنيبة حدث في العالم الغربي مع بداية الألفيّة الجديدة، حدثًا سوف يُؤرّخ له في تاريخ تطوّر هذه الدّراسات القرآنيّة هناك، فقد مثّلت أوّل موسوعة من نوعها متخصّصة في المعارف القرآنيّة، تكوّنت من ستة أجزاء، شملت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صدر الجزء الأول سنة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واكتملت أجزاؤها سنة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بالعودة إلى الوراء فارقت الموسوعة نفسها عن بعض الاتّجاهات بداعي الانفصال، وقاربت نفسها مع بعض الاتّجاهات الأخرى بداعي الاتّصال فارقت نفسها عن اتّجاهات المعرفة بالقرآن في أوروبا القرون الوسطى، تلك التي تشكّلت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خلفية ترجمات القرآن وما أثارت من ردودٍ من المؤلّفين اليهود والمسيحيين؛ إذ كانوا متحيّزين إلى اتّجاهين وصفتهما الموسوعة بالجدليّ والدّفاعيّ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وبداعي الاتّصال قاربت الموسوعة نفسها مع اتّجاه الدّراسات الاستشراقيّة، الذي ظهر بعد عصر التنوير، بوصفه حقلًا أكاديميًا متميّزاً على حدِّ وصف الموسوعة وبهذا اللّحاظ اعتبرت الموسوعة أن أكثر ما ورد فيها يبتني على العمل الذي بدأ في المراكز الأكاديميّة التي تصدَّت بالدّراسة العلميّة للثقافات والأديان غير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الكلام ما يدعو إلى النّقاش النّقديّ في بُعدين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يتعلّق بالمعرفة الاستشراقيّة وتصويبها كليًّا وإعطائها صفة الحقل الأكاديميّ المتميّز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يتعلّق بإعلان الموسوعة انتسابها إلى المعرفة الاستشراقيّة بذريعة الصّفة الأكاديميّة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بشأن الأمر الأوّل، إذا كانت المعرفة الاستشراقيّة بعد عصر التنوير قد تمايزت عن نظيرتها المعرفة الدّينيّة اليهوديّة والمسيحيّة الوسيطيّة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العصور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المعرفة الاستشراقيّة بكلّيّتها لا يمكن إعطاؤها صفة الأكاديميّة وإضافة صفة التميّز إليها بمعنى تقيّد هذه المعرفة والتزامها بمعايير وضوابط البحث العلميّ الصّارم، فقد ظهر على قسم كبيرٍ منها ملامح التّحيّز بدل التّجرّد والتعصّب بدل الإنصاف والتّعالي بدل التّواضع والإجحاف بدل الإخلاص إلى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وبشأن الأمر الثاني كان من المثير إعلان الموسوعة انتسابها بأيَّ وجهٍ من الوجوه إلى المعرفة الاستشراقيّة، لكونها معرفةً أحاطت بها إشكاليّات والتباسات وانقسمت حولها وتباينت وجهات النّظر ، ومثّلت محطّة خلافٍ ونزاعٍ بين العالمين الإسلامي والغربي، وكان من الأجدى للموسوعة والأسلم لها إمّا أن تنأى بنفسها عن هذا الأمر، أو تتّخذ موقف الصّمت تجاه هذه المعرفة، أو الإعلان عن تجاوزها والقطيعة معها؛ لِما لها من سيرةٍ ملتبسةٍ مع التّبشير الدّيني الصّدامي من جهة، و مع الاستعمار الإمبرياليّ من جهةٍ أخرى، ومع نزعة التفوّق الحضاري الغربي من جهةٍ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آخر، أراد القائمون على هذه الموسوعة أن ترتقي المستوى الكتاب</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المرجعيّ مشدّدين على هذه الصّفة ومؤكّدين عليها، قاصدين إنتاج كتابٍ مرجعيّ يحتوي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أفضل إنجازات القرن في مجال الدّراسات القرآنيّة، متأمّلين من هذا العمل أن يستثير مزيدًا من الجهد البحثي حول القرآن خلال العقود الآتية، ليكون عالم الدّراسات القرآنيّة متاحًا لمجموعةٍ واسعةٍ من الباحثين الأكاديميين والقرّاء المثقّفين وطلّاب العلم المتخصّصين في العلوم الإنسانيّة والاجتماعيّة، معتبرين أنّ المؤلّفات المرجعيّة المتعلّقة بالقرآن المكتوبة باللغات الأوروبية قليلة للغاية، وأغلب المعلومات المتاحة إمّا منحازة أو غير كاملةٍ أو مخفيّة في مصادر يصعب الوصول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جانبٌ آخر جدير بالالتفات يتعلّق برمزية المكان، فقد عرّفت الموسوعة نفسها قاصدةً الإشارة إلى جهة المكان منتسبةً إلى مدينة ليدن الواقعة على ضفاف الراين جنوب هولندا المدينة التي لها سيرة وإرث في تاريخ حركة الاستشراق، فمن جهةٍ تعدُّ جامعة ليدن من أقدم جامعات أوروبا، وجاءت الموسوعة على ذكرها بوصفها المدينة التي تأسّست فيها أسبق الكليات المعنيّة بدراسة الثقافات والأديان غير الغربية، فكلّيتها ترجع في تأسيسها إلى سنة </w:t>
      </w:r>
      <w:r>
        <w:rPr>
          <w:rFonts w:eastAsia="Amiri" w:cs="Amiri" w:ascii="Amiri" w:hAnsi="Amiri"/>
          <w:color w:val="111111"/>
          <w:sz w:val="28"/>
          <w:szCs w:val="28"/>
          <w:lang w:bidi="ar-SA"/>
        </w:rPr>
        <w:t>1593</w:t>
      </w:r>
      <w:r>
        <w:rPr>
          <w:rFonts w:ascii="Amiri" w:hAnsi="Amiri" w:eastAsia="Amiri" w:cs="Amiri"/>
          <w:color w:val="111111"/>
          <w:sz w:val="28"/>
          <w:sz w:val="28"/>
          <w:szCs w:val="28"/>
          <w:rtl w:val="true"/>
          <w:lang w:bidi="ar-SA"/>
        </w:rPr>
        <w:t xml:space="preserve">م ، متقدّمة على روما </w:t>
      </w:r>
      <w:r>
        <w:rPr>
          <w:rFonts w:eastAsia="Amiri" w:cs="Amiri" w:ascii="Amiri" w:hAnsi="Amiri"/>
          <w:color w:val="111111"/>
          <w:sz w:val="28"/>
          <w:szCs w:val="28"/>
          <w:lang w:bidi="ar-SA"/>
        </w:rPr>
        <w:t>1627</w:t>
      </w:r>
      <w:r>
        <w:rPr>
          <w:rFonts w:ascii="Amiri" w:hAnsi="Amiri" w:eastAsia="Amiri" w:cs="Amiri"/>
          <w:color w:val="111111"/>
          <w:sz w:val="28"/>
          <w:sz w:val="28"/>
          <w:szCs w:val="28"/>
          <w:rtl w:val="true"/>
          <w:lang w:bidi="ar-SA"/>
        </w:rPr>
        <w:t xml:space="preserve">م، وعلى أوكسفورد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عرفت ليدن بوفرة المخطوطات العربيّة، وأشار إلى ذلك عبدالرحمن بدوي عند ترجمته لتيودور نولدكه الذي أقام في ليدن ما بين خريف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 xml:space="preserve">م إلى ربيع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م، وتحدّث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 في ليدن حيث المخطوطات العربيّة الوفيرة، والأساتذة المستشرقون الممتازون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دوزیویونبول ودي فريس وكونن عقد نولدكه الشاب أواصر صداقة قويّة مع هؤلاء المستشرقين، وعكف على قراءة المخطوطات العربية الثمينة</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ويذكر في سيرة المستشرق المجري جولد تسيهر أنّ ليدن مثّلت محطةً في سيرته الفكريّة، فقد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ليدن وحضر محاضرات أبراهام كونن، واكتشف</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المخطوطات الشّرقية بالجامعة التي بنى عليها عمله الأوّل عن الظاهريّة سنة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 ، وفي مدينة ليدن أيضًا كوّن صداقته التي دامت طويلا مع الأستاذين المستشرقين الهولنديين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رينهارتدوزي وميشيل يان دي خويه</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يضاف إلى ذلك أنّ أوّل دائرة معارف إسلاميّة استشراقيّة ظهرت في ليدن خلال الفترة ما بين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م، وصدرت من دار نشر بريل وهي الدار نفسها التي أصدرت هذه الموسوعة القرآنيّة، وليس مستبعدًا أن يكون هذا الأمر مقصودا، فالدّار التي عرفت بدائرة المعارف الإسلاميّة الشهيرة يقع الاختيار عليها لإصدار أوّل موسوعة قرآنيّة استشراقيّة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وتتابعًا لتطوّرات حقل الدّراسات القرآنيّة وديناميّته في المجال الغربي، فقد صدرت في الولايات المتحدة الأمريكية سنة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 موسوعة قرآنيّة أخرى تكوّنت من مجلّدٍ واحد فقط، أشرف على تحريرها الدكتور أوليفر ليمن أستاذ الدّراسات الفلسفيّة في جامعة كنتاكي الأمريكيّة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سياق هذه التطوّرات أيضًا، أعلنت هيئة الأبحاث الأوروبية التي تأسّست سنة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عن إطلاق مشروع حول القرآن الكريم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الإسلامي المقدّس في الدين والثّقافة الأوروبية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 xml:space="preserve">م، يهدف المشروع بحسب إعلان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إجراء أبحاثٍ حول نمط ترجمة القرآن وتفسيره واقتباسه في أوروبا المسيحيّة خلال القرون الوسطى مرورًا بمطلع العصر الحديث، من أجل فهم تأثير هذا الكتاب المقدّس على الثقافة والدين في أوروبا، ويتناول المشروع دور القرآن في التّفاعلات المتبادلة مع الإسلام والجدالات بين المسيحيين من ذوي العقائد المختلفة والنقد الموجّه إلى الدين المسيحي خلال عهد التنوير</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حُدّدت مدّة إنجاز المشروع بست سنوات يُشرف عليه أربعة باحثين ينتمون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الأربع جامعات أوروبية هم جوهان تولان من جامعة نانت الفرنسيّة، جان لوب من جامعة كنت البريطانيّة، روبرتو توتولي من جامعة نابولي الشّرقيّة الإيطاليّة، مرسيدس غارسيا آرینال من مركز العلوم الإنسانيّة والاجتماعيّة في العاصمة الإسبانيّة مدريد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هذه لمحةٌ موجزةً عن بعض تطوّرات حقل الدّراسات القرآنيّة عند المستشرقين وفي المجال الغربي بصورةٍ عامةٍ، وقد كشفت هذه التطوّرات عن تجدُّد الاهتمام بهذا الحقل الذي احتفظ بنشاطه وديناميّته إلى ما بعد الولوج إلى القرن الحادي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الاستشراقيّة والقرآن إشكاليّات والتباساتأوضح المستشرق الألماني يوهان فوك، وهو يؤرّخ لتاريخ الدّراسات العربيّة والإسلاميّة في أوروبا، كيف أنّ بدايات المعرفة الأوروبيّة بالقرآن الكريم كانت متأثّرةً بذهنيّة الصّدام الدّينيّ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 زمن الحروب الصليبيّة، ومتحفّزةً بدافع التّبشير الدّينيّ المسيحي، مقدّمًا نصًا تاريخيًا صافيًا وموثّقًا، لا بدّ من التوقّف عنده فحصًا وتأمّلًا لمن يريد أن يتتبّع تاريخ تطوّر المعرفة الاستشراقيّة تجاه القرآن أو لمن يريد أن يستكشف أولى المحطّات في تاريخ تطوّر هذه المعرفة الأوروبيّة والاستشراقيّة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لأهميّة هذا النّصّ من الناحيتين الفكريّة والتاريخيّة، وكونه يمثّل مدخلًا للحديث عن بدايات المعرفة الأوروبيّة والاستشراقيّة تجاه القرآن، سنعرض له كاملًا، فقد أورده فوك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كانت فكرة التّبشير هي الدافع الحقيقيّ خلف انشغال الكنيسة بترجمة القرآن واللغة العربية، فكلّما تلاشى الأمل في تحقيق نصرٍ نهائيُّ بقوّة السلاح، بدا واضحًا أنّ احتلال البقاع المقدّسة لم يؤدِّ إلى ثني المسلمين عن دينهم، بقدر ما أدّى إلى عكس ذلك، وهو تأثّر المقاتلين الصليبيين بحضارة المسلمين وتقاليدهم ومعيشتهم في حلبات الفكر وقبل حدوث واقعة إيديساس في شهر ديسمبر من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السنة التي ردّ فيها الصليبيون على أعقابهم،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ظهرت أوّل ترجمة لاتينيّة للقرآن في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نُسبت إلى مؤلّفها الأب بطرس المبجّل، رئيس دير كلاني الذي ولد في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 سنة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بطرس هذا قد أقلته رحلة عمل إلى إسبانيا في سنة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حيث لم يكتفِ بالإشراف على أتباع طائفته والتوسّط لاستتباب السّلم بين ألفون الثاني ملك قشتالة وألفون الأول الأراجوني، بل وجدها فرصةً سانحةً للتعرّف على الحوار القائم بين الإسلام والمسيحيّة والمعارك الدّائرة بين المسلمين ،والإسبان والشّعار المرفوع لاسترداد بيت المقدس كما جاء في أحد الأناشيد، وسياسة الموحّدين الدّينيّة الذين شنّوا هجماتهم على إسبانيا في تلك السنوات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من ذلك كلّه بقناعة بأنّ لا سبيل إلى مكافحة هرطقة محمد بعنف السّلاح الأعمى، وإنّما بقوّة الكلمة ودحضها بروح المنطق الحكيم للمحبّة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تحقيق هذا المطلب كان يشترط المعرفة المتعمّقة برأي الخصم أوّلًا، وهكذا وضع خطةً للعمل على ترجمة القرآن إلى اللاتينيّة، وحدث أن تقابل في إحدى ضواحي شبه الجزيرة الإيبريّة مع راهبين أحدهما إنجليزي يُدعى روبرتوسكيتينيسيس، والآخر يُدعى هيرمان الدالماتي، كانا ملمّين باللّغة العربية، ويعكفان على دراسة مؤلّفات عربيّة فلكيّة، وافقَا على ترجمة الكتاب مقابل مبلع مغرٍ من المال، وبحسب ما جاء في مقدّمة التّرجمة، فقد كان روبرتوس مسؤولًا عن ترجمة القرآن في حين قام الآخر بترجمة النبذ المختصرة</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فوك الذي عدَّه الباحث اللّبناني الدكتور ميشال جحا أنّه آخر المستشرقين الألمان الكبار الذين ولدوا قبل بداية القرن العشرين</w:t>
      </w:r>
      <w:r>
        <w:rPr>
          <w:rStyle w:val="FootnoteAnchor"/>
          <w:rtl w:val="true"/>
        </w:rPr>
        <w:footnoteReference w:id="633"/>
      </w:r>
      <w:r>
        <w:rPr>
          <w:rFonts w:ascii="Amiri" w:hAnsi="Amiri" w:eastAsia="Amiri" w:cs="Amiri"/>
          <w:color w:val="111111"/>
          <w:sz w:val="28"/>
          <w:sz w:val="28"/>
          <w:szCs w:val="28"/>
          <w:rtl w:val="true"/>
          <w:lang w:bidi="ar-SA"/>
        </w:rPr>
        <w:t>، كشف في النّصّ المذكور عن نمطٍ من أنماط المعرفة المتّشكل تجاه القرآن الكريم، نمطٌ تكوّنت له بنيته المفاهيميّة، ونظمه المناهجيّة، وتحدّدت له غاياته ومقاصده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هذا النّمط سائدًا في المعرفة الأوروبيّة ومهيمنًا طيلة العصور الوسطى تقريبًا، في ظلّ سيطرة رجال الدين المسيحيين وتحكّم الكنيسة على المعرفة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الأوروبيّة، ومعظم التغيّرات التي حدثت بعد ذلك من قبيل تعدُّد ترجمات القرآن لم تخرج عن نسقيّة هذا النّمط من المعرفة الملتبسة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تحوّلات المعرفة في أوروبا بعد العصور الوسطى تشكّل نمطًا معرفيًا جديدًا تجاه القرآن الكريم متركّزًا بصورةٍ رئيسةٍ على البحثين اللّغويّ والتّاريخيّ، متّخذًا من النّقدين الأدبي والتاريخي منهجًا، متأثّرًا بحقل دراسات الكتاب المقدّس بعهديه القديم والجديد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هذا التأثّر ذكرت جين أوليف في مقدّمة الموسوعة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تأثّرت الدّراسة غير الإسلاميّة للقرآن أو الغربية بشكلٍ كبيرٍ بنظيرها حقل الدّراسات الإنجيليّة؛ حيث إنّ النّقد الإنجيليّ في القرنين الثامن عشر والتاسع عشر على الأقلّ، ذاك النّقد الذي انتقل من المحيط الحاخامي أو الرّهبانيّ إلى المحيط الجامعيّ، قد وضع الاعتقاد بالطابع الإلهي للكتابين المقدّسين اليهوديّ والمسيحيّ بين قوسين كما اتّسع الاستعداد الذي برز في عصر النّهضة لتطبيق مبادئ النّقد الأدبي والتاريخي على النّصوص اليونانيّة واللاتينيّة القديمة، ليشمل أحد النّصوص القديمة الأخرى؛ أي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تبنّى بعض الباحثين نظرةً عقليّةً ؛ فسعى إلى التّوفيق بين التّعليمات الإنجيليّة والأوامر العقليّة، بينما ركّز آخرون على التّناقضات بين الإنجيل وقوانين الاستقامة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تضاعفت التّحقيقات السّياقيّة مع قيام العلماء بالتّنقيب في الخلفيّة الثّقافيّة والتّاريخيّة للنصوص الإنجيليّة، ومع تتبّعهم للتّراث الأدبي الذي نمت منه هذه النّصوص مضافًا إلى عمليّة الصياغة التي أخرجت النّصوص في شكلها النّهائي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توجّه العلماء المختّصين بفقه اللغة السامية والمتعمّقين بالدّراسة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النّقديّة للكتاب المقدّس العبري والعهد الجديد إلى كتاب قديم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أهملوا الافتراضات العقدية، معتبرين أنّها غير مرتبطةٍ بمهام البحث العلمي وعليه تعرّض الباحثون في القرآن كما في الإنجيل للتحليل النّصّي واللّغويّ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النّمط القديم كان دافع التّعامل مع القرآن دينيًّا في المقام الأوّل مندفعًا بذهنيّة التّبشير ،والمواجهة منطلقًا من اعتبار أنّ الإسلام مثّل تهديدًا حقيقيًّا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للمسيحيّة مؤثّرًا على وجودها في الشّرق، وعلى امتدادها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النّمط الحديث فدافع التّعامل مع القرآن كان بحثيًّا ونقديًا في المقام الأوّل، مندمجًا في حقل دراسات الكتب المقدّسة إلى جانب التّوراة والإنجيل مطبقًا عليه منهجيّات النّقد الأدبي والتّاريخيّ، بوصفه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 مقدّمة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هويّة الإسلام وتطوّره التّاريخيّ، وكونه أوثق مصدر لإعادة بيان حياة محمد وتاريخ المجتمع الإسلامي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هذا النّمط الحديث سائدًا ومؤثَّرًا إلى اليوم في حقل الدّراسات القرآنيّة الغربيّة، منبعثًا من القرن التاسع عشر الميلادي، عابرًا القرن العشرين ممتدًّا إلى القرن الحادي والعشرين، فقد مثّل رجالات هذا النّمط جيل الرّوّاد الكبار، وعُدّت تأليفاتهم من المصادر المهمّة والملهمة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وأشارت إلى هذا المعنى مقدّمة الموسوعة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وألّفت في القرن التاسع عشر بعض الكتب المهمّة التي ما زالت تؤثّر على ميدان البحث القرآنيّ المعاصر، فبرزت أسماء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كوستاف ویل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Gustav Weil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تيودور نولدکه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Theodor Noldke</w:t>
      </w:r>
      <w:r>
        <w:rPr>
          <w:rFonts w:ascii="Amiri" w:hAnsi="Amiri" w:eastAsia="Amiri" w:cs="Amiri"/>
          <w:color w:val="111111"/>
          <w:sz w:val="28"/>
          <w:sz w:val="28"/>
          <w:szCs w:val="28"/>
          <w:rtl w:val="true"/>
          <w:lang w:bidi="ar-SA"/>
        </w:rPr>
        <w:t xml:space="preserve">، أبراهام جايجر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Abraham Geiger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هارتویغ هارشفیلد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Hartwig Hirschfeld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وسرعان ما انضمت إليها أسماء أقرانهم في القرن العشرين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أجناتس جولد تسيهر </w:t>
      </w:r>
      <w:r>
        <w:rPr>
          <w:rFonts w:eastAsia="Times New Roman" w:cs="Times New Roman" w:ascii="Times New Roman" w:hAnsi="Times New Roman"/>
          <w:color w:val="111111"/>
          <w:sz w:val="28"/>
          <w:szCs w:val="28"/>
          <w:lang w:val="en-US" w:bidi="en-US"/>
        </w:rPr>
        <w:t>Ignaz Goldier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غوستاف برجستراسی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Gotthelf</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Bergstrasser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أوتوبريتزل </w:t>
      </w:r>
      <w:r>
        <w:rPr>
          <w:rFonts w:eastAsia="Times New Roman" w:cs="Times New Roman" w:ascii="Times New Roman" w:hAnsi="Times New Roman"/>
          <w:color w:val="111111"/>
          <w:sz w:val="28"/>
          <w:szCs w:val="28"/>
          <w:lang w:val="en-US" w:bidi="en-US"/>
        </w:rPr>
        <w:t>Otto Pretzel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ريتشارد بیل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Richard Bel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آرثر جيفري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Arthur Jeffery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رودي بارت </w:t>
      </w:r>
      <w:r>
        <w:rPr>
          <w:rFonts w:eastAsia="Times New Roman" w:cs="Times New Roman" w:ascii="Times New Roman" w:hAnsi="Times New Roman"/>
          <w:color w:val="111111"/>
          <w:sz w:val="28"/>
          <w:szCs w:val="28"/>
          <w:lang w:val="en-US" w:bidi="en-US"/>
        </w:rPr>
        <w:t>Rudi Paret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مع ظلال هذا النّمط الحديث وانعكاساته وتأثيراته الممتدّة والمتطاولة زمنًا ومكانًا في المجال الغربي مع ذلك حاولت الموسوعة القرآنيّة أن تميز نفسها معلنةً تمسّكها بالأكاديميّة الصارمة جاعلةً من 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أكاديمية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كلمتين مفتاحيّتين لها وللدراسات التي تضمّها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وأرادت من هذه الصّرامة الأكاديميّة التّأكيد على ثلاثة أمور هي</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علاقة بمحتوى الموسوعة، ويُراد من الصرامة الأكاديميّة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رؤية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تنبثق الدّراسات من تنوّعٍ في الآراء والافتراضات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علاقة بالتُّراثين الماضيين الإسلامي والغربي في مجال الأبحاث القرآنيّة، ويراد من الصّرامة الأكاديمية هنا تخطّي هذين التّراثين المختلفين لخلوّهما الدّقة، وعدم تمتّعهما بمنهجيّةٍ فريدةٍ، وحسب رأي 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يوجد تراتُ أكاديميٌ واحدٌ في مجال الأبحاث القرآنيّة، وإنّما تشكّل القرون المتمادية من الدّراسة الإسلاميّة للقرآن مسارًا زمنيًّا يتداخل مع أجيال الدّراسة الغربيّة للنص، ولا تشكّل أيّ واحدةٍ من هاتين الفئتين اللّتين تخلوان من الدّقّة، مقاربة موحّدة أو منهجيّة فريدة تتمتّع بالأفضليّة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 له علاقة بعالمي الدّراسات القرآنيّة الإسلاميّة والغربيّة المعاصرة، ويُراد من الصّرامة الأكاديميّة هنا، تخطي الجدالات الحادّة حسب وصف الموسوعة وذلك في ظلّ تزايد التّداخل الجغرافيّ والفكريّ بين العالمين المذكورين والاستفادة من هذا التنوّع وثرائه بعيدًا عن الاستقطاب 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عبّرت عنه الموسوعة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عالمي الدّراسة القرآنيّة الإسلاميّة والغربية يمكن أن نجد جدالات حادّة، حيث يتداخل هذان العالمان على نحوٍ متزايدٍ معًا جغرافيًّا وفكريًّا، ومع النّمّو السّريع للسكان المسلمين في أوروبا وشمال أمريكا والمناطق الأخرى من العالم، فإنّ القطبيّة الحادّة للإسلامي والغربي تصبح ضبابيّةً أكثر، وعولمة الأبحاث والحياة الأكاديميّة تسرّع 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الأبحاث ذات الجودة بالازدهار في هذه البيئة المتنوّعة بثراء، وعليه فقد سعى محرّرو موسوعة القرآن إلى التقاط هذا التنوّع ضمن صفحات الموسوعة هادفين إلى أن يشكّل هذا الكتاب أكبر نطاق ممكن من الدراسة الأكاديمية الصارمة حول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سعت إليه الموسوعة حسب تقديرها لنفسها، لكنّها لم تسلم من الجدل والتحفُّظ وإثارة القلق، وقد تنبّهت سلفًا لإمكانيّة حدوث مثل هذا الأمر الجدليّ ،والإشكاليّ، وتطرّقت الموسوعة على لسان جين أوليف في خاتمة مقدّمة الموسوعة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الشأن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التّطرّق إلى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احتماليّة وقوع الجدل حول المشروع، فمنذ أن حملت مسؤوليّة موسوعة القرآن سألني الصحفيون والزملاء والمعارف مرارًا عمَّا إذا كنت أشعر بالقلق أو الخطر بسبب انخراطي في هذا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جوابي على الدوام هو لا، وغالبًا ما ترافق مع تعبيري عن الأسف بأنّ التحريف المتكرّر لمشاعر المسلمين قد يثير هذا السّؤال، ومع ذلك فإنّ دراسة نصٍّ يعتبره الملايين مقدّسًا هو وظيفة 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الزَّملاء المسلمين الذين فضّلوا عدم المشاركة خوفًا من أن يتسبّب ارتباطهم بموسوعة القرآن بتعريض نزاهتهم للخطر، وهناك بعض الزملاء غير المسلمين الذين رفضوا المشاركة للسبب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غضّ النّظر عن ذلك، فهذه مجرّد استثناءات، وقد وافق أغلب الباحثين الذين دعوا إلى المشاركة بحماس ونشاط فرحين برؤية كتابٍ مرجعيٍّ يعزّز النّمو المستمر في ميدان الدّراسات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وضعيّات المعرفة الاستشراقيّة المتشكّلة حول القرآن الكريم كانت وما زالت منذ بدايتها إلى اليوم معرفةً تثير الحساسيّة والقلق، وتحيط بها الإشكاليّة والالتباس، ويجري التّعامل معها بنوعٍ من الرّيبة والشّكّ، هذا ما حدث عند المسلمين في جميع أجيالهم وأزمنتهم وأمكنتهم، وعلى اختلاف طبقاتهم ودرجاتهم العلميّة والفكريّة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أنّ هذا الموقف من المسلمين علماء وأدباء ومفكّرين ومؤرّخين ومفسّرين لم يأتِ من فراغٍ أو بدافع العناد ولا نتيجة وهمٍ وانفعال، ولا بضغط الخصومة والمواجهات، ولا بتأثير الاختلاف في الثّقافة والدّين، ولا علاقة له بمعايير التقدّم والتأخّر، وإنما جاء مستندًا إلى إرثٍ طويلٍ وتاريخٍ وسيرةٍ من إثارة الطعون والشّبهات والتّشكيكات والتّهجّمات والمغالطات التي طالت الإسلام دينا ونبيًّا وكتابًا وتاريخًا وحضارة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وجهٍ آخر، يسجل لهذه المعرفة الاستشراقيّة أنّها حفّزت المسلمين على البحث والتحقيق والتنقيب الدّينيّ والفكريّ والتّاريخيّ وفي باقي الميادين الأخرى،</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وجعلتهم يقفون على مسائل وقضايا ما كان بالإمكان التّنبه لها، والالتفات إليها، والاقتراب منها، والاشتغال عليها، لولا هذه المعرفة الاستشراقيّة الصّادمة والمستفزّة بطعونها وشبهاتها وإشكالياتها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المعرفة الاستشراقيّة قد خلّفت إرثًا معرفيًا كبيرًا بقي متراكمًا لسنين طويلة، فإنّ المعرفة الإسلاميّة خلّفت كذلك إرثًا معرفيًّا موازيًا بقي وما زال متراكمًا، ولولا ذلك الإرث الاستشراقي لما كان لهذا الإرث الإسلاميّ المصاحب من وجود وبقاء وديمومة، مع ما بينهما من فارقٍ يضع المعرفة الاستشراقيّة في موقعيّة الفعل ومنزلة السّبق، بينما يضع المعرفة الإسلاميّة في موقعيّة ردّ الفعل ومنزلة متابعة</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والعمران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مطالعات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اشارةتحدّدت في محور الحضارة والعمران ثلاث مقالاتٍ منتخبةٍ من مقالات الموسوعة القرآنية،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والمجتمع في القرآن إعداد الباحث الأمريكي فريدريك ماثيوسون ديني وردت في المجلّد الأوّل، الصادر سنة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اليوميّة في القرآن إعداد الباحث المصري الدكتور نصر حامد أبو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وردت في المجلد الثاني، الصادر سنة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 والهندسة في القرآن، إعداد الباحث الأمريكي من أصل فرنسي الدكتور أوليغغرابار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 وردت في المجلد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 هذه المقالات الثلاث طريقةً موحدةً من جهة المنهج، متحدّدةً في المنهج المزدوج الوصفي والتحليليّ اللذين يقوم عملهما على تتبّع الظّواهر المندرجة في موضوع البحث وتناولها بالوصف والتحليل الوصف الذي يتناول الظاهرة ضبطاً وتحديدًا من جهة الشّكل والظاهر والتّحليل الذي يتناول الظّاهرة تفسيرا وتحليلًا من جهة المحتوى والباطن، وهما المنهجان المتّبعان عادةً في الموسوعات العلميّة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والأكاديميّة والمفضّلان كذلك في هذا النّمط من الأعمال الموسوعيّة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ناحية التّصنيف، فقد تعدّدت انتماءات هذه المقالات الثلاثة من جهة الحقل المعرفيّ، فالمقالة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والمجتمع في القرآن تنتمي إلى حقل الدّراسات الاجتماعيّة، وتحديدًا إلى علم الاجتماع الدّينيّ، والمقالة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 اليومية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تنتمي إلى حقل الدّراسات الأنثروبولوجيّة، وتحديدًا إلى الأنثروبولوجيّة الدّينيّة، أما المقالة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 والهندسة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فتنتمي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حقل الدّراسات الفنّيّة، وتحديدًا إلى الفنّ الدّيني أو الفنّ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ناحية الإطار الموضوعي، فإنّ هذه المقالات الثلاثة يمكن أن تندرج ضمن إطارٍ متّحدٍ، متحدّدًا في موضوع الحضارة والعمران في القرآن الكريم، متناولةً هذا الموضوع من ثلاثة مداخل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الاجتماعي، وتعلّقت به المقالة الأولى التي حاولت دراسة مفاهيم الجماعة والمجتمع والأمة في القرآن ومعرفة ما إذا كان القرآن قد أحدث تحوّلًا جوهريًا في بنية هذه المفاهيم إلى جانب العناية بمعرفة أثر القرآن في تغيير وجهة الأمة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الأنثروبولوجي، وتعلّقت به المقالة الثانية التي حاولت دراسة علاقة الناس العاديين في حياتهم اليوميّة بالقرآن وهل تكشف هذه العلاقة عن أثر القرآن في ازدهار الحياة اليوميّة للناس في المجتمعات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 المدخل الفنّي، وتعلّقت به المقالة الثالثة التي حاولت دراسة علاقة الفنّ والهندسة بالقرآن عمرانًا وازدهارًا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فيما يتعلّق بجانب التركيب لهذه المقالات الثلاث وما بينها من اتّصالٍ، أمّا جانب التّحليل فيتعلّق بفحص هذه المقالات الثلاث بطريقةٍ مفكّكةٍ كلّ واحدةٍ على حدة، باعتبار أنّ كلّ واحدةٍ منها لها بنيتها ونسقها وحكمتها وحقلها الدّلالي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والمجتمع في القرآنيرى فريدريك ديني أنّ مقالته غطّت الأبعاد الأساسيّة لوجهات نظر القرآن بشأن الجماعة والمجتمع، وحاولت وضعهما في السّياق الاجتماعي والثّقافي لجزيرة العرب قبل الإسلام مع أنّ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الباحث ليس كتابًا يفسّر علم الاجتماع لجزيرة العرب القديمة، معتبراً أنّ هذا الموضوع تحتاج دراسته العودة إلى مصادر أدبيّة عدّة من بينها القرآن متطرّقًا إلى سبعة أعمال أدبيّة معاصرة، من بينها كتاب الباحث اللبناني الدكتور رضوان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مفاهيم الجماعات في الإسلام الصادر سنة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 واصفًا له أنّه يمثّل دراسةً شاملةً في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نوّهت بهذا الكتاب لكونه الكتاب العربي من بين الأعمال السّبعة التي أشار إليها الباحث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 ديني مقالته لافتًا الانتباه إلى مفارقتين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المفارقة الأولى، رأى فيها أنّ القرآن بوصفه مصدرًا بارزًا للحقائق والمعلومات حول الله، فإنّه أيضًا يمثّل مصدرًا توجيهيًّا في تكوين الجماعة والمجتمع التّقيّين وذلك على الصّعيدين النّظري والعملي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المفارقة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فيها ديني أنّ غاية الخطاب القرآنيّ بشأن الأبعاد الاجتماعيّة للتجربة الإنسانيّة مع أنّها تنطوي بشكلٍ أساسيٍّ على توجيه المسلمين وإلهامهم وتنظيمهم نحو التّقرّب من الله وخدمته إلَّا أنّه أيضًا يقدّم وفرةً من المعلومات المتنوّعة حول المجموعات الإنسانيّة التي ينظر إليها من منظوراتٍ 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تكوّنت المقالة من ثلاثة محاور أساسيّة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العربي القديم للأفكار والمؤسّسات الدّينيّة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المصطلحات والأفكار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المجتمعيّة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الفئة ذات الشأن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أشبه بمدخلٍ تاريخيٍّ تمهيديٍّ توقّف فيه الباحث وصفًا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وتحليلًا لتكوين المعرفة بما أطلق عليه السّياق العربي القديم للأفكار والتّشكّلات الاجتماعيّة ما قبل الإسلام وتزامنًا مع ظهوره استند فيه بصورةٍ رئيسةٍ إلى ثلاث دراساتٍ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التّحليل التاريخي لمرحلة ما قبل الإسلام استند الباحث إلى المستشرق الإنجليزي مونتجمري 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بالعودة إلى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سنة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 واصفًا لهما بالدراسة المثيرة والمؤثّرة، وأنّها وفّرت تحليلاتٍ مفصّلةً عن القبائل والعشائر العربيّة، التي كان لها دور في المراحل التأسيسيّة لتطوّر الأمّة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التّحليل التّاريخي لمرحلة الإسلام استند إلى الكاتب ريد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التّحليل التاريخي لتطوّر الأفكار بشأن الأمّة والمجتمع ما قبل الإسلام وعند ظهوره استند إلى الدكتور رضوان السيد بالعودة إلى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والجماعة والسلطة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الفكر السياسي العربي والإسلامي الصادر سنة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 وقد وصف الباحث هذا الكتاب بالدّراسة الغنيّة، وعدّه مثالًا لافتًا للانتباه لعلم الاجتماع المرتكز على أرضيّةٍ لاهوتيّةٍ؛ إذ لا يلجأ إلى القرآن والوثائق المعاصرة الأخرى وحسب، بل يستشهد أيضًا بالأحاديث والتّفسير القرآني والشّعر والتّاريخ والسّيرة النّبويّة، إضافة إلى العلوم القرآنيّة ونقاشات التّفسير لإظهار كيف أنّ الأمّة تطوّرت مع الوقت إلى جماعة كاريزماتيّة متعدّدة الأبعاد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المصطلحات والأفكار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المجتمعيّة في القرآن، فقد مثَّل جوهر موضوع البحث ولبه تتبّع فيه الباحث وصفًا وتحليلاً المفاهيم والمصطلحات التي تتّصل بالجماعة والمجتمع في القرآن متوقّفًا عند مفاهيم الأمة الملة حنيف المسلمين والمؤمنين، عباد الله، مركّزًا على مفهوم الأمة باعتباره المفهوم القرآنيّ الأكثر تطوّرًا للتعبير عن جماعة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تشكيل الفئة ذات الشأن في القرآن، فهو أشبه بتتمّة للبحث عدّه الباحث استطرادًا، تتبع فيه بعض المفاهيم والمصطلحات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 والمسيحيين الأسلاف الفوريين للإسلام من ناحية التوحيد الدّيني، معتبرًا أنّ انتقاد القرآن لليهود وعلى نحو أقل المسيحيين يكشف عن مسعّى للإسلام المبكر لتحديد نفسه أعلى شأنًا من أخويه السّابقين في المعتقد الإبراهيمي، مع تأكيده على أنّ الخلافات بين الإسلام والديانتين اليهوديّة والمسيحيّة لا تُشبه الجدل الأساسي مع المشركين؛ لأن ثمّة أسس مشتركة رئيسة في المعتقدات التوحيديّة، وفي القسم الأخير من المقالة تطرّق الباحث لقضيّة الزواج والعائلة وختمها بالحديث عمًّا أطلق عليه المجتمع الكامل ويقصد به نموذج مجتمع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جهة التّوصيف، أمّا من جهة التّقويم فيمكن تسجيل الملاحظات الآتية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ناحية الخطاب اتّسمت المقالة إجمالًا بالاعتدال والطرح الهادئ، وجاءت خاليةً من التشنُّجات والمواقف الحادَّة، متجنّبةً إثارة الشّبهات والإشكاليات المتحيِّزة والمؤدلجة التي ميّزت نسقًا كبيرًا في منظومة المعرفة الاستشراقيّة، لكنّها بقيت متّصلةً بهذه المعرفة الاستشراقيّة لم تخرج عليها أو تتجاوزها، منتظمةً فی نسقها، منسجمةً مع روحها، مستندةً إلى أعلامها ومراجعها، فهي من هذه الجهة تنتمي</w:t>
      </w:r>
      <w:r>
        <w:rPr>
          <w:rFonts w:ascii="Amiri" w:hAnsi="Amiri" w:eastAsia="Amiri" w:cs="Amiri"/>
          <w:color w:val="111111"/>
          <w:sz w:val="28"/>
          <w:sz w:val="28"/>
          <w:szCs w:val="28"/>
          <w:rtl w:val="true"/>
          <w:lang w:bidi="ar-SA"/>
        </w:rPr>
        <w:t>إلى ما يمكن تسميته بالاستشراق المعتدل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 من ناحية المنهج بدا لي أنّ المقالة لا تتَّسم بالقدر الكافي من الإحكام المنهجيّ، ولم تكن بذلك التّرابط والاتِّساق في تناول القضايا والموضوعات، ولم تقدّم ضبطًا معرفيًا للمفاهيم الأساسيّة المعالجة كمفاهيم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والمجتمع والأمة، ولم تكن بذلك التركيز، فقد اعتنت ببعض القضايا والمفاهيم التي لم تكن أساسيّة بالنسبة للموضوع، مثل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وأهملت في المقابل بعض القضايا والمفاهيم الأساسيّة،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تعدّ من الكلمات البلاغيّة المهمّة في القرآن الدالّة على الجانب الإنساني العام الذي يتّسع إلى النّاس كافة بغضّ النظر عن مللهم وأديانهم، كما أهملت الحديث عن فكرة الجماعات متمثّلة في أقوام الأنبياء التي أخذت حيّزًا كبيرًا في بنية الخطاب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 من ناحية المعرفة لم تقدّم المقالة جديدًا على مستوى المعرفة بالنّسبة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الموضوع المعالج، ولم تتَّسم بالابتكار والتجديد وكلّ ما ورد فيها هو من نمط المعرفة المتداولة في دراسات وتأليفات الآخرين عربًا ومسلمين، والتي من السّهولة الوصول إليها، والقبض عليها والحديث عنها، وهذا لا يعني على الإطلاق أنّ لا قيمة لهذه المقالة من أيَّ وجه من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البدائل على مستوى المنهج من الممكن أن نقدّم منهجًا بديلًا في دراسة مفاهيم الجماعة والمجتمع والأمة في القرآن الكريم، وهناك منهجان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يتَّصل بالمجال الإسلامي الخاص، ومنهج يتَّصل بالمجال الإنساني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الحديث عن المفاهيم الثلاثة المذكورة في إطار ثلاثة أطوار اجتماعيّة وتاريخيّة حدثت في الاجتماع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المكيّة وانبثاق مفهوم الجماعة، في هذا الطور جاء الخطاب القرآني والمسلمون متشكّلون في جماعةٍ أول جماعة في 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المدنيّة وانبثاق مفهوم المجتمع، في هذا الطّور جاء الخطاب القرآني والمسلمون متشكّلون في مجتمع هو أوّل مجتمع في 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المكيّة والمدنيّة وانبثاق مفهوم الأمّة، في هذا الطور جاء الخطاب القرآني والمسلمون متشكّلون في أمّة هي أوّل أمة في تاريخ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 الثاني من الممكن الحديث عن الاجتماع الإنساني العام في القرآن الكريم من خلال ثلاثة أطوار كبرى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ويتّصل بعالم الفرد ، باعتبار أنّ الاجتماع الإنساني بدأ في صورة فردٍ ولم يبدأ في صورة جماعةٍ أو مجتمعٍ، وفي هذا الطور تقصَّد القرآن لفت الانتباه إلى ثلاث خطيئات مؤثّرة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خطيئة إبليس متمثّلة في خطيئة التكبُّر التي جعلته من الكافرين،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 فَسَجَدُوا إِلَّا إِبْلِيسَ أَبَى وَاسْتَكْبَرَ وَكَانَ مِنَ الْكَافِرِينَ</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وخطيئة آدم متمثّلة في خطيئة حس التّملّك والخلود التي تقود الإنسان لأن يكون من الظالمين،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يَا آدَمُ اسْكُنْ أَنْتَ وَزَوْجُكَ الْجَنَّةَ وَكُلا مِنْهَا رَغَدًا حَيْثُ شِئْتُمَا وَلَا تَقْرَبَا هَذِهِ الشَّجَرَةَ فَتَكُونَا مِنَ الظَّالِمِينَ فَأَزَلَّهُمَا الشَّيْطَانُ عَنْهَا فَأَخْرَجَهُمَا مِمَّا كَانَا فِيهِ وَقُلْنَا اهْبِطُوا بَعْضُكُمْ لِبَعْضٍ عَدُوٌّ وَلَكُمْ فِي الْأَرْضِ مُسْتَقَرُ وَمَتَاح إلى حِينٍ</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وخطيئة قابيل متمثّلة في الحسد التي قادته إلى قتل أخيه فأصبح من الخاسرين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ابْنى آدَمَ بالحق إذْ قَرَّبَا قُرْبَانًا فَتُقُبِّلَ مِنْ أَحَدِهِمَا وَلَمْ يُتَقَبَّلْ مِنَ الْآخَرِ قَالَ لَأَقْتُلَنَّكَ قَالَ إِنَّمَا يَتَقَبَّلُ اللَّهُ مِنَ الْمُتَّقِينَ لَبِنْ بَسَطْتَ إِلَيَّ يَدَكَ لِتَقْتُلَنِي مَا أَنَا بِبَاسِطٍ يَدِى إِلَيْكَ لأَقْتُلَكَ إِنِّي أَخَافُ اللَّهَ رَبَّ الْعَالَمِينَ إنِّي أُريدُ أَنْ تَبُوءَ بإني وَإِثْمِكَ فَتَكُونَ مِنْ أَصْحَابِ النَّارِ وَذَلِكَ جَزَاءُ الظَّالِمِينَ بِإِثْمِي فَطَوَّعَتْ لَهُ نَفْسُهُ قَتْلَ أَخِيهِ فَقَتَلَهُ فَأَصْبَحَ مِنَ الْخَاسِرِينَ</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الطور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ويتَّصل بعالم الجماعة وتحدّد باستخدام القرآن الكريم لفظ القوم، منتقلًا من عالم الفرد إلى عالم الجماعة، متحدّثًا عن أقوام الأنبياء، قاصدًا لفت الانتباه إلى قضايا ومشكلات مهمّة ومتعدّدة تتَّصل بحال الجماعة والجماعات فمع قوم شعيب تحدّث القرآن عن مشكلة اقتصادية متمثلة في نقصان المكيال والميزان وقوم لوط تحدّث القرآن عن مشكلة أخلاقية متمثّلة في إتيان الفاحشة، وقوم إبراهيم تحدّث القرآن عن مشكلة عقائدية متمثلة في عبادة الأصنام، وقوم موسى تحدّث القرآن عن مشكلة سياسية متمثَّلة في طغيان فرعون وهكذا في باقي الأقوام الأخرى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الطور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ويتّصل بعالم الأمة وجاء مع نزول القرآن الكريم بوصفه خاتمة الكتب السّماويّة، وظهور الإسلام بوصفه خاتم الديانات التوحيديّة، ومع النّبيّ الأكرم صلی الله علیه و آله و سلم  بوصفه خاتم الأنبياء والرسل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الطور انبثق مفهوم الأمّة وجاء متّصلًا بعالم الإسلام، ونصَّ القرآن الكريم على ذلك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أُمَّةٍ أُخْرِجَتْ لِلنَّاسِ تَأْمُرُونَ بِالمَعْرُوفِ وَتَنْهَوْنَ عَنِ الْمُنْكَرِ</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وجدير بالإشارة أنّ مفهوم الأمّة الذي تحدّث عنه القرآن الكريم في هذا الطور يختلف عن باقي الاستعمالات الأخرى لمفهوم الأمة التي وردت في العديد من الآيات القرآنيّة، ويراد بهذا المفهوم تلك الكتلة البشريّة الكبيرة التي تحدّدت هويّتها وشخصيّتها، ورسالتها، وتحمّلت تبليغ دين الإسلام إلى 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 الحياة اليوميةافتتح الدكتور نصر حامد أبو زيد مقالته منبّهًا إلى مفارقة يرى فيها أنّ موضوع الدين في الحياة اليوميّة حظي باهتمامٍ متزايدٍ من قبل المؤرّخين والباحثين الاجتماعيين، بينما لم يخضع دور النّصّ المقدّس في الحياة اليوميّة للدراسة إلَّا نادرًا، منوّهًا أنّ الحياة اليوميّة لا يمكن استيعابها بذلك المستوى من الوضوح المتصوّر، لكونها تغطّي طيفًا واسعًا من النّشاطات الفرديّة والاجتماعيّة المعقّدة ضمن نطاقٍ ثقافيٍّ محدّدٍ مستندًا إلى تعريفٍ عدَّه مقبولًا عن الحياة اليوميّة متحدّدًا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نشاطات النّاس العاديين اليوميّة غير العباديّة، قاصدًا أولئك الأفراد الذين لا يتمتّعون بأهميّة أو شهرة ولا يتبوّؤون مناصب في مجتمعهم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ناحية المنهج ، يرى الباحث أن مسألة تصنيف ظواهر الحياة اليوميّة أو توثيقها منهجيًّا ستواجه مشكلةً تتمثل فى قلّة المعلومات المستحصلة بشكل عام حول عامّة المسلمين أو نمط حياتهم اليوميّة من خلال دراسة كمًّ هائل من المراجع التّاريخيّة والدّينيّة؛ إذ تميل الدّراسات الأنثروبولوجية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نظره لمقاربة تلك المجموعة من النّشاطات الدّينيّة ذات الصّلة بالبنى والهياكل الاجتماعيّة والجمعيّة من قبيل الشعائر والمناسك السلوكيات العبادية الاحتفالات بالأولياء المواعظ والخطب وأمثالها أكثر من التعامل مع مضامينها، ما يجعل من النّادر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اهتمام تلك الدّراسات بدور القرآن أو وظيفته في أمثال تلك النشاطات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ناحية فكرة الموضوع ، يرى الباحث أنّ القرآن انبرى منذ البداية لإعادة بلورة حياة النّبيّ وأتباعه وتشكيلها من جديد ما يفرض ضرورة الاهتمام بجوانب الحياة اليوميّة التي نظّمت حسب تعاليم ،القرآن ومن جهةٍ أخرى زاد دور القرآن في الحياة اليوميّة بالتَّدرّج في أعقاب وفاة النّبيّ واتّسعت مكانته مع انتشار الإسلام في المناطق التي كانت تتمتّع بتقاليد تاريخيّة ودينيّة وثقافيّة مختلفة فتطوّرت وظيفته ومهامُّه، وأصبحت أكبر بكثير مما كانت عليه في عهد المجتمع الإسلامي الأوّل، الأمر الذي يستدعي في نظر الباحث فهم دور القرآن في بلورة حياة المسلمين الأوائل كأرضيّةٍ لازمةٍ لاستيعاب وظيفته المشابهة في العهود المتأخّرة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ناحية السّياق، تتبّع الباحث كيف نفذ القرآن وأعاد تشكيل الحياة اليوميّة للمسلمين خصوصًا من خلال نظام العبادات، ابتداءً من الصلاة باعتبارها فريضةً يوميّةً تُؤدَّى خمس مرات في اليوم، ويحضر فيها القرآن تلاوة، لذا فهي من أكثر الفرائض التي جعلت القرآن حاضرًا في حياة المسلمين اليوميّة، وهكذا من خلال فريضة الصيام في شهر رمضان الذي يعتني فيه المسلمون بتلاوة القرآن، يضاف إلى ذلك فريضة الحج ومعها العمرة حيث يحضر فيهما القرآن تلاوة وتعلُّقًا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وتتمّةً لهذا السياق، يضيف الباحث أنّ مكانة القرآن قد تعزّزت في الحياة اليوميّة للمسلمين وذلك بعد أن أصبح القرآن إلى جانب السّنّة النّبويّة مصدرًا لكافّة المعارف الدّينيّة والدّنيويّة للفرد والمجتمع، وهذا ما أكّده الفقهاء أمثال الشافعي وغيره، وأذعن له أيضًا المتكلمون وفلاسفة المسلمين في سعيهم العقلاني للعثور على مرتكزات المعرفة الحقَّة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تعدّد صور حضور القرآن في الحياة اليوميّة للمسلمين يبقى في نظر الباحث أنّ أبرز حضور له يتمثّل في ،تلاوته متتبّعًا بعضًا من المشاهد المتكرّرة التي تتّخذ من تلاوة القرآن طقسًا وتقليدًا مثل مناسبات إحياء مراسيم الموتى ومناسبات عقود الزواج، إلى جانب مناسبات أخرى، تطرّق لها الباحث عاكسًا فيها خبرته الذّاتيّة ومشاهداته اليوميّة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وختم الباحث مقالته ملخّصًا مطالعته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استطاع النّفوذ لكافّة أبعاد الحياة اليوميّة من خلال تنظيم وإعادة بلورة حياة مجتمع المسلمين الأوائل اليوميّة ماديًّا ومعنويًا، وأدَّى انتشار الإسلام خلال فترةٍ قصيرةٍ من الزمن لتقديم القرآن إلى بيئاتٍ مختلفةٍ ثقافيًا واجتماعيًّا ليصار إلى تَبوُّؤ ذلك الكتاب السّماوي مكانةً مميّزةً في تلك البيئات وكما نفذ القرآن بالتّدريج في نسيج اللّغة العربيّة وأمثالها، استطاع أن يترك تأثيره في كافّة اللّغات الأخرى التي ينطق بها المسلمون من غير العرب، وكان التأثير الأوسع للقرآن في كافّة أبعاد الحياة اليوميّة للمسلمين على مستوى اللّغة التي تشكّل حجر أساس الفكر والمجتمع، سواء كانت واسطة اللغة ذات جانبٍ ماديُّ أو 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وسواء على شكل قراءة القرآن أو إسقاط تجلّياتها على الحرف اليدويّة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ناحية التّوصيف، أما من ناحية التّقويم فيمكن تسجيل الملاحظات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الخطاب، اتّسمت هذه المقالة كذلك بالاعتدال والطرح الهادئ انسجامًا على ما يبدو بنهج الموسوعة والتزامًا بضوابطها ومعاييرها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وتتأكَّد هذه الملاحظة عند معرفة أنّ الباحث كانت له سيرة في إثارة الجدل حول النّصّ القرآني وطالما لقيت آراؤوه معارضةً شديدةً في الأوساط الدّينيّة، انتهت به لأن يكون لاجئًا خارج بلده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المعرفة لم تقدّم المقالة كذلك جديدًا على مستوى المعرفة، قد يكون فيها ما يثير انتباه الغربيين خصوصًا من جهة المقارنة الفارقة بين مكانة الكتاب المقدّس في حياتهم اليوميّة الذي شهد تقلُّصًا وتراجعًا إن لم يكن غيابًا، وبين مكانة القرآن الكريم عند المسلمين في حياتهم اليوميّة الذي شهد حضورا واتّساعًا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المقالة ما يثير انتباه الغربيين ودهشتهم فليس فيها ما يثير انتباه المسلمين ودهشتهم؛ لأنّها من المعرفة المألوفة لهم والمشاهدة في حياتهم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المصادر، استند الباحث كلّيًّا إلى مصادر المدرسة الإسلاميّة السنيّة في الحديث والتفسير والفقه وأغفل كلّيًّا العودة إلى مصادر المدرسة الإسلاميّة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الشيعيّة التي لها مدوَّناتها واجتهاداتها المؤتلفة والمختلفة مع غيرها من المدارس الإسلاميّة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يعرفه الباحث قبل غيره، ويدرك ما لهذه الملاحظة من تأثيرٍ واعتبارٍ في الدّراسات العلمية والأكاديميّة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بإمكان الباحث أن يتجاوز هذه الملاحظة ويتخطّاها، لو أنّه أشار منبّها سلفًا بتقيُّده بإطار المدرسة الإسلاميّة السّنية لضرورات وحيّثيّات منهجيّة أو لاعتباراتٍ أخرى، ومعترفًا في الوقت نفسه للمدرسة الإسلاميّة الشيعيّة باجتهاداتها المقدِّرة لكنّه لم ينبِّه بهذه الملاحظة، ولا أدري إن كان متنبّهًا لها أم لا، وهل سقطت سهوا أم تغافلا الأمر الذي اقتضى تسجيل هذه الملاحظة والتنويه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وتبرز هذه الملاحظة وتتأكّد عند الإشارة إلى بعض المسائل المتفرّقة التي تعدّدت فيها وتباينت وجهات النّظر بين المدرستين الإسلاميتين وبعيدًا عن الاستغراق في هذا الخلاف سنكتفي بالإشارة إلى مسألتين 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الباحث إلى صلاة التراويح، ناقلًا رأي المسلمين السنة في استحباب إقامتها جماعة كلّ ليلةٍ في شهر رمضان في حين أنّ هذه الصلاة بهذه التّسمية وبتلك الهيئة والكيفيّة في الأداء لم تثبت عند المسلمين الشيعة، ولم يثبت لديهم أنّ الصلوات المستحبّة تقام جماعة</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الباحث إلى ليلة القدر، ناقلًا كذلك رأي المسلمين السنة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عامّة المسلمين يعتقدون بأنّ ليلة القدر هي ليلة السابع والعشرين من شهر رمضان، متغافلًا عن رأي المسلمين الشيعة الذين يتّفقون مع باقي مدارس المسلمين في تعيُّنها في العشر الأواخر من شهر رمضان، لكنهم استنادًا إلى مروياتهم عن أئمة أهل البيت علیهم السلام يلتمسونها مرجَّحة ليلة الثالث والعشرين، مع الالتفات كذلك إلى ليلتين هما ليلة التاسع عشر والحادي والعشرين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 والهندسة في القرآنناقشت مقالة الباحث الأمريكي من أصل فرنسي الدكتور أوليغغرابار ثلاثة محاور أساسية هي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الإشارات أو التّلميحات القرآنيّة إلى الفنّ والهندسة، في هذا المحور يرى الباحث أنّ دراسة الفنّ والهندسة في القرآن لا يؤدّي إلى نتيجةٍ كلّيّةٍ، بل إلى سلسلةٍ من الملاحظات المنفصلة قسّمها إلى مجموعتين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الإشارات المباشرة إلى الأشياء المصنوعة أو الأبنية والثانية، الدّلالات غير المباشرة المرتبطة بصناعة الأشياءوهندسة المساحات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وتوقّف الباحث بشأن المجموعة الأولى عند قصّة النّبيّ سليمان وقصة ملكة سبأ كما قصّهما القرآن وكيف أنّهما تحملان العديد من الدّلالات المتعلّقة بالفنون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بشأن المجموعة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الباحث ملتفتًا إلى بعض المفردات القرآنيّة التي تتّصل بالفنون أو تنطبق عليها منها الكلمات الدالّة على التّجمّعات العمرانيّة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مدينة مساكن البلد ،الأمين ،بيت ،دار، قصر، مثوى مصانع ،مسجد ،محراب من بين هذه الكلمات اعتبر الباحث أنّ المسجد والمحراب أصبحا مصطلحين يدلّان على أمرين بالغي الأهميّة في الهندسة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ويرى الباحث كذلك أنّ في القرآن توجد فئةً من الإشارات إلى الأشياء القابلة للرؤية، لكنّها لم تُشاهد مع الاعتقاد بوجودها، قاصدًا بذلك البيانات المتعدّدة عن الجنّة وما فيها من إشاراتٍ تقع في خانة الهندسة والتصميم، وكيف أنّها أثّرت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تصميم الحدائق خصوصًا في الهند المغوليّة كما في ضريح السلطان أكبر في سيكاندارا وتاج محل في أغرا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 استخدم القرآن مصدرًا للاقتباسات في عمليّة صناعة الأعمال الفنّيّة وزخرفتها في هذا المحور يرى الباحث أنّ على خلاف الوصيّة الثانية في العهد القديم، ليس هناك في القرآن أيَّة معارضة تجاه الفنّ أو التصوير، كما أنّه ليس هناك دعوة إلى صناعة الأعمال الفنّيّة أو تأسيس ثقافة ماديّة ذات طابعٍ إسلاميٍّ، هذا على المستوى النّظري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المستوى التّطبيقي فيرى الباحث أنّ الثّقافة الإسلاميّة حينما امتدَّت على أراضٍ شاسعةٍ اضطرّت للتعامل مع التّقاليد الفنّيّة الغنيّة والمتنوّعة للثقافات الأجنبيّة التي قابلتها، ومن ثم لجأت إلى القرآن بقصد الحصول على أجوبةٍ مطورةٍ مباشرةٍ عن شرعيّة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الأنشطة الفنّيّة أو على الأقل إشارات يمكن أن تقود إلى هذه الأجوبة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شك في نظر الباحث من تواصل التّنقيب في القرآن للعثور على أجوبةٍ عن الحاجات الجماليّة والاجتماعيّة للمجتمعات والثّقافات الإسلاميّة أثناء تطوّرها مع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تعزيز القرآن عبر الفنّ في هذا المحور يرى الباحث أنّ القرآن تعزّز في مجتمعات المسلمين منذ الأزمنة القديمة إلى هذه الأزمنة الحديثة عبر الفنّ، وذلك من خلال التنوُّع في أنواع كتابة الصّحف، وفي إضافة معالم صغيرةٍ مزخرفةٍ في منتصف النّصّ أو في الحواشي، وغالبًا ما تكون مجرّدةً أو على هيئة الأزهار، كما وضعت عناوين كبيرة بين السّور واكتسب بعضها تصاميم تزيينيّة، وهكذا من خلالالتنوُّع في أحجام المصحف الصغيرة والكبيرة، وفي أنواع التّجليد الفنّي والفاخر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ناحية التّوصيف أمّا من ناحية التّقويم، جاءت المقالة متماسكةً ومحكمةً من جهة المنهج متمكّنةً ومتضلّعةً من جهة المعرفة، عكس فيها الباحث خبرته ودرايته الواسعة والنّاضجة بهذا الحقل، فهو يعدّ من كبار الخبراء والمتخصّصين في مجال الفنّ والعمارة الإسلاميين، وله سيرةٌ طويلةٌ وحافلةٌ في هذا الشأن تدريسًا وتأليفًا وتنقيبًا، جامعًا بين المعرفة النّظريّة والخبرة التطبيقيّة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مستوى التّدريس عرف غرابار بسيرته الأكاديميّة في أعرق الجامعات الأمريكية، فقد كان أستاذ العمارة والفن الإسلاميين في جامعة هارفارد طيلة عشر سنوات تقريبًا امتدت خلال الفترة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مستوى التّأليف نشر غرابار مجموعةً من المؤلّفات المتخصّصة عدّت من المراجع المهمّة في حقل الفن والعمارة الإسلاميين يبرز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التفكير في الفن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جماليّة الزخرفة،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 الفن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الأشكال والوظائف في الفن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ودراسة الفن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هذا الكتاب من أربعة أجزاء جمعت ثلاثة وثمانين مقالة، إلى جانب تأليفات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مستوى التنقيب فقد كان غرابار كما وصف رجلًا ميدانيًّا أدار وشارك في العديد من البعثات الأثريّة التنقيبيّة شملت مناطق متفرّقة من البلدان العربيّة والإسلاميّة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والعمران ملاحظات وإضاءاتفي الخاتمة نشير لبعض الملاحظات والإضاءات تتمّةً وتجليةً للحديث عن مسألة الحضارة والعمران في القرآن الكريم، فهذه المسألة بحاجةٍ فعليةٍ لاستظهار واستجلاء، والعناية بها بحثًا ودراسة من هذه الملاحظات والإضاءات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احتوت الموسوعة القرآنيّة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ومدخلًا شملت العديد من القضايا والمسائل العامة والخاصّة واتصلت بمختلف الجوانب والأبعاد وتفاوتت من حيث الأهميّة والقيمة في حقل الدّراسات القرآنيّة كما تفاوتت من جهة القرب والبعد ومع هذه السّعة التّفصيليّة فى العناوين والمداخل كان من اللافت غياب عنواني الحضارة والعمران فلم يكونا مشمولين في قائمة عناوين الموسوعة على وفرتها وكثرتها، ولا نعلم على وجه التّحديد هل حدث هذا الأمر عن قصدٍ أم عن غير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الحالتين فقد مثَّل هذا الأمر نقصًا في الموسوعة، وترك فراغا وسجّل عليها 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هو الذي كشف للفكر الإنساني نظريّة السنن والقوانين التّاريخيّة والاجتماعيّة الكليّة والثابتة والمطّردة، التي تحكم حركة التّاريخ بكّليته في كلّ أزمنته وعصوره وتوجّه سير المجتمعات والحضارات تقدّمًا وتراجعًا، صعوداً وهبوطاً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 توقّف الشيخ محمد عبده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 أمام أوّل آيةٍ جاءت على ذكر السّنن الإلهيّة،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قَبْلِكُمْ سُنَنٌ فَسِيرُوا فِي الْأَرْضِ فَانْظُرُوا كَيْفَ كَانَ عَاقِبَةُ الْمُكَذِّبِينَ</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 اعتبر الشيخ محمد عبده أنّ هذه الإشارة من القرآن الكريم لفكرة السنن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يعهد في كتاب سماويّ، ولعلّه أرجئ إلى أن يبلغ الإنسان كمال استعداده الاجتماعي، فلم يرد إِلَّا في القرآن الذي ختم الله به الأديان</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ضوء هذا البيان الإلهي دعا الشيخ محمد عبده تحويل هذه السنن إلى</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يمكن تسميته حسب قوله علم السنن الإلهيّة، أو علم الاجتماع، أو علم السياسة الدّينيّة، أو أيَّة تسمية أخرى لا ضير عنده في ذلك،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إرشاد الله إيَّانا إلى أنّ له في خلقه سُنَنًا، يوجب علينا أن نجعل هذه السُّنَن علمًا من العلوم، لنستديم ما فيها من الهداية والموعظة على أكمل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بسنن الله تعالى من أهم العلوم وأنفعها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وبهذا الكشف يكون القرآن الكريم قد قدَّم أعظم فتح علمي وحضاري وعمراني للمجتمعات، وبهذه السُّنن تستطيع الأمم المجتمعات أن تتقدّم أو تتأخّر، ويكون بإمكانها أن تدرك وتفسّر تقدُّمها أو تأخُّرها، ولولا هذه السُّنن لما استطاعت الأمم والمجتمعات أن تنجز خطوة واحدة نحو الحضارة والعمران، وليس بإمكان الأمم والمجتمعات أن تخرج على هذه السُّنن وتتحرّك بدونها، كما ليس بإمكانها مقاومتها أو التخلّي عنها، وتبديلها أو تحويلها، وهذا ما نصَّ عليه القرآن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لِسُنَّةِ اللهِ تَبْدِيلًا وَلَنْ تَجِدَ لِسُنَّةِ اللهِ تَحْوِيلًا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القرآن الكريم لتأكيد الطبيعة المدنية والحضرية للاجتماع الإسلامي معلنًا ذمَّه الشديد ورفضه الصارم لظاهرة الأعراب مصوّرًا لهم أنهم أشد كفرًا ونفاقًا كفرًا على الصعيد العقيدي، ونفاقًا على الصعيد الاجتماعي،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أَشَدُّ كُفْرًا وَنِفَاقًا وَأَجْدَرُ أَلَّا يَعْلَمُوا حُدُودَ مَا أَنْزَلَ اللهُ عَلَى رَسُولِهِ وَاللَّهُ عَلِيمٌ حَكِيمٌ وَمِنَ الْأَعْرَابِ مَنْ يَتَّخِذُ مَا يُنْفِقُ مَغْرَمًا وَيَتَرَبَّصُ بِكُمُ الدَّوَابِرَ عَلَيْهِمْ دَابِرَةُ السَّوْءِ وَاللهُ سَمِيعٌ عَلِيمٌ</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أتاحت هذه الآيات مجالًا للمفسّرين والعلماء لتكوين تحليلات مقارنة من جهات متعدّدة بين نمط أهل البدو ونمط أهل الحضر، ومن هذه التحليلات المبكرة ما ذكره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الكبير، شارحًا لماذا الأعراب أشد كفرًا ونفاقًا معلّلًا ذلك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أشد كفرًا ونفاقًا، والسبب فيه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البدو يشبهون الوحوش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استيلاء الهواء الحار اليابس عليهم، وذلك</w:t>
      </w:r>
      <w:r>
        <w:rPr>
          <w:rFonts w:eastAsia="Amiri" w:cs="Amiri" w:ascii="Amiri" w:hAnsi="Amiri"/>
          <w:color w:val="111111"/>
          <w:sz w:val="28"/>
          <w:szCs w:val="28"/>
          <w:rtl w:val="true"/>
          <w:lang w:bidi="ar-SA"/>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يوجب مزيد التيه والتكبّر والنخوة والفخر والطيش عليهم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ما كانوا تحت سياسة سائس، ولا تأديب مؤدّب، ولا ضبط ضابط فنشؤوا كما شاؤوا، ومن كان كذلك خرج على أشد الجهات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أصبح وأمسى مشاهدًا لوعظ رسول الله صلی الله علیه و آله و سلم وبياناته الشافية وتأديباته الكاملة، كيف يكون مساويًا لمن لم يؤاثر هذا الخير، ولم يسمع خبره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الفواكه الجبليّة بالفواكه البستانيّة لتعرف الفرق بين أهل الحضر والبادية</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القرآن الكريم الواسع والمتعدّد عن الأقوام السابقة على اختلاف أزمنتها ،وعصورها وتنوّع قضاياها ومشكلاتها، هو حديث في صلب مسألة الحضارة والعمران؛ لأنّه يتّصل بالكشف عن سنن قيام الحضارات وسقوطها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 توقّف الدكتور محمد إقبال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 متأمّلًا أمام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أُمَّةٍ أَجَلُ</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ذكر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الآية مَثَل من أمثلة الأحكام التّاريخيّة العامّة يتجلّى فيه التعيين والتّحديد، وهي في صيغتها البالغة الإيجاز توحي بإمكان دراسة حياة الجماعات البشريّة دراسة علمية باعتبارها كائناتٍ عضويّةً، وعلى هذا فمن يزعم أنّ القرآن يخلو من بذور المذهب التّاريخي يكون على ضلال مبين</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اعتبر إقبال أنّ مقدّمة ابن خلدون تدين بالجانب الأكبر من روحها إلى ما استوحاه المؤلّف من القرآن وهي المقدّمة التي تعدّ من من أسبق المحاولات في بناء المعرفة المنظّمة لعلم الاجتماع أو علم العمران البشري كما أسماه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بعض الإضاءات المهمة التي تُتمم الحديث عن مسألة الحضارة والعمران في القرآن الكريم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والمراجع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التفسير الكبير أو مفاتيح الغيب، بيروت، دار الكتب العلمية،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،محمد تجديد التفكير الديني في ،الإسلام لا ط دمشق دار وحي القلم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محمد حسين المستشرقون والدراسات القرآنية،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 دار المؤرخ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 عبدالرحمن موسوعة المستشرقين ،ط،ع، بيروت، المؤسسة العربية للدراسات والنشر،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 ،رودي الدراسات العربية والإسلامية في الجامعات الألمانية،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،ماهر،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المركز القومي للترجمة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جولد تسيهر ،جناتس، مذاهب التفسير الإسلامي،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النجار، لا ط القاهرة، الهيئة المصرية العامة للكتاب،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جحا ،میشال الدراسات العربية والإسلامية في أوروبا،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معهد الإنماء العربي،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 يوهان تاريخ حركة الاستشراق الدراسات العربية والإسلامية في أوروبا حتى بداية القرن العشرين تعريب عمر لطفي العالم دمشق دار ،قتيبة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القرآن الأوروبي، نشرة القرآن والاستشراق المعاصر بيروت المركز الإسلامي للدراسات الاستراتيجية، العدد الأول السنة الأولى، شتاء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محمد رشید، تفسیر المنار،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دار الكتب العلمية،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الدّراسات الفقهيّة في موسوعة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مقاربات نقدية التشريعات العباديّة في موسوعة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الغنامي</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الخلاصةإنَّ البحث في تعاليم الإسلام ومعارفه أخذ دائرةً كبيرةً، ومساحةً واسعةً، في اهتمامات الكتّاب والباحثين والمحقّقين من غير المسلمين كالمستشرقين والغربيين، وقد برزت من خلال مقالات وأبحاث وكتب ودراسات إلى موسوعاتٍ كبيرةٍ، وجديدها ما نراه في موسوعة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 حيث تناولت مجموعة من المقالات والعناوين والمداخل التي تطرّقت للتشريعات العباديّة في القرآن الكريم وقد دوّنت هذه المداخل وفق فرضيّاتٍ ومبانٍ وأسسٍ حملها أصحابها عن سلفهم من بشريّة القرآن الكريم وعدم وحيانيّته والتي تعدُّ منشأ طبيعيًّا للوصول إلى نتائج بعيدةٍ عن الرّؤية والنّظرة الإسلاميّة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فرض بشريّة القرآن ونظريّة تطوّر الأديان في المجتمعات، إذا اجتمعتا أعطتنا نتيجةً واحدةً هي التّشكيك في تعاليم القرآن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عرض هذه العناوين والمداخل سيظهر لنا على الرّغم من وجود نقاط قوَّةٍ في بعضها إلّا أنَّ الكثير منها جانب الصواب ويمكن وضع علامة استفهامٍ كبيرةٍ عليه وقد تناولنا في هذه المقالة تحليل بعض المقالات التي تناولت التّشريعات العباديّة، وهي كالتالي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وهي للكاتب تشرلزج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آدامز </w:t>
      </w:r>
      <w:r>
        <w:rPr>
          <w:rFonts w:eastAsia="Times New Roman" w:cs="Times New Roman" w:ascii="Times New Roman" w:hAnsi="Times New Roman"/>
          <w:color w:val="111111"/>
          <w:sz w:val="28"/>
          <w:szCs w:val="28"/>
          <w:lang w:val="en-US" w:bidi="en-US"/>
        </w:rPr>
        <w:t>Charles . Adams</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 والمحرّم وهي للكاتب جوزيف إ لوري </w:t>
      </w:r>
      <w:r>
        <w:rPr>
          <w:rFonts w:eastAsia="Times New Roman" w:cs="Times New Roman" w:ascii="Times New Roman" w:hAnsi="Times New Roman"/>
          <w:color w:val="111111"/>
          <w:sz w:val="28"/>
          <w:szCs w:val="28"/>
          <w:lang w:val="en-US" w:bidi="en-US"/>
        </w:rPr>
        <w:t>Joseph E. Lowry</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والنهي، وهي للكاتب مايكل كوك </w:t>
      </w:r>
      <w:r>
        <w:rPr>
          <w:rFonts w:eastAsia="Times New Roman" w:cs="Times New Roman" w:ascii="Times New Roman" w:hAnsi="Times New Roman"/>
          <w:color w:val="111111"/>
          <w:sz w:val="28"/>
          <w:szCs w:val="28"/>
          <w:lang w:val="en-US" w:bidi="en-US"/>
        </w:rPr>
        <w:t>Michael Cook</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وهي للكاتبة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أنجليكا نويفيرت </w:t>
      </w:r>
      <w:r>
        <w:rPr>
          <w:rFonts w:eastAsia="Times New Roman" w:cs="Times New Roman" w:ascii="Times New Roman" w:hAnsi="Times New Roman"/>
          <w:color w:val="111111"/>
          <w:sz w:val="28"/>
          <w:szCs w:val="28"/>
          <w:lang w:val="en-US" w:bidi="en-US"/>
        </w:rPr>
        <w:t>Angelika Neuwirth</w:t>
      </w:r>
      <w:r>
        <w:rPr>
          <w:rFonts w:ascii="Amiri" w:hAnsi="Amiri" w:eastAsia="Amiri" w:cs="Amiri"/>
          <w:color w:val="111111"/>
          <w:sz w:val="28"/>
          <w:sz w:val="28"/>
          <w:szCs w:val="28"/>
          <w:rtl w:val="true"/>
          <w:lang w:bidi="ar-SA"/>
        </w:rPr>
        <w:t>وقد عرضنا نقاط القوّة والضّعف فيها مع بيان محلّ الإشكال فيها والرّدّ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المقدّمةواجه الدّين الإسلاميّ أعداء كثرَ مذ بزوغ الوحي إلى يومنا هذا، وقد حاولوا ويحاولون إطفاء نور اللّه بأفواههم، ويأبى اللّه إلّا أن يتمَّ وعده، وينصر دينه، فسّخر له رجالاً صدقوا ما عاهدوا الله عليه على مرّ العصور والأزمان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أسلوب العداء وتزييف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مناحي عدَّة، من خلال التّشكيك في معارف الإسلام والقرآن الكريم، والتلبيس على النّاس فحرَّفوا الكلم عن مواضعه ثم حكموا عليه بالتّناقض وفساد النّظم ،والاختلاف إلى أن وصلت الهجمة إلى عصرنا الحاضر والهجمة المعاصرة على القرآن الكريم أشدُّ ضراوةً من كلِّ ما سبق، وذلك من خلال الفضائيات ومواقع الإنترنت فجاءوا بتهم زائفةٍ وسوَّقوها في مقالاتٍ ودراساتٍ وكتب وموسوعات، ومن خلال الإعلام المرئيّ والمسموع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دائرة معارف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أحدث الأعمال الموسوعيّة التي تناولت بیان معارف القرآن الكريم وعرضها وفق نظرةٍ غربيّةٍ، ومن بين تلك العناوين والمداخل التي أدرجت في هذه الموسوعة موضوع التّشريعات والعبادات في القرآن الكريم، فوجهوا سهام الطّعن والتّجريح والتّشكيك والتّزييف، وزعموا أنّها أخذت أو اقتبست عن اليهود والنّصارى وعن الوثنيّة في عصر الجاهليّة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هذا استخفافٌ وخيانةٌ للعلم والمعرفة؛ لأنَّ مقتضى النظر العلميّ ألّا يدخل الإنسان على الموضوع بفكرةٍ سابقةٍ وإلا فسد مخرجه بفساد مدخله وفسدت نتائجه بفساد مقدّماته، وهو آفة العلم الكبرى التي لا علاج لها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نريد أن نكون في بعدٍ عن الإنصاف، بل لا يمكن فرض ذلك على نحو الموجبة الكلّيّة، وإنّما هناك المنصف ،وغيره وهذا البحث ناظرٌ إلى الذين لهم مداخل وعناوين في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دائرة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ليدن وقد جانبوا الإنصاف والصواب والحقيقة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الفكر الغربي والاستشراقي يكاد يُجمع على تأثّر التشريعات الإسلاميّة والعبادات الدّينيّة بالقانون الرّوماني أو التلمود اليهوديّ أو غيرهما، وإن كان هناك اختلافٌ فى مقدار هذا التّأثّر، فالبعض يذهب إلى أنّ المسلمين نقلوا القواعد العامّة ومنهج التّدوين وبعض المصطلحات من القانون الرّومي أو التلمود، والبعض الآخر من المستشرقين يذهب إلى أنَّ الفقهاء المسلمين تأثّروا بهذا التلمود وذلك القانون في طرف مما كتبوا</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فما ينكر أحد أنَّ الفكر الإسلامي سالمٌ من التّأثّر على نحوٍ ما بما يشيع في البيئة من مفاهيم ونظمٍ، وأنَّ هذا اللون من التّأثّر مظهرٌ من مظاهر الفطرة في انفعالها بما يحيط بها، ومن ثم يثري الذّاتيّة أو الأصالة ولا يقضي عليها، ولكن التّأثّر الذي يراه الاستشراق في حديثه عن الإسلام والقرآن وفي حديثه عن التّشريعات العباديّة والفقه الإسلاميّ، هو التّأثّر الذي يعني التّبعيّة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التّشابه في بعض القواعد والأفكار والألفاظ لا يدلّ بحال على أنّ اللاحق قد نقل عن السّابق؛ لأنَّ مثل هذا التّشابه في بعض هذه الأمور أمرٌ طبيعيٌّ بين الأمم جميعًا، لا فرق بين المسلمين ،وغيرهم، وبذلك لا نستطيع لمجرّد هذا التّشابه الحكم بأنّ هذه الأمّة أخذت عن تلك، بل قد يكون مرجعه إلى ما هو معروفٌ من أنّ العقل الإنسانيّ السّليم يتشابه في كثيرٍ من ألوان التفكير ونتائجه دون الحاجة إلى تفسير هذه الظاهرة، مضافًا إلى أنّ مصدر جميع الأديان السّماويّة ومرجعها واحدٌ، وهو الله رب العالمين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جوانب خطورة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ليدن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التّصوير المشوّه والتّحريف المتعمد من قبل البعض لحقيقة العبادات الإسلاميّة فيها، وإدراك أهميّة الكشف عن المنطلقات والخلفيّات التي ساقت العديد من الغربيين والمستشرقين إلى هذا الموقف المعادي للإسلام؛ إذ برز من خلال بعض هذه العناوين والمداخل خلفيّاتهم الدّينيّة والفكريّة المختلفة، والتي ينطلقون منها في الطّعن في الإسلام فنجدهم كثيرًا ما يُردّدون مزاعمهم بأنّ العبادات في الإسلام من أصولٍ مختلفةٍ جاهليّةً ويهوديّةً ونصرانيّةً وأنّها قد مرّت بمراحل تطوّرت فيها عبر الأزمان متأثّرين في ذلك بنظرتهم إلى دياناتهم المحرّفة، والتي ساهمت أجيالٌ عديدةٌ في تطويرها وتكوينها، وخضعت لتأثيراتٍ مختلفةٍ عبر العصور</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وسنعرض في هذا البحث إلى بعض العناوين والمداخل التي تناولت تشريع العبادات في موسوعة دائرة المعارف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 وهي كالتالي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للكاتب تشرلز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آدامز </w:t>
      </w:r>
      <w:r>
        <w:rPr>
          <w:rFonts w:eastAsia="Times New Roman" w:cs="Times New Roman" w:ascii="Times New Roman" w:hAnsi="Times New Roman"/>
          <w:color w:val="111111"/>
          <w:sz w:val="28"/>
          <w:szCs w:val="28"/>
          <w:lang w:val="en-US" w:bidi="en-US"/>
        </w:rPr>
        <w:t>Charles . Adams j.</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 والمحرّم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للكاتب جوزيف إ لوري </w:t>
      </w:r>
      <w:r>
        <w:rPr>
          <w:rFonts w:eastAsia="Times New Roman" w:cs="Times New Roman" w:ascii="Times New Roman" w:hAnsi="Times New Roman"/>
          <w:color w:val="111111"/>
          <w:sz w:val="28"/>
          <w:szCs w:val="28"/>
          <w:lang w:val="en-US" w:bidi="en-US"/>
        </w:rPr>
        <w:t>Joseph E. Lowry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للكاتب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مايكل كوك </w:t>
      </w:r>
      <w:r>
        <w:rPr>
          <w:rFonts w:eastAsia="Times New Roman" w:cs="Times New Roman" w:ascii="Times New Roman" w:hAnsi="Times New Roman"/>
          <w:color w:val="111111"/>
          <w:sz w:val="28"/>
          <w:szCs w:val="28"/>
          <w:lang w:val="en-US" w:bidi="en-US"/>
        </w:rPr>
        <w:t>Michael Cook</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للكاتبة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أنجليكا نويفيرت </w:t>
      </w:r>
      <w:r>
        <w:rPr>
          <w:rFonts w:eastAsia="Times New Roman" w:cs="Times New Roman" w:ascii="Times New Roman" w:hAnsi="Times New Roman"/>
          <w:color w:val="111111"/>
          <w:sz w:val="28"/>
          <w:szCs w:val="28"/>
          <w:lang w:val="en-US" w:bidi="en-US"/>
        </w:rPr>
        <w:t>Angelika Neuwirth</w:t>
      </w:r>
      <w:r>
        <w:rPr>
          <w:rFonts w:ascii="Amiri" w:hAnsi="Amiri" w:eastAsia="Amiri" w:cs="Amiri"/>
          <w:color w:val="111111"/>
          <w:sz w:val="28"/>
          <w:sz w:val="28"/>
          <w:szCs w:val="28"/>
          <w:rtl w:val="true"/>
          <w:lang w:bidi="ar-SA"/>
        </w:rPr>
        <w:t>وقد عرضنا نقاط القوّة والضّعف فيها مع بيان محلّ الإشكال فيها والرّدّ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اشارةتناول العلماء والباحثون المسلمون موضوع التّشريعات العباديّة وأهمّيتها في مؤلّفاتٍ مستقلّةٍ، ونجد وفرةً يضيق المقام عن حصرها، ولكن لم نجد تأليفاتٍ مستقلّةً في الرّدّ على كتّاب الموسوعة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 فيما تناولوه من الطّعن في التّشريعات العباديّة إلّا على نحو مقالات وما قد يدرج في ضمن بعض المقالات</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والكتب التي تناولت الرّدّ على المستشرقين والغربيين على نحو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في موسوعة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ليدنصدر عن المستشرقين الكثير من الكتب والمقالات فيما يتعلّق بقراءة التعاليم العباديّة والتّشريعات في الإسلام والقرآن الكريم، على نحو مقالات في مجلّات أو مقالات تمّ إدراجها في الموسوعات مثل الموسوعة البريطانيّة، وتبدأ هذه المقالات من خلال عرض التّشريعات العباديّة وتوصيفها إلى التّشكيك فيها ونقدها وإسقاطها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طالعتنا موسوعة ليدن القرآنيّة بمقالاتٍ وعناوين ومداخل حول التّشريعات العباديّة جانبت فيها الصّواب مع اتّهامات ودعاوي لم تسند بشاهدٍ أو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هنا بيان نقاط القوّة ونقاط الضّعف في هذه الموسوعة وفق نظرةٍ شاملةٍ لا في خصوص محورٍ خاصٍّ، ومن أهم نقاط القوّة في هذه الموسوعة هي كالتالي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الإنصاف في بعض المقالات تجاه المسلمين وحتى الشيعة كما في بحث الانجيل وفاطمة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ببعض الكتّاب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القرآن كما في بعض المقالات كما في مسألة تحريف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المصادر الإسلاميّة بنسبٍ مختلفةٍ حسب المقالات والعناوين المطروحة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اللّجوء إلى المقارنة مثلا الإسلام والغرب أو القرآن والعهدينوأمّا أهمّ نقاط الضّعف العامّة في هذه الموسوعة فهي كالتالي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التحقيق الدّقيق المذكورة في مقدّمة الموسوعة لا تنسجم مع المقالات والمداخل والعناوين التي ابتعد الكثير منها عن هذه الدعوى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العلميّ لبعض كتّاب موسوعة ليدن وعدم توظيف الأخصائيين في القرآن الكريم، والنظرة السّلبيّة لبعضهم وعدم الإنصاف</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الرّؤية الغربيّة في التّحليل والكتابة للعهدين على القرآن الكريم ودعوى تأثّر القرآن الكريم بالعهدين</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بعض العناوين والمداخل في هذه الموسوعة لا ارتباط لها بالقرآن مثل العراق والأدب الإفريقي والأباضيّة والبهائيّة والطيران ،وغيرها، وفي قبال ذلك لا نجد عناوین ومداخل حول لفظ الله عز وجل ولا التوحيد والحال هي لبَّ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الاقتصار على بعض المفاهيم دون غيرها مثل ذكر النخل وإغفال العنب والزيتون وكذلك التّعرّض للكلب والجمل وإغفال الحصان، وكذلك ذكر ملكة سبأ وإهمال ذكر الهدهد</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التّناقضات التي يتصوّرها الكتاب الغربيين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الاستفادات الخاطئة من القرآن الكريم، وشرح الألفاظ دون بيان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المادّيّة إلى القرآن وأنّه كتاب تاريخ والتّعامل مع ظاهره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التّناقضات الدّاخليّة في المقالة الواحدة وبينها وبين غيرها من المقالات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الاسرائليات ونقلها دون نقدها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الكتاب الغربيين والاقتباس من دائرة المعارف الإسلاميّة البريطانيّة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 الثّقافة الإسلاميّة السّنّيّة على الشيعيّة، وعدم الالتفات لآراء الشّيعة وكتبهم بما يتناسب مع حجم هذه الموسوعة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الإسلام والقرآن وثقافة المسلمين، واتّهام القرآن والثّقافة الإسلاميّة بالتّأثّر بثقافة اليهود والنّصارى وغيرهم كاليونانيين والصينيين</w:t>
      </w:r>
      <w:r>
        <w:rPr>
          <w:rFonts w:eastAsia="Amiri" w:cs="Amiri" w:ascii="Amiri" w:hAnsi="Amiri"/>
          <w:color w:val="111111"/>
          <w:sz w:val="28"/>
          <w:szCs w:val="28"/>
          <w:rtl w:val="true"/>
          <w:lang w:bidi="ar-SA"/>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مجموع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كاتبًا يشكّل عدد الكتاب المسلمين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فقط، وهم يشكّلون إحدى طوائف المسلمين، وباقي الكتّاب فهم من الغربيين والمستشرقين المحمّلين ببشريّة القرآن وتاريخيّة النّصّ القرآني</w:t>
      </w:r>
      <w:r>
        <w:rPr>
          <w:rFonts w:eastAsia="Amiri" w:cs="Amiri" w:ascii="Amiri" w:hAnsi="Amiri"/>
          <w:color w:val="111111"/>
          <w:sz w:val="28"/>
          <w:szCs w:val="28"/>
          <w:rtl w:val="true"/>
          <w:lang w:bidi="ar-SA"/>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حجم المقالات غير متناسقٍ فبعضها صفحتين وبعض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التقييم العلمي للعناوين الأربعةلا بدّ هنا من تقييم المحتوى العلمي لهذه المقالات الأربع، وتقديم إجابةٍ إجماليّةٍ وشاملةٍ، ثم ندخل في بيان الإجابة التّفصيليّة في كلّ مقالة على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والسّبب الدّاعي لتقديم إجابةٍ شاملةٍ هو وجود الإشكالات المتكرّرة في هذه المقالات والتي اعتمدها كتّابها، وإن انفرد أحدهم عن الآخر في بعضها الآخر، وهي كلّها ظنونٌ وأوهامٌ ساقوها بلباس الحقيقة، وهي بعيدةٌ كلّ البعد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التّحقيق الدّقيق المذكورة في مقدّمة الموسوعة لا تنسجم مع المقالات والمداخل والعناوين التي ابتعد عنها في هذه العناوين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العلمي لكتّاب هذه العناوين والنّظرة السّلبيّة لبعض الكتّاب وعدم الإنصاف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الرّؤية الغربيّة في التّحليل والكتابة للعهدين على القرآن الكريم ودعوى تأثّر القرآن الكريم بالعهدين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التّناقضات التي يتصوّرها الكتّاب الغربيين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الاستفادات الخاطئة من القرآن الكريم، وشرح الألفاظ دون بيان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الاسرائليات ونقلها دون نقدها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الكتاب الغربيين والاقتباس من أبناء جلدتهم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 الثّقافة الإسلامية السّنيّة على الشّيعيّة وعدم الالتفات لآراء الشّيعة وكتبهم بما يتناسب مع حجم هذه 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نقاط القوّة في هذه العناوين الأربع، فقد أشرنا إليها كما تقدّم، ويجمعها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المفردة القرآنيّة في سائر آيات الكتاب الكريم، ومن المعلوم أنّ التّتبّع اللّفظيّ</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للمفردة القرآنيّة لا يعطي الصّورة الواضحة، ولا يجعل من من صاحبه ذا رأيٍ ورؤيةٍ وصاحب رأي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الإجماليةوأمّا الإجابة الإجمالية التي يمكن تقديمها في خصوص هذه العناوين الأربع فهي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الإشكال الأصليّ على هذه العناوين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وسائر العناوين في هذه 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 على الفرضيّات التي قامت عليها والمبتنية على عدم الاعتقاد برسالة النبي صلی الله علیه و آله و سلم و عدم وحيانيّة القرآن الكريم ، والنّظر إلى القرآن الكريم كنتاجٍ بشريٍّ جاء في حقبةٍ من التّاريخ</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شكّ أنَّ هذه المواقف التي حملها أصحاب هذه المقالات لا تُعطي أكثر من هذه النّتيجة المضلّلة والباطلة عن التّشريعات العباديّة في القرآن الكريم، وهذا المحمول معهم سواء كانوا على علم به أم لا لا يعدُّ مُبرّرًا للأخطاء التي وقعوا فيها ؛ وهو نتاج عداءٍ سافر للإسلام، ولا غرابة في ذلك، فقد حملت مقالاتهم العديد من الأخطاء والمطاعن والشّبهات التي تُظهر مدى حقدهم الدّفين للإسلام وأهله؛ وقد كانت كتاباتهم تُسَيّرها خلفيّاتهم وتَقودُها ،أحقادهم، وهذا ما ظهر جليًّا في عناوينهم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نفي الحقائق، واختراع المغالطة، وبَثَّ الشُبهات يقع فيها كلّ مغالطٍ، ولا يعجز عنها كلّ مكابر وإنّما ينأى عنها من أنار الله بصيرته بنور الإسلام، وكلّ منصف وصادق مع نفسه ومع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حملَّهم الموقف السّابق مزالق وأخطاء واضحةً يتورّع عن الوقوع فيها من كان له أدنى علم ومعرفةٍ وإنصافٍ، فضلاً عمّن نصّب نفسه ليكتب في موسوعة تحمل اسم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هؤلاء الكتاب يفترضون ما يفترضون من دون أن يقدّموا دليلاً واحدًا على صحّة ما يرونه، إنّهم يريدون الانتصار لوجهة نظرهم دون أن يعنيه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موضوعيّة الدّليل أو سلامته من الوهم أو الخلط أو الاضطراب، ثم يدّعون دراسة القضايا وفق منهجٍ علميٍّ مدروسٍ يتّسم بالأمانة والبعد عن الأهواء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ما قدّمه هؤلاء الكتاب في مقالاتهم هي عبارة عن مدّعياتٍ ومجرّد ظنونٍ وأوهامٍ لم يحفها دليلٌ معتبرٌ أو شاهدٌ يؤيّد المدّعى، واعتمدوا على كتب سلفهم من الغربيين أو الإرجاع إلى كتب المسلمين وإغفال التّراث الشيعي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أهمّ الإشكالات التي يمكن أن تؤخذ على الكتَّاب وأصحاب المقالات والمداخل التي كتبت في هذه الموسوعة، وخاصّة المحور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التشريعات العباديّة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حذفوا حديث النّبيّ صلی الله علیه و آله و سلم وسنّته عن الاستدلال وفَصلوها عن القرآن الكريم، وفرضوا لا بدّيّة وجود التّفاصيل الدّقيقة في القرآن في خصوص كلّ موضوع، وهذا الفرض لا صحّة له؛ لأنّ الدين الإسلامي والتّشريعات العباديّة نأخذها من القرآن الكريم وحديث النبي وأوصيائه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كون القرآن الكريم هو القانون الأساس للإسلام يقتضي ألّا يتعرّض لكلّ مسألةٍ شرعيّةٍ وفقهيّةٍ وكلّ حكم دينيٍّ، بل يمكن القول إنّ مثل هذا الكتاب ذي الخصائص العالميّة الجامعة والخالدة، وكتاب الهداية لكلّ زمان ومكان عليه فقط أن يرسم يرسم السّياسة العامّة وأهداف الشّريعة، وأمّا بيان الأحكام كمًّا وكيفًا فهو ملقّى على عاتق النّبيّ صلی الله علیه و آله و سلم، كما صرح به القرآن الكريم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إِلَيْكَ الذِّكْرَ لِتُبَيِّنَ لِلنَّاسِ مَا نُزِّلَ إِلَيْهِمْ وَلَعَلَّهُمْ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وكذلك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أكمل النّبيّ صلی الله علیه و آله و سلم المهمّة التي أوكلت إليه، ونصب المرجع بعده من خلال 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قد نجد الكاتب كراد هاوتينك قد خالفهم في ذلك، فقال مصرّحًا في مقالته المعنونة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من النادر أن نجد القرآن يتعرّض لتفاصيل الأعمال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وما يتعلّق به وشعيرة الأمر بالمعروف والحلال والحرام، واصطلاح</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السّحت، رسومٌ وعباداتٌ شُرّعت قبل الإسلام، كما يصرح القرآن بذلك، وعليه فلا مجال للادّعاء عندما نلبس هذه الشّعيرة والعبادة اسمًا ولفظًا عربيًا ليأتي قائلُ ليقول إنّها أخذت من اليهود أو اليونان أو الصين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التّشابه بين الإسلام والأديان الإلهيّة السّابقة في الألفاظ والكلمات ليس دليلاً على النّقل أو الاقتباس، بل هو من دلائل نبوّة محمد صلی الله علیه و آله و سلم لانتفاء تلقّيه معلومات من البشر ولعدم معرفته بالقراءة حتى ينقل عن الكتب السّابقة؛ وإنّ التّشابه دليلٌ على تصحيح الإسلام لمسار التّشريع الإلهيّ، الذي حَرَّفَهُ أهل الديانات السّابقة، وقد جاء الإسلام مُصَدِّقًا لِما قبله ومهيمنًا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وبنظرةٍ عقليةٍ ونقليّةٍ، نجد الكثير من الأحكام لها أسّ وأساس في الشرائع السّابقة على الإسلام، ولكن القرآن صبغه بصبغته وأمر النّبيّ صلی الله علیه و آله و سلم بتبليغه للمسلمين، وهذا الشّيء لا ينكر، فالإسلام رمّم شروط وأجزاء الكثير من الأحكام وبينها بعنوان حكمٍ إسلاميٍّ، وشرّع تشريعاتٍ جديدةً مستقلةً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الكثير من كتّاب هؤلاء الموسوعة على أبناء جلدتهم في النّقل والاقتباس والحال أنّ القيمة العلميّة لأيّ بحثٍ أو مقالةٍ مرتبطُ بعوامل عدّة، منها وهو أحد أهمّ العوامل النّقل والاقتباس من المصادر الأساسيّة والمعتبرة، كما أنّ الحديث عن معارف وأفكار التّابعين لأحد الأديان لا بدّ أنّ يكون وفق الكتب المعتبرة لديهم، لا أن يأتي أحدهم بمصادر أعدائهم وكتب الغرباء التي لا قيمة ولا اعتبار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للأسف نجد أن أصحاب بعض المقالات في موسوعة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يعتمدون على كتب المستشرقين والغربيين ممن يشاركونهم الرأي، ومن البديهي أنّ مثل هذه العناوين والمداخل والمقالات لا يمكن ضمّها إلى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علمي وإنّما هو نقل لموقف أبناء سلفهم من الإسلام والقرآن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التفصيلية</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وسنعرض هنا فقرات المقالة التي جانب فيها الكاتب الحقيقة، ويمكن أن تُؤخذ عليه كإشكالٍ علميٍّ لا بدّ أن يلتفت إليه ويُصحّحه ونبدأ بالمقالات وفق التّسلسل المتّبع في هذا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للكاتب تشرلز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آدامز </w:t>
      </w:r>
      <w:r>
        <w:rPr>
          <w:rFonts w:eastAsia="Times New Roman" w:cs="Times New Roman" w:ascii="Times New Roman" w:hAnsi="Times New Roman"/>
          <w:color w:val="111111"/>
          <w:sz w:val="28"/>
          <w:szCs w:val="28"/>
          <w:lang w:val="en-US" w:bidi="en-US"/>
        </w:rPr>
        <w:t>Charles j. Adams</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قوّة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تتبّعًا للموارد بشكل جيّد، ويعدّ تقسيمها علميًّا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ضعف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الإلمام بالموضوع بشكل كامل، مع نقص في سرد المعلومات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الإشكالات الواردة على المقالةالإشكال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التّفريق والخلط بين بلوغ الذكر وبلوغ الأنثىقال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ثمة خلافٌ بين المدارس الفقهيّة حول العمر الذي يتحقّق فيه البلوغ في حالة غياب العلامات الجسديّة المعتادة، ففي حين ترى الأغلبيّة أنّ بلوغ سنّ الخامسة عشر يعني تخطّي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علامات البلوغ ظاهرةً، فإنّ البعض يقدّم سنّ البلوغ إلى ما قد يصل إلى سنّ التسع سنوات، ولكن ليس قبل ذلك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للعيان الخلط في هذه العبارات؛ حيث لم يفرّق الكاتب بين البلوغ عند الذّكر والبلوغ عند الأنثى، وقد اجتمعت كلمة المسلمين على التّفريق بين الذكر والأنثى في البلوغ ،الشّرعي وأدنى مراجعة لتراث المسلمين يمكن التّثبّت من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ثبت عن أهل البيت علیهم السلام أنّ سنَّ البلوغ في الذكر خمس عشرة سنة قمريّة وفي الأنثى تسع سنين قمرية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واجبات دينيّة على من بلغ سن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والسابع هو السنّ الذي يجب أن يبدأ فيه الأولاد في أداء الواجبات الدّينيّة، مثل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ما يلي، التي تجب على جميع المسلمين البالغين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 على الكاتب التّفريق بين الواجب والمستحبّ، أو لعلّه لم يدرك التّفريق بين المصطلحين وذهب عليه الحقّ، وهذا نتيجة طبيعيّة لعدم التّخصّص في الأمور الفقهيّة والتّشريعات العباديّة، وعدم الإطلاع الكافي، وبالتالي قلّة بضاعة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سنَّ السّابعة هو سنُّ التّمييز لدى الولد الذكر والأنثى بالغالب، ويستحبّ في هذا العمر الإتيان بالصلاة وغيرها من العبادات لا بمعنى وجوبها عليهما، وإنّما بمعنى أن يتدرّبا على الإتيان بها، وإذا أتيا بها يحصلا على الأجر والثواب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 في كتاب النهاية ونكتها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ويؤمر الصبي بالصلاة إذا بلغ ست سنين تأديبًا، ويؤخذ به إذا بلغ تسع سنين سنةً وفضيلةً، وألزم إلزامًا إذا بلغ حد الكمال فرضًا ووجوبًا</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 الذكر والأنثى بحكمٍ واحدٍ في حقّ الحضانة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حال وقوع نزاعٍ بين الوالدين حول الوصاية على الطفل الذي بلغ السبع سنوات، يُعتبر أنّ الطفل قد أصبح قادرًا بما فيه الكفاية للتمييز بين أيٍّ من الوالدين يريد أن يعيش</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 قلّة بضاعة الكاتب وعدم الإلمام بالموضوع فإنّ الحضانة في الذكر تختلف عن الحضانة في البنت فإنّه طبقًا لفتاوى أكثر الفقهاء إذا افترق الأب والأم تكون الحضانة للأم في البنت حتى السنة السابعة وفي الذكر حتى السنة الثانية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المباح والمحرّم وهي للكاتب جوزيف إ لوري </w:t>
      </w:r>
      <w:r>
        <w:rPr>
          <w:rFonts w:eastAsia="Times New Roman" w:cs="Times New Roman" w:ascii="Times New Roman" w:hAnsi="Times New Roman"/>
          <w:color w:val="111111"/>
          <w:sz w:val="28"/>
          <w:szCs w:val="28"/>
          <w:lang w:val="en-US" w:bidi="en-US"/>
        </w:rPr>
        <w:t>Joseph E. Lowry</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المقالةتتّبع مفردة الحلال والحرام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ضعف المقالةأوّلاً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بساطة معلومات الكاتب وعدم الاطلاع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المصادر الغربيّة وكتب المستشرقين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الاطّلاع على التّراث العلمي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الإسقاطات المسبقة على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بالمشرّع الأصلي للأحكام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الإشكالات الواردة على المقالةالإشكال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لا يتناول جميع المحرّماتقال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تقتصر التّعابير القرآنيّة عن الحلّية أو الحرمة على عددٍ قليلٍ نسبيًّا من المسائل الشّرعيّة، كما يتضّح لنا لاحقًا بحسب الفقهاء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الغالب محصورةٌ بالشّعائر، وقانون الأسرة والمأكل والمشرب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سابقًا، تقتصر الإشارة إلى الحلال والحرام في القرآن بشكلٍ كبيرٍ على الشّعائر وأحكام المأكل والمشرب وأحكام العائلة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لما صار هؤلاء الكتّاب ومن سبقهم من سلفهم بصدد إنكار وحيانيّة القرآن، وأنّ كلام النّبيّ صلی الله علیه و آله و سلم وحيٌ يوحى فلا يمكن الخروج بنتيجةٍ أفضل من ذلك، وهو الفصل بين القرآن الكريم وكلام النبي صلی الله علیه و آله و سلم، ولهذا حذفوا حديث النبي  صلی الله علیه و آله و سلم  وسنّته عن</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الاستدلال وفصلوها عن القرآن الكريم، وفرضوا لا بديّة وجود التفاصيل الدّقيقة في القرآن في خصوص كلّ موضوع، وهذا الفرض لا صحّة له؛ لأنّ الدين الإسلامي والتّشريعات العباديّة نأخذها من القرآن الكريم وحديث النبي وأهل بیته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عالميّة القرآن وخلوده يناسب الإشارة إلى الكلّيات العامّة والقوانين المهمّة والضّروريّة، ومن غير المعقول الابتلاء بالجزئيّات المتعلّقة بمسائل خاصّة؛ لأنَّ مصادر الأحكام العباديّة والتّشريعات في الإسلام غير مقتصرةٍ على القرآن الكريم، بل هناك حديث النّبي والأئمّة من أهل البيت علیهم السلام فهي تُبيّن القرآن وتفسّره لنا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الاطّلاع على التّراث العلمي للمسلمينقال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حافظ هذان المصطلحان على أهميتهما في الفكر الملتزم دينيًّا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Times New Roman" w:cs="Times New Roman" w:ascii="Times New Roman" w:hAnsi="Times New Roman"/>
          <w:color w:val="111111"/>
          <w:sz w:val="28"/>
          <w:szCs w:val="28"/>
          <w:lang w:val="en-US" w:bidi="en-US"/>
        </w:rPr>
        <w:t>ASCETICISM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الزهد</w:t>
      </w:r>
      <w:r>
        <w:rPr>
          <w:rFonts w:ascii="Amiri" w:hAnsi="Amiri" w:eastAsia="Amiri" w:cs="Amiri"/>
          <w:color w:val="111111"/>
          <w:sz w:val="28"/>
          <w:sz w:val="28"/>
          <w:szCs w:val="28"/>
          <w:rtl w:val="true"/>
          <w:lang w:bidi="ar-SA"/>
        </w:rPr>
        <w:t xml:space="preserve"> وبرزا مؤخّرًا في الكتيبات المنتشرة التي تُعنى بالفقه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ماذا يقصد الكاتب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وبرزا مؤخّرًا في الكتيبات المنتشرة التي تعنى بالفقه الإسلامي</w:t>
      </w:r>
      <w:r>
        <w:rPr>
          <w:rFonts w:ascii="IRNazanin" w:hAnsi="IRNazanin" w:eastAsia="IRNazanin"/>
          <w:color w:val="111111"/>
          <w:sz w:val="28"/>
          <w:sz w:val="28"/>
          <w:szCs w:val="28"/>
          <w:rtl w:val="true"/>
          <w:lang w:bidi="fa-IR"/>
        </w:rPr>
        <w:t xml:space="preserve"> بشكلٍ دقيق، ولكن بحسب ظاهر كلامه، فهو ينمُّ عن شحّة معرفة الكاتب بتراث الإسلام، ولا ينقضي العجب لمن يدّعي التّحقيق والبحث العلميّ المنصف أن يغفل التّراث الإسلامي ليرى تداول هذين المصطلحين في التّراث الرّوائي والحديثي للنّبيّ والأئمّة علیهم السلام والصحابة وكتب العلماء الأوائل ومن تبعهم، ومن البديهي أنّ مثل هذه العناوين والمداخل والمقالات لا يصلح أن توسم أو توصف أو تجعل ضمن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هي اجترار لمقالاتٍ أصحابها معرفون بمواقفهم من الإسلام والقرآن الكريم ورسوله الكريم 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والحرام في الأكل ليس موازيًا للطاهر والنجسقال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مصطلحا حلال وحرام أيضًا على التقديس والتدنيس على، التوالي، ما يُشير إلى وجود رابطٍ مربكٍ بين ما هو مقدّس وما هو نجس</w:t>
      </w:r>
      <w:r>
        <w:rPr>
          <w:rFonts w:eastAsia="Times New Roman" w:cs="Times New Roman" w:ascii="Times New Roman" w:hAnsi="Times New Roman"/>
          <w:color w:val="111111"/>
          <w:sz w:val="28"/>
          <w:szCs w:val="28"/>
          <w:rtl w:val="true"/>
          <w:lang w:val="en-US" w:bidi="en-US"/>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الكاتب هو من إسقاطات الفكر الغربي، وهو من دعوات الكنيسة في العصور الوسطى للمجتمع الأوروبي بما يعرف بثنائيّة المقدّس والمدنّس؛ حيث اعتبرت الكنيسة أنّ كلّ ما يتّصل بالجسد والدنيا أمورٌ مدنّسة يجب أن يُبتعد ويُترفّع عنها، كما أنّها اعتبرت كلّ ما يتصل بالله والآخرة مقدّسًا يجب التّمسّك به وعليه فلا يجتمع المقدّس والمدنّس</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ولذا ظهرت الدّعوة للرهبنة، وهي الطريق الذي ينتقل به من المدنّس إلى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برز في قبال ذلك تيّارُ معاندٌ وصل به المسير إلى تدنيس المقدّس وتقديس المدنّس، كما تعيشه الآن الحضارة الغربيّة في العصور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كلا التّيارين خلاف الفطرة الإنسانيّة، وهما بين الإفراط والتفريط؛ إذ لم يخلق الله سبحانه وتعالى هذه الشّهوات عبئًا، وإنّما حاجاتٌ هي أساسيّةً وطبيعيّةً يجب إعطاؤها حقَّها من الإشباع والإرواء؛ لأنّ هذا هو الهدف من خلقها، كما لا ينبغي أن تعطى تمام الحريّة في ممارسة ما تشتهيه بحيث يؤدّي إلى هلاكها وخرق نظام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وهذان المصطلحان المقدّس والمدنّس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حديثان ومتداولان في علم اجتماع الدّين في الغرب، وقد أظهرا نتائج عديدة ومتناقضة في الفكر الغربي، بدءًا من محرّرها الأوّل دوركهايم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الأشكال الأولية للحياة الدّينية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القداسة في الإسلام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قداسة لذاتها وقداسة لغيرها، والأولى هي القداسة المطلقة، وهي مختصّة بالخالق سبحانه وتعالى، والأخرى قداسةٌ حادثةٌ نسبيّةً، وهذا يعني أنّ المقدّس لا يتعارض مع الدّنيويّ أو المخلوقات كما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الفكر الغربي، بأنّ هناك تعارضًا بين المقدّس والدّنيويّ المدنّس؛ لأنّ المقدّس والمدنّس في الإسلام يرتبطان بالوجود الرّوحي لا بالوجود الطبيعي كما يزعم الفكر الغربي، وهذا المقدّس بمفهومه الإسلامي لا يمتلك تلك القداسة إلّا لمكانةٍ معيّنةٍ عند الله عز وجل، ترتبط بالعلاقة بين الخالق والمخلوقات، أي كونه وسيلة الذي يجعل معنى المقدّس ليس معبودًا في هذه الحالة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المقدّس والمدنّس في الكائن عارضان، فالدّنيويّ هو المجال الذي تلتقي ضمنه وتحته كلّ الحدود، أي أنّه حاضرٌ بحدودٍ متحرّكةٍ داخل المقدّس والمدنّس، لذلك يحمل وضعه المتميّز في الإسلام، لذلك لا يمكن القول إنّ تعريف المقدّس وتحديده يتمّ بالتعارض والتّوازي مع الدّنيويّ، ولا يمكن حلول القداسة المطلقة في الدّنيويّ المحدود كما ذهب إليه الفكر الغربي في تصوّره لازدواجيّة المقدّس</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لم يأخذ الحلال والحرام من اليهودقال الكاتب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الممكن أن تكون المصطلحات القرآنيّة قد توازت إلى حدِّ ما مع المصطلحين العبريين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موتر وأسور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يعنيان 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مرادف للجذر ح ل ل من الناحية السيميائية، ومُحرّم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ما يلي؛ واسبروغ، </w:t>
      </w:r>
      <w:r>
        <w:rPr>
          <w:rFonts w:eastAsia="Times New Roman" w:cs="Times New Roman" w:ascii="Times New Roman" w:hAnsi="Times New Roman"/>
          <w:color w:val="111111"/>
          <w:sz w:val="28"/>
          <w:szCs w:val="28"/>
          <w:lang w:val="en-US" w:bidi="en-US"/>
        </w:rPr>
        <w:t>QS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يقدمه الكاتب هنا زعمٌ باطلٌ لا يقوم على دليلٍ واضحٍ أو شاهدٍ ساندٍ، وإنّما يرسل الكلام على عواهنه مستدلًّا بكلام سلفه، والحال أنّ ما يطرحه لا يعدُّ إِلَّا تشابهًا فى الألفاظ بعد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في لغة القرآن ليس اسمًا لدينٍ خاصُّ، وإنّما هو اسم للدين المشترك الذي هتف به كلّ الأنبياء؛ فالإسلام شعارٌ عامٌّ كان يدور على ألسنة الأنبياء وأتباعهم منذ أقدم العصور التاريخيّة إلى عصر النّبوّة المحمديّة، فأصل التّشريعات السماويّة واحد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والحلال والحرام معروفٌ في كلّ أمّة، وإن اختلفوا في مقدار المحرّمات وفي نوعها وأسبابها، وقد جاءت الشرائع السماويّة بتشريعاتٍ ووصايا عن الحلال والحرام ارتفعت بالإنسان من مستوى الخرافات والأساطير إلى مستوى إنسانيٍّ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أشرنا أنّ القرآن الكريم لم يدع تأسيسه للحلال والحرام، وقد جاء ذكر الحلال والحرام في آياتٍ كثيرةٍ من القرآن الكريم منسوبة إلى من سبقه من اليهود والنصارى وعليه فلا مجال للادّعاء عندما نتطرّق لاصطلاح الحلال والحرام اسمًا ولفظًا عربيًا ليأتي قائلٌ ليقول إنّها أُخذت من اليهود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الإشكال الخامس واضع الأحكام هو القرآن والنّبيّ 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أدّى التأمّل في الأحكام التّشريعيّة التي وضعها الكثيرون في ما يتعلّق بالنّصوص المُنزلة والتفكّر في نتائجها الفقهيّة التي ربما تكون متباينةً، بعلماء الفقه إلى تبنّي نظريّة التّتابع في الواجبات الشّرعيّة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باتت هذه المؤلّفات ومن بينها كتاب القرضاوي، متوفّرةً بيسرٍ وبلغاتٍ  أخرى عدا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محتواها مستنبطٌ من تصنيفات الفقه الإسلامي التقليدي التي ظهرت في وقتٍ لاحقٍ، وبالتالي فهي تذهب أبعد بكثير من التّصريح القرآني بالحلال والحرام، حتى إنّها تتناول مجموعةً واسعةً من الأعمال التي قد نصادفها في الزمن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تسجّل هنا ملاحظات على كلام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الكاتب أنّ واضع الأحكام والتّشريعات العباديّة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الكثيرون</w:t>
      </w:r>
      <w:r>
        <w:rPr>
          <w:rFonts w:ascii="IRNazanin" w:hAnsi="IRNazanin" w:eastAsia="IRNazanin"/>
          <w:color w:val="111111"/>
          <w:sz w:val="28"/>
          <w:sz w:val="28"/>
          <w:szCs w:val="28"/>
          <w:rtl w:val="true"/>
          <w:lang w:bidi="fa-IR"/>
        </w:rPr>
        <w:t xml:space="preserve"> حسب تعبيره، وهؤلاء الكثيرون لا يمكن أن يكون غير العلماء، والحال أنّ واضعها هو القرآن الكريم والرّسول والأئمّة من أهل البيلات علیهم السلام ودور العلماء هو الاجتهاد واستنباط الأحكام الشّرعيّة من مصادرها المعتبرة، وهي القرآن وحديث النبي صلی الله علیه و آله و سلم</w:t>
      </w:r>
      <w:r>
        <w:rPr>
          <w:rFonts w:eastAsia="IRNazanin" w:cs="IRNazanin"/>
          <w:color w:val="111111"/>
          <w:sz w:val="28"/>
          <w:szCs w:val="28"/>
          <w:rtl w:val="true"/>
          <w:lang w:bidi="fa-IR"/>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روايات أئمة أهل البيت علیهم السلام والعقل والإجماع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الكاتب بعمليّة الاجتهاد الفقهيّ عند المسلمين، وجهله بتراث المسلمين بشكل عام وتراث الشّيعة الإمامية الاثنى عشريّة بشكلٍ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يُشير السيد محمد باقر الصدر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وجه الحاجة إلى الاجتهاد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والمصدر الأساس للشريعة هو الكتاب الكريم والسنّة الشّريفة، ولو كانت أحكام الشّريعة قد أُعطيت كلّها من خلال الكتاب والسنّة ضمن صيغٍ وعبائر واضحة صريحة لا يشوبها أيّ شكّ أو غموضٍ لكانت عمليّة استخراج الحكم الشرعي من الكتاب والسنّة ميسورة لكثير من الناس ولكنّها في الحقيقة لم تعطَ بهذه الصّورة المحدّدة المتميّزة الصّريحة وإنّما أعطيت منثورةً في المجموع الكلّي للكتاب والسنّة، وبصورةٍ تفرض الحاجة إلى جهدٍ علميٍّ في دراستها والمقارنة بينها واستخراج النتائج النهائيّة منها، ويزداد هذا الجهد العلميّ ضرورة وتتنوّع وتتعمّق أكثر فأكثر متطلّباته وحاجاته كلّما ابتعد الشّخص عن زمن صدور النّصّ، وامتدّ الفاصل الزّمنيّ بينه وبين عصر الكتاب والسنّة بكلّ ما يحمله هذا الامتداد من مضاعفاتٍ كضياع جملةٍ من الأحاديث ولزوم تمحيص الأسانيد وتغيّر كثير من أساليب التّعبير وقرائن التّفهيم والملابسات التي تكتنف الكلام ودخول شيءٍ كثير من الدّسّ والافتراء في مجاميع الرّوايات، الأمر الذي يتطلّب عنايةً بالغةً في التّمحيص والتّدقيق، إضافة إلى أنّ تطوّر الحياة يفرض عددًا كثيرًا من الوقائع والحوادث الجديدة لم يرد فيها نصّ خاصّ، فلا بدّ من استنباط حكمها على ضوء القواعد العامّة، ومجموعة ما أعطي من أصول وتشريعات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جعل التعرّف على الحكم الشرعي في كثير من الحالات عملاً علميًّا معقّدًا، وبحاجة إلى جهدٍ وبحثٍ وعناءٍ، وإن لم يكن كذلك في جملةٍ من الحالات الأخرى التي يكون الحكم الشرعي فيها واضحًا كلّ الوضوح</w:t>
      </w:r>
      <w:r>
        <w:rPr>
          <w:rFonts w:eastAsia="Amiri" w:cs="Amiri" w:ascii="Amiri" w:hAnsi="Amiri"/>
          <w:color w:val="111111"/>
          <w:sz w:val="28"/>
          <w:szCs w:val="28"/>
          <w:rtl w:val="true"/>
          <w:lang w:bidi="ar-SA"/>
        </w:rPr>
        <w:t>»</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فقد فتح باب الاجتهاد في الأحكام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والاجتهاد هو بذل الوسع والطاقة في تحصيل الحكم الشّرعي</w:t>
      </w:r>
      <w:r>
        <w:rPr>
          <w:rFonts w:eastAsia="Amiri" w:cs="Amiri" w:ascii="Amiri" w:hAnsi="Amiri"/>
          <w:color w:val="111111"/>
          <w:sz w:val="28"/>
          <w:szCs w:val="28"/>
          <w:rtl w:val="true"/>
          <w:lang w:bidi="ar-SA"/>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الأدلّة الواردة في القرآن الكريم والسنة النّبوية والإجماع والعقل، ولا بدّ من توفّر شروط محدّدة في المجتهد تؤهّله للقيام بهذه المهمّة</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فلا عجب لقولك أيّها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تذهب أبعد بكثير من التّصريح القرآني بالحلال والحرام، حتى إنّها تتناول مجموعةً واسعةً من الأعمال التي قد نصادفها في الزمن المعاصر؛ لأنّ رسالة الإسلام تجري مع الأجيال والمجتمعات، وهو خاتم الأديان ورسالته للناس كافّة وأُرشد الكاتب المحترم إلى مراجعةٍ سريعةٍ ونظرةٍ خاطفةٍ في تراث المسلمين وخاصّة الشّيعة الإماميّة ليرى الكمّ الهائل من كتب أصول الفقه والتأسيس لعمليّة الاجتهاد الفقهي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الأمر والنهي وهي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مايكل كوك </w:t>
      </w:r>
      <w:r>
        <w:rPr>
          <w:rFonts w:eastAsia="Times New Roman" w:cs="Times New Roman" w:ascii="Times New Roman" w:hAnsi="Times New Roman"/>
          <w:color w:val="111111"/>
          <w:sz w:val="28"/>
          <w:szCs w:val="28"/>
          <w:lang w:val="en-US" w:bidi="en-US"/>
        </w:rPr>
        <w:t>Michael Cook</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قوّة المقالةأوّلاً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الآيات القرآنيّة الوارد فيها ذكر 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الموارد التي جاء في سياقها الأمر بها أو النهي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بشكلٍ مفصّلٍ إلى بحث الأمر بالمعروف والنّهي عن المنكر في تفاسير المسلمين، بل وتعدّى إلى ذكر علماء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ضعف المقالة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الرّواسب القبليّة التي يحملها الكاتب حول القرآن الكريم من دعوى 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مصادر كُتبت بأقلام مستشرقين وغربيين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الكاتب الشيخ الطوسي إلى المعتزلة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بحديث عمر بن الخطاب وترك حديث النّبيّ والأئمّة من أهل البیت علیهم السلام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الإشكالات الواردة على المقالةالإشكال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التّناقض في الآيات القرآنيّة</w:t>
      </w:r>
      <w:r>
        <w:rPr>
          <w:rFonts w:ascii="IRNazanin" w:hAnsi="IRNazanin" w:eastAsia="IRNazanin"/>
          <w:color w:val="111111"/>
          <w:sz w:val="28"/>
          <w:sz w:val="28"/>
          <w:szCs w:val="28"/>
          <w:rtl w:val="true"/>
          <w:lang w:bidi="fa-IR"/>
        </w:rPr>
        <w:t>قسّم الكاتب القائمين بالأمر بالمعروف والناهين عن المنكر، إلى الأمّة وإلى الأفراد فتصوّر وجود تناقضٍ، فبعد بیان دور الأمّة في القيام بالأمر بالمعروف والنهي عن المنكر،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النّقيض من هذه الموارد تشير آيتان إلى الأمر بالمعروف والنهى عن المنكر باعتباره مهمّةً يقوم بها الأفراد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أين موضع التّناقض الذي يتكلّم عنه الكاتب، فإذا كانت مهمّة الأمر بالمعروف والنّهي عن المنكر يقوم بها فئتان تارة المجتمع وأخرى الأفراد، فأين 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الإمعان في مجموعة هذه الآيات يوضّح لنا الجواب، فإنّه يستفاد منها أنّ الأمر بالمعروف والنّهي عن المنكر واجبٌ على جميع أفراد المجتمع الإسلامي وترك ذلك من الذنوب الكبيرة، وتصبح هذه المسؤوليّة مضاعفةً على رجال الدين والمبلّغين والمؤسّسات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لا مجال للانفكاك بين التّبليغ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التبليغ هو المجال العملي والواقعي لهاتين الفريضتين الكبيرتين والمبلغون هم دعاة الناس إلى المعروف ومحذّروهم من المنكرات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يؤدّيها الأفراد كأفراد والمجتمع كمجتمع وذلك بحسب الظّروف وتحقّق الشروط المعتبرة، فيجب على كلّ فردٍ القيام بها بمفرده مع تحقّق الشروط تجاه الآخرين من الأفراد والمجتمعات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على المجتمع الذي يعتبر مسؤولاً عن المجتمع بمكوناته؛ حيث يجب عليه القيام بمعالجة كلّ الاعوجاجات والانحرافات الاجتماعيّة، ويضع حدًّا لها، بالتعاون بين أفرادها وأعضائها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القسم الأوّل من وظيفة الأفراد، فردًا فردًا، وحيث إنّ إمكانات الفرد وقدراته محدودةٌ، لذلك فإنّ إطار هذا القسم يتحدّد بمقدار هذه الإمكانات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 فإنّه يعتبر واجبًا كفائيًا، وحيث إنّه من واجب الأمّة بما هي أمّة، فإنّ حدوده يتّسع، ولهذا يكون من واجبات الحكومة الإسلاميّة وشؤونها بطبيعة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وجود مثل هذه الجماعة بما لها من القوّة الواسعة لا يوجد أيّ تنافٍ بين شمول فريضة الأمر بالمعروف والنّهي عن المنكر عليها وعلى الفرد بما له من القدرة المحدودة؛ إذ يكون الأمر والنّهي الواسعان من واجب الدولة الإسلاميّة لا الفرد</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تحدّث الشّهيد مطهري حول قيمة وضرورة هاتين الفريضتين الإلهيّتين،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أصل الأمر بالمعروف والنّهي عن المنكر هو أساس سائر الفرائض كما يُعبّر عنه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ويجعل هذا الأصلُ المسلمين يعيشون بشكلٍ دائمٍ حالةَ انقلابٍ فكريٍّ وإصلاحٍ مستمرٍّ ومواجهةٍ متواصلةٍ مع الفساد</w:t>
      </w:r>
      <w:r>
        <w:rPr>
          <w:rFonts w:eastAsia="IRNazanin" w:cs="IRNazanin"/>
          <w:color w:val="111111"/>
          <w:sz w:val="28"/>
          <w:szCs w:val="28"/>
          <w:rtl w:val="true"/>
          <w:lang w:bidi="fa-IR"/>
        </w:rPr>
        <w:t>»</w:t>
      </w:r>
      <w:r>
        <w:rPr>
          <w:rStyle w:val="FootnoteAnchor"/>
          <w:rtl w:val="true"/>
        </w:rPr>
        <w:footnoteReference w:id="659"/>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بالمعروف والنّهي عن المنكر هو الأصل الوحيد الذي يضمن بقاء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الاصطلاح هو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المبعثية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لو لم يكن هذا الأصل موجودًا، لم يكن للإسلام وجود وإذا أردتم العزّة، ورغبتم أن يحسب لكم الآخرون الحساب، فلا تتركوا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الأمر بالمعروف والنّهي عن المنكر موضوعًا يقبل الزّوال، فهو موجودٌ بشكلٍ دائمٍ، وينبغي أن يكون على رأس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يُطرح بشكلٍ دائمٍ حتى لا يعتريه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بالمعروف والنهي عن المنكر أصلٌ يخاطب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الشّخص أنت مسؤولٌ أمام الله تعالى من النّاحية الشّخصيّة والفرديّة، بل أنت مسؤولٌ أمامه فيما يتعلّق بالمجتمع</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عموميّة الأمر بالمعروف والنّهي عن المنكرقال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ثمة آية واحدة تخبرنا عن الفئة المستهدفة من الأمر بالمعروف والنهي عن المنكر، ألا وهي اليهود أو النصارى الذين يتّبعون النّبي الأمي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القراءة المتجزّئة للقرآن الكريم، وفصل حديث النبيّ صلی الله علیه و آله و سلم وحديث أئمة أهل البيت علیهم السلام، ولا شكّ لا تعطي أكثر من هذه النتائج، وكأن الكاتب لم يطالع القرآن الكريم ليرى أنّ القرآن يقول وما آتاكم الرسول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فنجد عدم علمٍ وعدم إلمامٍ بالموضوع فساق الآيات فقط وكأنّه يقول حسبنا كتاب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أعلم كيف حمَّل الآية الكريمة هذا التحميل وفسَّرها وفق هواه ليدلّل لنا أنّ الأمر بالمعروف والنهي عن المنكر يستهدف اليهود والنصارى فقط، والحال أنّ الآية الكريمة تريد الإشارة إلى أمورٍ خمسة وصف بها النّبيّ الأكرم صلی الله علیه و آله و سلم، وهي مع ذلك من مختصّات النّبيّ صلی الله علیه و آله و سلموملّته البيضاء، فإنّ الأمم الصالحة وإن كانوا يقومون بوظيفة الأمر بالمعروف والنهي عن المنكر كما ذكره تعالى من أهل الكتاب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سَوَاءٌ مِّنْ أَهْلِ الْكِتَابِ أُمَّةٌ قَابِمَةٌ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وَيَنْهَوْنَ عَنِ الْمُنكَرِ وَيُسَارِعُونَ فِي الخَيْرَاتِ وَأُولَبِكَ مِنَ الصَّالِحِينَ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تحليل الطيّبات وتحريم الخبائث في الجملة من جملة الفطريات التي أجمع عليها الأديان الإلهية، وقد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الَّتِى أَخْرَجَ لِعِبَادِهِ وَالطَّيِّبَاتِ مِنَ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وضع الإصر والأغلال وإن كان مما يوجد في الجملة في شريعة عيسى علیه السلام، كما يدلّ عليه قوله فيما حكى الله عنه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وَمُصَدِّقًا لِّمَا بَيْنَ يَدَيَّ مِنَ التَّوْرَاةِ وَلِأُحِلَّ لَكُم بَعْضَ الَّذِى حُرِّمَ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به قوله خطابًا لبني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جِئْتُكُم بِالْحِكْمَةِ وَلِأُبَيِّنَ لَكُم بَعْضَ الَّذِي تَخْتَلِفُونَ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الزخرف،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إلّا أنّه رتاب ذو ريبٍ في أنّ الدّين الذي جاء به محمد صلی الله علیه و آله و سلم بكتاب من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عندالله مصدّق لما بين يديه من الكتب السماوية وهو دين الإسلام هو الدين الوحيد الذي نفخ في جثمان الأمر بالمعروف والنهي عن المنكر كلّ ما يسعه من روح الحياة، وبلغ به من حدّ الدّعوة الخالية إلى درجة الجهاد في سبيل الله بالأموال والأنفس، وهو الدين الوحيد الذي أحصى جميع ما يتعلّق به حياة الإنسان من الشؤون والأعمال ثمّ قسّمها إلى طيّباتٍ، فأحلّها وإلى خبائث فحرّمها، ولا يعادله في تفصيل القوانين المشرّعة أيّ شريعةٍ دينيّةٍ وقانونٍ اجتماعيٍّ، وهو الدين الذي نسخ جميع الأحكام الشّاقة الموضوعة على أهل الكتاب واليهود خاصّة، وما تكلّفها علماؤهم، وابتدعها أحبارهم ورهبانهم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رمضان وهي للكاتبة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أنجليكا نويفيرت </w:t>
      </w:r>
      <w:r>
        <w:rPr>
          <w:rFonts w:eastAsia="Times New Roman" w:cs="Times New Roman" w:ascii="Times New Roman" w:hAnsi="Times New Roman"/>
          <w:color w:val="111111"/>
          <w:sz w:val="28"/>
          <w:szCs w:val="28"/>
          <w:lang w:val="en-US" w:bidi="en-US"/>
        </w:rPr>
        <w:t>Angelika Neuwirth</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قوّة المقالة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قوّة المقالة في كثرة تزييف الحقائق والاتّهامات والدّعاوي الباطلة من دون دليلٍ أو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التفريق بين المعتقد السنّي وبين المعتقد الشيعي في صوم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ضعف المقالةأوّلاً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الآيات القرآنيّة وفق آراءه الخاصّة ومن دون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دعاوي بلا دليلثالثًا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معارف القرآن إلى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الشعائر والمناسبات الدّينيّة باليهود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بتاريخ المسلمين، وسردها اعتمادًا على كتب الغربيين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 الاسرائليات والأخذ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الكاتب على أحد معاصريه في النقولات وهو معروفٌ بتعصّبه وحقده وهو واغتندونك</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الإشكالات الواردة على المقالةالإشكال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الصوم من الفجر لا من شروق الشمسقالت الكاتبة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الشهر التاسع في التقويم الإسلامي، الذي يصومه المسلمون من شروق الشمس إلى مغيبها ويحتفلون فيه بنزول القرآن على محمد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وقالت الكاتبة مناقضة نفسها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بدء الصوم معيكشف بوضوح أصله اليهودي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والجواب عن ذلكلم تُتعب الكاتبة نفسها لترى التّناقض في كلامها، فتارةً تقول إنّ بدء الصّوم يكون من شروق الشّمس وأخرى تصرّح أنّه يبدأ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تُتعب الكاتبة نفسها لتضع كتبَ أبناء سلفها إلى جنب وتذهب إلى كتب وتراث المسلمين لترى أنّ الصوم عندهم متى يبدأ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أتى به الكاتب هنا لا يمكن إلّا أن يكون التدليس والكذب على أبناء جلدته ممن يكتبون لهم ونقله ممن سبقوه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المفترض أن يردّ على سلفه المدلّسين نراه ينساق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يعقل أن يكون هذا المقال من أوّل سطر فيه علميًّا محايدًا لتحرّي الحقيقة وبيانها؟ وهنا ألف هل وهل سنغضّ الطّرف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ربط لرمضان وليلة القدر بأعياد المسيحقالت الكاتبة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الواضح أنّ ثلاثة أعياد مترابطةٌ 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الفصح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البيسح، وعيد الفصح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علاقةً وثيقةً بأعمال العنف؛ إذ إنّ في كلّ عيد يُحتفل بخلاص جماعة ما من تهديد الإبادة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وللردّ على الادّعاء الذي يكفينا مؤنته الكاتب نفسه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العلاقة بين عيد الفصح ورمضان أقل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وجود لخط علاقة وراثيّة يمكن استنباطها</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نحوٍ قاطع وليس ثمّة رواية أسطوريّة عن حصول العيد الأوّل في الثاني؛ بل العلاقة عبارة عن تشابهٍ جزئيٍّ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لم يؤخذ من اليهودقالت الكاتبة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سابقة الصّوم التي مارسها اليهود في المدينة هي التي أثارت عمليّة دخول الصوم في الأحكام الشعائرية للمجتمع المسلم الأوّل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وقالت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الشكل الأوّل للصوم المفروض دينيًّا في الإسلام كان في الأصل عادةً مشتركةً مع اليهود ولكن بقي الانصهار الإسلامي بالشّعيرة اليهوديّة محدودًا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تُريد أن يجعل من الوهم ،حقيقةً ومن الافتراضات والتّخيّلات واقعًا ملموسًا، ومن مجرّد التّشابه بين الألفاظ في عددٍ من اللغات حكمًا على الإسلام بتأثره باليهوديّة؟فهل من المنهجيّة العلميّة أن تُبنى الأحكام والحقائق على مجرّد التخمينات والفرضيّات؟وإذا وُجِد التّشابه في بعض الألفاظ في عددٍ من اللّغات؛ فهل مجرّد هذا التّشابه يكون دليلا قاطعًا على أنّ اللّاحق أخذ عن السّابق؟وهل كان الصوم حكرًا على اليهود ؟ألم تعرف الأديان السّابقة على اليهوديّة الصّيام؟إنّ مثل هذه الكاتبة وسلفها يدرسون الإسلام وَفْقَ خلفيّاتٍ ومنطلقاتٍ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يجمعون استدلالاتهم الواهية لتأكيد نظرتهم العدائيّة السابقة للإسلام، وإلّا كيف يتجاهلون المصدر الإلهي لمشروعيّة الصيام في الإسلام؟ وكيف ينكرون الأمر الإلهي بفرض الصيام على المسلمين؟ وكيف يتجاهلون المصادر الإسلاميّة التي تُبَيِّن ربّانيّة التّشريع الإسلاميّ، ويعتمدون على مزاعم أقرانهم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شك فيه هو عموميّة مشروعيّة الصيام في جميع الشّرائع السّماويّة وذلك بسبب وحدة مصدرها، وهذا ما صرّح به القرآن الكريم نفسه، حيث أشار إلى أنّ الصّوم قد كتب على السّابقين على الإسلام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الله تعالى قد أوجب الصيام على من قبلنا، سواءً كان صيامهم مشابهًا لصيام المسلمين لشهر رمضان، أو أنّ التّشابه في أصل وجوب الصّيام، وسواء كان المقصود بهم أهل الكتاب، أو جميع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ورد اختلاف فإنّما هو بما أحدثته تلك الأمم من التّحريف والتّغيير، وأما أصل الصيام فهو واجبٌ على الأمم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تشترك الأديان الإلهيّة في هذا التّشريع؛ فالصيام في الإسلام تشريعٌ ربّانيٌّ، فالشّارع الذي شرّع الصيام في اليهوديّة والنصرانيّة، قبل تحريفهما، هو الله جلّ وعلا، الذي شرّع الصيام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تساؤل ليس في محلّه حيث يمكن مراجعة كتب المسلمين لتعرف ذلكقالت الكاتبة معلقةً على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183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ليس معلومًا ما إذا كان هذا الحكم طُبّق فوراً مع هجرة محمد من مكة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غير معلوم عندك أيّها الكاتب المحترم ؟ هل طالعت واطّلعت على تراث المسلمين حتى وصلت إلى قولك ليس معلوما؟لو كنت قد تصفّحت أيّ كتابٍ من كتب المسلمين التي تناولوا فيها تاريخ مشروعيّة الصّوم لما تجرّأت وقلت هذا الكلام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تاريخ مشروعيّة الصوم وتحديده كان في السنة الثانية من الهجرة، وهو مما </w:t>
      </w:r>
      <w:r>
        <w:rPr>
          <w:rStyle w:val="FootnoteAnchor"/>
          <w:rtl w:val="true"/>
        </w:rPr>
        <w:footnoteReference w:id="662"/>
      </w:r>
      <w:r>
        <w:rPr>
          <w:rFonts w:ascii="Amiri" w:hAnsi="Amiri" w:eastAsia="Amiri" w:cs="Amiri"/>
          <w:color w:val="111111"/>
          <w:sz w:val="28"/>
          <w:sz w:val="28"/>
          <w:szCs w:val="28"/>
          <w:rtl w:val="true"/>
          <w:lang w:bidi="ar-SA"/>
        </w:rPr>
        <w:t>اتفقت عليه كلمة علماء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يضيق المقام عن سرد المصادر وحصرها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 الأحداث التاريخيّة اعتمادًا على مصادر غير المسلمينقالت الكاتبة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حدوثه التقويمي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وصحابته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صحابة النبي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إنّه يتزامن مع يوم الغفران اليهودي، يوم الصوم الذي يأتي في اليوم العاشر من الشهر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التقويم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اللاويين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تشريع الصّوم كان في السنة الثانية من الهجرة كما تقدّم ذكره، وعليه فلا صحّة للوهم والتخمين وتسطير كلام بلا علمٍ ولا درايةٍ من أنّ وصول النّبيّ صلی الله علیه و آله و سلم وصحابته للمدينة كان متزامنًا مع يوم الغفران اليهودي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إذا كانت الحقيقة والحوادث تثبت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فلا يبقى حجر على حجر، أين الدليل وأين الشاهد أيها الكاتب المحترم؟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من نسج الخيال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بين ثورة التوّابين ويوم الغفران اليهودي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جماعة التّوابين من الشيعة البدائيين الذين يعتبرون أنّ التوبة والتكفير عن الذنب أمرٌ أساسيٌّ، وثاروا في عام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م ضدّ الأمويين من أجل التكفير عن ذنبهم لعدم نصرة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من الممكن أنّها حينما ضحّى أفرادها بأنفسهم، كانت تحت تأثير الجوّ المهيب لليوم البارز في التقويم اليهودي</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الآراء والأفكار وتفسير الحوادث التأريخيّة لا تثبت بكلمة من الممكن أو يجوز ويحتمل وغيرها من الكلمات، ومثل هذا التّحليل لثورة التوّابين على حكومة بني أميّة لا يمتّ للحقيقة بصلة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أين لك هذا أيّها الكتاب؟ ومن قال لك بوجود جوّ مهيبٍ لليوم اليهودي على المسلمين وعلى شيعة أئمة أهل البيت علیم السلام في ذلك الوقت؟ ومن أخبرك بوجود التأثير؟ ما هي إلا أوهام صنعتها لنفسك ومن قبلك سلفك الذين أضلوا أبناء جلدتك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بلا دليل أنّ ليلة القدر هي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رجبقالت الكاتبة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يؤكّد الأمر القرآني الأولّي أنّ الصوم يكون لأيام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،معدودات الآية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الأغلب عشرة أيام لكن لم يُذكر الشهر بشكلٍ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واغتندونك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إنّ فترة الاعتكاف في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اختيرت لصوم الأيام المعدودة لأنّ ليلة القدر التي يرتبط بها نزول القرآن حصلت في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الليلة التي تقع أصلاً في السابع والعشرين من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 الكاتب هنا بصدد تفسير الآية الكريمة وتفسير الأيّام المعدودات بقوّة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الأغلب، ولا شك في بطلان زعمه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المسلمين فُرض عليهم صيام عشرة أيام قبل فرض صيام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ساقه خياله إلى الوقوع في خطأ آخر بزعمه أنّ الأيّام المعدودات هي عشرة، ثم نقل قول أحد معاصريه وأبناء جلدته، من أنّ الاعتكاف في رجب واختيرت لصوم الأيام المعدودة وهي العشرة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ما علاقة ليالي الاعتكاف في الإسلام بليلة القدر ؟ إنّه التّخبّط الذي سار عليه من أوّل بحثه إلى آخره</w:t>
      </w:r>
      <w:r>
        <w:rPr>
          <w:rFonts w:eastAsia="Amiri" w:cs="Amiri" w:ascii="Amiri" w:hAnsi="Amiri"/>
          <w:color w:val="111111"/>
          <w:sz w:val="28"/>
          <w:szCs w:val="28"/>
          <w:rtl w:val="true"/>
          <w:lang w:bidi="ar-SA"/>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والأيام المعدودات هي أيام رمضان؛ لأن الله لم يكتب علينا غيرها</w:t>
      </w:r>
      <w:r>
        <w:rPr>
          <w:rStyle w:val="FootnoteAnchor"/>
          <w:rtl w:val="true"/>
        </w:rPr>
        <w:footnoteReference w:id="663"/>
      </w:r>
      <w:r>
        <w:rPr>
          <w:rFonts w:ascii="Amiri" w:hAnsi="Amiri" w:eastAsia="Amiri" w:cs="Amiri"/>
          <w:color w:val="111111"/>
          <w:sz w:val="28"/>
          <w:sz w:val="28"/>
          <w:szCs w:val="28"/>
          <w:rtl w:val="true"/>
          <w:lang w:bidi="ar-SA"/>
        </w:rPr>
        <w:t xml:space="preserve">، ومن ادّعى أنّ صومًا كان قد لزم المسلمين فرضُه غير صوم شهر رمضان الذي هم مجمعون على وجوب فرض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البرهان على ذلك من خبر تقوم به حُجة إذا كان لا يعلم ذلك إلا بخبر يقطع العذر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العشر الأواخر من رمضان فهي ليالي عبادة، ويُسَنُّ فيها الاعتكاف، ويقضي فيها المسلم نهاره صائماً، وقد كان الرسول صلی الله علیه و آله و سلم يجتهد فيها بالعبادة، وأما ليلة القدر فهي الليلة التي أنزل الله فيها القرآن الكريم إلى السماء الدنيا، وليلة هي خير من ألف شهر في قيامها وليلة تتنزل فيها الملائكة لكثرة بركتها وليلة القدر عند المسلمين تقع في العشرة الأخيرة من شهر رمضان المبارك، لا كما ذهب إليه الكاتب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الإشكال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الغموض في الآياتقال الكتاب ناقلاً كلام أمثاله من أبناء جلدته في تعليقه على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 مَعْدُودَاتٍ فَمَنْ كَانَ مِنْكُمْ مَرِيضًا أَوْ عَلَى سَفَرٍ فَعِدَّةٌ مِنْ أَيَّامٍ أُخَرَ وَعَلَى الَّذِينَ يُطِيقُونَهُ فِدْيَةٌ طَعَامُ مِسْكِينٍ فَمَنْ تَطَوَّعَ خَيْرًا فَهُوَ خَيْرٌ لَهُ وَأَنْ تَصُومُوا خَيْرٌ لَكُمْ إِنْ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وجهة نظر واغتندونك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ينطوي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غموض مماثل ارتبط بتغيير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 الكاتب يوضّح لنا نقطة الغموض التي يراها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ليرشدنا إليها ويبيّن لنا العلاقة بين من وضع عنه الصوم وبين تغيير القبلة ولكن عمليّة إلقاء الألغاز لا تجعل من الأوهام حقيقةً، كما أنّها لا تحجب الحقيقة لمن يطلبها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الاسرائلياتقالت الكاتبة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فيعكس الطلب من المؤمنين الصيام ما إن يستطيعوا تمييز الخيط الأبيض من الخيط الأسود وهو سلوك يهودي لتحديد وقت بدء الصوم من خلال استخدام الخيوط السوداء والبيضاء في شال صلاة العابد الذكر كمعيار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المدّعى والاقتباس يتردّد في كثيرٍ من الكتب، وعلى ألسنة الغربيين والمستشرقين ومن سلك منهجهم وإثبات النّقل عن التلمود، وقد روّج له كثيرًا ولكن مع تدليس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في التلمود يتحدّث عن اللّون الأبيض والأزرق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كما في مشنا التلمود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 وقت بإمكان المرء أن يقرأ الشمع في الصباح؟ من الوقت الذي بالإمكان أن يميز المرء بين الأزرق والأبيض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واختلفوا في تحديد الألوان وتفسيرها، والحال أنّ القرآن الكريم يتكلم عن تمييز سواد الليل من بياضه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التمييز كان لمعرفة بداية الصلاة وليس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توقيت العبادات في الإسلام قائمٌ على أساس ملاحظة الظواهر الكونيّة وشروق الشّمس وغروبها والفجر ، وهي لغة عالميّة في جميع الشرايع، ولو قلنا جدلاً بوجود التّشابه بين القرآن الكريم والتلمود فإنّ ذلك لا يدلّ على مقتبسٍ ومقتبسٍ منه؛ لأنّها لغةٌ عالميّةٌ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اشارةلقد تناولنا في هذه المقالة تحليل بعض المقالات التي تناولت التّشريعات العباديّة،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المباح والمحرّم الأمر والنهي، رمضان، وقد عرضنا نقاط القوّة والضّعف فيها مع بيان محلّ الإشكال فيها والرّدّ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أدرجت موسوعة ليدن موضوع التّشريعات والعبادات في القرآن الكريم، فوجّهوا سهام الطّعن والتّجريح والتّشكيك والتّزييف، وزعموا أنّها أخذت أو اقتبست عن اليهود والنّصارى وعن الوثنيّة في عصر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القضية الأكثر شبهةً وتحريفاً في الفكر الغربي والاستشراقي، والتي يكادون يجمعون عليها، هي تأثّر التشريعات الإسلاميّة والعبادات الدّينيّة بالقانون الرّوماني أو التلمود اليهوديّ أو غيرهما، ولم يدرك أكثرهم أنّ التّشابه في بعض القواعد والأفكار والألفاظ لا يدلّ بحالٍ على أنّ اللّاحق قد نقل عن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جوانب خطورة هذه الموسوعة التّصوير المشوّه والتّحريف المتعمد من قبل البعض لحقيقة العبادات الإسلاميّة فيها، فنجدهم كثيرًا ما يُردّدون مزاعمهم بأنّ العبادات في الإسلام من أصولٍ مختلفةٍ، جاهليّةً ويهوديّةً ونصرانيّةً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هنا من تقييم المحتوى العلمي لهذه المقالات الأربع، وإنَّ دعوى التّحقيق الدّقيق المذكورة في مقدّمة الموسوعة لا تنسجم مع كيفية معالجة المقالات والمداخل والعناوين في الموضوعات المبحوثة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المباح والمحرّم، الأمر ،والنهي ،رمضان، إذ يؤخذ عليها الضّعف العلمي لكتّاب هذه الموضوعات والنّظرة السّلبيّة لبعض الكتّاب وعدم الإنصاف والاستفادات الخاطئة من القرآن الكريم وشرح الألفاظ دون بيان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الإشكالات المنهجية الكبيرة على هذه المقالات إسقاط الرّؤية الغربيّة في التّحليل والكتابة للعهدين على القرآن الكريم، ودعوى تأثّر القرآن الكريم بالعهدين،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وإثارة التّناقضات التي يتصوّرها الكتّاب الغربيين في القرآن الكريم، والاعتماد على الإسرائيليّات ونقلها دون نقدها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الموضوعية هي الأخرى من الثغرات الملاحظة في البحث والاستشهاد، إذ يبرز تغليب الثّقافة الإسلامية السّنيّة على الشّيعيّة وعدم الالتفات لآراء الشّيعة وكتبهم بما يتناسب مع حجم هذه 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هؤلاء الكتّاب يفترضون ما يفترضون من دون أن يقدّموا دليلاً واحدًا على صحّة ما يرونه، إنّهم يريدون الانتصار لوجهة نظرهم دون أن يعنيه موضوعيّة الدّليل أو سلامته من الوهم أو الخلط أو الاضطراب ثم يدّعون دراسة القضايا وفق منهجٍ علميٍّ مدروسٍ يتّسم بالأمانة والبعد عن الأهواء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من أهمّ الإشكالات التي يمكن أن تؤخذ على الكتَّاب وأصحاب المقالات والمداخل التي كتبت في هذه الموسوعة، وخاصّة التشريعات العباديّة، أنّهم حذفوا حديث النّبيّ صلی الله علیه و آله و سلم وسنّته عن الاستدلال وفَصلوها عن القرآن الكريم، وفرضوا لا بدّيّة وجود التفاصيل الدّقيقة في القرآن في خصوص كلّ موضوع، وهذا الفرض لا صحّة له؛ لأنّ الدين الإسلامي والتشريعات العباديّة نأخذها من القرآن الكريم وحديث النبي وأوصيائه صلی الله علیه و آله و سلم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والمراجع</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الحسني الندوي الأركان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الزكاة،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في ضوء الكتاب والسنة مقارنة مع الديانات الأخرى، دار القلم ،الكويت، الطبعة الثالثة،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الدسوقي محمد الاستشراق والفقه الإسلامي مجلة حولية كلية الشريعة والدراسات الإسلامية جامعة قطر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دوركهايم أميل، الأشكال الأولية للحياة الدينية، ترجمة رندة بعث المركز العربي للأبحاث ودراسة السياسات 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الدوحة، الطبعة الأولى، </w:t>
      </w:r>
      <w:r>
        <w:rPr>
          <w:rFonts w:eastAsia="Amiri" w:cs="Amiri" w:ascii="Amiri" w:hAnsi="Amiri"/>
          <w:color w:val="111111"/>
          <w:sz w:val="28"/>
          <w:szCs w:val="28"/>
          <w:lang w:bidi="ar-SA"/>
        </w:rPr>
        <w:t>2019.4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الزاهي، نور الدين المقدس الإسلامي، دار توبقال للنشر، المغرب، الطبعة الأولى، </w:t>
      </w:r>
      <w:r>
        <w:rPr>
          <w:rFonts w:eastAsia="Amiri" w:cs="Amiri" w:ascii="Amiri" w:hAnsi="Amiri"/>
          <w:color w:val="111111"/>
          <w:sz w:val="28"/>
          <w:szCs w:val="28"/>
          <w:lang w:bidi="ar-SA"/>
        </w:rPr>
        <w:t>2005.5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رسائل الشريف المرتضى، تحقيق السيد أحمد الحسيني دار القرآن الكريم،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محمد بن الحسن النهاية ونكتها مؤسسة النشر الإسلامي التابعة الجماعة المدرسين بقم المقدسة،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محمد حسين الميزان في تفسير القرآن منشورات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جمال الدين أبي منصور الحسن بن يوسف بن المطهر، تحرير الأحكام، تحقيق إبراهيم البهادري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للام ، قم ،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مرسيا ،إلياد المقدس والمدنس، ترجمة عبد الهادي ،عباس دار دمشق للطباعة والنشر الطبعة الأولى،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مغنية، محمد جواد، فقه الإمام جعفر الصادق علیه السلام، مؤسسة أنصاريان، قم، الطبعة الثانية،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مغنية، محمد جواد الفقه على المذاهب الخمسة، مؤسسة الصادق عللسلام، قم، الطبعة الخامسة،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مغنية محمد جواد تفسير الكاشف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الثالثة،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الشيرازي ناصر الأمثل في تفسير كتاب الله المنزل، مطبعة أمير المؤمنين، قم،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المراجع الأجنبية</w:t>
      </w:r>
      <w:r>
        <w:rPr>
          <w:rFonts w:eastAsia="Times New Roman" w:cs="Times New Roman" w:ascii="Times New Roman" w:hAnsi="Times New Roman"/>
          <w:color w:val="111111"/>
          <w:sz w:val="28"/>
          <w:szCs w:val="28"/>
          <w:lang w:val="en-US" w:bidi="en-US"/>
        </w:rPr>
        <w:t>gjat. June 2014. vol 4 issue. 117 .1</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التَّعدّديّة الدّينيّة والقرآن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تحليلية 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اشارةالشيخ الأسعد بن علي القيدارة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الحمد لله ربّ العالمين والصلاة والسلام على سيد المرسلين وخاتم النبيين، المبعوث رحمة للعالمين سيّدنا محمد صلی الله علیه و آله و سلم وعلى آله الطيبين الطاهرين علیهم السلام، مصابيح الدّجى، والعروة الوثقى وكلمة التّقوى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نزول القرآن الكريم على الرّسول الأكرم محمد إيذانًا بدخول التّاريخ عصرًا جديدًا، وإعلانًا سماويًّا أنّ زمن الرّسالة الخاتمة قد انبلج، وأن تباشير حضارةٍ جديدةٍ تقطع مع الفصام النّكد بين الأرض والسماء بين العقل والوحي بين الطبيعة والشهادة بين التاريخ والملكوت قد لاحت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 خَلَقَ الإنْسَانَ مِنْ عَلَقٍ اقْرَأْ وَرَبُّكَ الْأَكْرَمُ الَّذِي عَلَّمَ بِالْقَلَمِ عَلَّمَ الْإِنْسَانَ مَا لَمْ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العلق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نزول آياته الأولى غدا القرآن مركز اهتمام النّاس ومعقد آمال البشرية في الخلاص، بما بشّر به من عاقبةٍ للمتّقين ونصرةٍ للمستضعفين المظلومين؛ ولذلك لا نعرف كتابًا في التاريخ البشريّ صنع التّاريخ، وأثّر فيه، ويُؤثّر في الحاضر، ويهيء فعليًّا للمستقبل كهذا الكتاب، ولا نعرف مدّونةً دينيّةً أو أدبيّةً أو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موضوع بحثٍ ودراسةٍ في التّاريخ كالقرآن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كانت حركة الاستشراق وفي مختلف أطواره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التّبشيريّة، والاستعماريّة،</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العلميّة والاستشراق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تستهدف تطويع الشّرق كموضوع دراسةٍ لأغراضٍ وغاياتٍ يفرضها الانتماء المدرسي أو القومي أو الاستخباراتي، أو السياسي للمستشرق، فإنّ التّراث الإسلامي عمومًا والقرآن الكريم بالخصوص شكلاً ثابتةً من ثوابت الهواجس الاستشراقيّة واهتمامات المستشرقين في شتّى المراحل، فالقرآن منذ التّراجم الاستشراقيّة الأولى بطرس المبجل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موضوعًا للبحث من جهاتٍ عدّةٍ تاريخًا، وتفسيرًا، وعلومًا، وترجمةً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التّحوّلات الكبرى التي عرفتها الحركة الاستشراقيّة في سبعينيات القرن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مؤتمر باريس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المؤتمر العالمي للدّراسات الإنسانيّة حول آسيا وشمال إفريقيا لم تخبو جذوة هذا التّوجّه، بل نراها تتأجّج، خاصّة مع تصاعد الصّحوة الإسلاميّة في تلك الفترة، واحتدام الصّراع بين الشّرق والغرب، وصولاً إلى العقدين الأوّلين من القرن العشرين؛ حيث اتّخذ هذا الصّدام أبعادًا دراماتيكيّةً، مثّلت أحداث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وخلال هذين العقدين الأوّلين صدر عددٌ مهمٌ من الدّراسات الغربيّة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،معاجم موسوعات ترجمة مخطوطات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واعتبرت موسوعة القرآن ليدن من أهمّ هذه الأعمال والإنجازات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البحث يأتي في سياق محاولةٍ لدراسة إحدى مقالات هذه الموسوعة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 الدّينيّة والقرآن، وهو عبارة عن قراءةٍ تحليليّةٍ نقديّةٍ للمقالةٍ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وحرصًا على الموضوعيّة العلميّة، وعلى المعالجة التّحليليّة الرّصينة التي تأخذ بأبعاد القضيّة من جميع جوانبها قسّمنا البحث إلى تمهيدٍ وفصلين تضمّن كلّ فصلٍ مباحث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 التّمهيد لتعريفٍ إجماليٍّ بمقالة التّعدّديّة ومكانتها من نسيج الموسوعة، وبالكاتبتين اللّتين ألّفتا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الفصل الأوّل قدّمنا قراءةً تحليليّةً لنصّ المقالة فأسلوب الكاتبتين اتّسم بنوعٍ من التّعقيد والتّداخل اقتضي تفكيك المقالة وإعادة عرضها بطريقةٍ قريبةٍ لذهن القارئ حتى لا نظلم الباحثتين من جهة، تكون عمليّة النّقد إسقاطاتٍ لا يفهم القارئ سياقاتها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الفصل</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فعرضنا فيه القراءة النّقديّة، فانتقدنا معالجات المقالة في المباحث الثلاثة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للمفردات القرآنيّة حول الدين في المبحث الأوّل، وللمجتمعات الدّينيّة وتفاعلها في المبحث الثاني، وإمكانيّة بناء نظريّةٍ قرآنيّةٍ حول التّعدّديّة في المبحث الثالث وفي المبحث الرّابع انتقدنا الفرضيّات الاستشراقيّة التي بُنيت عليها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وأدرجنا النّتائج والاستخلاصات في خاتمة البحث</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الدّراسة، لا تخلو قطعًا من هنات ونقائص رغم السّعي الدّؤوب من قبل الكاتب على التزام الحياديّة والموضوعيّة في النّقاش والتّجرّد عن محمولاتنا الفكريّة والنّفسيّة المسبقة السّلبيّة عادة عن الاستشراق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عز وجل أن يتقبّل هذا العمل خدمةً لكتابه المنزل هدى للعالمين ونرجو أن تكون هذه المشاريع في نقد الموسوعات القرآنيّة الغربيّة، خطوةً حضاريّةً متقدّمةً في تجسيد ثقافتنا القرآنيّة العظيمة التي تؤمن بالآخر ولا تلغيه وتدعوه إلى كلمة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64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أوليس القرآن هو الكلمة السّواء لو كانوا يعقلون؟فَإِن تَوَلَّوْا فَقُولُوا اشْهَدُوا بِأَنَّا مُسْلِمُونَ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إجماليٌ بمقالة التّعدّديّة ومكانتها من نسيج الموسوعةمن اللّافت أن يكون أحد عناوين مقالات موسوعة 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 الدّينيّة فهذا المصطلح حديثٌ أفرزته السّياقات الغربيّة للحداثة والمراجعات اللاهوتيّة في الفكر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فطبيعة الموضوع، خاصّة مع إيمان الكاتبتين </w:t>
      </w:r>
      <w:r>
        <w:rPr>
          <w:rStyle w:val="FootnoteAnchor"/>
          <w:rtl w:val="true"/>
        </w:rPr>
        <w:footnoteReference w:id="665"/>
      </w:r>
      <w:r>
        <w:rPr>
          <w:rFonts w:ascii="Amiri" w:hAnsi="Amiri" w:eastAsia="Amiri" w:cs="Amiri"/>
          <w:color w:val="111111"/>
          <w:sz w:val="28"/>
          <w:sz w:val="28"/>
          <w:szCs w:val="28"/>
          <w:rtl w:val="true"/>
          <w:lang w:bidi="ar-SA"/>
        </w:rPr>
        <w:t>بالتّنوّع الدّينيّ والحوار بين الأديان كما اتّضح لنا من سيرتهما العلميّة، يجعلنا نتوقّع أن تكون المعالجة رصينةً وهادئةً وموضوعيّةً، وتتجاوز النّزعة الاستشراقيّة التّقليديّة وما فيها من عدائيّةٍ وتعصّبٍ وتعالٍ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يجدر بنا قبل القراءة التّحليليّة لمقالة التّعدّديّة الدّينيّة، والتي تمثّل محور دراستنا هذه، أن نعرّف بالمقالة، وموقعها من الموسوعة وأهمّيتها وعلاقتها بالموضوعات الأخرى، في عملٍ توصيفيٍّ صرف، بمنأى عن القراءة التّحليليّة العميقة والقراءة النّقديّة للشّكل والمنهج والمضمون، التي نرجئها للفصل الثاني ونكتفي هنا بالتّعريف الإجماليّ بالمقالة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جاءت المقالة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في التمهيد أشارت الكاتبتان إلى تضمّن النّصّ</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القرآنيّ إشاراتٍ عديدة للأديان التي كانت سائدةً في زمن نزوله، ورغم اعتقاد المسلمين أنّ النّبيّ صلی الله علیه و آله و سلم هو خاتم النّبيين، إلا أنّ النّصّ القرآني يتحدّث عن فئاتٍ مختلفةٍ، بل يُعبّر بواقعيّةٍ عن خصومٍ وقفوا ضدّه كدين كالمنافقين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وتؤكّد على التّصنيف المتعدّد والمختلف للفئات الدّينيّة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استعراضٌ للمفردات القرآنيّة الدّالة على الدين أو على الجماعات الدّينيّة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توزّعت هذه المفردات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وملّة، وعبادة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يستحسنها القرآن إسلام حنيف، 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تعبّر عن التّسامح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أهل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مصطلحات تعبّر عن التّجاذبات والانقسامات الأحزاب الشّيع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للمجتمعات الدّينيّة التي تعرّض لها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 والمجوس الصابئة والحنفاء المشركون والوثنيون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المطلب الثالث تعالج المقالة المؤشّرات القرآنيّة للتفاعل بين الأديان من خلال رصد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الوقائع الحبشة نجرانب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الجدل والدّفاعوفي 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لاستخلاص الموقف القرآنيّ من التّعدّديّة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إلى بعض السّياقات التّاريخيّة لتعاطي المسلمين مع الآخر وموقفهم من الأديان الأخرى، وكيف أثّرت الظروف التّاريخيّة على تشكّل فهم المسلمين للنظرية القرآنيّة في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تجلّت لنا خطّة المقالة، ووفقها، ستكون القراءة التّحليليّة التي يتصدّى لها هذا البحث بإذنه تعالى</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التحليلية 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 الدّينيّة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تمهيدلمّا كانت الموسوعة تتصدّى للتعريف بالقرآن وتشريح مضامينه ومقولاته فلا مناصّ من بحث الموقف القرآنيّ من الدين عمومًا، ونظرته إلى الأديان الأخرى، وهو الكتاب الذي واكب في نزوله التّنجيميّ أطوار الدّعوة، ومراحلها المتعاقبة التي واجه فيها الدين الجديد والرّسالة العتيدة فئاتٍ مختلفةً من مشركين وأحناف فى البيئة المكيّة وأهل ،كتاب ومنافقين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بيئة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الكتاب الذي يمثّل في هويّته الإلهيّة الواقعيّة وفي معتقد المسلمين الوحي السّماوي الذي يحدّد للمسلمين منهجهم في التّعاطي مع مختلف الأديان والملل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تكمن أهميّة هذه المقالة التي نسعى في هذا الفصل لدراستها دراسةً تحليليّةً وصفيّةً؛ لأنّ النّقد العلميّ والموضوعيّ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نخصّص له الفصل الثاني لا يمكن أن يُنجز بدون قراءةٍ تحليليّةٍ دقيقةٍ تسبقه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لا نقع في شباك الانطباعيّة، والمواقف المسبقة والتّحيّز وغيرها من آفات البحث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وراعت مباحث هذا الفصل التّمشّي الذي سلكته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المبحث الأوّل بيّنّا كيف رصدت المقالة المفردات القرآنيّة المتعلّقة بالدّين، وفي المبحث الثاني توقّفنا عند التّعبيرات القرآنيّة عن المجتمعات الدّينيّة، وأمّا المبحث الثالث فكان محوره التّفاعل بين المجتمعات الدّينيّة، وفي المبحث الرابع عرضٌ لإجابة المقالة عن إمكانيّة بناء موقفٍ قرآنيٍّ من التّعدّديّة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يخلو الخطاب في هذا الفصل من إشاراتٍ نقديّةٍ، رغم الطّابع التّحليليّ الطّاغي، وذلك للضرورات المنهجيّة أحيانًا، أو لتهيئة القارئ لعمليّة النّقد في الفصل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تضمّنت مقدّمة المقالة أفكارًا مهمّةً يجدر بنا الوقوف عندها قبل الشّروع في مبحث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المفارقات أنّها افتتحت بالتّنصيص على عقيدة المسلمين في ختم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النّبيّ محمد صلی الله علیه و آله و سلم للنبوات، ونسخ رسالته لرسالات الأنبياء السّابقين، فهذه الفكرة التي تعدّ في حدّ ذاتها إشكالاً يثيره أنصار التّعدّديّة الدّينيّة، في وجه الفكر الإسلامي التّقليديّ، ويعتبرونها دليلًا على أنّ القرآن لا يؤمن بالتعدّدية وأنّه ينادي بالانحصاريّة الدّينيّة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لكن فكرة الخاتميّة هذه كانت مدخلًا للمقالة، واعتبرت دليلا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يعبّر عن وعيٍ بالرّسالات السّابقة، أو ببعضها على الأقل، ويُظهر معرفةً بعددٍ من الجماعات الدّينيّة في بيئته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وربطت الكاتبتان جهود المفسّرين في تحديد الهويّات التّاريخيّة لتلك الإشارات القرآنيّة للأديان الموجودة زمن التّنزيل القرآني، بانخراط علماء المسلمين في تأسيس ما سمّي بعلم 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هذه الإشارة العابرة أوردت المقالة خمسة مداخل أخرى للتبرير العلمي لهذه الأطروحة وجعلها جزءًا من موسوعة القرآن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الفكرة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القرآن الكريم عن الأفراد والجماعات الذين لم يؤمنوا بنبوّة النّبيّ محمد صلی الله علیه و آله و سلم وتصنيفه لهذه الفئات كالمشركين والوثنيين، ولا يفوتها هنا أيضًا أن تدسّ نقدًا غير مباشرٍ لهذه المناقشات القرآنيّة للمشركين العرب بالاستشهاد بهات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Hawting</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idia of idolatry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يرى أنّ القرآن لا يجادل فعلًا عبدة الأوثان وأنّ التّراث الإسلاميّ لا يعكس معرفةً واقعيةً بالدّين الوثني العربي، وإنّما يكشف الجدل القرآني عن صراعٍ مع الموحّدين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لسان الباحثين الغربيين منذ قرن ونصف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جاء في المقالة من تأثّر القرآن الكريم بالتّراث المسيحي واليهودي، ومن اللافت التّعبير الذي أستخدم لتوصيف هذا التّأثّر أو بالأحرى هذا 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 التوحيدي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monotheistic</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influence</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تسوقها المقالة كإحدى محدّدات التّمهيد لمقاربة فكرة التّعدّديّة الدّينيّة في القرآن الكريم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انشغلت به بعض الدّراسات الغربيّة لتشخيص الفئات الدّينيّة التي كانت متواجدةً في بيئة الدّعوة الأولى، وما ذهبت إليه من وجودٍ محتملٍ لجماعاتٍ دينيّةٍ مسيحيّةٍ، ويهوديّةٍ، أو مسيحيّة يهودية، وما خمّنته في تشخيص هويّة زنادقة مكّة من أنّهم المانويون أو المزدكيون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وأكّدت الباحثتان في هذا السّياق على التّشابه والالتقاء بين الإسلام والمسيحيّة واليهوديّة واستشهدت هنا بأعمال </w:t>
      </w:r>
      <w:r>
        <w:rPr>
          <w:rFonts w:eastAsia="Times New Roman" w:cs="Times New Roman" w:ascii="Times New Roman" w:hAnsi="Times New Roman"/>
          <w:color w:val="111111"/>
          <w:sz w:val="28"/>
          <w:szCs w:val="28"/>
          <w:lang w:val="en-US" w:bidi="en-US"/>
        </w:rPr>
        <w:t>DONNER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للتدليل على هذا التّشابه بين الطوائف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اطّراد الحديث القرآنيّ عن الجماعات المختلفة التي كانت تسكن بيئته وتصنيفه إيّاها بطرقٍ مختلفةٍ اليهوديّة والمسيحيّة والمشركون والحنفاء وتُحيلنا هنا أيضًا الباحثتان إلى روبين </w:t>
      </w:r>
      <w:r>
        <w:rPr>
          <w:rFonts w:eastAsia="Times New Roman" w:cs="Times New Roman" w:ascii="Times New Roman" w:hAnsi="Times New Roman"/>
          <w:color w:val="111111"/>
          <w:sz w:val="28"/>
          <w:szCs w:val="28"/>
          <w:lang w:val="en-US" w:bidi="en-US"/>
        </w:rPr>
        <w:t>Rubin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للتعرف على الجماعات الدّينيّة التي كانت في جنوب الجزيرة العربية قبل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معاني لفظ الدّين، واختلافها الدّلالي عن لفظ الإيمان وكذلك عن لفظ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قاعدة هذا الأفكار والإشارات تسوق الباحثتان هدف المقالة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لذا جاء هذا البحث ليناقش تطوّر الموقف القرآنيّ تجاه التعدّديّة الدينية من خلال النّظر أوّلًا إلى المفردات التي استعملها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المواجهة بين الأديان، بين محمد وأتباعه من جهة، وبين غير المسلمين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سيطرّق القسم الأخير إلى الآيات القرآنيّة التي صاغت 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بصيغة الجمع الإسلاميّة تجاه تعدّديّة الأديان راهنا</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والمفردات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اشارةبعد هذا التّقديم شرعت الباحثتان في سرد المفردات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أشرنا سابقًا جمّعت في خمس دوائر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ملّة عبادةتهيّئ المقالة ذهنيّة القارئ لقبول مسلّمةٍ عند أرباب الدّراسات الغربيّة والاستشراقيّة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مرجعيّة بعض الألفاظ في اللّغات القديمة، فتذكر أنّ القرآن استخدم حقلًا واسعًا من المفردات العربيّة وغير العربيّة التي تعبّر عمّا يسمّيه المعاصرون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Qur an uses a range of wordsboth Arabic and Arabized non- arabic...to signify what contemporary readers understand as "religion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واعتبرت لفظ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المصطلحات العامّة التي استخدمها القرآن الكريم وأشارت إلى تكرار هذا اللفظ أكثر من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Style w:val="FootnoteAnchor"/>
          <w:rtl w:val="true"/>
        </w:rPr>
        <w:footnoteReference w:id="670"/>
      </w:r>
      <w:r>
        <w:rPr>
          <w:rFonts w:ascii="Amiri" w:hAnsi="Amiri" w:eastAsia="Amiri" w:cs="Amiri"/>
          <w:color w:val="111111"/>
          <w:sz w:val="28"/>
          <w:sz w:val="28"/>
          <w:szCs w:val="28"/>
          <w:rtl w:val="true"/>
          <w:lang w:bidi="ar-SA"/>
        </w:rPr>
        <w:t xml:space="preserve">، وفي محاولةٍ لإرجاع أصل الدّين إلى جذورٍ في البيئة الجاهليّة استشهدت المقالة بجهود </w:t>
      </w:r>
      <w:r>
        <w:rPr>
          <w:rFonts w:eastAsia="Times New Roman" w:cs="Times New Roman" w:ascii="Times New Roman" w:hAnsi="Times New Roman"/>
          <w:color w:val="111111"/>
          <w:sz w:val="28"/>
          <w:szCs w:val="28"/>
          <w:lang w:val="en-US" w:bidi="en-US"/>
        </w:rPr>
        <w:t>Goldziher</w:t>
      </w:r>
      <w:r>
        <w:rPr>
          <w:rFonts w:ascii="Amiri" w:hAnsi="Amiri" w:eastAsia="Amiri" w:cs="Amiri"/>
          <w:color w:val="111111"/>
          <w:sz w:val="28"/>
          <w:sz w:val="28"/>
          <w:szCs w:val="28"/>
          <w:rtl w:val="true"/>
          <w:lang w:bidi="ar-SA"/>
        </w:rPr>
        <w:t>، والتأكيد على مفهوم المروءة القبليّة وأهمّيتها الأخلاقيّة والرّوحيّة، والتي تجعلها تشبه إلى حدٍّ بعيدٍ الدّين، وأنّ العصر الإسلامي كان يقدّر الفضيلة والأخلاق الذّكوريّة في العصر الجاهلي، ولكنّه أضاف إليها صفاتٍ 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وتعترف الباحثتان بالتَّنوّع الدّلالي للفظ الدّين في العربيّة، ولكنّهما يعودان إلى الأصل الفارسي والأكادي للفظ، فتستنتجان أنّ المعنيين الأساسين للفظ الدّين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الفارسي، والحكم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الأكادي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وتشيران إلى أنّ الأصل السّرياني في الكتابات المسيحيّة لهذه اللّفظة أيضًا يدلّ على هذين المعنيين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تسوقان رأي أحد المستشرقين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Gardet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ادّعى أنّ القرآن استعمل لفظ دين بمعنى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الجذرالأكادي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المرحلة المكّيّة، واستعمله بمعنى العبادة والجوانب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الجذر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المرحلة المدنيّة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وأضافت الباحثتان إلى الحقل الدّلاليّ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ascii="IRNazanin" w:hAnsi="IRNazanin" w:eastAsia="IRNazanin"/>
          <w:color w:val="111111"/>
          <w:sz w:val="28"/>
          <w:sz w:val="28"/>
          <w:szCs w:val="28"/>
          <w:rtl w:val="true"/>
          <w:lang w:bidi="fa-IR"/>
        </w:rPr>
        <w:t xml:space="preserve"> اتّساعه وإطلاقه على</w:t>
      </w:r>
      <w:r>
        <w:rPr>
          <w:rFonts w:eastAsia="IRNazanin" w:cs="IRNazanin"/>
          <w:color w:val="111111"/>
          <w:sz w:val="28"/>
          <w:szCs w:val="28"/>
          <w:rtl w:val="true"/>
          <w:lang w:bidi="fa-IR"/>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المؤمنين وغير المؤمنين، بالنّظر إلى الآية الأخيرة من سورة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الكافرون، الآية </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الإضافات الدّلاليّة التي تحتاج إلى تأمّلٍ تفسير دلالة لفظ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الداء إلى معنى العبادة بالاشتراك الجذري 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الداء </w:t>
      </w:r>
      <w:r>
        <w:rPr>
          <w:rFonts w:eastAsia="Times New Roman" w:cs="Times New Roman" w:ascii="Times New Roman" w:hAnsi="Times New Roman"/>
          <w:color w:val="111111"/>
          <w:sz w:val="28"/>
          <w:szCs w:val="28"/>
          <w:lang w:val="en-US" w:bidi="en-US"/>
        </w:rPr>
        <w:t>debt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لأنّ في العبادة إرجاع لله حقَّه أي الفرائض والسُنن التي نصَّ عليها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المصطلحات العامّة لفظ الملّة الذي اعتبرته المقالة مصطلحًا قرآنيًا لم يكن له أسبقيّة دلاليّة في اللّغة العربيّة، وبناء على ذلك تُرجعه إلى جذرٍ سريانيٍّ، والتي تدلّ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لوغوس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استخدم كمصطلحٍ تقنيٍّ للدلالة على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وحسب المقالة، فإنّ لفظ الملّة ورد في القرآن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منها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للتعبير عن عقيدة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الملّة غير مختصٍّ بالإسلام والمسلمين، فهو يُطلق أيضًا على المشركين والكافرين كما في الآتيتين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الَّذِينَ اسْتَكْبَرُوا مِن قَوْمِهِ لَنُخْرِجَنَّكَ يَا شُعَيْبُ وَالَّذِينَ آمَنُوا مَعَكَ مِن قَرْيَتِنَا أَوْ لَتَعُودُنَّ فِي مِلَّتِنَا قَالَ أَوَلَوْ كُنَّا كَارِهِينَ قَدِ افْتَرَيْنَا عَلَى اللَّهِ كَذِبًا إِنْ عُدْنَا فِي مِلَّتِكُم بَعْدَ إِذْ نَجَانَا اللَّهُ مِنْهَا وَمَا يَكُونُ لَنَا أَن نَّعُودَ فِيهَا إِلَّا أَن يَشَاءَ اللَّهُ رَبُّنَا وَسِعَ رَبُّنَا كُلَّ شَيْءٍ عِلْمًا عَلَى اللَّهِ تَوَكَّلْنَا رَبَّنَا افْتَحْ بَيْنَنَا وَبَيْنَ قَوْمِنَا بِالْحَقِّ وَأَنتَ خَيْرُ الْفَاتِحِينَ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الآيتان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قوله تعالى على لسان يوسف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تَرَكْتُ مِلَّةَ قَوْمٍ لا يُؤْمِنُونَ بِاللَّهِ وَهُم بِالْآخِرَةِ هُمْ 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يوسف،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واستعملت للدلالة على أديان الأنبياء السابقين كالآية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وَاتَّبَعْتُ مِلَّةَ آبَابِي إِبْرَاهِيمَ وَإِسْحَاقَ وَيَعْقُوبَ مَا كَانَ لَنَا أَن نُّشْرِكَ بِاللَّهِ مِن شَيْءٍ ذَلِكَ مِن فَضْلِ اللهِ عَلَيْنَا وَعَلَى النَّاسِ وَلَكِنَّ أَكْثَرَ النَّاسِ لَا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استعملت للدلالة على اليهود والنصارى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تَرْضَى عَنكَ الْيَهُودُ وَلَا النَّصَارَى حَتَّى تَتَّبِعَ مِلَّتَهُمْ قُلْ إِنَّ هُدَى اللَّهِ هُوَ الْهُدَى وَلَين اتَّبَعْتَ أَهْوَاءَهُم بَعْدَ الَّذِى جَاءَكَ مِنَ الْعِلْمِ مَا لَكَ مِنَ اللهِ مِن وَلِي وَلَا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Times New Roman" w:cs="Times New Roman" w:ascii="Times New Roman" w:hAnsi="Times New Roman"/>
          <w:color w:val="111111"/>
          <w:sz w:val="28"/>
          <w:szCs w:val="28"/>
          <w:rtl w:val="true"/>
          <w:lang w:val="en-US" w:bidi="en-US"/>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وأرجعت المقالة الآيات الآتية في استخدامها لفظ ملّة إلى دين شعيب، والآيات هي كما أحيلت في نصّ المقالة</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كلام حول هذه الدّلالة في الفصل اللّاحق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وقارنت المقالة بين لفظ ملّة ولفظ أمّة من حيث صلاحيّة الدّلالة على غير جماعة المسلمين والمؤمنين فقد استخدمت لفظ الأمّة للدلالة على الجماعات غير المسلمة، بل أطلقت حتّى على الطيور والحيوانات واستشهدت بالآية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ولا طائر يطير بجناحيه إلّا أمم أمثالكم ما فرّطنا في الكتاب من شيء ثمّ إلى ربّهم يحشرون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38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المصطلح الأخير في هذه الدّائرة، هو مصطلح العبادة والذي اعتبر التّطبيق العمليّ للدين وتكرّرت صيغته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عبادة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في القرآن الكريم، أمّا الصّيغة الفعليّة لفعل عبد ومشتقّاته فعديدة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ويحتاج هذا الإحصاء إلى تدقيق وأرجعت المقالة معنى عبد إلى صنع وعمل وفعل، والذي اشتقّ منه معنی خدم ولفظ خادم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وأشارت إلى أنّ كلمة عبادة حالها حال مفردة ملّة، 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أيضًا للإشارة إلى عبادة الإله الواحد الحقّ، وكذلك للإشارة إلى عبادة ما ليس إلهًا حقٌّ، وتسوق أدلّةً من القرآن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أُنَبِّئُكُم بِشَرٍ مِّن ذَلِكَ مَثُوبَةٌ عِندَ اللَّهِ مَن لَّعَنَهُ اللَّهُ وَغَضِبَ عَلَيْهِ</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مِنْهُمُ الْقِرَدَةَ وَالْخَنَازِيرَ وَعَبَدَ الطَّاغُوتَ أُولَبِكَ شَرٌّ مَّكَانًا وَأَضَلُّ عَن سَوَاءِ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60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أَتَعْبُدُونَ مِن دُونِ اللَّهِ مَا لَا يَمْلِكُ لَكُمْ ضَرًّا وَلَا نَفْعًا وَاللَّهُ 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76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إِن كُنتُمْ فِي شَاءٍ مِّن دِينِى فَلَا أَعْبُدُ الَّذِينَ تَعْبُدُونَ مِن دُونِ اللَّهِ وَلَكِنْ أَعْبُدُ اللَّهَ الَّذِي يَتَوَفَّاكُمْ وَأُمِرْتُ أَنْ أَكُونَ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104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تلميحٍ يكشف الخلط بين العبادة والمعاملة جاء في ذيل البحث عن مفردة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فالكلمة في الفكر الإسلامي المتأخّر، كما فسّرت، تشمل عبادة الإله الواحد والأركان الخمسة للإيمان الإسلامي، مع أنّ الفرائض الأخرى أحيانًا كالزّواج والختان موجودةٌ في كتب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المصطلحات المستحسنة من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اعتبرت الباحثتان أنّ المصطلحات المستحسنة قرآنيًّا، والتي تنتمي للمجال الدّلالي 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وحنفية، وشريعة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المقالة تتكرّر عبارة إسلام في القرآن الكريم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أبرزها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وتزعم المقالة أنّ معنى الإسلام غير واضحٍ في القرآن كما أن التّمييز بين الإسلام والإيمان في القرآن ليس سهلًا وتحاول الباحثتان الخروج من هذه المعضلة المدعاة بالرّجوع إلى المصادر الغربيّة التي لن تزيدها إلا حيرة أو الرّكون إلى ترجمة بعض المرويّات في المقام فلن تزيده إلا بلبلةً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الأخير تلجأ إلى نظريّة برافمن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BRAVMAN</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الخلفيّة الرّوحيّة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Spiritual background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والتي تفسّر الإسلام كمعنًى يسبق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بتحدّي الموت في وجه الصّراع مع الاعداء بينما يدلّ الإيمان على الأمن والاحتماء من القدر والمصير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fate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تكتفي المقالة بهذه الفذلكات، بل تعتبر أنّ غموض اللّغة القرآنيّة هي سبب السّجالات اللاهوتيّة الحاصلة حول حكم غير المسلمين وخاصّة اليهود والمسيحيين وهل هم مؤمنون؟وفي تحديدٍ غامض لمعنى الإسلام، تبنّت المقالة رأي </w:t>
      </w:r>
      <w:r>
        <w:rPr>
          <w:rFonts w:eastAsia="Times New Roman" w:cs="Times New Roman" w:ascii="Times New Roman" w:hAnsi="Times New Roman"/>
          <w:color w:val="111111"/>
          <w:sz w:val="28"/>
          <w:szCs w:val="28"/>
          <w:lang w:val="en-US" w:bidi="en-US"/>
        </w:rPr>
        <w:t>Smith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أنّ عبادة الإسلام تدلّ على أمرين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الشَّخصيّة بين الإنسان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الذي يؤمن بهذه العلاقة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تستوعب الباحثتان كيف ينصّ القرآن من جهةٍ على إسلام الأنبياء السّابقين وبالخصوص إبراهيم علیه السلام ، ومن جهة أخرى يصرّ على أنّ طاعة الله لا تتحقّق إلا بطاعة الرسول محمد صلی الله علیه و آله و سلم في كلّ ما أمر به القرآن من حلال، ونهى عنه من حرام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فِى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الأحزاب، 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ذلك غفلة عن أبسط المفاهيم العقيديّة الإسلاميّة في التفريق بين الإسلام بالمعنى العام والإسلام بالمعنى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عودة في الفصل الآتي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تكرّرت هذه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تتبّع الباحثتين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وقد استعملت للدلالة على المؤمن الموحّد المخلص، ومع وضوح دلالة لفظ حنيف في اللّغة العربية تنبري الباحثتان للتشكيك في هذه الدّلالة الواضحة بالعود إلى الجذور السريانيّة، والقول بأنّ الجذر السّرياني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 لا يخلو من دلالاتٍ</w:t>
      </w:r>
      <w:r>
        <w:rPr>
          <w:rFonts w:eastAsia="Amiri" w:cs="Amiri" w:ascii="Amiri" w:hAnsi="Amiri"/>
          <w:color w:val="111111"/>
          <w:sz w:val="28"/>
          <w:szCs w:val="28"/>
          <w:rtl w:val="true"/>
          <w:lang w:bidi="ar-SA"/>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 المقالة المناقشات الدّائرة بين المستشرقين الغربيين أنفسهم، حول ترجيح الجذر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كما هو حال روبين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Robin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والتّأكيد على معنى التّخلّي عن الدّين السائد والميل إلى الدّين الذي يريد اعتناقه، ومن يريد أن يبرز التعارض بين المعنى القرآني وبين الجذر السّرياني كما هو حال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Hawting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هذا السّياق الإشكاليّ، تورد المقالة مناقشة كرون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Crone</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وكووك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Cook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للمصطلح الهاجريّة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Harism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الذين يذهبان إلى أنّ الهاجرين هم مجموعة من اليهود العرب الذين هاجروا من شبه الجزيرة العربيّة، وأنّ هؤلاء الهاجرين استعاروا لفظ الحنيف من الأصل السّرياني، لكنّهم استعملوه للدلالة على التّمسّك بالتّوحيد الإبراهيميّ غير المتطوّر، كوسيلةٍ لخلق فضيلةٍ دينيّةٍ من وصمة الوثنيّة التي لوَثت ماضيهم</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وتنفي الباحثتان وجود إجماعٍ علميٍّ على دلالة لفظ حنيف على مجموعةٍ دينيّةٍ سابقةٍ للإسلام، وتحيل القارئ إلى ممثلين لهذين الاتّجاهين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 والنافي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Rubin</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eye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Hawting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idea of idolatry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تأخيرٍ يبدو مقصودًا، تُرجئ المقالة رأيَ ايزتسو المعروف ببحوثه اللّغويّة الدّقيقة، والذي يرى أنّ عبارة حنيف تشمل ثلاث دلالاتٍ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الحقّ الرّاسخ في الفطرة الطبيعيّة في كلّ نفسٍ بشريّةٍ التي تدفعها للإيمان بإلهٍ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والتّسليم المطلق لهذا الإله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والنّقيض لعبادة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أهميّة هذا المصطلح وحضوره القويّ في الأدبيات المعاصرة، واختزانه دلالاتٍ كبيرةً في منظومة ما يُسمّى بالإسلام السّياسي، فإنّ المقالة لم تخصّص لهذه المفردة إلّا أسطرًا قليلةً في خاتمة هذه الفقرة التي تتحدّث عن المصطلحات المستحبّة في الإسلام واعتبرت أنّ إطلاق الشّريعة في الأدبيات الإسلاميّة على الفقه يوازي إطلاق الطريق على الدّين في المسيحيّة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وذكرت أنّ لفظ الشّريعة لم يذكر إلّا مرّةً واحدةً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جَعَلْنَاكَ عَلَى شَرِيعَةٍ مِّنَ الْأَمْرِ فَاتَّبِعْهَا وَلَا تَتَّبِعْ أَهْوَاءَ الَّذِينَ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الجاثية، الآية </w:t>
      </w:r>
      <w:r>
        <w:rPr>
          <w:rFonts w:eastAsia="Amiri" w:cs="Amiri" w:ascii="Amiri" w:hAnsi="Amiri"/>
          <w:color w:val="111111"/>
          <w:sz w:val="28"/>
          <w:szCs w:val="28"/>
          <w:lang w:bidi="ar-SA"/>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وفسّرت ذلك أنّ الله وضع محمد صلی الله علیه و آله و سلم على الطريق المفتوح والطريق الواضح والطريق الحق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وبالعود إلى مداخل الموسوعة، لا نجد مدخلًا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في الوقت الذي نجد ألفاظاً أقلّ أهمّيّة وأقلّ ارتباطًا بالقرآن الكريم كالآداب الإفريقيّة النّسويّة التّعرّي، الزّراعة الأعشاب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تدلّ على التّسامح القرآني أو الصّراع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الفقرة تُحاول الباحثتان تسليط الضّوء على المصطلحات القرآنيّة، التي تعبّر عن التّسامح مع الآخرين من جهة، والألفاظ الدّالة على التّجاذب والصّراع من جهةٍ أخرى ففي الجهة الأولى تعرضان المفردتان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وأهل الذمّة، وفي الجهة المقابلة تسوقان لفظ الأحزاب، والشّيع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وأهل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اعتبرت المقالة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التّسميات عموميّةً وشموليّةً، فيندرج تحته اليهود والمسيحيون ولكن كذلك المجوس، والصابئة الذين يظهران في القرآن مرتبطين مع شعوب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هَادُوا وَالنَّصَارَى وَالصَّابِينَ مَنْ آمَنَ بِاللَّهِ وَالْيَوْمِ الْآخِرِ وَعَمِلَ صَالِحًا فَلَهُمْ أَجْرُهُمْ عِندَ رَبِّهِمْ وَلَا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الفئات تمثّل أقلياتٍ دينيةً في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وترصد المقالة اطّراد مصطلح أهل الكتاب في القرآن تكرّر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وجاء لفظ الإنجيل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وتذهب إلى أنّ لفظ أهل الكتاب، وبعد الحقبة القرآنيّة غدا مرادفًا لأهل الذمّة، وأهل الذمّة وهم الأشخاص المحميون الذين يعيشون في كنف الدّولة الإسلاميّة،مع أنّ لفظ الذّمّة فى القرآن لا يدلّ إلا على العهد والميثاق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وَإِن يَظْهَرُوا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لَا يَرْقُبُوا فِيكُمْ إِلَّا وَلَا ذِمَّةً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يَرْقُبُونَ فِي مُؤْمِنٍ إِلَّا وَلَا ذِمَّةً وَأُولَبِكَ هُمُ الْمُعْتَدُونَ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وتشير إلى أنّ القرآن الكريم لا يحدّد من ينطبق عليه هذان المصطلحان بالضّبط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 وأهل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التّراث الإسلامي، طوّر دلالة هذين المصطلحين وقيودهما ليصبح لفظ الذمّيين يطلق على المجموعات غير الإسلاميّة التي تعيش في البلاد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وتعتبر المقالة أنّ تسمية القرآن لهذه الجماعات الدّينيّة من أصحاب الكتب السّماويّة يوحي باحترام القرآن لهذه الكتب المقدّسة، كما يتضمّن تمييزاً للمجتمعات أو المجموعات التي تنتمي إلى كتابٍ سماويٍّ مدعى، عن غيرها من المجموعات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يترقّى التّمايز لهؤلاء إلى الدّرجة التي يرفعهم القرآن إلى مرتبة الاستشارة في معاني الكتاب المنزل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فِي شَكٍّ مِمَّا أَنْزَلْنَا إِلَيْكَ فَاسْأَلِ الَّذِينَ يَقْرَءُونَ الْكِتَابَ مِنْ قَبْلِكَ لَقَدْ جَاءَكَ الْحَقُّ مِنْ رَبِّكَ فَلَا تَكُونَنَّ مِنَ الْمُمْتَرِينَ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94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وتختم المقالة هذه الفقرة بأنّ القرآن، ورغم المكانة المميّزة التي يمنحها لأهل الكتاب، إلّا أنّه لا يفتأ يعبّر عنهم بالمختلفين في الكتاب كما هو الحال في خلافهم حول إبراهيم ويدعوهم إلى الخروج عن هذا الخلاف والالتقاء حول الكلمة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يَا أَهْلَ الْكِتَابِ لِمَ تُحَاجُونَ فِي إِبْرَاهِيمَ وَمَا أُنْزِلَتِ التَّوْرَاةَ وَالْإِنْجِيلُ إِلَّا مِنْ بَعْدِهِ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الآيتان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الشيع التّنوّع الاصطلاحي على مستوى الألفاظ القرآنية، للدلالة على الدّين يأخذ معاه حينما يتخطى الخطاب القرآنيّ المستويات المعهودة، فنجد فيه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الألفاظ الدّالة على الالتزام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كتابي حنيف، مسلم،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الدّالة على السّلبيّة في الالتزام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مشركالألفاظ المحايدة من جهة الالتزام وعدمه ذمّة 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الدّالة على الجماعات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النّصارى المجوس، الصابئة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ونراه يطرح مصطلحات تعبّر عن الانقسامات بين أتباع الدّين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كأحزاب وطائفة، وفريق وشيعة وزبر وطرق، وطريقة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أن توصّف الباحثتان هذه الألفاظ بأنّها تدلّ على الانقسام العلمانيّ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secular divisions</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إسقاطٍ واضحٍ لمصطلح معاصر على الاستعمالات القرآنيّة ولنقف عند كلّ واحدةٍ من هذه المفردات ونتأمّل في شواهدها القرآنيّة كما جاءت في المقالة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مِنَ الْمُشْرِكِينَ مِنَ الَّذِينَ فَرَّقُوا دِينَهُمْ وَكَانُوا شِيَعًا كُل حِزْبٍ بِمَا لَدَيْهِمْ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الروم، الآيتان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تذكر أيّ شاهدٍ قرآنيٍّ آخر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رغم ورود لفظ حزب مفردًا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وجاء في صيغة الجمع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بالإضافة إلى الشّاهد السّابق 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الروم الآية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هناك شواهد أخرى ذكرت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فَرَّقُوا دِينَهُمْ وَكَانُوا شِيَعًا لَسْتَ مِنْهُمْ فِي شَيْءٍ إِنَّمَا أَمْرُهُمْ إِلَى اللَّهِ ثُمَّ يُنَبِّئُهُمْ بِمَا كَانُوا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lang w:bidi="ar-SA"/>
        </w:rPr>
        <w:t>159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ابْنَ أُمَّ لَا تَأْخُذْ بِلِحْيَتِي وَلَا بِرَأْسِي إِنِّي خَشِيتُ أَنْ تَقُولَ فَرَّقْتَ بَيْنَ بَنِي إِسْرَائِيلَ وَلَمْ تَرْقُبْ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94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اتَّخَذُوا مَسْجِدًا صِرَارًا وَكُفْرًا وَتَفْرِيقًا بَيْنَ الْمُؤْمِنِينَ وَإِرْصَادًا لِمَنْ حَارَبَ الله وَرَسُولَهُ مِنْ قَبْلُ وَلَيَحْلِفُنَّ إِنْ أَرَدْنَا إِلَّا الْحُسْنَى وَاللَّهُ يَشْهَدُ إِنَّهُمْ لَكَاذِبُونَ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107</w:t>
      </w:r>
      <w:r>
        <w:rPr>
          <w:rFonts w:eastAsia="Times New Roman" w:cs="Times New Roman" w:ascii="Times New Roman" w:hAnsi="Times New Roman"/>
          <w:color w:val="111111"/>
          <w:sz w:val="28"/>
          <w:szCs w:val="28"/>
          <w:rtl w:val="true"/>
          <w:lang w:val="en-US" w:bidi="en-US"/>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الشّواهد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159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مِنْ قَبْلِكَ فِي شِيَع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الْمَدِينَةَ عَلَى حِينِ غَفْلَةٍ مِنْ أَهْلِهَا فَوَجَدَ فِيهَا رَجُلَيْنِ يَقْتَتِلَانِ هَذَا مِنْ شِيعَتِهِ وَهَذَا مِنْ عَدُوِّهِ فَاسْتَغَاثَهُ الَّذِى مِنْ شِيعَتِهِ عَلَى الَّذِي مِنْ عَدُوِّهِ فَوَكَزَهُ مُوسَىٰ فَقَضَى عَلَيْهِ قَالَ هَذَا مِنْ عَمَلِ الشَّيْطَانِ إِنَّهُ عَدُوٌّ مُضِلُّ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القصص الآية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استقراءٌ ناقصٌ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واشتقاقاتها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فَتَقَطَّعُوا أَمْرَهُمْ بَيْنَهُمْ زُبُرًا كُلُّ حِزْبٍ بِمَا لَدَيْهِمْ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المؤمنون، الآية </w:t>
      </w:r>
      <w:r>
        <w:rPr>
          <w:rFonts w:eastAsia="Amiri" w:cs="Amiri" w:ascii="Amiri" w:hAnsi="Amiri"/>
          <w:color w:val="111111"/>
          <w:sz w:val="28"/>
          <w:szCs w:val="28"/>
          <w:lang w:bidi="ar-SA"/>
        </w:rPr>
        <w:t>53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لِيَقْطَعَ طَرَفًا مِنَ الَّذِينَ كَفَرُوا أَوْ يَكْبِتَهُمْ فَيَنْقَلِبُوا خَايِبِينَ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127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وساقت المقالة شاهدًا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مِنَّا الصَّالِحُونَ وَمِنَّا دُونَ ذَلِكَ كُنَّا طَرَابِقَ قِدَدًا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الجن الآية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واكتفت بهذا الشّاهد مع وجود موارد أخرى ذكر فيها لفظ 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وأكّدت المقالة أنّ هذه الألفاظ تُرجمت عادةً بطرقٍ مختلفةٍ إلى ما يدلّ على الجماعة، والحزب، والفئة والطائفة محملّة بدلالات سلبيّة تؤشّر على الانقسام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وتضيف الباحثتان أنّ تهمة الانقسام الطّائفي كثيراً ما توجّه إلى بني إسرائيل، لكنّهما تعتبران الحديث عن المنافقين في صفوف المجتمع الإسلامي يوازي ذلك الانقسام عند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وتحيلان القارئ على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والنفاق لروبين في الموسوعة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هذا الاتّهام بالانقسام أحد موضوعات الجدل اللّاهوتيّ بين المسلمين والمسيحيين أيضًا</w:t>
      </w:r>
      <w:r>
        <w:rPr>
          <w:rFonts w:eastAsia="Amiri" w:cs="Amiri" w:ascii="Amiri" w:hAnsi="Amiri"/>
          <w:color w:val="111111"/>
          <w:sz w:val="28"/>
          <w:szCs w:val="28"/>
          <w:rtl w:val="true"/>
          <w:lang w:bidi="ar-SA"/>
        </w:rPr>
        <w:t xml:space="preserve">.)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وکاستخلاصٍ لهذا الرّصد للمفردات المتعلّقة بالدّين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تسجّل الباحثتان النّتائج الآتية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الدِّين في القرآن مفهومٌ معقّدٌ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يرسم القرآن خريطةً للفهم الغربي المعاصر للتعددية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الإسلام في المنظور القرآنيّ أكثر من إعلان الإيمان، بل يتطلّب أسلوب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تقتضيه الشّريعة ونظام العبادات في المستويين الفردي والجماعي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يجعل الالتزام الدّيني هو أقرب إلى المفهوم القرآنيّ للأمّة، من المفهوم الفقهي أو القانوني أو الطقوسي الذي تألّفه أكثر المجتمعات الأوروبيّة والأمريكيّة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مع إقراره بتعدّد الأديان، فهو يربط هذا التّعدّد بالإرادة الإلهيّة وأنّه لو شاء الله لجعل النّاس أمّةً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أَوْحَيْنَا إِلَيْكَ قُرْآنًا عَرَبِيًّا لِتُنْذِرَ أمَّ الْقُرَى وَمَنْ حَوْلَهَا وَتُنْذِرَ يَوْمَ الْجُمْعِ لَا رَيْبَ فِيهِ فَرِيقٌ فِى الجَنَّةِ وَفَرِيقٌ فِي السَّعِيرِ وَلَوْ شَاءَ اللهُ لَجَعَلَهُمْ أُمَّةً وَاحِدَةً وَلَكِنْ يُدْخِلُ مَنْ يَشَاءُ فِي رَحْمَتِهِ وَالظَّالِمُونَ مَا لَهُمْ مِنْ وَلِيّ وَلَا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الآيتان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المجتمعات الدّينيّة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القرآن أسماءٌ عديدةٌ أطلقت على جماعاتٍ ومجتمعاتٍ دينيّةٍ، وهذه التّسميات لا تعبّر عن المفاهيم التّجريديّة، وإنّما تُشير إلى النّاس، والبنى الماديّة والاجتماعيّة لهذه الفئات، فمثلا نقرأ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فَأُولَبِكَ هُمُ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44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تشير الآيات إلى الرّهبان والقسّيسين، وعلى مستوى المؤسّسات تتحدّث الآيات عن الأديرة والصّوامع والصّلوات والبيع والمساجد</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السّياق تشير الباحثتان إلى أنّ القرآن الكريم يتحدّث عن النّصارى، ولكنّه لايستخدم مفردةً 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هَادُوا وَالنَّصَارَى وَالصَّابِبِينَ مَنْ آمَنَ بِاللهِ وَالْيَوْمِ الْآخِرِ وَعَمِلَ صَالِحًا فَلَهُمْ أَجْرُهُمْ عِنْدَ رَبِّهِمْ وَلَا خَوْفٌ عَلَيْهِمْ وَلَا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تشيران إلى أنّ القرآن لا يربط الإسلام بالدِّين دائما وتستشهدان بالآيات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 وَمَا اخْتَلَفَ الَّذِينَ أُوتُوا الْكِتَابَ إِلَّا مِنْ بَعْدِ مَا جَاءَهُمُ الْعِلْمُ بَغْيًا بَيْنَهُمْ وَمَنْ يَكْفُرْ بِآيَاتِ اللَّهِ فَإِنَّ اللَّهَ سَرِيعُ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يَبْسَ الَّذِينَ كَفَرُوا مِنْ دِينِكُمْ فَلَا تَخْشَوْهُمْ وَاخْشَوْنِ الْيَوْمَ أَكْمَلْتُ لَكُمْ دِينَكُمْ وَأَتْمَمْتُ عَلَيْكُمْ نِعْمَتِي وَرَضِيتُ لَكُمُ الْإِسْلامَ دِينًا فَمَنِ اضْطُرَّ فِي مَخْمَصَةٍ غَيْرَ مُتَجَانِفٍ لِإِثْمٍ فَإِنَّ اللَّهَ غَفُورٌ 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مع أنّ النّصوص القرآنيّة التي تتحدّث عن الإسلام لا تخلو من الإشارة إلى العلاقة بين الله والإنسان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الْكَذِبَ وَهُوَ يُدْعَى إِلَى الْإِسْلَامِ وَاللَّهُ لَا يَهْدِى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الصف، الآية</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 وَلَقَدْ قَالُوا كَلِمَةَ الْكُفْرِ وَكَفَرُوا بَعْدَ إِسْلَامِهِمْ وَهَمُّوا بِمَا لَمْ يَنَالُوا وَمَا نَقَمُوا إِلَّا أَنْ أَغْنَاهُمُ اللَّهُ وَرَسُولُهُ مِنْ فَضْلِهِ فَإِنْ يَتُوبُوا يَكُ خَيْرًا لَهُمْ وَإِن يَتَوَلَّوا يُعَذِّبْهُمُ الله عَذَابًا أَلِيمًا فِي الدُّنْيَا وَالْآخِرَةِ وَمَا لَهُمْ فِي الْأَرْضِ مِنْ وَلي وَلَا 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74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عليكم أم أسلموا قل لا تمنوا على إسلامكم بل الله يمنّ عليكم أن هداكم للإيمان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الحجرات، الآية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سياقاتٍ مشوّشةٍ، ومبعثرةٍ، ومضطربةٍ، تشير الباحثتان إلى جملةٍ من النّقاط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مفهوم الإسلام بالمعنى العام المتميّز عن الإسلام بالمعنى الخاص الذي تعرّض لتغيّراتٍ دقيقةٍ في أوضاعٍ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المستغرب أن نعجز عن تحديد المؤشّرات المرجعيّة للمسيحيّة واليهوديّة؛ لأنّ اليهوديّة والمسيحيّة في العصور القديمة المتأخّرة لم تكونا محدّدتين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يطّرد ذكر بعض الجماعات الدّينيّة كثيرًا في القرآن كاليهود والنّصارى والمشركين بينما لا تذكر بعض الجماعات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كالصابئة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الإشارات القرآنيّة لبعض المجتمعات غامضةً، ولا نعرف إذا كان المفهوم القرآني يشير إلى جماعةٍ دينيّةٍ قائمة فعلًا ومعاصرة للنّصّ، أو تتحدّث عن جماعةٍ سابقةٍ للإسلام، أو إلى مجرّد مفهومٍ لاهوتيٍّ غامضٍ، كحنيف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enigmatic hanif</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التّمايز الواضح بين المجتمع المسلم الجديد الذي استجاب للنّبيّ محمد ورسالته وبين سائر الجماعات الدّينيّة الأخرى، وتمايزها هي الأخرى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ذلك فإنّ طبيعة هذه المجتمعات غير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أحكامٌ تتعلّق بهذه المجتمعات الدّينيّة، وخاصة باليهود والنّصارى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نجد عددًا كبيرًا من الشّخصيات والمفاهيم المألوفة من اليهود والمسيحيين، وهذا بنظر المقالة يعقّد عمليّة التّمايز في البيئة القرآنيّة بين هذه المجتمعات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وكمؤيّدٍ لهذا التّحليل تسوق المقالة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اسمته انتشار الشّهادات القرآنيّة للمؤمنين، حين تمتزج صفة الإيمان مع صفة الإسلام، ففي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والمسلمات والمؤمنين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المؤمنون والمسلمون وترى</w:t>
      </w:r>
      <w:r>
        <w:rPr>
          <w:rFonts w:eastAsia="Amiri" w:cs="Amiri" w:ascii="Amiri" w:hAnsi="Amiri"/>
          <w:color w:val="111111"/>
          <w:sz w:val="28"/>
          <w:szCs w:val="28"/>
          <w:rtl w:val="true"/>
          <w:lang w:bidi="ar-SA"/>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المؤلّفتان أنّه ليس واضحًا إن كانت الصّفتان تتحدّثان عن فئةٍ واحدةٍ أم عن فئتين مختلفتين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وانطلاقًا من هذه الإشارة تحيلنا المقالة إلى آراء بعض المستشرقين حول الموضوع الأخير، والعلاقة بين صفة الإسلام والإيمان وتساؤلاتهم حول إمكانيّة اعتبار القرآن اليهودَ والنّصارى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فتنقل عن اللاهوتيّ المسيحي ثاودورس أبو قرة ت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يمكن أن يعتبر اليهود والنّصارى وعلى الخصوص الذين لا يعادون الإسلام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؟وتصرّح الباحثان في نهاية هذه الفقرة أنّ تنوّع المصطلحات الدّالّة على الجماعات الدّينيّة وخاصّة اليهود والنّصارى والمسلمين تؤكّد التّمييز القرآنيّ فيما بينها وتوضّحان أنّ تاريخ التّفاسير عقّد أكثر فأكثر تحديد المجموعات والموقف منها، وطبيعة السّلوك الذي يجب على المسلمين سلوكه في علاقتهم بهذه المجموعاتالمعاصرة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وقسمّت المقالة المجتمعات الدّينيّة كما تحدّث عنها القرآن إلى ثلاث 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 والصابئة والحنفاء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 والوثنيون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 القرآن ومعرفته باليهود والنّصارى تعرض المقالة مجموعةً من الأفكار المضطربة ،والمتداخلة وسنُحاول عرضها في شكل نقاطٍ تيسيرًا لفهمها، ففي الغالب لا نجد رابطًا منطقيًا قويًا بين ملاحظات الكاتبيتين واستنتاجاتهما حول الآيات القرآنيّة المعنيّة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ينطلق النّصّ من التذكير بما مرّ بنا في مبحث المصطلحات القرآنيّة، واستخدام القرآن عبارة أهل الكتاب وبني إسرائيل للدلالة على اليهود والنصارى، وإن كانت دلالة بني إسرائيل على المسيحيين أقل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القرآن لفظ اليهود في صيغة الجمع، ولم يستخدمه في صيغة المفرد إلا في سياق الجدل مع اليهود على نفي يهودية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وَلَا نَصْرَانِيًّا وَلَكِنْ كَانَ حَنِيفًا مُسْلِمًا وَمَا كَانَ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67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ويُذكر لفظ اليهود في صيغة الجمع محمّلا عادةً بدلالاتٍ سلبيةٍ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لَيْسَتِ النَّصَارَى عَلَى شَيْءٍ وَقَالَتِ النَّصَارَى لَيْسَتِ الْيَهُودُ عَلَى شَيْءٍ وَهُمْ يَتْلُونَ الْكِتَابَ كَذَلِكَ قَالَ الَّذِينَ لَا يَعْلَمُونَ مِثْلَ قَوْلِهِمْ فَاللَّهُ يَحْكُمُ بَيْنَهُمْ يَوْمَ الْقِيَامَةِ فِيمَا كَانُوا فِيهِ يَخْتَلِفُونَ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113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تَرْضَى عَنْكَ الْيَهُودُ وَلَا النَّصَارَى حَتَّى تَتَّبِعَ مِنْتَهُمْ قُلْ إِنَّ هُدَى اللهِ هُوَ الْهُدَى وَلَبِنِ اتَّبَعْتَ أَهْوَاءَهُمْ بَعْدَ الَّذِي جَاءَكَ مِنَ الْعِلْمِ مَا لَكَ مِنَ اللَّهِ مِنْ وَلِي وَلَا 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وَالنَّصَارَى نَحْنُ أَبْنَاءُ اللهِ وَأَحِبَّاؤُهُ قُلْ فَلِمَ يُعَذِّبُكُمْ بِذُنُوبِكُمْ بَلْ أَنْتُمْ بَشَرٌ مِمَّنْ خَلَقَ يَغْفِرُ لِمَنْ يَشَاءُ وَيُعَذِّبُ مَنْ يَشَاءُ وَلِلَّهِ مُلْكُ السَّمَاوَاتِ وَالْأَرْضِ وَمَا بَيْنَهُمَا وَإِلَيْهِ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المائدة </w:t>
      </w:r>
      <w:r>
        <w:rPr>
          <w:rFonts w:eastAsia="Amiri" w:cs="Amiri" w:ascii="Amiri" w:hAnsi="Amiri"/>
          <w:color w:val="111111"/>
          <w:sz w:val="28"/>
          <w:szCs w:val="28"/>
          <w:lang w:bidi="ar-SA"/>
        </w:rPr>
        <w:t>18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 وَمَنْ يَتَوَلَّهُمْ مِنْكُمْ فَإِنَّهُ مِنْهُمْ إِنَّ اللَّهَ لَا يَهْدِى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51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أَطْفَأَهَا اللَّهُ وَيَسْعَوْنَ فِي الْأَرْضِ فَسَادًا وَاللَّهُ لَا يُحِبُّ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64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 وَالَّذِينَ أَشْرَكُوا وَلَتَجِدَنَّ أَقْرَبَهُمْ مَوَدَّةٌ لِلَّذِينَ آمَنُوا الَّذِينَ قَالُوا إِنَّا نَصَارَى ذَلِكَ بِأَنَّ مِنْهُمْ قِسِيسِينَ يَيُطْبَانًا وَأَنَّهُمْ لَا</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يَسْتَكْبِرُونَم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82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عُزَيْرُ ابْنُ اللهِ وَقَالَتِ النَّصَارَى الْمَسِيحُ ابْنُ اللَّهِ ذَلِكَ قَوْلُهُمْ بِأَفْوَاهِهِمْ يُضَاهِتُونَ قَوْلَ الَّذِينَ كَفَرُوا مِنْ قَبْلُ قَاتَلَهُمُ اللَّهُ أَنَّى يُؤْفَكُونَ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وَالَّذِينَ هَادُوا وَالصَّابِبِينَ وَالنَّصَارَى وَالْمَجُوسَ وَالَّذِينَ أَشْرَكُوا إِنَّ اللهَ يَفْصِلُ بَيْنَهُمْ يَوْمَ الْقِيَامَةِ إِنَّ اللَّهَ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تكتفي الكاتبتان بهذه الآيات عن اليهود، وتُضيفان أنّ الشّعائر وأصول عقائد اليهود الذين كانوا يعيشون في بيئة الرّسالة الإسلاميّة لم تكن موثّقةً، إلّا أنّه لا جدال في تواجد المجتمعات اليهوديّة في الجزيرة العربيّة في القرن السّابع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تؤكّده إلى جانب نصوص القرآن، الحديث والسيرة وتذكّرنا المقالة بتحديد القرآن للشخصيّة التي شجّعت اليهود على صنع العجل من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وتسوق احتمال إلى أنّ هذه التّسمية قد تكون إشارةً إلى نسبته إلى طائفة السّامريين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عبارة النّصارى وردت مرّات كثيرة بصيغة الجمع، لكنّها وردت مرّة واحدةً بصيغة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نصرانيًا</w:t>
      </w:r>
      <w:r>
        <w:rPr>
          <w:rFonts w:ascii="IRNazanin" w:hAnsi="IRNazanin" w:eastAsia="IRNazanin"/>
          <w:color w:val="111111"/>
          <w:sz w:val="28"/>
          <w:sz w:val="28"/>
          <w:szCs w:val="28"/>
          <w:rtl w:val="true"/>
          <w:lang w:bidi="fa-IR"/>
        </w:rPr>
        <w:t xml:space="preserve"> في سياق نفي يهوديّة إبراهيم علیه السلام ومسيحيته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الآية السابقة الواردة في فقرة اليهود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آل عمران الآية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محاولة لتمييز الموقف القرآني من النّصرانيّة عن الموقف من اليهوديّة تذهب الكاتبتان إلى أنّ الإدانة للمسيحيّة ليست كالإدانة المتكرّرة لليهود، بل إنّ القرآن في بعض الآيات يمدحهم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وَلَتَجِدَنَّ أَقْرَبَهُمْ مَوَدَّةٌ لِلَّذِينَ آمَنُوا الَّذِينَ قَالُوا إِنَّا 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82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سياق الاستشهاد القرآنيّ على ذلك، تسوق المقالة الآيتين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 وهما أجنبيّتان عن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وَالْأَبْصَارَة لِيَجْزِيَهُمُ اللَّهُ</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 مَا عَمِلُوا وَيَزِيدَهُمْ مِنْ فَضْلِهِ وَاللَّهُ يَرْزُقُ مَنْ يَشَاءُ بِغَيْرِ حِسَابٍ وربما كان الأولى الاستشهاد بقوله تعالى وَإِذَا سَمِعُوا مَا أُنْزِلَ إِلَى الرَّسُولِ تَرَى تَفِيضُ مِنَ الدَّمْعِ مِمَّا عَرَفُوا مِنَ الْحَقِّ يَقُولُونَ رَبَّنَا آمَنَّا فَاكْتُبْنَا مَعَ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83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رغم اطراد إشاراته للنّصارى لا نجد فيه وضوحًا فيما يتحدّث به عن طبيعة المسيحيّة العربيّة، التي كانت سائدةً في الجزيرة العربيّة في القرن السّابع الميلادي وتُحيلنا المقالة هنا إلى بعض الدّراسات الغربيّة حول تاريخ المسيحيّة في الجزيرة العربيّة من ذلك رأي هويلاند </w:t>
      </w:r>
      <w:r>
        <w:rPr>
          <w:rFonts w:eastAsia="Times New Roman" w:cs="Times New Roman" w:ascii="Times New Roman" w:hAnsi="Times New Roman"/>
          <w:color w:val="111111"/>
          <w:sz w:val="28"/>
          <w:szCs w:val="28"/>
          <w:lang w:val="en-US" w:bidi="en-US"/>
        </w:rPr>
        <w:t>Hoyland</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يؤكّد أنّ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 the fourth to sixth centuries Christianity Made major inroads into Arabia...it was particularly the inhabitant of north Arabia who were won over to Christianity in large numbers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المسيحيّة التي سادت من القرن الرّابع إلى القرن السّادس قامت بغزواتٍ کبری في الجزيرة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سكّان شمال الجزيرة العربيّة بشكلٍ خاصّ قد اعتنقوا المسيحيّة بشكلٍ كبيرٍ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وتشكو الكاتبتان من قلّة المصادر عن التّاريخ الدّيني للجزيرة العربيّة قبيل الإسلام، وترى أنّ الشّواهد عن هذا التّاريخ قليلةً، باستثناء الحوليّات الإسلاميّة التي كُتبت في بدايات القرن الثاني أو الثالث للهجرة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محاولةٍ لسدّ هذا النقص المزعوم، تحاول المقالة سرد تاريخٍ موجزٍ عن الوجود اليهوديّ والمسيحيّ في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نبذةً مختزلةً عن هذا الوجود اليهودي والمسيحي معتمدةً على مصادر غربيّةٍ، مستشهدةً بنصوصٍ إسلاميّةٍ أحيانًا لتدعيم مقولات هذه المصادر الغربيّة، وأهم الأفكار التي ساقتها حول هذا التّاريخ، هي</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الوجود اليهودي ترسّخ في الجزيرة العربية منذ القرن الأوّل للميلاد، وفي القرن السادس تأسّست مملكة، حمير التي ازدهرت لفترةٍ قصيرةٍ، وهنا تُحيلنا المقالة إلى </w:t>
      </w:r>
      <w:r>
        <w:rPr>
          <w:rFonts w:eastAsia="Times New Roman" w:cs="Times New Roman" w:ascii="Times New Roman" w:hAnsi="Times New Roman"/>
          <w:color w:val="111111"/>
          <w:sz w:val="28"/>
          <w:szCs w:val="28"/>
          <w:lang w:val="en-US" w:bidi="en-US"/>
        </w:rPr>
        <w:t>Hoyland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والمستشرق اليهودي ميخائيل ليكر </w:t>
      </w:r>
      <w:r>
        <w:rPr>
          <w:rFonts w:eastAsia="Times New Roman" w:cs="Times New Roman" w:ascii="Times New Roman" w:hAnsi="Times New Roman"/>
          <w:color w:val="111111"/>
          <w:sz w:val="28"/>
          <w:szCs w:val="28"/>
          <w:lang w:val="en-US" w:bidi="en-US"/>
        </w:rPr>
        <w:t>Lecker</w:t>
      </w:r>
      <w:r>
        <w:rPr>
          <w:rFonts w:ascii="IRNazanin" w:hAnsi="IRNazanin" w:eastAsia="IRNazanin"/>
          <w:color w:val="111111"/>
          <w:sz w:val="28"/>
          <w:sz w:val="28"/>
          <w:szCs w:val="28"/>
          <w:rtl w:val="true"/>
          <w:lang w:bidi="fa-IR"/>
        </w:rPr>
        <w:t xml:space="preserve">، كما أنّ بعض القبائل اليهوديّة النّاطقة بالعربيّة كانت موجودةً حول المدينة ومحيطها في حياة النّبي محمد صلی الله علیه و آله و سلم وتُشير الباحثتان إلى الدّور البارز الذي لعبته هذه القبائل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 مع محمد من أجل تأسيس كيانٍ سياسيٍّ في المدينة بعد هجرته من مكّة، وقد ارتبط عددٌ من الآيات القرآنيّة تقليديًّا بالمراحل المختلفة لهذا الصّراع اليهودي الإسلامي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 "These Jewish tribes figure prominentlyin Muhammad  struggle for the establishment of a political entity in medina after his emigration (hijra from Mecca. And various quranic verses are traditionally associated with the different stages of this early Muslim- Jewish conflict",</w:t>
      </w:r>
      <w:r>
        <w:rPr>
          <w:rStyle w:val="FootnoteAnchor"/>
        </w:rPr>
        <w:footnoteReference w:id="675"/>
      </w:r>
      <w:r>
        <w:rPr>
          <w:rFonts w:eastAsia="Times New Roman" w:cs="Times New Roman" w:ascii="Times New Roman" w:hAnsi="Times New Roman"/>
          <w:color w:val="111111"/>
          <w:sz w:val="28"/>
          <w:szCs w:val="28"/>
          <w:lang w:val="en-US" w:bidi="en-US"/>
        </w:rPr>
        <w:t>)</w:t>
      </w:r>
      <w:r>
        <w:rPr>
          <w:rFonts w:ascii="Amiri" w:hAnsi="Amiri" w:eastAsia="Amiri" w:cs="Amiri"/>
          <w:color w:val="111111"/>
          <w:sz w:val="28"/>
          <w:sz w:val="28"/>
          <w:szCs w:val="28"/>
          <w:rtl w:val="true"/>
          <w:lang w:bidi="ar-SA"/>
        </w:rPr>
        <w:t xml:space="preserve">وتورد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سوة المائدة والآيات 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الحشر، التي لها صلةٌ بإخراج قبيلة بني نضير من المدينة، والآية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 وقتال بني قريظة ولا تغفل المقالة عن الحديث عن إبادة ذكور بني قريظة الذين شاركوا في الحرب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المسيحي في جنوب الجزيرة العربية له شواهدٌ تاريخيّةٌ كثيرةٌ، وإن كان أقل تمركزًا وتماسكًا من الوجود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وتؤكّد المقالة أنّ الطبيعة الدّقيقة للمعتقدات والطّقوس المسيحيّة غير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اختلفت الدّراسات حول هذا الموضوع وأشارت الباحثتان إلى وجهتي نظر حول طبيعة انتشار المسيحيّة ومجالها في الجزيرة العربية قبل انتشار الإسلام</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ولكنّهما أكّدتا أنّ المسيحيين الشّرقيين كانوا منقسمين إلى ثلاث مجموعاتٍ؛ نتيجة المناظرات الكرستولوجيّة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يسوع وعلاقة الناسوت باللّاهوت</w:t>
      </w:r>
      <w:r>
        <w:rPr>
          <w:rFonts w:ascii="IRNazanin" w:hAnsi="IRNazanin" w:eastAsia="IRNazanin"/>
          <w:color w:val="111111"/>
          <w:sz w:val="28"/>
          <w:sz w:val="28"/>
          <w:szCs w:val="28"/>
          <w:rtl w:val="true"/>
          <w:lang w:bidi="fa-IR"/>
        </w:rPr>
        <w:t xml:space="preserve"> فی منتصف القرن الخامس الميلادي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وهذه المجموعات الثلاث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التزموا بقرارات مجمع خلق دونيا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بأنّ المسيح شخصٌ واحدٌ ذو طبيعتين بشريّة وإلهيّة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مجموعتان غير خلق دونيين لم يلتزموا بمقرّرات مجمّع خلق دونيا وهم النسطوريون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بالطبيعة الواحدة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وهذه المجموعات الثلاث كان لها وجودٌ في جنوب الجزيرة العربيّة قبل بعثة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القائلين بالطّبيعة الواحدة كانوا المهيمنين سياسيًّا بفضل علاقتهم مع الحبشة، وتذكر كشاهدٍ على ذلك قصّة نجران وشهدائها الذين تحدّث عنهم القرآن باختصار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الأخدود</w:t>
      </w:r>
      <w:r>
        <w:rPr>
          <w:rFonts w:ascii="Amiri" w:hAnsi="Amiri" w:eastAsia="Amiri" w:cs="Amiri"/>
          <w:color w:val="111111"/>
          <w:sz w:val="28"/>
          <w:sz w:val="28"/>
          <w:szCs w:val="28"/>
          <w:rtl w:val="true"/>
          <w:lang w:bidi="ar-SA"/>
        </w:rPr>
        <w:t>، وفي فقرة الوقائع الدّالة على التّفاعل بين الأديان ستسوق المقالة شواهد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استخدم القرآن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بني إسرائيل للدّلالة على المسيحيين وتسجّل المقالة أنّ القرآن لم يستخدم التّرجمة الحرفيّة للعبارة اليونانيّة </w:t>
      </w:r>
      <w:r>
        <w:rPr>
          <w:rFonts w:eastAsia="Times New Roman" w:cs="Times New Roman" w:ascii="Times New Roman" w:hAnsi="Times New Roman"/>
          <w:color w:val="111111"/>
          <w:sz w:val="28"/>
          <w:szCs w:val="28"/>
          <w:lang w:val="en-US" w:bidi="en-US"/>
        </w:rPr>
        <w:t>Christian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مسيحيّة بالعربيّة، بل استخدم مصطلح ،نصارى وترجّح أنّ هذه التّسمية نسبة إلى المسيح النّاصري، وترى الباحثتان أنّ هذه العبارة التي تفرّد بها القرآن، والتّوصيف القرآنيّ لمعتقدات النّصارى جعلت البعض يتأمّل في الطبيعة الحقيقيّة للمسيحيين الذين كانوا متواجدين في البيئة القرآنيّة وهل كانوا نصرانيّة 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الدّليل الخارجي كما تزعم المقالة على نفي وجود النّصارى اليهود في البيئة القرآنيّة، فإنّه يجب التأمّل في المقصد الجدلي للقرآن في الآيات التي تتحدّث عن الموحّدين الآخرين، حيث إنّ هذه الخطابات مع افتراضها علم المخاطبين بالفئات التي تتحدّث عنها، فسيكون لها حسب ادّعاء الكاتبتين، حرية</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المبالغة والتّحريف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إطلاق الألقاب من أجل إقناع مخاطبيها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تأتي الإشارات القرآنيّة للتشريعات المخالفة لليهود والنّصارى تغيير القبلة محدّدات الصوم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جاءت بعد أن اتّضح أنّ اليهود والنّصارى يرفضون القبول بنبوّة النّبي محمد كامتدادٍ لنبوّة إبراهيم وموسى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وكإجراءاتٍ ملموسةٍ لإبعاد أتباع القرآن عن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وتُحيلنا المقالة هنا إلى المستشرقة </w:t>
      </w:r>
      <w:r>
        <w:rPr>
          <w:rFonts w:eastAsia="Times New Roman" w:cs="Times New Roman" w:ascii="Times New Roman" w:hAnsi="Times New Roman"/>
          <w:color w:val="111111"/>
          <w:sz w:val="28"/>
          <w:szCs w:val="28"/>
          <w:lang w:val="en-US" w:bidi="en-US"/>
        </w:rPr>
        <w:t>Marion Holmes Katz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كتابها </w:t>
      </w:r>
      <w:r>
        <w:rPr>
          <w:rFonts w:eastAsia="Times New Roman" w:cs="Times New Roman" w:ascii="Times New Roman" w:hAnsi="Times New Roman"/>
          <w:color w:val="111111"/>
          <w:sz w:val="28"/>
          <w:szCs w:val="28"/>
          <w:lang w:val="en-US" w:bidi="en-US"/>
        </w:rPr>
        <w:t>Body of text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 عالجت فيه المنظومة التّشريعيّة الطقوسيّة للإسلام المبكر خاصّة الطّهارة والوضوء، للوقوف على ما أسمته الباحثتان الحجج التّاريخيّة على الاختلاط المسموح أو الانفصال المفروض على المجتمعات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تقرّر المقالة أنّه لا يمكن اعتبار الإشارات المرجعيّة المختصرة لعقائد اليهود والنّصارى في القرآن شهادات واضحةً على عقائد وأعمال معيّنةٍ لهذه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بالمقابل هما تعتبران أنّ السّجالات التي ينقلها القرآن وحججهم حول إبراهيم ،والسبت يمكن أن تكون عاكسةً فعلا للنّزاع في بيئة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نقطةٍ أخيرةٍ تُشير المقالة إلى أدلّةٍ من الحديث والسّيرة على احتكاك المجتمع الإسلامي الأوّل مع اليهود والنّصارى، ففي هذا المخزون الرّوائي، وفي سرديات السّيرة احتجاجاتٌ على نبوّة محمد نلمس فيها ملامح علم النبوّة التّلمودي المسيحيّ وكما نرصد فيها مناقشاتٍ واستدلالاتٍ تستند إلى نصوصٍ مسيحيّةٍ أو يهوديّةٍ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الفارقليط النبي الأمي، أحمد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 والصابئة والحنفاء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تستند الكاتبتان إلى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هَادُوا وَالصَّابِينَ وَالنَّصَارَى وَالْمَجُوسَ وَالَّذِينَ أَشْرَكُوا إِنَّ اللَّهَ يَفْصِلُ بَيْنَهُمْ يَوْمَ الْقِيَامَةِ إِنَّ اللَّهَ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لتستدلّا على أنّ المجوس وهم في نظرهما الزّردشتيين عمومًا، ألحقوا بلائحة أهل الكتاب في المرحلة المدينيّة المتأخّرة</w:t>
      </w:r>
      <w:r>
        <w:rPr>
          <w:rFonts w:eastAsia="Amiri" w:cs="Amiri" w:ascii="Amiri" w:hAnsi="Amiri"/>
          <w:color w:val="111111"/>
          <w:sz w:val="28"/>
          <w:szCs w:val="28"/>
          <w:rtl w:val="true"/>
          <w:lang w:bidi="ar-SA"/>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وشكّلت هذه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المجوس إلى أهل الكتاب موضوع جدلٍ كبيرٍ في الفقه الإسلامي، وإن عوملوا تقليديًّا كأهل 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أقليّة دينيّة 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الدّول الإسلاميّة المتعاقبة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وتضيف المقالة أنّ المجوس في الأصل هم طبقةً كهنوتيّةٌ إيرانيّةٌ قديمةٌ كانت تربطها صلةٌ وثيقةٌ بالنّخبة الساسانيّة الحاكمة، ولكن لفظ مجوس في القرآن يدلّ على الزّردشتين والدّيانة الزّرادشتية المعروفة باحتفالات النّار، وقرابين الحيوانات والتلاوات الطقسيّة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عباراتٍ مختصرةٍ جدًّا عن تاريخ المجوسية، تُشير المقالة إلى التّداعيات التّاريخيّة التي شهدتها هذه الدّيانة مع احتكاكها بالدّيانات الأخرى، وكيف ساهمت المانويّة والبوذيّة وكذلك المسيحيّة في إضعاف الدّيانة الزّردشتيّة ومكانتها في المناطق الفارسيّة إبّان الحكم السّاساني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تأثير الإسلام فبدأ منذ حياة الرّسول صلی الله علیه و آله و سلم، حيث اعتنق إبّان حياة النّبي أحفاد الجنود الفرس الإسلام في اليمن وفي العام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م سقطت فارس السّاسانيّة بيد المسلمين ومنح المجوس وضع أهل الذّمّة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طيّات هذه القراءة السّريعة للمجوسيّة في القرآن تغمز المقالة من قناة المفسّرين وتتّهمهم بالتشدّد في تكريس التّمايز بين هذه الفئات، وكأنّها تريد أن تقول إنّ حركة المفسّرين وتوجّهاتهم في التّفريق بين هذه المجموعات يتعاكس مع منحى القرآن في الجمع والتّوفيق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وكشاهدٍ على ذلك تسوق رأي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م واستشهاده بقتادة باعتبار المجوس عبدة الشَّمس والقمر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لفظ الصابئة فقد ورد في ثلاث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هَادُوا وَالنَّصَارَى وَالصَّابِبِينَ مَنْ آمَنَ بِاللَّهِ وَالْيَوْمِ الْآخِرِ وَعَمِلَ صَالِحًا فَلَهُمْ أَجْرُهُمْ عِنْدَ رَبِّهِمْ وَلَا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هَادُوا وَالصَّابِثُونَ وَالنَّصَارَى مَنْ آمَنَ بِاللهِ وَالْيَوْمِ الْآخِرِ وَعَمِلَ صَالِحًا فَلَا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هَادُوا وَالصَّابِبِينَ وَالنَّصَارَى وَالْمَجُوسَ وَالَّذِينَ أَشْرَكُوا إِنَّ اللهَ يَفْصِلُ بَيْنَهُمْ يَوْمَ الْقِيَامَةِ إِنَّ اللَّهَ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اقتران عبارة الصابئة في السّياق القرآني دائما بالذين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المسلمون الذين آمنوا بالقرآن عند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وجاءت مرّة واحدة مقترنةً مع المجوس وترى الباحثتان أنّ المراد من الصّابئة في القرآن غير واضحٍ، ولذا اختلفت القراءات في تحديد المراد، وتحيلنا على الموسوعة الإسلاميّة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والآراء المختلفة 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DeBlois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Bosworth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حول الصّابئ والصابئة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الأقوال في تحديد هويّتهم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المندائيون أو الكوشطيون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مسيحيّة يهوديّة سكنت جنوب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المانويون وفي كلّ الأحوال فقد اعتبروا مجموعةً منفصلةً عن اليهود والنّصارى والمشركين والمجوس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الزردشتيين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أنّهم كانوا ظاهرين ومعروفين بما يكفي لذكرهم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وتنبّه المقالة من الخلط بين الصابئة والسبئيين أي سكان سبأ، وعدم الخلط بين صابئة القرآن وبين مشركي حرّان الذين تبنّوا مصطلح الصابئة للتدليل على أنفسهم في القرن الثالث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ميلادي، في محاولة منهم للحصول على وضع الذميين في الدولة الإسلاميّة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اللفظ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الحنفاء، فقد سبقت الإشارة إلى أنّ النّبي إبراهيم علیه السلام هو المثال الرئيس للحنيف أو المؤمن الموحّد الحقيقي كما تعبّر صاحبتا المقالة، وما كان يهوديًّا ولا نصرانيًّا، وتلفت الباحثتان الانتباه إلى أنّ لفظ الحنفاء وحنيف لم يأتِ في القرآن في سياق تعداد المجموعات الدّينية، واعتبر مصطلح حنيف مختصًّا بالعرب الموحّدين الذين خالفوا ديانات آبائهم الشركيّة وإن كان المشركون العرب الذين لم يأخذوا إلّا بعض الطقوس من دينات آبائهم قد استعملوا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وتُشير المصادر الإسلامية إلى وجود ديانةٍ أو طائفةٍ على ملّة إبراهيم في الجزيرة قبل </w:t>
      </w:r>
    </w:p>
    <w:p>
      <w:pPr>
        <w:pStyle w:val="BookText"/>
        <w:rPr/>
      </w:pPr>
      <w:r>
        <w:rPr>
          <w:rFonts w:ascii="Amiri" w:hAnsi="Amiri" w:eastAsia="Amiri" w:cs="Amiri"/>
          <w:color w:val="111111"/>
          <w:sz w:val="28"/>
          <w:sz w:val="28"/>
          <w:szCs w:val="28"/>
          <w:rtl w:val="true"/>
          <w:lang w:bidi="ar-SA"/>
        </w:rPr>
        <w:t>الإسلام ويبدو أنّ هناك تواجدًا لهؤلاء الإبراهميين في البيئة المحمّدية كورقة بن نوفل ابن عم السيدة خديجة زوجة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وتستشهد المقالة بسيرة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الترجمة الإنجليزية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لتنقل وصفًا للأحناف وأنّهم المائلون عن عبادة الأصنام التي عكف عليها آباؤهم واتبعوا دين إبراهيم، ولكّنهم لم يكونوا مسلمين بالضرورة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وبقطع النّظر عن الأحناف قبل الإسلام، فإنّ المطابقة القرآنيّة بين الحنفاء والمؤمنين الحقيقين وليس بالضرورة المسلمين استمرّت على مرّ التّاريخ الإسلامي فيما بعد، رغم أنّهم غير اليهود والنّصارى والصّابئة والمجوس، فإنّ القرآن يشير إلى أنّ الحنيف يمكن أن يتطابق مع المسلم، انظر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وَلَا نَصْرَانِيًّا وَلَكِنْ كَانَ حَنِيفًا مُسْلِمًا وَمَا كَانَ</w:t>
      </w:r>
    </w:p>
    <w:p>
      <w:pPr>
        <w:pStyle w:val="BookText"/>
        <w:rPr/>
      </w:pP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زعم جماعةٌ ممّن يسمون أنفسهم صابئة في مرحلة ما بعد القرآن أنّهم حنفاء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المشركون والوثنيون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الفقرة التي يفترض حسب عنوانها أنّها تخصّ المشركين والوثنيين وأنّها تبحث في الموقف القرآني من هؤلاء، ومعالجة الآيات لشؤون هذه الفئة تجنح المقالة إلى خلط الموضوعات كالعادة وتشبيكها والاستطراد في قضايا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طغى موضوع أهل الكتاب وهل هم من أقسام الكفار أم لا؟ مع أنّ المقالة كما رأينا خصّصت فقرة لأهل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يبدأ هذا المقطع بالإشارة إلى التّسمية القرآنيّة للوثنيين وعبدة الأصنام في مكّة والذين لم يكونوا يهودًا ولا نصارى بل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فالمشركون ومهما كان توجّههم الدّيني هم المكيّون الذين لم يعترفوا بمحمد نبيًّا مرسلًا من قبل الله أو يقبلوا دعوته لعبادة الإله الواحد</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وتفسّر المقالة موقف المشركين هذا الرّافض لرسالة النّبي محمّد بأنّه يتأرجح بين رغبتهم في السّيطرة على مركز الشّرك في مكّة، وبين حماية موقعهم الاجتماعي الذي تحقّق بفضل تجارة القوافل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وتورد المقالة إحدى القراءات لنشوء الإسلام، والتي تُؤكّد على البُعد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محمد حسب هذه القراءة وجّه رسالةً إلى المهمّشين في مجتمعٍ فاحش الثّراء وشديد التّفاوت بين أغنيائه وفقرائه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كان داعيًا للمكّيين من الخشية من المكوّن الاجتماعي لرسالة النّبي محمد صلی الله علیه و آله و سلم وهنا تطلق عليه المقالة المكوّن الاجتماعي الأصولي </w:t>
      </w:r>
      <w:r>
        <w:rPr>
          <w:rFonts w:eastAsia="Times New Roman" w:cs="Times New Roman" w:ascii="Times New Roman" w:hAnsi="Times New Roman"/>
          <w:color w:val="111111"/>
          <w:sz w:val="28"/>
          <w:szCs w:val="28"/>
          <w:lang w:val="en-US" w:bidi="en-US"/>
        </w:rPr>
        <w:t>radical social component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r>
        <w:rPr>
          <w:rFonts w:ascii="Amiri" w:hAnsi="Amiri" w:eastAsia="Amiri" w:cs="Amiri"/>
          <w:color w:val="111111"/>
          <w:sz w:val="28"/>
          <w:sz w:val="28"/>
          <w:szCs w:val="28"/>
          <w:rtl w:val="true"/>
          <w:lang w:bidi="ar-SA"/>
        </w:rPr>
        <w:t>أن يضعف سيطرتهم على اقتصاد البلاد، وأنّ التخلّص من الأصنام من شأنه أن يعطّل الحجّ الذي كان يدرّ على المكّيين أرباحًا طائلةً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وتدّعي المقالة أنّ النبي محمد في الأخير اعتمد نفس الآليّة التي أسّسها التّجّار المكّيون لتسهيل نشر الإسلام معتمدةً على رأي كلّ من المستشرقين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Watt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والمستشرق </w:t>
      </w:r>
      <w:r>
        <w:rPr>
          <w:rFonts w:eastAsia="Times New Roman" w:cs="Times New Roman" w:ascii="Times New Roman" w:hAnsi="Times New Roman"/>
          <w:color w:val="111111"/>
          <w:sz w:val="28"/>
          <w:szCs w:val="28"/>
          <w:lang w:val="en-US" w:bidi="en-US"/>
        </w:rPr>
        <w:t>Crone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مقالته بهذه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محاولةٍ لتعميق الشّرخ بين القرآن والمفسّرين تتساءل الكاتبتان عن صحّة تصنيف اليهود والنّصارى كمشركين؛ حيث تعترفان بأنّ المفسّرين المتأخّرين صنّفوهم كذلك، رغم وضعهم كأهل كتاب بل هذه التّسمية قد تعود إلى مراحل مبكرةٍ منذ القرن الثاني للهجرة فتستشهد على ذلك بيوحنّا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فالقرآن بحسب المقالة رغم تمييزه بين أهل الكتاب، ومن لا كتاب لهم من المشركين والوثنيين العرب، ورغم تمايز بين الموقف القرآني من اليهود والنصارى وموقف المفسّرين المتأخّرين، فإنّ الذين يرفضون النّبي محمدا والقرآن سواء كانوا مشركين أو أهل كتاب يصنّفون في خانة الكفر والجحود، وتسوق الآيات التي يستشهد بها في هذا السّياق</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يَوَدُّ الَّذِينَ كَفَرُوا مِنْ أَهْلِ الْكِتَابِ وَلَا الْمُشْرِكِينَ أَنْ يُنَزَّلَ عَلَيْكُمْ مِنْ خَيْرٍ مِنْ رَبِّكُمْ وَاللَّهُ يَخْتَصُّ بِرَحْمَتِهِ مَنْ يَشَاءُ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الَّذِينَ كَفَرُوا مِنْ أَهْلِ الْكِتَابِ وَالْمُشْرِكِينَ مُنْفَكِّينَ حَتَّى تَأْتِيَهُمُ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البينة،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إِلَهَا وَاحِدًا لَا إِلَهَ إِلَّا هُوَ سُبْحَانَهُ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الأخير تستخلص صاحبتا المقالة أنّه لا يوجد موقفًا واحدًا في القرآن في طرق التّعامل مع غير المسلمين أو تصنيفهم، وكذلك الحال في حياة المسلمين عبر الزمن خاصّة في التّاريخ الإسلامي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وتضيفان أنّ المفاهيم القرآنيّة ليست وحدها هي التي حدّدت موقف المسلمين من معاملة غير المسلمين بل أثّر في ذلك أيضًا المخاوف العمليّة والعقائديّة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 agmatic,aswell,asdoctrinal,concerns affected the treatment of those who were not muslims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8"/>
      </w:r>
      <w:r>
        <w:rPr>
          <w:rFonts w:ascii="Amiri" w:hAnsi="Amiri" w:eastAsia="Amiri" w:cs="Amiri"/>
          <w:color w:val="111111"/>
          <w:sz w:val="28"/>
          <w:sz w:val="28"/>
          <w:szCs w:val="28"/>
          <w:rtl w:val="true"/>
          <w:lang w:bidi="ar-SA"/>
        </w:rPr>
        <w:t>وتستدل الكاتبتان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ورغم الدّلالة التّقليديّة لآيات السّيف والتي تحضّ المشركين على الإسلام وتدعو إلى التّسامح مع</w:t>
      </w:r>
    </w:p>
    <w:p>
      <w:pPr>
        <w:pStyle w:val="BookText"/>
        <w:rPr/>
      </w:pP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قد سمح للهندوس الذين هم ليسوا من أهل الكتاب بممارسة طقوسهم ما داموا يدفعون الجزية</w:t>
      </w:r>
      <w:r>
        <w:rPr>
          <w:rFonts w:eastAsia="Amiri" w:cs="Amiri" w:ascii="Amiri" w:hAnsi="Amiri"/>
          <w:color w:val="111111"/>
          <w:sz w:val="28"/>
          <w:szCs w:val="28"/>
          <w:rtl w:val="true"/>
          <w:lang w:bidi="ar-SA"/>
        </w:rPr>
        <w:t xml:space="preserve">. </w:t>
      </w:r>
      <w:bookmarkStart w:id="556" w:name="pg8898_139771"/>
    </w:p>
    <w:p>
      <w:pPr>
        <w:pStyle w:val="Heading5"/>
        <w:numPr>
          <w:ilvl w:val="4"/>
          <w:numId w:val="1"/>
        </w:numPr>
        <w:rPr/>
      </w:pPr>
      <w:bookmarkStart w:id="557" w:name="__RefHeading___Toc935839_2870459653"/>
      <w:bookmarkStart w:id="558" w:name="_Toc211"/>
      <w:bookmarkEnd w:id="556"/>
      <w:bookmarkEnd w:id="557"/>
      <w:r>
        <w:rPr>
          <w:rtl w:val="true"/>
        </w:rPr>
        <w:t>المبحث الثالث</w:t>
      </w:r>
      <w:r>
        <w:rPr>
          <w:rtl w:val="true"/>
        </w:rPr>
        <w:t xml:space="preserve">: </w:t>
      </w:r>
      <w:r>
        <w:rPr>
          <w:rtl w:val="true"/>
        </w:rPr>
        <w:t>المؤشّرات القرآنية على التفاعل بين الأديان</w:t>
      </w:r>
      <w:bookmarkEnd w:id="558"/>
    </w:p>
    <w:p>
      <w:pPr>
        <w:pStyle w:val="BookText"/>
        <w:rPr/>
      </w:pPr>
      <w:r>
        <w:rPr>
          <w:rFonts w:ascii="IRNazanin" w:hAnsi="IRNazanin" w:eastAsia="IRNazanin"/>
          <w:color w:val="111111"/>
          <w:sz w:val="28"/>
          <w:sz w:val="28"/>
          <w:szCs w:val="28"/>
          <w:rtl w:val="true"/>
          <w:lang w:bidi="fa-IR"/>
        </w:rPr>
        <w:t>في هذا المقطع من المقالة تبحث الكاتبتان عن المؤشّرات القرآنيّة على التّفاعل بين الأديان وعلاقة المسلمين بغير المسلمين منذ المراحل المبكرة للدعوة وبالفعل أكّدت الباحثتان على هذه المسيرة التّفاعليّة للإسلام مع الدّيانات الأخرى في ،محیطه، ومنحت الأولويّة للتّفاعل الإسلامي المسيحي، ومن هنا يتنزّل الحديث عن التّفاعل الذي حصل مبكرًا مع المسيحيّة، وخصوصًا مع المسيحيين القائلين بالطبيعة الواحدة للمسيح والاستشهاد بالإشارة القرآنيّة إلى بيزنطة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غُلِبَتِ الرُّومُ فِي أَدْنَى الْأَرْضِ وَهُمْ مِنْ بَعْدِ غَلَبِهِمْ سَيَغْلِبُونَ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الروم، الآيتان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وإلى مدينتين مسيحيتين محدّدتين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الحبشة ونجران وترى الباحثتان أنّ المصادر الإسلاميّة التّقليديّة تقول بوجود تبادلٍ سياسيٍّ ولاهوتيٍّ بين المدينتين، من جهة وبين النّبي ،محمد والمجتمع الإسلامي، من جهةٍ 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وقائع اللّقاء مع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تزعمه المصادر الإسلاميّة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الباحثتين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الرّهبان المسيحيين الذين أقرّوا بوجود علامات النّبوّة على محمد وعوض التّركيز على طبيعة هذا اللّقاء وأبعاده، نرى المقالة تجنح للحديث عن طائفة هؤلاء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النسطوريين، ادعاء أنّ طائفة المبلغ عن الوحي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باختلاف الجماعة التي ترتبط بها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يرجّح أن روايات النسطوري سرجيس بحيرا قد راجت في بيئةٍ يعقوبيّةٍ 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القائلين بالطبيعة الواحدة للمسيح</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الشّخصيّة المحوريّة للقاء الإسلامي المسيحي قد حدّدت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بحيرا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فهناك شخصيّة غامضة مدّعاة للقاء الإسلامي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روايات لأحد النّسّاخ اليهود الذين كتبوا عن النّبي، والذي علّم محمد العقيدة اليهودية أو أثبت نبوّة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سياق هذه الوقائع القائمة على تردّدات غريبةٍ، تدّعي الكاتبتان أنّه تبيّن أنّ أفرادًا من أسرة محمد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مسيحيين أو على الأقل موحّدين على ملّة إبراهيم وأنّهم أكّدوا صحّة نبوّته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الوقائع التي تسوقها المقالة، اللّقاءات المباشرة بين المجتمع الإسلامي النّاشئ ،والنّصارى والجدال حول طبيعة المسيح، وفي هذا المجال تورد مرویّات تستحضر آیاتٍ قرآنيّةً تدعم هذه اللّقاءات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الوقائع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إلى الحبشة حيث شجّع النّبي محمد بعض أتباعه إلى اللّجوء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الاضطهاد الذي لاقوه، وتنقل الباحثتان اعتمادًا على ترجمة سيرة ابن إسحاق أنّ النّجاشي ملك الحبشة آوى هذه الفئة من المسلمين بعد أن استمع إلى قول المسلمين في عيسى بن مريم واستمع إلى الآيات 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الوقائع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اللقاء الإسلامي المبكر مع وفد من مسيحي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وتؤكد المقالة أن القرآن لم يسمّ المدينة وإنّما أشار إليها في بعض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بَيْنَهُمْ وَبَيْنَ الْقُرَى الَّتِي بَارَكْنَا فِيهَا قُرًى ظَاهِرَةٌ وَقَدَّرْنَا فِيهَا السَّيْرَ سِيرُوا فِيهَا لَيَالِيَ وَأَيَّامًا آمِنِينَ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سبأ،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نظر حتى في التفاسير التي اعتمدت عليها كتفسير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فَتَنُوا الْمُؤْمِنِينَ وَالْمُؤْمِنَاتِ ثُمَّ لَمْ يَتُوبُوا فَلَهُمْ عَذَابُ جَهَنَّمَ وَلَهُمْ عَذَابُ الْحَرِيقِ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البروج،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وتنقل الكاتبتان بعباراتٍ غائمةٍ قصّة ،المباهلة حيث تحدّى الرّسول هؤلاء ودعاهم إلى المباهلة؛ لتمييز صاحب القول الصّحيح في النّبي عيسى من صاحب القول الكاذب، وكيف انسحب وفد نجران وتجنّبوا المباهلة دون توضيح أسباب هذا التّراجع، ودون تشخيص وفد النّبي ومن معه ووفد النّصارى، وفي هذا الإعراض عن تفاصيل الواقعة دلالاتٌ يمكن أن ترتبط بمركزيّة الفهم الرّسمي للإسلام السّنّي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ومقابل هذا الإعراض عن تفاصيل واقعة المباهلة، باعتبار أنّها من الوقائع التي تشهد لهذا اللقاء الإسلامي المسيحي نجد الباحثتان تخوضان في تفاصيل المعتقد المسيحي لوفد نجران والخلفيّة النسطورية التي كانت سائدةً في تلك المنطقة والجذور التّاريخية لهذا الانتشار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العلاقة مع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للعلاقة مع اليهود رغم قصرها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تمركزت في المراحل المكيّة المتأخّرة والمدنيّة المبكرة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حسب كاتبتي المقالة، فقد احتدم الصّدام بين المجتمع المسلم واليهود خاصّة حينما تحالفت القبائل اليهوديّة مع خصوم المسلمين من المكيين وتصاعد العداء إلى ترحيل بعض هذه القبائل بل وقتال رجال بني قريظة وسبي نسائهم وأطفالهم سنة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حال هذا التّصاعد في المواجهة، دون أيّ موقفٍ تصالحيٍّ على غرار الموقف التصالحي مع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إشارةٍ خفيّةٍ إلى أنّ الموقف من اليهود لم يكن منذ البداية على هذه الشّاكلة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بداية الدّعوة أسلم بعض اليهود، كما أنّ واحدةً من زوجات الرّسول من بني قريضة، وهي بهذه الإشارة تريد أن تهيّئ ذهنيّة القارئ لفرضيّة، ستُذكر بعد قليل وهي أنّ الموقف من الأديان الأخرى عمومًا، واليهود خصوصًا، تطوّر حسب الظروف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الموقف تحوّل من المسالمة والانفتاح في البدايات ولكن مع تمكّن المسلمين من عناصر القوّة في المدينة أضحى الموقف منهم</w:t>
      </w:r>
    </w:p>
    <w:p>
      <w:pPr>
        <w:pStyle w:val="BookText"/>
        <w:rPr/>
      </w:pPr>
      <w:r>
        <w:rPr>
          <w:rFonts w:ascii="Amiri" w:hAnsi="Amiri" w:eastAsia="Amiri" w:cs="Amiri"/>
          <w:color w:val="111111"/>
          <w:sz w:val="28"/>
          <w:sz w:val="28"/>
          <w:szCs w:val="28"/>
          <w:rtl w:val="true"/>
          <w:lang w:bidi="ar-SA"/>
        </w:rPr>
        <w:t>متشدّدًا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كلّ هذه الوقائع من فصول اللّقاء الإسلاميّ والمسيحيّ من جهة، والإسلاميّ اليهوديّ من جهةٍ أخرى لايخلو الموقف القرآنيّ من نقدٍ شديدٍ لكلتا الدّيانتين، وبالإضافة إلى نقد أهل الكتاب وبني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تزيد الإشارة إليهما عن الإشارة لليهود والنّصارى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يفتأ القرآن الكريم يحدّثنا عن اعتقادات هؤلاء وكيف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 عن رسالة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وتعتقد الكاتبنان أنّ هذه التّعليقات القرآنيّة أنتجت تعليقاتٍ كثيرةً من المفسّرين وحفّز فيما بعد اليهود والمسيحيين الذين يعيشون في ديار المسلمين على كتابة مقالاتٍ دفاعيّةٍ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المجوس والصّابئة، فمع ورود ذكرهما </w:t>
      </w:r>
    </w:p>
    <w:p>
      <w:pPr>
        <w:pStyle w:val="BookText"/>
        <w:rPr/>
      </w:pPr>
      <w:r>
        <w:rPr>
          <w:rFonts w:ascii="IRNazanin" w:hAnsi="IRNazanin" w:eastAsia="IRNazanin"/>
          <w:color w:val="111111"/>
          <w:sz w:val="28"/>
          <w:sz w:val="28"/>
          <w:szCs w:val="28"/>
          <w:rtl w:val="true"/>
          <w:lang w:bidi="fa-IR"/>
        </w:rPr>
        <w:t>للقران فلا یوجد تواصلٌ للرسول محمد معهم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الخطابات القرآنيّة والموقف من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الوقائع، تنتقل المؤلّفتان لرصد بعض الخطابات القرآنيّة حيال اليهود والنّصارى لتؤسّس لكبرى خطيرةٍ تطرحها طرح المسلّمات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الموقف القرآنيّ تجاه هذه المجموعات كان يتغيّر وفقًا للوضع السّياسيّ لمحمد والمجتمع الإسلامي ولقبول هذه الجماعات أو رفضها للرسالة</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تحاول الكاتبتان أن تبدّد الانطباع الأوّلي الذي ينطبع في ذهن المتابع للوهلة الأولى بأنّ حدّة العداء لليهود أشدّ وطأةً من الموقف من المسيحيين، فالقرآن يصف اليهود بعبارات مميزة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يُدافع عن عيسي، ويردّ طعن اليهود فيه وفي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 وَبِكُفْرِهِمْ وَقَوْلِهِمْ عَلَى مَرْيَمَ بُهْتَانًا عَظِيمًا وَقَوْلِهِمْ إِنَّا قَتَلْنَا الْمَسِيحَ عِيسَى ابْنَ مَرْيَمَ رَسُولَ اللَّهِ وَمَا قَتَلُوهُ وَمَا صَلَبُوهُ وَلَكِنْ شُيّة لَهُمْ وَإِنَّ الَّذِينَ اخْتَلَفُوا فِيهِ لَفِي شَكٍّ مِنْهُ مَا لَهُمْ بِهِ مِنْ عِلْمٍ إِلَّا اتَّبَاعَ الظَّنِّ وَمَا قَتَلُوهُ يَقِينًا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الآيات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القرآن حسب رأي الكاتبتين رغم ذلك نراه يتّخذ موقفا نقديًّا من المسيحيين أيضًا، فيوبّخهم على الغلوّ ويتّهمهم بابتداع الرّهبانيّة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تَغْلُوا فِي دِينِكُمْ وَلَا تَقُولُوا عَلَى اللهِ إِلَّا الْحَقَّ إِنَّمَا الْمَسِيحُ عِيسَى ابْنُ مَرْيَمَ رَسُولُ اللَّهِ وَكَلِمَتُهُ أَلْقَاهَا إِلَى مَرْيَمَ وَرُوحُ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قَفَّيْنَا عَلَى آثَارِهِمْ بِرُسُلِنَا وَقَفَّيْنَا بِعِيسَى ابْنِ مَرْيَمَ وَآتَيْنَاهُ الْإِنْجِيلَ وَجَعَلْنَا فِي قُلُوبِ الَّذِينَ اتَّبَعُوهُ رَأْفَةٌ وَرَحْمَةً وَرَهْبَانِيَّةُ ابْتَدَعُوهَا مَا كَتَبْنَاهَا عَلَيْهِمْ إِلَّا ابْتِغَاءَ رِضْوَانِ اللَّهِ فَمَا رَعَوْهَا حَقَّ رِعَايَتِهَا فَآتَيْنَا الَّذِينَ آمَنُوا مِنْهُمْ أَجْرَهُمْ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الحديد،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اعتراف الباحثتين بأنّ جدال القرآن مع المسيحيين أقلّ ضراوةً من الجدل مع اليهود، إلّا أنّه في الأخير ينهى المؤمنين عن اتّخاذهم جميعًا أولياء، فالنصارى واليهود أولياء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 وَمَنْ يَتَوَلَّهُمْ مِنْكُمْ فَإِنَّهُ مِنْهُمْ إِنَّ اللَّهَ لَا يَهْدِى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للخطابات القرآنية إزاء اليهود والنصارى هو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تضمّن في آيات عدّة المعاني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التأكيد على نبوّة محمد والردّ على تحدّيات اليهود والنصارى فمن ذلك ردّه على ادّعاء اليهود من أنّ محمداً لا يمكن أن يكون عرقيًا نبيًّا؛ لأنّه لا نبيّ خارج بني إسرائيل، فردّ عليهم القرآن بنبوّة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وَلَا نَصْرَانِيًّا وَلَكِنْ كَانَ حَنِيفًا مُسْلِمًا وَمَا كَانَ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الحجّة القائلة بأنّ محمداً خالف تعاليم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أنّ اليهود هم الذين نقضوا عهد الله وحرّفوا الكتاب ومن الآيات التي تستشهد بها المقالة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أُولَيكَ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عَلِمْتُمُ الَّذِينَ اعْتَدَوْا مِنْكُمْ فِي السَّبْتِ فَقُلْنَا لَهُمْ كُونُوا قِرَدَةً خَاسِبِينَ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السّياق تعتبر الباحثتان أنّ تغيير القبلة هو جاء في توجّهٍ قرآنيٍّ للتمايز </w:t>
      </w:r>
    </w:p>
    <w:p>
      <w:pPr>
        <w:pStyle w:val="BookText"/>
        <w:rPr/>
      </w:pPr>
      <w:r>
        <w:rPr>
          <w:rFonts w:ascii="Amiri" w:hAnsi="Amiri" w:eastAsia="Amiri" w:cs="Amiri"/>
          <w:color w:val="111111"/>
          <w:sz w:val="28"/>
          <w:sz w:val="28"/>
          <w:szCs w:val="28"/>
          <w:rtl w:val="true"/>
          <w:lang w:bidi="ar-SA"/>
        </w:rPr>
        <w:t xml:space="preserve">التّشريعيّ عن اليهود، ورفض مبطّن لممارساتهم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عودة لهذه المسألة في الفصل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تشريع صيام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كتبديلٍ لصيام عاشوراء الذي كان يتَّبع فيه النّبيّ محمد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شنشنةٌ مطّردة في كتب المستشرقين ودراساتهم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أهمّ موضوع مسيحيّ ركّز القرآن ردوده عليه هو التثليث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استطرادٍ تبريريُّ عجیبٍ ترجع بنا المقالة إلى الجذر السّرياني لعبارة ثالث ثلاثة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ثليثايا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والقول بأنّها لقبٌ للمسيح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تأكيد القرآن على بشارة الكتاب المقدّس بنبوّة النبى محمد تسوقه المقالة في خاتمة الخطابات الدّفاعية القرآنيّة، وتعتبر الإشارة دليلًا على تعاونٍ أو اتّفاقٍ 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إسلاميّ، وتسوق آية سورة الصف شاهدًا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عِيسَى ابْنُ مَرْيَمَ يَا بَنِي إِسْرَابِيلَ إِلَى رَسُولُ اللَّهِ إِلَيْكُمْ مُصَدِّقًا لِمَا بَيْنَ يَدَيَّ مِنَ التَّوْرَاةِ وَمُبَشِّرًا بِرَسُولٍ يَأْتِي مِنْ بَعْدِى اسْمُهُ أَحْمَدُ فَلَمَّا جَاءَهُمْ بِالْبَيِّنَاتِ قَالُوا هَذَا سِحْرٌ 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الصف،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الجدل الدّيني في العصر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تختم الباحثتان هذا المقطع من المقالة ببعض تجلّيات الجدل الإسلامي المسيحي في التّاريخ الإسلامي، وخاصّة في العصر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فتسجّلان للمسلمين مزيد معرفةٍ وعمقٍ في الإحاطة بالفرق المسيحيّة، والمذاهب اليهوديّة، كما أنّ المسيحيين واليهود كتبوا عددًا من الرسائل تدافع عن دينهم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وأشارت الباحثتان إلى الإسرائيليات التي دُمج الكثير منها في قصص الأنبياء السّابقين، ولكنّهما اعتبرتا ذلك شاهدًا على الاهتمام والمعرفة العميقة بالكتابات المسيحيّة واليهوديّة، وإلمامًا لمؤلّفي المسلمين بالمعارف اليهوديّة والمسيحيّة</w:t>
      </w:r>
      <w:r>
        <w:rPr>
          <w:rFonts w:eastAsia="Amiri" w:cs="Amiri" w:ascii="Amiri" w:hAnsi="Amiri"/>
          <w:color w:val="111111"/>
          <w:sz w:val="28"/>
          <w:szCs w:val="28"/>
          <w:rtl w:val="true"/>
          <w:lang w:bidi="ar-SA"/>
        </w:rPr>
        <w:t xml:space="preserve">!!!! </w:t>
      </w:r>
      <w:bookmarkStart w:id="559" w:name="pg8898_139777"/>
    </w:p>
    <w:p>
      <w:pPr>
        <w:pStyle w:val="BookText"/>
        <w:rPr/>
      </w:pPr>
      <w:bookmarkEnd w:id="559"/>
      <w:r>
        <w:rPr>
          <w:rFonts w:ascii="Amiri" w:hAnsi="Amiri" w:eastAsia="Amiri" w:cs="Amiri"/>
          <w:color w:val="111111"/>
          <w:sz w:val="28"/>
          <w:sz w:val="28"/>
          <w:szCs w:val="28"/>
          <w:rtl w:val="true"/>
          <w:lang w:bidi="ar-SA"/>
        </w:rPr>
        <w:t>ورأت أنّ التّفاعل بين المسلمين والمسيحيين هو أحد أسباب تطوّر علم الكلام والتّصوّف؛ حيث ظهرت الكتابات الجدليّة والمناظرات حول خلق القرآن والإعجاز ودلائل النّبوّة في بيئةٍ تعدّديّةٍ دينيّةٍ شارك فيها المسيحيون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وتذهب الباحثتان إلى أن الردّ الإسلامي الكلاسيكي على التعددية الدينية ظهر في تطور علم الفرق والملل والنحل وتسوق أمثلة لمصنفات هذا العلم، والتي نظرت للآخر من داخل الدين أو من خارجه نظرة 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كالفرق بين الفرق لعبد القاهر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والفصل في الملل والنحل لابن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والملل والنحل لمحمد عبدالكريم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935841_2870459653"/>
      <w:bookmarkStart w:id="561" w:name="_Toc212"/>
      <w:bookmarkEnd w:id="560"/>
      <w:r>
        <w:rPr>
          <w:rtl w:val="true"/>
        </w:rPr>
        <w:t>المبحث الرّابع</w:t>
      </w:r>
      <w:r>
        <w:rPr>
          <w:rtl w:val="true"/>
        </w:rPr>
        <w:t xml:space="preserve">: </w:t>
      </w:r>
      <w:r>
        <w:rPr>
          <w:rtl w:val="true"/>
        </w:rPr>
        <w:t>هل يحوي القرآن نظريّةً في التعدّديّة الدّينيّة؟</w:t>
      </w:r>
      <w:r>
        <w:rPr>
          <w:rtl w:val="true"/>
        </w:rPr>
        <w:t>:</w:t>
      </w:r>
      <w:bookmarkEnd w:id="561"/>
    </w:p>
    <w:p>
      <w:pPr>
        <w:pStyle w:val="BookText"/>
        <w:rPr/>
      </w:pPr>
      <w:r>
        <w:rPr>
          <w:rFonts w:ascii="Amiri" w:hAnsi="Amiri" w:eastAsia="Amiri" w:cs="Amiri"/>
          <w:color w:val="111111"/>
          <w:sz w:val="28"/>
          <w:sz w:val="28"/>
          <w:szCs w:val="28"/>
          <w:rtl w:val="true"/>
          <w:lang w:bidi="ar-SA"/>
        </w:rPr>
        <w:t>السّؤال الأخير الذي طرحته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إمكانية استنتاج موقفٍ قرآنيُّ عن التعدّديّة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وتؤكّد المقالة مرّة أخرى، صعوبة فهم الموقف القرآني من التعدّديّة، وأنّه لا يوجد موقفٌ واحدٌ من الأديان الأخرى، وأنّ المفسّرين أنفسهم دوّنوا هذه الاختلافات في الموقف من أتباع الدّيانات الأخرى حتّى في حياة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وتبني على ذلك اغتنام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والمفكّرين المتأخّرين هذا التّنوّع في المواقف؛ لبناء آرائهم تأييدًا، أو معارضةً لمعتقدات وأفعال غير المسلمين في المجال الإسلامي، بل الموقف من أصل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لمعالجة السّؤال الأخير المطروح عن الموقف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قضيتين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مختارات من المواقف الإسلاميّة الحديثة من القضيّة وبعض الآيات التي استخدمها المسلمون بشكلٍ مطّردٍ حول الأديان الأخرى</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الإرشادات القرآنيّة الممكنة لسلوك المسلم تجاه غير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الكاتبتان موقفين مختلفين من الأديان الأخرى وأتباعها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فتسوقان رأي القرضاوي الذي يسمح بالتّعدّديّة الدّينيّة ويتسامح مع الأديان الأخرى ما دامت الدّولة الإسلامية بيدها القرار والمسلمون يسيطرون على دوائر القرار، والأقلّيات تلتزم بأحكام الشّريعة لسلوكات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تعرض الرأي المقابل لبعض المفسّرين التّراثيين كابن تيمية ت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قطب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أسمتهم بالمتطرّفين المعاصرين، كأسامة بن لادن والرّافض للتعدّديّة الدّينيّة والحاكم بطريقةٍ سلبيةٍ على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وتدّعي المقالة أنّه في هذه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حلٌّ شرعيٌّ وسط أو تعاونٌ مع غير المسلمين أو حتّى مع المسلمين الفاسدين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وتعتقد الباحثتان أنّ المواضيع القرآنيّة كعقاب الآخرة لغير المسلمين، ومعارضتهم لمحمد واعتبار الإسلام الدّين الصّحيح الوحيد بنظر الله، وأنّ اليهود والنّصارى غالوا في دينهم كلّ ذلك يشكّل قراءةً مجرّحةً بالأديان الأخرى ورفضًا الشرعيّة التّعدّديّة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رفض القرآن للتعدّديّة كما صرّحت أخيرًا الباحثتان يطرح سؤالٌ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ينصح القرآن المسلمين أن يفعلوا في وجه تعدّد الأديان ؟؟ هذا ما تجيب عنه المقالة في القضيّة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المهمّة في توجيه الموقف والسّلوك الإسلامي نحو الآخر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الكافرون،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إِكْرَاهَ فِي الدِّينِ قَدْ تَبَيَّنَ الرُّشْدُ مِنَ الْغَيّ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عادة ما تساق للاستدلال على التّسامح الدّيني في الإسلام مع غير المسلمين</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اعتراف الباحثتين بهذه الحقيقة نراهما كعادتهما تشكّكان في ذلك، بالإحالة على تفاسير فسّرت الآيات بطريقةٍ مختلفةٍ، وأنّها موجّهةٌ إلى القرشيين الذين </w:t>
      </w:r>
    </w:p>
    <w:p>
      <w:pPr>
        <w:pStyle w:val="BookText"/>
        <w:rPr/>
      </w:pPr>
      <w:r>
        <w:rPr>
          <w:rFonts w:ascii="Amiri" w:hAnsi="Amiri" w:eastAsia="Amiri" w:cs="Amiri"/>
          <w:color w:val="111111"/>
          <w:sz w:val="28"/>
          <w:sz w:val="28"/>
          <w:szCs w:val="28"/>
          <w:rtl w:val="true"/>
          <w:lang w:bidi="ar-SA"/>
        </w:rPr>
        <w:t xml:space="preserve">استهزؤوا بتوحيد محمد كتفسير مقاتل وتفسير ابن كثير، ومن المراجع التي تحيلنا إليها مقالة في الموسوعة نفسها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أحمد </w:t>
      </w:r>
      <w:r>
        <w:rPr>
          <w:rStyle w:val="FootnoteAnchor"/>
          <w:rtl w:val="true"/>
        </w:rPr>
        <w:footnoteReference w:id="681"/>
      </w:r>
      <w:r>
        <w:rPr>
          <w:rFonts w:ascii="Amiri" w:hAnsi="Amiri" w:eastAsia="Amiri" w:cs="Amiri"/>
          <w:color w:val="111111"/>
          <w:sz w:val="28"/>
          <w:sz w:val="28"/>
          <w:szCs w:val="28"/>
          <w:rtl w:val="true"/>
          <w:lang w:bidi="ar-SA"/>
        </w:rPr>
        <w:t xml:space="preserve">وفي اعتماد عنوان كتاب المدعو سلمان رشدي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كعنوان لإحدى مقالات الموسوعة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وتستنتج الباحثتان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إحصاء التفاسير الإسلاميّة يكشف أن تعدّد المعتقدات الدّينيّة ليس مقبولاً، لكنّه مقبولٌ كسمةٍ لا غنًى عنها للوجود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وعمومًا لا يرى المفسّرون أنّ القرآن يدعو إلى دخول الإسلام بالقوّة، لكن من جهةٍ أخرى لا يوجد دعوةٌ مزيّفةٌ للسلام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يبالون برسالة القرآن وعدوا بالعقاب بالآخرة</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وتؤكّدان أنّ هناك آياتٍ واضحةَ الدّلالة في دعوتها للإسلام، باعتباره الدّين الصّحيح وتنبيهها بالبقاء على مسافةٍ من أتباع الأديان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وتسوق المقالة آياتٍ تعتبرها الأكثر شهرةً في تحديد السّلوك المناسب تجاه غير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التي اعتبرت أقل تكرارًا في الاستشهاد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وَرَضِيتُ لَكُمُ الْإِسْلَامَ 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الروم، الآية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وَجْهَكَ لِلدِّينِ الْقَيِّمِ مِنْ قَبْلِ أَنْ يَأْتِيَ يَوْمُ لَا مَرَدَّ پلَهُ مِنَ اللهِ يَوْمَيذٍ يَصَّدَّعُونَ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 وَالَّذِينَ اتَّخَذُوا مِنْ دُونِهِ أَوْلِيَاءَ مَا نَعْبُدُهُمْ إِلَّا لِيُقَرِّبُونَا إِلَى اللَّهِ زُلْفَىٰ إِنَّ اللَّهَ يَحْكُمُ بَيْنَهُمْ فِي مَا هُمْ فِيهِ يَخْتَلِفُونَ انَّ اللَّهَ لَا يَهْدِي مَنْ هُوَ كَاذِبٌ 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الروم،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فَرَّقُوا دِينَهُمْ وَكَانُوا شِيَعًا كُلُّ حِزْبٍ بِمَا لَدَيْهِمْ فَرِحُونَ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تَغْلُوا فِي دِينِكُمْ وَلَا تَقُولُوا عَلَى اللهِ إِلَّا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لَا تَغْلُوا فِي دِينِكُمْ غَيْرَ الْحَقِّ وَلَا تَتَّبِعُوا أَهْوَاءَ قَوْمٍ قَدْ ضَلُّوا مِنْ قَبْلُ وَأَضَلُّوا كَثِيرًا وَضَلُّوا عَنْ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بعض الآيات التي يتوقّف عند دلالتها على هذا المدّعى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النور ،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تَأْخُذْكُمْ بِهِمَا رَأْفَةٌ فِي دِينِ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علاقة الآية بالموقف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غافر،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أَنْ يُبَدِّلَ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على لسان فرعون في التّحريض على النّبي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الأحوال تنستنج الكاتبتان من هذه الآيات أنّ القرآن يفصح عن موقفٍ سلبيٍّ من أهل الكتاب، فهم غالوا في دينهم وحّرفوا كتبهم، وهو يحثّ المسلمين على البقاء على مسافةٍ منهم، بل محاربتهم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والموقف هو الموقف مع الآخرين من غير المسلمين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وتعتبر الباحثتان أنّ عاملين 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التفاسير المتأخّرة ومبدأ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بمثابة العدسات التي ينظر من خلالهما إلى القرآن، وتكرّس بذلك الموقف التّقليديّ تجاه غير المسلمين، وروّجت هذه الثّقافة في أوساط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تؤكّد الباحثتان على البون الفاصل بين أحكام القرآن والتّفاسير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وتضرب لذلك مثالًا وهو تنصيص القرآن على أنّ غير المؤمنين في الآخرة هم الذين يعاقبون، وإصرار المفسريين المتأخّرين على تصنيف كلّ غير المسلمين في هذه الخانة، حتّى أهل الكتاب، ممّا شجّع على تحميل القرآن موقفًا عدائيًّا من غير المسلمين عمومًا،</w:t>
      </w:r>
    </w:p>
    <w:p>
      <w:pPr>
        <w:pStyle w:val="BookText"/>
        <w:rPr/>
      </w:pPr>
      <w:r>
        <w:rPr>
          <w:rFonts w:ascii="Amiri" w:hAnsi="Amiri" w:eastAsia="Amiri" w:cs="Amiri"/>
          <w:color w:val="111111"/>
          <w:sz w:val="28"/>
          <w:sz w:val="28"/>
          <w:szCs w:val="28"/>
          <w:rtl w:val="true"/>
          <w:lang w:bidi="ar-SA"/>
        </w:rPr>
        <w:t>بل ومن المسلمين غير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خاتمة المقال يخيب توقّع القارئ، حينما يظنّ أنّه سيجد نفسه أمام استخلاصاتٍ ونتائج واضحةٍ، بعد أن أنهكه الغموض والتردّدات التي طغت على البحث كلّه، وبعد أن أرهقته تداخلات المواضيع وتشابكها، وبعد أن حيّرته خطوات الباحثتين بين ،إقدام ،وإعراض بين نفي فكرة في مكان وإثباتها في مكان ،آخر والتّوقّف في محطّة 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يا خيبة المسعى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الخاتمة التي كنّا نأمل فيها كلّ هذا الانقشاع، وجلاء الرّأي، والموقف، لم نعثر فيها إلاّ على مزيدٍ من القضايا الجديدة، والتي عولجت بنفس الأسلوب المتردّد والغامض والجدلي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تعرّضت الخاتمة لقضيّة اعتبار الإسلام دين العرب وربطتها بإخراج اليهود والنصارى من جزيرة العرب بناء على نجاسة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الْمُشْرِكُونَ نَجَسٌ فَلَا يَقْرَبُوا الْمَسْجِدَ الْحَرَامَ بَعْدَ عَامِهِمْ هَذَا وَإِنْ خِفْتُمْ عَيْلَةً فَسَوْفَ يُغْنِيكُمُ اللَّهُ مِنْ فَضْلِهِ إِنْ شَاءَ إِنَّ اللَّهَ عَلِيمٌ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تطرّقت إلى قضيّةٍ جديدةٍ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المسيحيون العرب والنّظرة إليهم، وكيف رفض المسيحيون العرب الجزية؛ لأنّهم عربُ بناءً على التّماهي الذي حصل بين عربي ومسلم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الأخير تُعيد الفكرة نفسها عن تواجد اليهود والنّصارى في المناطق الإسلاميّة النّاطقة بالعربية، كأقلياتٍ دينيّةٍ 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ذمّة وإلى حدّ ما، المانويين، والزرادشتيين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بالنسبة لوضع غير المسلمين في البلاد غير العربية، فتُعيد الباحثتان الحديث عن تجربة الهندوس، وكيف وسّع المسلمون حماية الدّولة لهم، مقابل دفع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وتستنج المقالة، إنّه ووفقًا للتمييز القرآني بين المسلمين وغير المسلمين وللتوصية القرآنيّة بالتّسامح مع غير المسلمن، سمح لهؤلاء أن يعيشوا في البلاد الإسلاميّة، ولكن بصفة مواطنين من الدّرجة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 keeping with the quranic differrntiaion between Muslims and non Muslims, and also with the q u ranic</w:t>
      </w:r>
    </w:p>
    <w:p>
      <w:pPr>
        <w:pStyle w:val="BookText"/>
        <w:rPr/>
      </w:pPr>
      <w:r>
        <w:rPr>
          <w:rFonts w:eastAsia="Times New Roman" w:cs="Times New Roman" w:ascii="Times New Roman" w:hAnsi="Times New Roman"/>
          <w:color w:val="111111"/>
          <w:sz w:val="28"/>
          <w:szCs w:val="28"/>
          <w:lang w:val="en-US" w:bidi="en-US"/>
        </w:rPr>
        <w:t>injunctions of tolerance for non- Muslims, these non-Muslims have been allowed to live in Islamic</w:t>
      </w:r>
    </w:p>
    <w:p>
      <w:pPr>
        <w:pStyle w:val="BookText"/>
        <w:rPr/>
      </w:pPr>
      <w:r>
        <w:rPr>
          <w:rFonts w:eastAsia="Times New Roman" w:cs="Times New Roman" w:ascii="Times New Roman" w:hAnsi="Times New Roman"/>
          <w:color w:val="111111"/>
          <w:sz w:val="28"/>
          <w:szCs w:val="28"/>
          <w:lang w:val="en-US" w:bidi="en-US"/>
        </w:rPr>
        <w:t>lands,albeit as “second class citizens[1]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3"/>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وتنهي الباحثتان المقالة بالتّأكيد على أنّ التّاريخ ما زال مسستمرًا في تشكيل فهم القرآن وتفسيره، وأن الأحداث الكبرى التي شهدها العالم الإسلامي، كالحروب الصليبيّة والاستعمار، وقيام دولة إسرائيل، والهجمة الامبرياليّة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 في توجّهات المفسّرين المسلمين المعاصرين، فيعتبرون أنّ الآيات التي تبدي تسامحًا مع غير المسلمين منسوخةٌ بالآيات التي تتضمّن أحكامًا أشدّ قسوةً</w:t>
      </w:r>
      <w:r>
        <w:rPr>
          <w:rFonts w:eastAsia="Amiri" w:cs="Amiri" w:ascii="Amiri" w:hAnsi="Amiri"/>
          <w:color w:val="111111"/>
          <w:sz w:val="28"/>
          <w:szCs w:val="28"/>
          <w:rtl w:val="true"/>
          <w:lang w:bidi="ar-SA"/>
        </w:rPr>
        <w:t xml:space="preserve">. </w:t>
      </w:r>
      <w:bookmarkStart w:id="562" w:name="pg8898_139783"/>
    </w:p>
    <w:p>
      <w:pPr>
        <w:pStyle w:val="Heading4"/>
        <w:numPr>
          <w:ilvl w:val="3"/>
          <w:numId w:val="1"/>
        </w:numPr>
        <w:rPr/>
      </w:pPr>
      <w:bookmarkStart w:id="563" w:name="__RefHeading___Toc935843_2870459653"/>
      <w:bookmarkStart w:id="564" w:name="_Toc213"/>
      <w:bookmarkEnd w:id="562"/>
      <w:bookmarkEnd w:id="563"/>
      <w:r>
        <w:rPr>
          <w:rtl w:val="true"/>
        </w:rPr>
        <w:t>الفصل الثاني</w:t>
      </w:r>
      <w:r>
        <w:rPr>
          <w:rtl w:val="true"/>
        </w:rPr>
        <w:t xml:space="preserve">: </w:t>
      </w:r>
      <w:r>
        <w:rPr>
          <w:rtl w:val="true"/>
        </w:rPr>
        <w:t xml:space="preserve">القراءة النقدية لمقالة </w:t>
      </w:r>
      <w:r>
        <w:rPr>
          <w:rtl w:val="true"/>
        </w:rPr>
        <w:t>«</w:t>
      </w:r>
      <w:r>
        <w:rPr>
          <w:rtl w:val="true"/>
        </w:rPr>
        <w:t>التعدّديّة الدّينيّة والقرآن</w:t>
      </w:r>
      <w:r>
        <w:rPr>
          <w:rtl w:val="true"/>
        </w:rPr>
        <w:t>»</w:t>
      </w:r>
      <w:bookmarkEnd w:id="564"/>
    </w:p>
    <w:p>
      <w:pPr>
        <w:pStyle w:val="Heading5"/>
        <w:numPr>
          <w:ilvl w:val="4"/>
          <w:numId w:val="1"/>
        </w:numPr>
        <w:rPr/>
      </w:pPr>
      <w:bookmarkStart w:id="565" w:name="__RefHeading___Toc935845_2870459653"/>
      <w:bookmarkStart w:id="566" w:name="_Toc214"/>
      <w:bookmarkEnd w:id="565"/>
      <w:r>
        <w:rPr>
          <w:rtl w:val="true"/>
        </w:rPr>
        <w:t>تمهيد</w:t>
      </w:r>
      <w:bookmarkEnd w:id="566"/>
    </w:p>
    <w:p>
      <w:pPr>
        <w:pStyle w:val="Heading6"/>
        <w:numPr>
          <w:ilvl w:val="5"/>
          <w:numId w:val="1"/>
        </w:numPr>
        <w:rPr/>
      </w:pPr>
      <w:bookmarkStart w:id="567" w:name="__RefHeading___Toc935847_2870459653"/>
      <w:bookmarkStart w:id="568" w:name="_Toc215"/>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هذا الفصل مخصّصٌ للنّقد، والنّقد عمليّةً تتطلّب رؤيةً واضحةً في التّعاطي مع النّصّ بين أيدينا، خاصّة إذا كان نصًّا موسوعيًّا انبنى على خلفيّةٍ غربيّةٍ في دراسة المضمون القرآني والصّعوبة التي تواجهنا في هذه القراءة النّقديّة،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تبعثر المقالة وتشتّتها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التّناسق الأوّلي الذي يبدو للوهلة الأوّلى، فقد يتوهّم القارئ في قراءةٍ أولى أنّه أمام نصٍّ محكمٍ تشدّ مفاصله وحدةٌ منطقيّةٌ، ورؤية واضحةٌ، ومسارٌ تسلسليٌ يقود إلى النّظريّة القرآنيّة حول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يغريه أكثر هذا الانطباع، مع الالتفات إلى الثّراء البيبليوغرافي، وتنوّع المصادر، فقد عجّت لائحة المراجع بعشرات المنابع الأوّليّة والثّانويّة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فالمقالة كما رأينا في الفصل الثاني تبدأ من دراسة المفردات المرتبطة بالدّين في القرآن، ثمّ استعراض للمجتمعات الدّينيّة التي تحدّث عنها، فتحليلٌ للعلاقات بين هذه المجتمعات وتفاعلها الدّينيّ، فاستكشافُ النّظريّة القرآنيّة حول التّعدّديّة وكيفيّة توجيه سلوك المسلم نحو الموقف من الأديان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القراءة الفاحصة للمقالة، تجعل القارئ يتفاجأ بالكمّ الهائل من المشكلات الشكليّة والمضمونيّة والمنهجيّة، ويصطدم بحجم التّشتّت والتّلاشي، الذي يستبدّ به وهو يُعيد قراءة المقالة مرّة بعد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التّردّدات العديدة، والأفكار التي تتكرّر في أكثر من مقطع من المقالة والإحالات الكثيرة على مصادر غربيّةٍ، بالخصوص، والتي تشوّش ذهن القارئ أكثر مما تساعده على فهم المطالب ومما زاد الأمر تعقيدًا هو الاستطرادات الكثيرة، والانتقالات الفجائيّة من مسألةٍ إلى أخرى بمناسبةٍ وبدونها، والتي تعقد بدورها عمليّة الفهم والمتابعة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الكمّ الهائل من المشاكل التي يتحسّسها القارئ بعد القراءة التّحليليّة للمقالة تبعث إلى الحيرة والتّساؤل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نستطيع فعلا أن ننقد المقالة نقدًا علميًّا موضوعيًّا ؟؟ </w:t>
      </w:r>
    </w:p>
    <w:p>
      <w:pPr>
        <w:pStyle w:val="BookText"/>
        <w:rPr/>
      </w:pPr>
      <w:r>
        <w:rPr>
          <w:rFonts w:ascii="Amiri" w:hAnsi="Amiri" w:eastAsia="Amiri" w:cs="Amiri"/>
          <w:color w:val="111111"/>
          <w:sz w:val="28"/>
          <w:sz w:val="28"/>
          <w:szCs w:val="28"/>
          <w:rtl w:val="true"/>
          <w:lang w:bidi="ar-SA"/>
        </w:rPr>
        <w:t>قد يبدو السّؤال مستغربًا، في سياق الرّؤية التّقليديّة لدراسة الإرث الاستشراقي والدّراسات القرآنيّة الغربيّة؛ لأنّ هذا الإرباك الشَّكليّ على الأقل في هذه الأعمال، يمثّل فرصةً للانقضاض النّقديّ، وإبطال هذه الطروحات، والتّشهير بها وبمجانبتها للمعايير العلميّة التي تدّعيها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حرصنا على الضّوابط العلميّة في النّقاش والمصداقيّة الأكاديميّة، والأخلاق البحثيّة التي قد يكون الآخر لم يلتزم بها هي التي تدعونا إلى التّساؤل وهو أدبٌ قرآنيٌّ رفيعٌ قامت عليه ثقافتنا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اعْدِلُوا هُوَ أَقْرَبُ لِلتَّقْوَى وَاتَّقُوا اللهَ إِنَّ 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الدّعاية الكبيرة لهذه الموسوعة، والصّدى الكبير الذي لاقته واعتبارها أهمّ عملٍ أكاديميٍّ غربيٍّ أُنجز حول القرآن الكريم في مرحلتنا المعاصرة، يدعونا لمقاربة النّقد بحذرٍ ودقّةٍ خاصّة وأنّ إحدى كاتبتي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رئيسة تحرير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اشتهرت به من تخصّصٍ في الدّراسات القرآنيّة وسمعة أكاديميّة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نريد أن نعطي في هذا التّمهيد انطباعًا سلبيًا للقارئ، فالمقالة لاتخلو من نقاط قوّة تفرض علينا الموضوعيّة إبرازها وتسليط الضّوء عليها في سياق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أردنا أن نضع القارئ أمام بعض الصّعوبات الشّعوريّة والعلميّة التي واجهتنا ونحن على أعتاب هذه القراءة النّقديّة، لعلّ ذلك يكون عذرًا لنا فيما أخطأنا، أو قصرنا، أو أغفلنا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وتنظيمًا لهذه القراءة النّقديّة، ومحاولة منّا لعرض هذا التقييم بمنأًى عن التّشابك، والتّداخل الذي اتّسمت به المقالة نفسها، وحتى لانقع في المحذور نفسه، اعتمدنا مسارًا نقديًا يأخذ بعين الاعتبار جميع أبعاد النّقد العلميّ والأكاديميّ الشّكل والمضمون والمنهج من جهة، ويُراعي التّسلسل الذي قامت عليه المقالة في خطواتها الأربع، وبنيتها وتوازن أجزائها فكان المبحث الأوّل لنقد وتقويم بحث المفردات، والمبحث الثاني لنقد وتقويم أطروحات الباحثتين حول المجتمعات </w:t>
      </w:r>
      <w:bookmarkStart w:id="569" w:name="pg8898_139785"/>
    </w:p>
    <w:p>
      <w:pPr>
        <w:pStyle w:val="BookText"/>
        <w:rPr/>
      </w:pPr>
      <w:bookmarkEnd w:id="569"/>
      <w:r>
        <w:rPr>
          <w:rFonts w:ascii="Amiri" w:hAnsi="Amiri" w:eastAsia="Amiri" w:cs="Amiri"/>
          <w:color w:val="111111"/>
          <w:sz w:val="28"/>
          <w:sz w:val="28"/>
          <w:szCs w:val="28"/>
          <w:rtl w:val="true"/>
          <w:lang w:bidi="ar-SA"/>
        </w:rPr>
        <w:t>الدّينيّة ،وتفاعلاتها، وخصّص المبحث الثالث لتقويم الإجابة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نستنتج من القرآن موقفًا من التَّعدّديّة الدّينيّة؟ وأمّا المبحث الرّابع فيتصدّى لاستكشاف الفرضيّات المتوارية التي قامت عليها المقالة والسّياقات الاستشراقيّة لمنهجها</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935849_2870459653"/>
      <w:bookmarkStart w:id="571" w:name="_Toc216"/>
      <w:bookmarkEnd w:id="570"/>
      <w:r>
        <w:rPr>
          <w:rtl w:val="true"/>
        </w:rPr>
        <w:t xml:space="preserve">المبحث الأول </w:t>
      </w:r>
      <w:r>
        <w:rPr>
          <w:rtl w:val="true"/>
        </w:rPr>
        <w:t xml:space="preserve">: </w:t>
      </w:r>
      <w:r>
        <w:rPr>
          <w:rtl w:val="true"/>
        </w:rPr>
        <w:t>نقد وتقويم بحث المفردات القرآنية</w:t>
      </w:r>
      <w:bookmarkEnd w:id="571"/>
    </w:p>
    <w:p>
      <w:pPr>
        <w:pStyle w:val="BookText"/>
        <w:rPr/>
      </w:pPr>
      <w:r>
        <w:rPr>
          <w:rFonts w:ascii="Amiri" w:hAnsi="Amiri" w:eastAsia="Amiri" w:cs="Amiri"/>
          <w:color w:val="111111"/>
          <w:sz w:val="28"/>
          <w:sz w:val="28"/>
          <w:szCs w:val="28"/>
          <w:rtl w:val="true"/>
          <w:lang w:bidi="ar-SA"/>
        </w:rPr>
        <w:t xml:space="preserve">مرّ بنا في المباحث السابقة أنّ مقالة التّعدّديّة الدّينيّة تتألّف، إضافة إلى المقدّمة ،والخاتمة من أربعة أجزاءٍ أساسيّةٍ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 القرآنيّة المجتمعات الدّينيّة، التّفاعل بين المجتمعات، نظريّة القرآن وتوجيه سلوك المسلم اتّجاه الأديان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نسوق الرّدود والإشكالات التي سجّلناها على الأفكار والنتائج التي أوردتها الباحثتان حول المفردات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البداية، لا بدّ من الإشارة إلى أنّ مقدّمة المقالة تضمنّت نقاطًا عدّة تستوجب التّوقّف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المفارقات أن تبدأ المقالة حول التّعدّديّة بالحديث عن خاتمية الإسلام وأنّ نبوّة محمد تختم الدّيانات في عقيدة المسلمين وترى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واعٍ بالرّسالات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أنصار التّعدديّة 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والباحثتان من الواضح أنّهما تتبنّيان التّعدّديّة الدّينيّة وتدافعان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فكرة الخاتميّة رفضًا للتّعدّديّة وتكريسًا للانحصاريّة الدّينيّة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 الثَّانية التي نسجّل احترازنا ضدّها الرّبط المدّعى بين علم أسباب النّزول ومحاولات المفسّرين تحديد مصاديق الأديان التي أشار إليها القرآن والهويّات الاجتماعيّة للجماعات التي جاء ذكرها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وكلّنا يعلم أنّ علم أسباب النّزول لا يرتبط تأسيسه حصرًا بهذه القضيَّة، وإنّما تطوّر في أجواء التفسير والمفسّرين الذين كانوا يبحثون عن المناسبات التي نزلت فيها الآيات؛ لأنّ تحديد المعنى الدّقيق لها يتوقّف على معرفة النّزول، وقد اهتمّ الفقهاء بهذا الفنّ </w:t>
      </w:r>
    </w:p>
    <w:p>
      <w:pPr>
        <w:pStyle w:val="BookText"/>
        <w:rPr/>
      </w:pPr>
      <w:r>
        <w:rPr>
          <w:rFonts w:ascii="Amiri" w:hAnsi="Amiri" w:eastAsia="Amiri" w:cs="Amiri"/>
          <w:color w:val="111111"/>
          <w:sz w:val="28"/>
          <w:sz w:val="28"/>
          <w:szCs w:val="28"/>
          <w:rtl w:val="true"/>
          <w:lang w:bidi="ar-SA"/>
        </w:rPr>
        <w:t>لارتباط الاجتهاد بأسباب النّزول وتحديد هل المراد من الأحكام الواردة في القرآن عموم اللّفظ أم خصوص السّبب؟</w:t>
      </w:r>
    </w:p>
    <w:p>
      <w:pPr>
        <w:pStyle w:val="BookText"/>
        <w:rPr/>
      </w:pPr>
      <w:r>
        <w:rPr>
          <w:rFonts w:ascii="Amiri" w:hAnsi="Amiri" w:eastAsia="Amiri" w:cs="Amiri"/>
          <w:color w:val="111111"/>
          <w:sz w:val="28"/>
          <w:sz w:val="28"/>
          <w:szCs w:val="28"/>
          <w:rtl w:val="true"/>
          <w:lang w:bidi="ar-SA"/>
        </w:rPr>
        <w:t>ويذهب السّيوطي في تعريفه لأسباب النّزول إلى إخراج الوقائع التّاريخيّة التي تحدّث عنها القرآن، ويحصر الأسباب في العلل المباشرة لنزول الآيات،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يتحرّر في سبب النّزول أنّه ما نزلت الآية أيّام وقوعه، ليخرج ما ذكره الواحدي في سورة الفيل من أنّ سببها قصّة قدوم الحبشة به، فإنّ ذلك ليس من أسباب النّزول في شيءٍ، بل هو من باب الإخبار عن الوقائع الماضية، كذكر قصّة قوم نوح، وعاد وثمود، وبناء البيت ونحو ذلك</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ولذلك ذكر في فوائد أسباب النّزول فوائد تعود أساسًا لعموم المفسرين في فهم الآيات وللفقهاء في استنباط الأحكام، ولا نجد فائدةً تعود لعلماء الأديان في هذا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زاعمٌ أنّ لا طائل من وراء هذا الفنّ، لجريانه مجرى التاريخ وأخطأ في ذلك، بل له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وجه الحكمة الباعثة على تشريع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الحكم عند من يرى العبرة بخصوص السبب</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المعنى وإزالة الإشكال قال الواحدي لا يمكن تفسير الآية دون الوقوف على قصّتها وبيان نزولها</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المقدّمة أيضًا سعت الباحثتان لتقديم مبرّرات البحث عن التّعدّديّة، فطرحتا خمس مبرّراتٍ لم تعرضاها عرضًا حياديًّا، بل ضمن إشاراتٍ خطيرةٍ بعيدةٍ كلّ البُعد عن روحيّة باحثٍ يريد أن يستكشف النّظريّة القرآنيّة، ولا يوجّه الآيات لأفكاره ،المسبقة، فهذه التضمينات لا نجد لها تفسيرًا في مقدّمة المقالة سوى أنّها ،محمولاتٌ يُلقى بها على كاهل القارئ لتوجيه مساره في فهم الآيات واستنطاقها، </w:t>
      </w:r>
    </w:p>
    <w:p>
      <w:pPr>
        <w:pStyle w:val="BookText"/>
        <w:rPr/>
      </w:pPr>
      <w:r>
        <w:rPr>
          <w:rFonts w:ascii="Amiri" w:hAnsi="Amiri" w:eastAsia="Amiri" w:cs="Amiri"/>
          <w:color w:val="111111"/>
          <w:sz w:val="28"/>
          <w:sz w:val="28"/>
          <w:szCs w:val="28"/>
          <w:rtl w:val="true"/>
          <w:lang w:bidi="ar-SA"/>
        </w:rPr>
        <w:t>وهي من جهةٍ ثانيةٍ تفضح الانحياز المسبق لتوجّهاتٍ تفسيريّة محدّدةٍ في التّعاطي مع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المبرّرات الخمس في الفصل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ونكتفي بالتنبيه على التّضمينات الخطيرة التي ستنعكس على تحليلات المقالة ونتائجها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الإسلامي لا يعرف معرفةً واقعيةً بالدّين الوثني العربي، بل القرآن لا يجادل فعلًا ،وثنيين بل هم على درجةٍ ما من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 القرآن الكريم بالتّراث المسيحي واليهودي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 التوحيدي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التّشابه الكبير بين الإسلام وبين الفئات المسيحيّة واليهوديّة التي يتحدّث عنها القرآن في بيئته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يقدّم لنا القرآن معلوماتٍ كافيةً عن المجموعات الدّينيّة، التي كانت تسكن بيئته، ولذا علينا أن نعالج هذا النّقص بالعود إلى بعض الدّراسات في هذا المجال، وهي تحيلنا بالطبع على دراسات المستشرقين كالمستشرق </w:t>
      </w:r>
      <w:r>
        <w:rPr>
          <w:rFonts w:eastAsia="Times New Roman" w:cs="Times New Roman" w:ascii="Times New Roman" w:hAnsi="Times New Roman"/>
          <w:color w:val="111111"/>
          <w:sz w:val="28"/>
          <w:szCs w:val="28"/>
          <w:lang w:val="en-US" w:bidi="en-US"/>
        </w:rPr>
        <w:t>Rubin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ولنا عودة لهذه الأسس التي بنيت عليها الكثير من أفكار المقالة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تنويع المصطلحات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شكليًّا يعدّ العمل الاستقصائي لمفردات القرآن الكريم المرتبطة بالإسلام والأديان، خطوةً مهمّةً في سياق البحث عن الموقف القرآني من التّعدّديّة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إلى أيّ مدى نجحت المقالة في الإحاطة بكلّ المفردات القرآنيّة ؟ وهل صّنفتها تصنيفًا علميًّا دقيقًا؟ وهل وُفّقت في استنطاق دلالات هذه المفردات؟ وهل ساعد فعلا هذا العمل في تقريب الموقف القرآني من الأديان الأخرى والتّعدّديّة الدّينيّة؟</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يوجد أساسٌ واضحٌ في تصنيف المصطلحات القرآنيّة وإنّما وزّعتها الباحثتان إلى أربع مجموعات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المصطلحات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ملّة عبادة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المصطلحات المستحسنة من القرآن إسلام حنيف 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المصطلحات المعّبرة عن التّسامح أو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وأهل الذّمّة من جهة، وحزب وشيع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والباحثتان لا تبدوان متمسّكتين إلى الأخير بهذا التّصنيف، ففي البحث في مصطلح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 الشيع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نراهما تعرضان تصنيفًا، آخر قد يبدو منطقيًا أكثر من التّصنيف الذي اعتمدتا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أشارت إليه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بالإضافة إلى دلائل الالتزام بالدين الإيجابيّة عمومًا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كتاب حنيف مسلم،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والمحايدة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ذمة 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الجماعات الدّينيّة التي يسمّى أتباعها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النصارى المجوس الصابئة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عددٌ قليل من المصطلحات التي تشير إلى انقسماتٍ بين أتباع الدين الواحد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ولذلك سنرى تشابكًا في المطالب وأحيانًا كثيرةً تكرارا، خاصّةً في بيان علاقة هذه المفردات بعضها ببعض، وكذلك تداخلها مع مسائل المقطع الثاني من المقالة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المجتمعات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الأحرى بالكاتبتين أن تدقّقا أكثر في العنونة والتّقسيم حتى لا نقع في هذا المحذور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دلالات المفردات وغياب مصادرها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دقّقنا في مصادر المقالة لا نعثر على مصادرَ أصيلةٍ في مفردات القرآن والاصطلاح ،القرآني، فرغم ثراء المكتبة القرآنيّة على هذا الصّعيد لم تعتمد الباحثتان على المعاجم وكتب المفردات المعهودة في تنقيح دلالات المفردات فقد التفت العلماء من بواكير تاريخ التّدوين والتّصنيف العلميّ لأهميّة البحث في المصطلح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معاجم مفردات ،فرائد غريب فهي ضروريّةٌ لفهم الآيات واستنطاقها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لا يخلو تفسير من تفاسير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مهما كان الاتّجاه التفسيري أو المنهج </w:t>
      </w:r>
    </w:p>
    <w:p>
      <w:pPr>
        <w:pStyle w:val="BookText"/>
        <w:rPr/>
      </w:pPr>
      <w:r>
        <w:rPr>
          <w:rFonts w:ascii="Amiri" w:hAnsi="Amiri" w:eastAsia="Amiri" w:cs="Amiri"/>
          <w:color w:val="111111"/>
          <w:sz w:val="28"/>
          <w:sz w:val="28"/>
          <w:szCs w:val="28"/>
          <w:rtl w:val="true"/>
          <w:lang w:bidi="ar-SA"/>
        </w:rPr>
        <w:t>التفسيري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بحثٍ لغويٍّ أو اصطلاحيّ لألفاظ القرآن الكريم، فهي لازمةٌ من لوازم شرح الآيات واستنطاق معانيها، فالألفاظ هي أوعية المعاني وخزّانها، وفهم دلالاتها مقدّمة لمعاني الآيات، ولذلك كان من شروط المفّسر بالإضافة إلى إتقان اللغة العربيّة، يشترط فيه الإلمام بغريب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شبّه الرّاغب الاصفهاني الحاجة إلى معاني مفردات القرآن كالحاجة إلى اللّبن في البناء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وذكرت أنّ أوّل ما يحتاج أن يشتغل به من علوم القرآن العلوم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العلوم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الألفاظ المفردة، فتحصيل معاني مفرداته ألفاظه في كونه من أوائل المعاون لمن يريد أن يدرك معانيه، كتحصيل اللّبن في كونه من أوائل المعاون في بناء ما يريد أن يبنيه</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وحتى الاتّجاهات التّفسيريّة الحديثة كالتّفسير الموضوعي، يرتبط ارتباطًا عضويًّا بالمصطلح القرآني، ودلالات المفردات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وتستمدّ هذه التّصنيفات جذورها ومشروعيّتها من المأثور النّبوي حول شرح بعض المصطلحات أو تيسير معاني بعض الألفاظ من</w:t>
      </w:r>
    </w:p>
    <w:p>
      <w:pPr>
        <w:pStyle w:val="BookText"/>
        <w:rPr/>
      </w:pP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الطبري من أقوال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من رواياتٍ في المقام، حيث أورد فيما أورده أنّ النّبي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الوسطى صلاة العصر</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جاء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رسول الله صلی الله علیه و آله و سلم أرأيت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أَنْزَلْنَا عَلَى الْمُقْتَسِمِينَ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اليهود والنصارى،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جَعَلُوا الْقُرْآنَ عِضِينَ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عضين ؟ قال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ببعض وكفروا ببعض</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يتساءل البعض كيف احتاج العرب إلى هذا البحث في المفردات القرآنيّة </w:t>
      </w:r>
    </w:p>
    <w:p>
      <w:pPr>
        <w:pStyle w:val="BookText"/>
        <w:rPr/>
      </w:pPr>
      <w:r>
        <w:rPr>
          <w:rFonts w:ascii="Amiri" w:hAnsi="Amiri" w:eastAsia="Amiri" w:cs="Amiri"/>
          <w:color w:val="111111"/>
          <w:sz w:val="28"/>
          <w:sz w:val="28"/>
          <w:szCs w:val="28"/>
          <w:rtl w:val="true"/>
          <w:lang w:bidi="ar-SA"/>
        </w:rPr>
        <w:t>وقد نزل القرآن بلغتهم، وبلسانٍ عربيٍّ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يوسف،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التّساؤل يكمن في التّنبيه 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عرب الجزيرة لم يكونوا متساوين في فهم ألفاظ القرآن الكريم، الذي نزل بلغتهم، لتعدّد لهجاتهم، وتباعد قبائلهم، كما أومأ بذلك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العرب لا تستوي في المعرفة بجميع ما في القرآن الكريم من الغريب والمتشابه، بل لبعضها الفضل في ذلك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لتأتينا بالكلام عن كلام العرب ما لا نعرفه ونحن العرب حقًّا؟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علّمني فتعلّمت</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الاجتماعيّة والتّاريخيّة عمّقت الحاجة، فكلّما ابتعدنا عن عصر النّصّ، واكتنف دلالة النّصّ المزيد من 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انفتاح المسلمين الأوائل مع إخوانهم من الشّعوب الأخرى والثّقافات واللّغات الأخرى، أثّر على السّليقة اللّغويّة، وأبعد النّاس أكثر عن جذور اللّغة الأمّ وبلاغتها، ولذا نرى أنّ التّصنيف لمعاجم القرآن وقواميسه تتصاعد وتيرتها عبر الأجيال، ولم تتوقّف إلى حدّ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أشهر هذه المصنّفات في تسلسلها التّاريخي والتي تعود بداياتها الفعليّة إلى النّصف الأوّل من القرن الثاني للهجرة، مع أولى بوادر حركة التّدوين في تاريخنا الإسلامي، وتذكر المصادر بعض المصنّفات التي لم تصل إلينا كمسائل ابن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غريب القرآن لزيد بن علي بن الحسين بن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يرتّب الألفاظ حسب ورودها فى المصحف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غريب القرآن لأبان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غريب القرآن لعبدالله محمد بن مسلم بن قتيبة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مرتّب أيضًا حسب ترتيب السّور في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القرآن لمحمد بن عبد العزيز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الكتاب بنزهة القلوب، وهو يرتّب الألفاظ ترتيبًا هجائيًّا دون تجريد الكلمات من الزّوائد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المفردات في غريب القرآن للراغب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يرتّب الكلمات هجائيًّا بحسب أصولها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غريب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ومطلع النيرين في تفسير غريب القرآن والحديث الشريفين لفخر الدين محمد بن علي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القرآن للشيخ نديم الجسر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مفردات ألفاظ القرآن الكريم لسميح عاطف الزين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معجم للمفردات اعتمد تفسير مجمع البيان للطبرسي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له، ولذلك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نماذج من مصنّفات مفردات القرآن عبر العصور، وإلّا فإنّ أعدادها بالعشرات إن لم تكن بالمئات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العقود الأخيرة تنوّعت التّصنيفات في الفهارس والكشّافات للألفاظ والآيات القرآنيّة، واتّخذت أشكالًا عديدةً أحصى أهمّها بعض المؤلّفين والمصنّفين</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تعمّقت الحاجة وازدادت إلى وضع فهارس لألفاظ القرآن ومعانيها، وإلى کشّافات موضوعيّةٍ لآيات القرآن الكريم، تسهّل للباحثين الوصول إلى آيات الكتاب بسهولةٍ في مختلف الموضوعات فاتّجهت عناية المسلمين والمستشرقين في الثلث الأوّل من القرن العشرين إلى وضع فهارس لألفاظ القرآن وأطراف ،آياته، وتطوّر </w:t>
      </w:r>
    </w:p>
    <w:p>
      <w:pPr>
        <w:pStyle w:val="BookText"/>
        <w:rPr/>
      </w:pPr>
      <w:r>
        <w:rPr>
          <w:rFonts w:ascii="Amiri" w:hAnsi="Amiri" w:eastAsia="Amiri" w:cs="Amiri"/>
          <w:color w:val="111111"/>
          <w:sz w:val="28"/>
          <w:sz w:val="28"/>
          <w:szCs w:val="28"/>
          <w:rtl w:val="true"/>
          <w:lang w:bidi="ar-SA"/>
        </w:rPr>
        <w:t>التّصنيف في هذا المجال إلى بلوغ تأليف كشّافاتٍ تخصّصيّةٍ في المجالات عينها، كالأعداد والنباتات واصطلاحات الاقتصاد وسنن التاريخ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ساهم المستشرقون في هذه الحركة التألفيّة، وتطوير منهجيّات الفهارس القرآنيّة خاصّة في مجال الكشافات القرآنيّة بنوعيها اللّفظي والموضوعي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كالمستشرق الألماني جوستاف فلوجل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نجوم الفرقان في أطراف القرآن، وهو كشاف لفظي، وقد وقع صاحبه في أخطاء كثيرةٍ نتيجة اعتماده على نسخةٍ من القرآن فيها أخطاء في ترقيم الآيات ورؤوسها، حتى إنّ الأستاذ محمد فؤاد عبد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أراد أن يترجم كتاب نجوم الفرقان وجد فيه اضطرابًا كبيرًا في التّرقيم، فاستعاض عن ذلك بتأليف كتابه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المفهرس لألفاظ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أعمال المستشرقين المهمّة في كشافات القرآن حسب الموضوعات کتاب تفصیل آیات القرآن الحكيم للمستشرق الفرسي جول لابوم </w:t>
      </w:r>
      <w:r>
        <w:rPr>
          <w:rFonts w:eastAsia="IRNazanin" w:cs="IRNazanin"/>
          <w:color w:val="111111"/>
          <w:sz w:val="28"/>
          <w:szCs w:val="28"/>
          <w:rtl w:val="true"/>
          <w:lang w:bidi="fa-IR"/>
        </w:rPr>
        <w:t>(</w:t>
      </w:r>
      <w:r>
        <w:rPr>
          <w:rFonts w:eastAsia="IRNazanin" w:cs="IRNazanin"/>
          <w:color w:val="111111"/>
          <w:sz w:val="28"/>
          <w:szCs w:val="28"/>
          <w:lang w:bidi="fa-IR"/>
        </w:rPr>
        <w:t>1806</w:t>
      </w: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ترجمه للعربية محمد فؤاد عبد الباقي أيضًا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المفردات والاختلاطات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يسجّل المتابع للبحث الدّلالي لمفردات القرآن حول مصطلحات المجموعات الثّلاث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 والمستحسنة، ومصطلحات التّسامح أو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تضمّنتها مقالة التعدّديّة الدّينيّة، يسجّل ملاحظاتٍ عديدةً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الألفاظ العامّة شيوعًا في النّصّ القرآنيّ، ويبدو أنّ الباحثتين وإن اعترفتا بالتّنوّع الدّلاليّ لمفردة الدين في اللغة العربيّة، فقد اتّسمت دراستهما بالانتقاء والتّجزئة وإن كنّا قد نجد لهما عذرًا نتيجة التّنوّع الواسع في المعاجم اللّغويّة، وقد أشار الشّيخ عبد الله دراز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يرجع إلى القاموس المحيط، أو لسان العرب أو غيرهما يضلّ في بيداء، ويخيّل إليه أنّ هذه الكلمة الواحدة يصحّ استعمالها فيما شئت من المعاني ،المتباعدة بل المتناقضة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هو الملك وهو الخدمة، وهو العز، وهو الذل، وهو الإكراه، وهو الإحسان، وهو العادة، وهو العبادة، وهو القهر والسلطان، وهو التّذلّل والخضوع وهو</w:t>
      </w:r>
    </w:p>
    <w:p>
      <w:pPr>
        <w:pStyle w:val="BookText"/>
        <w:rPr/>
      </w:pPr>
      <w:r>
        <w:rPr>
          <w:rFonts w:ascii="Amiri" w:hAnsi="Amiri" w:eastAsia="Amiri" w:cs="Amiri"/>
          <w:color w:val="111111"/>
          <w:sz w:val="28"/>
          <w:sz w:val="28"/>
          <w:szCs w:val="28"/>
          <w:rtl w:val="true"/>
          <w:lang w:bidi="ar-SA"/>
        </w:rPr>
        <w:t>وهو المعصية، وهو الإسلام والتّوحيد، وهو اسم لكلّ ما يعتقد به، أو كل ما يتعبّد الله به</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ولحلّ المشكلة أرجع الدّلالات اللغويّة إلى ثلاثة اشتقاقاتٍ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 ودان ،له ودان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قلنا 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كان معناه ملكه وحكمه ،وساسه ومن هذا القبيل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الفاتحة ،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 من دان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حكمها وضبطها، ومنه اشتقّ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والقاضي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أطاعه، فالدين هنا هو الخضوع والطاعة والعبادة والورع</w:t>
      </w:r>
    </w:p>
    <w:p>
      <w:pPr>
        <w:pStyle w:val="BookText"/>
        <w:rPr/>
      </w:pPr>
      <w:r>
        <w:rPr>
          <w:rFonts w:ascii="Amiri" w:hAnsi="Amiri" w:eastAsia="Amiri" w:cs="Amiri"/>
          <w:color w:val="111111"/>
          <w:sz w:val="28"/>
          <w:sz w:val="28"/>
          <w:szCs w:val="28"/>
          <w:rtl w:val="true"/>
          <w:lang w:bidi="ar-SA"/>
        </w:rPr>
        <w:t>وكلمة الدين لله يصحّ أن منها كلا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أو الخضوع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دان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اتخذه دينًا ومذهبًا أي اعتقده أو اعتاده أو تخلّق به فالدين على هذا هو المذهب أو الطريقة التي يلتزم بها المرء نظريًّا أو ،عمليًّا، ومن هنا يطلق على العقيدة، وكذلك على السّلوك نقول هذا دينيّ وديدنيّ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وبالتّدقيق في هذا الأصول الاشتقاقيّة الثلاثة للفظ، يلاحظ التّلازم بينها، فالمعنى الثاني ملازمٌ للأوّل ومطاوع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 فدان له أي قهره على الطّاعة فخضع وأطاع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المعنى الثالث وملازمته للمعنيين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العقيدة أو العادة التي یُدان بها لها من السّلطان على صاحبها ما يجعله ينقاد لها ويلتزم اتّباعها</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التي نستخلصها من هذه المحاولة الاستقصائيّة للمدلولات اللّغويّة للفظ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كلمة الدين عند العرب تشير إلى علاقة بين طرفين يعظّم أحدهما الآخر ،ويخضعله فإذا وصف به الطرف الأوّل كان خضوعًا وانقيادًا، وإذا وصف به الطرف الثاني كانت أمرًا وسلطانًا، وإذا نظر بها إلى الرّباط الجامع بين الطّرفين، </w:t>
      </w:r>
    </w:p>
    <w:p>
      <w:pPr>
        <w:pStyle w:val="BookText"/>
        <w:rPr/>
      </w:pPr>
      <w:r>
        <w:rPr>
          <w:rFonts w:ascii="Amiri" w:hAnsi="Amiri" w:eastAsia="Amiri" w:cs="Amiri"/>
          <w:color w:val="111111"/>
          <w:sz w:val="28"/>
          <w:sz w:val="28"/>
          <w:szCs w:val="28"/>
          <w:rtl w:val="true"/>
          <w:lang w:bidi="ar-SA"/>
        </w:rPr>
        <w:t>كانت هي الدستور المنظم لتلك العلاقة أو المظهر الذي يعبر عنها</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وغياب هذا الفهم العميق لمدلولات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واشتقاقاته في اللّغة العربيّة اوقع المقالة في اشتباهات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إرجاع بعض معاني لفظ الدّين الممحّضة في أصول اشتقاقها العربي، كما أشرنا إلى جذورٍ 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جذورٍ أكاديّةٍ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جذورٍ سريانيةٍ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المعنين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أثبتنا 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استعمالاتها عربيّة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ظنّه بعض المستشرقين من أنّها دخيلةً معرّبةً عن العبريّة أو الفارسيّة في كلّ استعمالاتها، أو أكثرها بعيدٌ كل البُعد، ولعلّها نزعةٌ شعوبيّةٌ تريد تجريد العرب من كلّ فضيلةٍ حتى فضيلة البيان التي هي أعزّ مفاخرهم</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عودة لمناقشة أصل هذا المبنى في إرجاع الألفاظ العربيّة إلى جذورٍ في اللّغات الشّرقيّة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تعليل الرّبط بين لفظ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معنى الدين على العبادة وأنّ العبادة هي إرجاع حقّ الله، كما أن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إرجاع المدين حقّ الدّائن</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ينمّ عن جهلٍ بأصول الاشتقاق في اللّغة العربيّة، فكما بيّن الشيخ دراز أنّ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إلزامٌ والتزامٌ معنويٌّ،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والتزامٌ ماديٌّ، والعربيّة من سننها في التّصاريف أنّها حين تريد التّفريق بين الحسّيات والمعنويات من جنسٍ واحدٍ قد تكتفي بتغييرٍ بسيطٍ في شكل الكلمة مع بقاء مادتها كما هي،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والرؤية والرؤيا؛ والكبر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الكاء 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الكاف وسكون الباء</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الرّبط بين الدّين والمروءة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منساقتان مع هذا الهاجس الاستشراقي الموروث في البحث عن مرجعيّة أخرى لكلّ المعاني الإيجابيّة في الإسلام، تربط الباحثتان الدّين بالمروءة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الرّبط هنا بين لفظ الدين عمومًا والمروءة لا بين الدّين الإسلامي خاصّة ،والمروءة ولكنّنا نخال ذلك تمهيدًا لتهيئة ذهن القارئ لتقّبل الرّبط الثّاني المقصود بالأساس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غافلتين عن الخصوصيّة الإيمانيّة والأخلاقيّة للدين الجديد الذي لم ينسف القيم العربيّة الإيجابيّة، كالصّبر والكرم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أعاد بناءها ضمن رؤيته الكونيّة التوحيديّة، وفي سياق رسالةٍ عالميّةٍ إيمانيّةٍ تخطّت النّزعة القبليّة الضّيّقة والاستغراق الحسّي في متطلّبات الجسد والشّهوة، ولم ينكر الإسلام هذا الاستيعاب الإيجابي للمروءة العربيّة، ولكنّه أكّد بالمقابل أنّه جاء ليتمّمها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قاد الإسلام ثورةً ضدّ القيم والعادات الجاهليّة المنكرة، وقد التفت المستشرق الياباني توشيهيكو إيزوتسو لهذه الخصوصيّة القرآنيّة للمفاهيم الأخلاقيّة، وأدرك طبيعة العلاقة بين هذه المنظومة القرآنيّة وبين المروءة العربيّة في زمن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يتمثّل الملمّح الأكثر بروزاً لتطوّر الفكر الأخلاقي في جزيرة العرب القديمة في أنّ الإسلام أعلن أخلاقيّةً جديدةً مبنيّةً تمامًا على الإرادة المطلقة لله، بينما تمثّل المبدأ الرّئيس للحياة الأخلاقيّة الجاهليّة في التّقليد القبلي أو عادة أجدادنا</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اشتبهات في سائر المصطلحات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لا يختلف كثيرًا مع بقيّة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تبحث له الكاتبتان عن مرجعيّةٍ سريانيّةٍ ليغدو دالًا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لوغوس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بالعود إلى المعاجم المختصّة لا نجد معنًى للوغس يستقيم مع ظاهر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فلوغوس كلمةٌ يونانيّةٌ واسعة المعنى تُشير أساسًا في سياق النّقاش الفلسفيّ إلى المبدأ أو البنية أو النّظام العقلاني، المفهوم الذي يُهيمن على شيءٍ ما، أو مصدر ذلك النّظام الكلمة القريبة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فإنّ الكلمة التي كانت في البدء كما ترد في مستهلّ إنجيل</w:t>
      </w:r>
    </w:p>
    <w:p>
      <w:pPr>
        <w:pStyle w:val="BookText"/>
        <w:rPr/>
      </w:pPr>
      <w:r>
        <w:rPr>
          <w:rFonts w:ascii="Amiri" w:hAnsi="Amiri" w:eastAsia="Amiri" w:cs="Amiri"/>
          <w:color w:val="111111"/>
          <w:sz w:val="28"/>
          <w:sz w:val="28"/>
          <w:szCs w:val="28"/>
          <w:rtl w:val="true"/>
          <w:lang w:bidi="ar-SA"/>
        </w:rPr>
        <w:t>القدّيس يوحنا تعدّ أيضًا لوجس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الجذر في الكثير من المركّبات الإنجليزية، مثل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Episomologies Biologie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وبالمقابل لفظ ملّة نجد معناها واضحًا في المعاجم اللّغويّة ومعاجم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علماء اللّغة الجذر اللّغوي للفظ ملّة، فرأوا أنّ الأصل الاشتقاقي 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العرب هذا طريق مملّ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مسلوك ومعلوم</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أمللت الكتاب، يقول الراغب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 الملّة أمللت الكتاب،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وَلْيُمْلِلِ الَّذِي عَلَيْهِ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الَّذِي عَلَيْهِ الحَقُّ سَفِيهَا أَوْ ضَعِيفًا أَوْ لَا يَسْتَطِيعُ أَنْ يُمِلُّ هُوَ فَلْيُمْلِلْ وَلِيُّهُ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الملَّة في الْعَرَبيَّة الملّ وَهُوَ أَن يعدو الذُّئْب على شَيْء ضربا من الْعَدو فسميت الملة مِلَّة لاستمرار أهلهَا عَلَيْهَا</w:t>
      </w:r>
      <w:r>
        <w:rPr>
          <w:rStyle w:val="FootnoteAnchor"/>
          <w:rtl w:val="true"/>
        </w:rPr>
        <w:footnoteReference w:id="7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القرآن الكريم استخدام للجذر اللّغوي للفظ ملّة،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 لَهُمْ خَيْرٌ لأَنفُسِهِمْ إِنَّمَا نُمْلِي لَهُمْ لِيَزْدَادُوا إِثْماً وَلَهُمْ عَذَابٌ 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أَسَاطِيرُ الْأَوَّلِينَ اكْتَتَبَهَا فَهِيَ تُمْلَ عَلَيْهِ بُكْرَةً وَأَصِيلًا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الفرقان،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وَاهْجُرْنِي 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دهرا وزمانًا طويلًا</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معاني الاستعمال القرآني لنفس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ذكرت المقالة أنّ اللّفظ ورد في القرآن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منها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للحديث عن دين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أصابت في إحصاء عدد مرّات ورود اللّفظ في القرآن، فقد وقعت في اشتباهٍ في تعداد موارد الحديث عن ملّة إبراهيم فقد ورد ذلك في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الانعام، الآية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الموارد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ملّة قوم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في موردين لا في أربعة مواضع كما جاء في نصّ المقالة</w:t>
      </w:r>
      <w:r>
        <w:rPr>
          <w:rStyle w:val="FootnoteAnchor"/>
          <w:rtl w:val="true"/>
        </w:rPr>
        <w:footnoteReference w:id="703"/>
      </w:r>
      <w:r>
        <w:rPr>
          <w:rFonts w:ascii="Amiri" w:hAnsi="Amiri" w:eastAsia="Amiri" w:cs="Amiri"/>
          <w:color w:val="111111"/>
          <w:sz w:val="28"/>
          <w:sz w:val="28"/>
          <w:szCs w:val="28"/>
          <w:rtl w:val="true"/>
          <w:lang w:bidi="ar-SA"/>
        </w:rPr>
        <w:t xml:space="preserve">،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ملّة المشركين زمن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يوسف،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ملّة آباء يوسف من الأنبياء إبراهيم وإسحاق 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ملّة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واحد في سورة البقرة، الآية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ملّة قوم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 آية واحدة في سورة الكهف،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ملل قوم الأنبياء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وعاد وثمود في مورد واحد في سورة إبراهيم،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ملّة كفار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واحدة في سورة ص، الآية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الفرق بين معنى الملّة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فالمقالة ادّعت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الملّة استخدم كمصطلحٍ تقنيٍّ للدلالة على الدّين</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xml:space="preserve">، ولعلها تقصد الجانب الطقوسي والعملي في الدين، بينما يقود التدقيق في الدّلالات اللّغويّة والاستعمالات القرآنيّة إلى فوارق </w:t>
      </w:r>
    </w:p>
    <w:p>
      <w:pPr>
        <w:pStyle w:val="BookText"/>
        <w:rPr/>
      </w:pPr>
      <w:r>
        <w:rPr>
          <w:rFonts w:ascii="Amiri" w:hAnsi="Amiri" w:eastAsia="Amiri" w:cs="Amiri"/>
          <w:color w:val="111111"/>
          <w:sz w:val="28"/>
          <w:sz w:val="28"/>
          <w:szCs w:val="28"/>
          <w:rtl w:val="true"/>
          <w:lang w:bidi="ar-SA"/>
        </w:rPr>
        <w:t>أخرى أشار إليها بعض الأعلام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الجرجاني في التّعريفات من أنّهما متّحدان ذاتًا ومختلفان ،بالاعتبار فإنّ الشّريعة من حيث إنّها تطاع تسمّى دينًا، ومن حيث إنّها تجمع تسمى ملّة، ومن حيث إنّها يرجع إليها يسمّى مذهب</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وهو من أفضل وجوه التّفريق ومن مؤيّدات هذا الرّأي الصّلة الاشتقاقيّة بين الملّة والملأ هو جماعة من النّاس يجتمعون على رأي فيملأون العيون رواء</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وفي بعض الآيات مما ذكرنا سابقًا جاء ذكر الملّة في سياقٍ مشتركٍ مع لفظ الملأ، كالآية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الَّذِينَ اسْتَكْبَرُوا مِنْ قَوْمِهِ لَنُخْرِجَنَّكَ يَا شُعَيْبُ وَالَّذِينَ آمَنُوا مَعَكَ مِنْ قَرْيَتِنَا أَوْ لَتَعُودُنَّ فِي مِلَّتِنَا قَالَ أَوَلَوْ كُنَّا كَارِهِينَ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ذكره استطرادًا،مع أنّه من المفاهيم المركزيّة في الثّقافة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إنّنا لا نجد له مدخلًا في الموسوعة ؟؟؟ وهذا الإغفال المستغرب لمصطلح الأمّة شمل مفرداتٍ ومصطلحاتٍ قرآنيّةً مركزيّةً كالتوحيد والله الإمام الشهادة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المفاهيم القرآنيّة الجوهريّة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المقالة ستنتهي في ختام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المصطلحات في القرآن حول مع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مركزيّة مفهوم الأمّة في الموقف القرآني من التّعدّديّة الدّينيّة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ورغم أن القرآن يقرّ بواقع تعدّد الأديان فهو يؤكد أن هذا ما أراده الله ولو شاء الله لجعلهم أمة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الشورى، الآيات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الباحثتان في معرض حديثهما عن العبادة، كإحدى العبارات المرتبطة ارتباطًا وثيقًا بالحقل الدّلالي للفظ الدّين، أنّ كلمة العبادة في الفكر الإسلامي المتأخّر فسّرت بعبادة الإله الواحد والأركان الخمسة للإيمان الإسلامي</w:t>
      </w:r>
      <w:r>
        <w:rPr>
          <w:rFonts w:eastAsia="Amiri" w:cs="Amiri" w:ascii="Amiri" w:hAnsi="Amiri"/>
          <w:color w:val="111111"/>
          <w:sz w:val="28"/>
          <w:szCs w:val="28"/>
          <w:rtl w:val="true"/>
          <w:lang w:bidi="ar-SA"/>
        </w:rPr>
        <w:t>»</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واستشكلت على ذلك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 الفرائض الأخرى كالزواج والختان موجودة </w:t>
      </w:r>
    </w:p>
    <w:p>
      <w:pPr>
        <w:pStyle w:val="BookText"/>
        <w:rPr/>
      </w:pPr>
      <w:r>
        <w:rPr>
          <w:rFonts w:ascii="Amiri" w:hAnsi="Amiri" w:eastAsia="Amiri" w:cs="Amiri"/>
          <w:color w:val="111111"/>
          <w:sz w:val="28"/>
          <w:sz w:val="28"/>
          <w:szCs w:val="28"/>
          <w:rtl w:val="true"/>
          <w:lang w:bidi="ar-SA"/>
        </w:rPr>
        <w:t>في كتب الشّريعة</w:t>
      </w:r>
      <w:r>
        <w:rPr>
          <w:rFonts w:eastAsia="Amiri" w:cs="Amiri" w:ascii="Amiri" w:hAnsi="Amiri"/>
          <w:color w:val="111111"/>
          <w:sz w:val="28"/>
          <w:szCs w:val="28"/>
          <w:rtl w:val="true"/>
          <w:lang w:bidi="ar-SA"/>
        </w:rPr>
        <w:t>»</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الإشارة شهادة على الجهل الفاضح في التّفريق بين العبادات والعقود والإيقاعات والأحكام، كما يقسّم الفقهاء الشّرائع الإسلامية</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وخلط بين الأعمال العباديّة الحقّة والأعمال التي فيها شائبة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الادّعاءات الغريبة للمقالة أنّ معنى الإسلام غير واضحٍ، وأنّ الحدود بين الإسلام والإيمان غير بيّنةٍ ولذا تلجأ للمصادر الاستشراقيّة وإلى كتاب الخلفيّة الرّوحيّة لبرافمن لعلّها تجد ضالّتها فتصل إلى تفسير الإسلام بتحدّي الموت في وجه الصّراع مع الأعداء، بينما يدلّ الإيمان على الأمن والاحتماء من القدر والمصير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بهذه المحاولة الفجّة يحوّل </w:t>
      </w:r>
      <w:r>
        <w:rPr>
          <w:rFonts w:eastAsia="Times New Roman" w:cs="Times New Roman" w:ascii="Times New Roman" w:hAnsi="Times New Roman"/>
          <w:color w:val="111111"/>
          <w:sz w:val="28"/>
          <w:szCs w:val="28"/>
          <w:lang w:val="en-US" w:bidi="en-US"/>
        </w:rPr>
        <w:t>Bravmann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لفظ الإسلام من كلمةٍ مفعمةٍ بمعاني السّلام والتّسليم لله إلى التّحدّي والصّراع، ويلبس الإيمان معاني الخوف والاحتماء من المجهول، مع أنّ الإيمان طريقٌ الطمأنينة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وَتَطْمَيِنُ قُلُوبُهُمْ بِذِكْرِ اللَّهِ أَلَا بِذِكْرِ اللَّهِ تَطْمَينُ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الرعد،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الأسباب التي أدّت إلى هذا الخلط العجيب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الاستناد إلى المصادر الاستشراقيّة في تحقيق مفاهيم قرآنيةٍ أصيلةٍ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امتلاك ثقافة قرآنيّةٍ تفسيريّة عميقة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اعتماد المنهج الموضوعي لاستكشاف الدّلالات القرآنيّة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والخلط بين الإسلام والإيمان والإيهام بأنّ المؤمن يمكن أن يقصد به كلّ من آمن بالله، بما فيهم أهل الكتاب ولو عدنا لكتب المفسّرين، خاصّة تلك التي اعتمدت منهجيّة تفسير القرآن بالقرآن وسعت للجمع بين مدلولات الآيات والخروج في جلّ الموضوعات والمصطلحات بنظريّةٍ متكاملةٍ موحّدةٍ لمَا وقعت الباحثتان في هذه </w:t>
      </w:r>
    </w:p>
    <w:p>
      <w:pPr>
        <w:pStyle w:val="BookText"/>
        <w:rPr/>
      </w:pPr>
      <w:r>
        <w:rPr>
          <w:rFonts w:ascii="Amiri" w:hAnsi="Amiri" w:eastAsia="Amiri" w:cs="Amiri"/>
          <w:color w:val="111111"/>
          <w:sz w:val="28"/>
          <w:sz w:val="28"/>
          <w:szCs w:val="28"/>
          <w:rtl w:val="true"/>
          <w:lang w:bidi="ar-SA"/>
        </w:rPr>
        <w:t>الحيرة والاضطراب ولاهتدتا إلى بيانٍ واضحٍ لحقيقة الإسلام والفرق بينه وبين الإيمان وقد يكون سبب هذا الإرباك الخلط بين المنهجية التفسيرية والمنهجية الكلاميّة، فلا يخفى الجدال الواسع الذي حصل في تاريخ الكلام حول حقيقة الإيمان، وهل أن العمل جزء منه ؟ وما حكم مرتكب الكبيرة وهل تخرجه المعصية من حدّ الإيمان؟ فكان الانقسام الحادّ بين المرجئة الذين لا يرون للعمل مدخليًّا في الإيمان والخوارج الذين كفّروا مرتكب الكبيرة، وقول المعتزلة بالمنزلة بين المنزلتين، وذهب الإماميّة والأشاعرة إلى فسق مرتكب الكبيرة لا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الطبطبائي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فإسلام الإنسان له تعالى هو وصف الانقياد والقبول منه لما يرد عليه من الله سبحانه وتعالى من حكمٍ تكوينيٍّ من قدر وقضاء أو تشريعيٍّ من أمرٍ ونهيٍّ أو غير ذلك، ومن هنا كانت له مراتب بحسب ترتّب الواردات بمراتبها</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ويشرح إجمالا هذه المراتب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من الإيمان والإسلام وكذا الشرك والكفر مراتب مختلفة بعضها فوق بعض، فالمرتبة الأولى من الإسلام إجراء الشّهادتين لسانًا، والتّسليم ،ظاهرًا، وتليه المرتبة الأولى من الإيمان، وهو الإذعان بمؤدّى الشّهادتين قلبًا، وإجمالًا وإن لم يسرِ إلى جميع ما يعتقد في الدين من الاعتقاد الحق ولذا كان من الجائز أن يجتمع مع الشّرك من بعض الجهات،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يوسف 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سلام العبد يصفو وينمو حتى يستوعب تسليمه لله سبحانه في كلّ ما يرجع إليه وإليه مصير كلّ أمرٍ، وكلّما ارتفع الإسلام درجةً ورقى مرتبةً كان الإيمان المناسب له الإذعان بلوازم تلك المرتبة حتى سلم العبد لربّه حقيقة معنى الألوهيّة، وينقطع عنه السّخط والاعتراض، فلا يسخط لشيءٍ من أمر، وقضاء، وقدر وحكم ولا يعترض على شيءٍ من إرادته، وبإزاء ذلك الإيمان باليقين بالله وجميع ما يرجع إليه من أمر ، وهو الإيمان الكامل الذي تتمّ به للعبد عبوديّته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فصل صاحب الميزان هذه المراتب الأربع للإسلام وإزاء كلّ مرتبة منها </w:t>
      </w:r>
    </w:p>
    <w:p>
      <w:pPr>
        <w:pStyle w:val="BookText"/>
        <w:rPr/>
      </w:pPr>
      <w:r>
        <w:rPr>
          <w:rFonts w:ascii="Amiri" w:hAnsi="Amiri" w:eastAsia="Amiri" w:cs="Amiri"/>
          <w:color w:val="111111"/>
          <w:sz w:val="28"/>
          <w:sz w:val="28"/>
          <w:szCs w:val="28"/>
          <w:rtl w:val="true"/>
          <w:lang w:bidi="ar-SA"/>
        </w:rPr>
        <w:t xml:space="preserve">هناك مرتبة للإيمان في تفسير الآية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واستعرض هذه المراتب مفصّلًا بما يرفع هذا الالتباس الحاصل من النّظرة التّجزيئيّة للآيات والتي يتداخل فيها معنى الإسلام والإيمان، وهذا ما حصل للباحثتين على ما يبدو</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الحنيف والسّريانيّة في دراستها 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تحيلنا المقالة إلى المرجعيّة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وتعبّر عن قلقٍ وتردّدٍ بين ترجيح المستشرق روبين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Robin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للجذر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محاولة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Hawting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إبراز التّعارض بين المعنى القرآني والجذر السّرياني</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وتجد ضالّتها في مناقشة كرون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Crone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وكووك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Cook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لمصطلح الهاجريّة؛ لإيجاد تفسير موضوعي بين الأصل السّرياني المزعوم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التّوحيد الإبراهيمي</w:t>
      </w:r>
      <w:r>
        <w:rPr>
          <w:rStyle w:val="FootnoteAnchor"/>
          <w:rtl w:val="true"/>
        </w:rPr>
        <w:footnoteReference w:id="715"/>
      </w:r>
      <w:r>
        <w:rPr>
          <w:rFonts w:ascii="Amiri" w:hAnsi="Amiri" w:eastAsia="Amiri" w:cs="Amiri"/>
          <w:color w:val="111111"/>
          <w:sz w:val="28"/>
          <w:sz w:val="28"/>
          <w:szCs w:val="28"/>
          <w:rtl w:val="true"/>
          <w:lang w:bidi="ar-SA"/>
        </w:rPr>
        <w:t>، فتدّعي أنّ الهاجرين هم يهودٌ عربٌ، الذين هاجروا من الجزيرة العربية، وقد استعاروا لفظ الحنيف من الأصل السّرياني واستعملوه للدّلالة على التمّسك بالدين الإبراهيمي كوسيلةٍ لإبراز فضيلةٍ دينيّةٍ تعبّر عن تخلّصهم من لوثة الوثنيّة التي سادت تاريخهم</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ونؤجّل المناقشة الكبرويّة في أصل المبنى الذي سلكته المقالة في الإحالة على اللّغة السّريانيّة إلى المبحث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ونكتفي هنا بالمناقشة الصّغرويّة بإثارة سؤالين فقط رومًا للاختصار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دقّقت الباحثتان مليًّا في الآيات الاثنتي عشرة التي أصابت في إحصائها، والتي تتضمّن لفظ حنيف وحنفاء، والتفتت إلى 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أنا من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تكرّرت هذه اللّازمة في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من بين الموارد الثمانية التي جاءت في سياق الحديث عن النبي إبراهيم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كُونُوا هُودًا أَوْ نَصَارَى تَهْتَدُوا قُلْ بَلْ مِلَّةَ إِبْرَاهِيمَ حَنِيفًا وَمَا كَانَ مِنَ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إِبْرَاهِيمُ يَهُودِيًّا وَلَا نَصْرَانِيًّا وَلَكِنْ كَانَ حَنِيفًا مُسْلِمًا وَمَا كَانَ مِنَ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صَدَقَ اللهُ فَاتَّبِعُوا مِلَّةَ إِبْرَاهِيمَ حَنِيفًا وَمَا كَانَ مِنَ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إِنِّي بَرِيءٌ مِمَّا تُشْرِكُونَ إِنِّي وَجَّهْتُ وَجْهِيَ لِلَّذِى فَطَرَ السَّمَاوَاتِ وَالْأَرْضَ حَنِيفًا وَمَا أَنَا مِنَ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إِنَّنِي هَدَانِي رَبِّي إِلَى صِرَاطٍ مُسْتَقِيمٍ دِينًا قِيَمًا مِلَّةَ إِبْرَاهِيمَ حَنِيفًا وَمَا كَانَ مِنَ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قَانِنَّا لِلَّهِ حَنِيفًا وَلَمْ يَكُ مِنَ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أَوْحَيْنَا إِلَيْكَ أَنِ اتَّبِعْ مِلَّةَ إِبْرَاهِيمَ حَنِيفًا وَمَا كَانَ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التفت توشيهوكو إيزوتسو إلى هذا التّضاد المفهومي بين الحنيف والمشرك </w:t>
      </w:r>
      <w:r>
        <w:rPr>
          <w:rStyle w:val="FootnoteAnchor"/>
          <w:rtl w:val="true"/>
        </w:rPr>
        <w:footnoteReference w:id="717"/>
      </w:r>
      <w:r>
        <w:rPr>
          <w:rFonts w:ascii="Amiri" w:hAnsi="Amiri" w:eastAsia="Amiri" w:cs="Amiri"/>
          <w:color w:val="111111"/>
          <w:sz w:val="28"/>
          <w:sz w:val="28"/>
          <w:szCs w:val="28"/>
          <w:rtl w:val="true"/>
          <w:lang w:bidi="ar-SA"/>
        </w:rPr>
        <w:t>الذي أكّد عليه القرآن الكريم، ولذلك نحى منحًى واقعيًّا في تحديد دلالات الحنفيّة، وقد ساقت الباحثتان رأيه في نهاية الفقرة المتعلّقة بمصطلح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 إيزتسو قراءةً تفصيليّةً لعلاقة الحنفيّة بالدّين الإبراهيمي في الفصل الرّابع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والإنسان في القرآن</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تجاهلت الباحثتان إجماع اللّغويين عبر التّاريخ والمفسّرين في مختلف طبقاتهم على المعنى التَّوحيدي للحنفيّة المنسجم مع الحقل الدّلالي للآيات وبحثتا عن فرضيّاتٍ غريبةٍ كفرضيّةٍ الهاجرية</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وسنكتفي بالإحالة على أحد المعاجم المعاصرة للمفردات القرآنيّة، والذي يتميّز </w:t>
      </w:r>
    </w:p>
    <w:p>
      <w:pPr>
        <w:pStyle w:val="BookText"/>
        <w:rPr/>
      </w:pPr>
      <w:r>
        <w:rPr>
          <w:rFonts w:ascii="Amiri" w:hAnsi="Amiri" w:eastAsia="Amiri" w:cs="Amiri"/>
          <w:color w:val="111111"/>
          <w:sz w:val="28"/>
          <w:sz w:val="28"/>
          <w:szCs w:val="28"/>
          <w:rtl w:val="true"/>
          <w:lang w:bidi="ar-SA"/>
        </w:rPr>
        <w:t xml:space="preserve">بالاستقصاء في كتب اللّغة والتّفسير للمفردات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في فقه لغة القرآن وسرّ بلاغته</w:t>
      </w:r>
      <w:r>
        <w:rPr>
          <w:rStyle w:val="FootnoteAnchor"/>
          <w:rtl w:val="true"/>
        </w:rPr>
        <w:footnoteReference w:id="719"/>
      </w:r>
      <w:r>
        <w:rPr>
          <w:rFonts w:ascii="Amiri" w:hAnsi="Amiri" w:eastAsia="Amiri" w:cs="Amiri"/>
          <w:color w:val="111111"/>
          <w:sz w:val="28"/>
          <w:sz w:val="28"/>
          <w:szCs w:val="28"/>
          <w:rtl w:val="true"/>
          <w:lang w:bidi="ar-SA"/>
        </w:rPr>
        <w:t xml:space="preserve">، ففي الجزء الرّابع عشر من هذه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منها إلى حدّ الآن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مادة حنف نجد بحثًا مميّزاً، بداية من الصفحة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أكّد تأصّل مفهوم الحنفيّة في المعجم العربي وإطباق التّفاسير على الميل إلى الحقّ والاستقامة عليه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تخصّص له الموسوعة مدخلًا رغم خطورته، والمحمولات الكثيرة التي ينوء تحتها؛ بسبب التّوظيف الإيديولوجي الذي مارسته الكثير من الأدبيات الإسلامية ،بالخصوص والتّوظيف السّياسي للجماعات المتطرّفة التي اتّخذت من تطبيق الشّريعة شعارًا لها، والتّشويه الإعلامي لهذا المصطلح الذي غدا في ذهنيّة الإنسان الغربي يُرادف منظومة القوانين المتخلفة للدولة الدّينيّة التي ينادي بها المتطرّفون وما تعنيه من إلغاء الحرّيات، وقطع الأيادي، ورجم النساء وجلد كلّ مخالفٍ ومعاض والإلزام بالصلاة والحجاب وسائر الطقوس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تخطّينا هذا الإشكال عن تهميش مفردة الشّريعة في الموسوعة فهناك ملاحظات أخرى ندوّنها على تقريب المقالة لمصطلح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إلا مرّةً واحدةً في القرآن، ليس دقيقًا، نعم كصيغةٍ اسميّةٍ بهذه التّركيبة الخاصّة جاء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الجاثية،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جَعَلْنَاكَ عَلَى شَرِيعَةٍ مِنَ الْأَمْرِ فَاتَّبِعْهَا وَلَا تَتَّبِعْ أَهْوَاءَ الَّذِينَ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الكلمة وردت بجذرها في صيغٍ فعليّةٍ، كشرع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الشورى،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وشرعوا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الشورى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اللفظ في صيغةٍ اسميّةٍ أخرى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تربط الكاتبتان بين معنى الشّريعة في الإسلام والطريقة في المسيحيّة، مستفيدتين ذلك من دلالة الآية السّابقة من سورة الجاثية؟ خاصّة وأنّ مصطلح طريق استخدمه القرآن، فهو لا يرادف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استعمله القرآن في حقّ النّبيّ محمد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الأحقاف،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قَوْمَنَا إِنَّا سَمِعْنَا كِتَابًا أُنْزِلَ مِنْ بَعْدِ مُوسَى مُصَدِّقًا لِمَا بَيْنَ يَدَيْهِ يَهْدِى إِلَى الْحَقِّ وَإِلَى طَرِيقٍ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الجن،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لَوِ اسْتَقَامُوا عَلَى الطَّرِيقَةِ لَأَسْقَيْنَاهُمْ مَاءً غَدَقًا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وورد اللّفظ للدلالة على طريقة أهل الكفر والضلال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الآيتان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وَظَلَمُوا لَمْ يَكُنِ اللَّهُ لِيَغْفِرَ لَهُمْ وَلَا لِيَهْدِيَهُمْ طَرِيقًا إِلَّا طَرِيقَ جَهَنَّمَ خَالِدِينَ فِيهَا أَبَدًا وَكَانَ ذَلِكَ عَلَى اللَّهِ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 هَذَانِ لَسَاحِرَانِ يُرِيدَانِ أَنْ يُخْرِجَاكُمْ مِنْ أَرْضِكُمْ بِسِحْرِهِمَا وَيَذْهَبَا بِطَرِيقَتِكُمُ الْمُثْلَى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إذا كان لا بدّ من إيجاد الإطار المفاهيمي الأوسع للمفردات الملتصقة بالشّريعة، فالذي يتبادر إلى الذهن ثلاثيّة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والطريقة والحقيقة ولكنّ الكاتبتين مصرّتان على الربط دائماً بين المفاهيم الإسلاميّة واللّاهوت المسيحي واليهودي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ليست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هذين السّطرين الذين خصّصتهما المقالة للحديث عن الشّريعة كمفردة يستحسنها القرآن، وبقطع النّظر عن عدم وضوح ملاك الاستحسان القرآني لهذا المصطلح أبت الباحثتان إلّا أن تختم هذه الأسطر القليلة بإثارة قضيّةٍ أخرى من خلال الخلط بين الفقه والشريعة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يُؤكِّد عدم الإحاطة باللّغة العربيّة وبمعجم المصطلحات القرآنيّة والشّرعيّة عمومًا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المعبّرة عن التّسامح أو التّعصّب والانقسام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فقرة الألفاظ التي تعبّر عن التّسامح أو تعبّر عن التّعصّب أوردت المقالة مفردات أهل الكتاب وأهل الذمّة من جهة، وسنحيل الملاحظات النّقديّة على دراسة هذين </w:t>
      </w:r>
    </w:p>
    <w:p>
      <w:pPr>
        <w:pStyle w:val="BookText"/>
        <w:rPr/>
      </w:pPr>
      <w:r>
        <w:rPr>
          <w:rFonts w:ascii="Amiri" w:hAnsi="Amiri" w:eastAsia="Amiri" w:cs="Amiri"/>
          <w:color w:val="111111"/>
          <w:sz w:val="28"/>
          <w:sz w:val="28"/>
          <w:szCs w:val="28"/>
          <w:rtl w:val="true"/>
          <w:lang w:bidi="ar-SA"/>
        </w:rPr>
        <w:t>المصطلحين للمبحث الآتي المتعلّق بالمجتمعات الدّينيّة والتّفاعل بينها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فسيعود الحديث هناك عن أهل الكتاب ومن جهةٍ ثانيةٍ أوردت في المصطلحات التي تعبّر عن التّعصّب لفظ حزب ،وفرق وشيع واشتقاقاتها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يملك القارئ، وهو يتأمّل معالجة الباحثين لهذا القسم من المفردات القرآنيّة، إلّا أن يتوقّف عند العديد من المؤشّرات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إسقاط مصطلح الانقسام العلماني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secular divisions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فمن الغريب أن توصّف المقالة بهذا المصطلح الحديث القرآني التّجزئة داخل الدّين نفسه، وهذا يؤكّد مرّة أخرى الخلفيّة المؤدلجة التي تنطلق منها الباحثتان في دراسة المفردات القرآنيّة، وانعدام الفهم الدّقيق للاصطلاح القرآني، وموارد استعماله، فلفظ الحزب لا يُستعمل في القرآن للدلالة على النّزاع والتّناحر الاجتماعي والسياسي، بل استخدم مرّات عدّة للدلالة على فئة المؤمنين المخلصين الذين كما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المجادلة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الانتقائيّة والتّجزئة في اختيار الشّواهد القرآنيّة ففي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اكتفت بشاهدٍ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الروم،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وأغفلت الكثير من الشّواهد، ففي صيغة المفرد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وبصيغة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دراسة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وشيع، تكتفي الباحثتان ببعض الشّواهد دون الإحاطة بجميع الموارد والحال لا يختلف في لفظ طريقة واشتقاقاتها؛ إذ تكتفيان أيضًا بشاهدٍ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الفصل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الرّبط بين ظاهرة النّفاق في المجتع الإسلامي وبين الانقسام الطائفي في المجتمعات اليهوديّة، وهو ربطٌ يشي بنزعةٍ تبريريّةٍ لم تجد بدًّا من انتقاد اللّهجة النّقديّة لليهود في الخطاب الدّيني الإسلامي، وتشذرمهم وانقسامهم وجعل دينهم شيعًا، فذكرت المجتمع المسلم بأنّه هو الآخر يعاني من هذا الانقسام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الملفت أنّ ظاهرة النّفاق في المجتمع المسلم تعبّر عن فئة اجتماعيّةٍ تتّصف بازدواجيّة المواقف، ولم تحمل الرّسالة وإن كانت تتظاهر بذلك، ولا تمثّل طائفةً </w:t>
      </w:r>
      <w:bookmarkStart w:id="572" w:name="pg8898_139806"/>
    </w:p>
    <w:p>
      <w:pPr>
        <w:pStyle w:val="BookText"/>
        <w:rPr/>
      </w:pPr>
      <w:bookmarkEnd w:id="572"/>
      <w:r>
        <w:rPr>
          <w:rFonts w:ascii="Amiri" w:hAnsi="Amiri" w:eastAsia="Amiri" w:cs="Amiri"/>
          <w:color w:val="111111"/>
          <w:sz w:val="28"/>
          <w:sz w:val="28"/>
          <w:szCs w:val="28"/>
          <w:rtl w:val="true"/>
          <w:lang w:bidi="ar-SA"/>
        </w:rPr>
        <w:t>دينيّةً منشقّةً عن المجتمع، أو عن الأمّة، استنادًا لمقولاتٍ دينيّةٍ محدّدةٍ ومختلفةٍ أو تفسيرٍ مخالفٍ للنّصّ الدّيني</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935851_2870459653"/>
      <w:bookmarkStart w:id="574" w:name="_Toc217"/>
      <w:bookmarkEnd w:id="573"/>
      <w:r>
        <w:rPr>
          <w:rtl w:val="true"/>
        </w:rPr>
        <w:t>المبحث الثاني</w:t>
      </w:r>
      <w:r>
        <w:rPr>
          <w:rtl w:val="true"/>
        </w:rPr>
        <w:t xml:space="preserve">: </w:t>
      </w:r>
      <w:r>
        <w:rPr>
          <w:rtl w:val="true"/>
        </w:rPr>
        <w:t>المجتمعات الدينية وتفاعلاتها في القرآن في ميزان النقد</w:t>
      </w:r>
      <w:r>
        <w:rPr>
          <w:rtl w:val="true"/>
        </w:rPr>
        <w:t>:</w:t>
      </w:r>
      <w:bookmarkEnd w:id="574"/>
    </w:p>
    <w:p>
      <w:pPr>
        <w:pStyle w:val="BookText"/>
        <w:rPr/>
      </w:pPr>
      <w:r>
        <w:rPr>
          <w:rFonts w:ascii="Amiri" w:hAnsi="Amiri" w:eastAsia="Amiri" w:cs="Amiri"/>
          <w:color w:val="111111"/>
          <w:sz w:val="28"/>
          <w:sz w:val="28"/>
          <w:szCs w:val="28"/>
          <w:rtl w:val="true"/>
          <w:lang w:bidi="ar-SA"/>
        </w:rPr>
        <w:t>يتوقّع القارئ أن يجد في هذا المقطع من المقالة مقارباتٍ تتماهى أكثر مع روح القرآن الكريم في بيان الموقف من المجتعات الدّينيّة والمجموعات العقائديّة والمؤشّرات القرآنيّة على التّفاعل بين الأديان، بعد أن أعذر نسبيًّا الكاتبتين في الالتباسات التي وقعتا فيها في مقطع المفردات، نتيجة التّعقيدات التي تُحيط بالبحث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ويتوقّع القارئ من باحثتين تخطّتا حسب الفرض النّزعة الاستشراقيّة الكلاسيكيّة، وتسلّحتا بالعدّة ،المعرفيّة ،والمنهجيّة كمناصرتين للتعدّديّة الدّينيّة، والتزمتا النّظرة الإيجابيّة لعموم الأديان والتّركيز على المشترك بين الأديان وتهميش نقاط الاختلاف، بل ربمّا التّبرير العلميّ الإيجابيّ للنصوص المتحيّزة أو الظاهرة في الأحاديّة العقيديّة والانحصاريّة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القارئ يتفاجأ بكمّ الاشتباهات التي تبرز أحيانًا بشكل نافرٍ في بعض المواضع، وتتوارى أحيانًا أخرى وراء عباراتٍ منمّقةٍ مقنّعة، متظاهرة بالموضوعيّة والحياديّة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لا يُوضّح بدقّة هويّة أهل الكتاب ولا محدّدات المسيحيّة واليهوديّة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اعتبرت المقالة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أو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العناوين شموليّةً، فتحته يندرج اليهود، والمسيحيون، ولكن المجوس، والصابئة، يبدوان مرتبطين بأهل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اعترفت المقالة بالمكانة المميّزة التي يمنحها القرآن للمجموعات أو المجتمعات التي </w:t>
      </w:r>
    </w:p>
    <w:p>
      <w:pPr>
        <w:pStyle w:val="BookText"/>
        <w:rPr/>
      </w:pPr>
      <w:r>
        <w:rPr>
          <w:rFonts w:ascii="Amiri" w:hAnsi="Amiri" w:eastAsia="Amiri" w:cs="Amiri"/>
          <w:color w:val="111111"/>
          <w:sz w:val="28"/>
          <w:sz w:val="28"/>
          <w:szCs w:val="28"/>
          <w:rtl w:val="true"/>
          <w:lang w:bidi="ar-SA"/>
        </w:rPr>
        <w:t>تنتمي إلى كتابٍ سماويٍّ، ولكنّها تفسّر احتجاج القرآن على نبوّة النّبيّ محمد صلی الله علیه و آله و سلم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فِي شَكٍّ مِمَّا أَنْزَلْنَا إِلَيْكَ فَاسْأَلِ الَّذِينَ يَقْرَءُونَ الْكِتَابَ مِنْ قَبْلِكَ لَقَدْ جَاءَكَ الْحَقُّ مِنْ رَبِّكَ فَلَا تَكُونَنَّ مِنَ الْمُمْتَرِينَ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أنّها رفعٌ لمكانة أهل الكتاب إلى مرتبة الاستشارة في معاني الكتاب المنزل على النّبيّ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تسمية مجموعة معيّنة من أصحاب كتابٍ موحى يدلّ علی</w:t>
      </w:r>
    </w:p>
    <w:p>
      <w:pPr>
        <w:pStyle w:val="BookText"/>
        <w:rPr/>
      </w:pPr>
      <w:r>
        <w:rPr>
          <w:rFonts w:ascii="Amiri" w:hAnsi="Amiri" w:eastAsia="Amiri" w:cs="Amiri"/>
          <w:color w:val="111111"/>
          <w:sz w:val="28"/>
          <w:sz w:val="28"/>
          <w:szCs w:val="28"/>
          <w:rtl w:val="true"/>
          <w:lang w:bidi="ar-SA"/>
        </w:rPr>
        <w:t>أنّ الكتب المقدّسة لقيت احترامًا، وأنّ المجتمعات التي أعلنت بأنّ لديها نصًّا موحًى مدوّنًا كانت ميزةً عن غيرها، فأهل الكتاب يمكن أن يُستشاروا في معاني الكتاب انظر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الآية لا تمنح فعلًا أهل الكتاب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من باب الاحتجاج على أهل الكتاب أنفسهم، فالخطاب وإن كان موجّهًا للنّبي، لكن المقصود هو غيره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بابٌ وسيعٌ في البلاغة القرآنيّة والأدبيات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أنزلنا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المعارف الرّاجعة إلى المبدإ والمعاد وما قصصنا عليك إجمالًا من قصص الأنبياء الحاكية لسنّة الله الجارية في خلقه من الدعوة أولًا ثمّ القضاء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منزلا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 الحقّ من ربّك فلا تكوننّ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لا يستلزم وجود ريبٍ في قلب النبيّ صلی الله علیه و آله و سلم ، ولا تحقّق شلَّ منه، فإنّ هذا النّوع من الخطاب كما يصحّ أن يخاطب من يجوز عليه الرّيب والشّك، كذلك يصحّ أن يخاطب به من هو على يقينٍ من القول وبينه من الأمر على نحو التّكنية عن كون المعنى الذي أخبر به المخبر مما تعاضدت عليه الحجج وتجمّعت عليه الآيات، فإن فرض من المخاطب أو السّامع شكّ في واحدةٍ منها كان له أن يأخذ بالأخرى</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طريقةٌ شائعةٌ في عرف التّخاطب والتّفاهم يأخذ بها العقلاء فيما بينهم </w:t>
      </w:r>
    </w:p>
    <w:p>
      <w:pPr>
        <w:pStyle w:val="BookText"/>
        <w:rPr/>
      </w:pPr>
      <w:r>
        <w:rPr>
          <w:rFonts w:ascii="Amiri" w:hAnsi="Amiri" w:eastAsia="Amiri" w:cs="Amiri"/>
          <w:color w:val="111111"/>
          <w:sz w:val="28"/>
          <w:sz w:val="28"/>
          <w:szCs w:val="28"/>
          <w:rtl w:val="true"/>
          <w:lang w:bidi="ar-SA"/>
        </w:rPr>
        <w:t>جريًا على ما تدعوهم إليه قرائحهم ترى الواحد منهم يُقيم الحجّة على أمرٍ من الأمور،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شككت في ذلك أو سلّمنا أنّها لا توجب المطلوب، فهناك حجّةٌ أخرى على ذلك، وهي أنّ كذا كذا، وذلك كناية عن أنّ الحجج متوفّرةً ومتعاضدةً كالدّعائم المضروبة على ما لا يحتاج إلى أزيد من واحدٍ منها، لكن الغرض من تكثيرها هو أن تكون العريشة قائمةً عليها على تقدير قيام الكلّ والبعض</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يُعقل أن يكون نبيٌّ من الأنبياء شاكًّا في معتقده ويعتمد أرباب الأديان السّابقة كمستشارين ليُؤكّدوا له صحّة كتبه، هذا المعنى تكرّر في العديد من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يَكُنْ لَهُمْ آيَةٌ أَنْ يَعْلَمَهُ عُلَمَاءُ بَنِي إِسْرَابيل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الشعراء، الآية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إِلَّا رِجَالًا نُوحِي إِلَيْهِمْ فَاسْأَلُوا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قَبْلَكَ إِلَّا رِجَالًا نُوحِي إِلَيْهِمْ فَاسْأَلُوا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آتَيْنَاهُمُ الْكِتَابَ يَعْرِفُونَهُ كَمَا يَعْرِفُونَ أَبْنَاءَهُمْ وَإِنَّ فَرِيقًا مِنْهُمْ لَيَكْتُمُونَ الحَقَّ وَهُمْ يَعْلَمُونَ الْحَقُّ مِنْ رَبِّكَ فَلَا تَكُونَنَّ مِنَ الْمُمْتَرِينَم،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أَبْنَاءَهُمُ الَّذِينَ خَسِرُوا أَنْفُسَهُمْ فَهُمْ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هل فعلًا لم يحدّد القرآن هويّة هذه المجموعات الدّينيّة؟ ولم يشخّص مصاديق هذه العناوين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 والنصارى والمجوس، والصابئة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الكاتبتين تتعاملان مع القرآن، وكأنّه مصدرٌ في تاريخ الأديان أو تاريخ الأمم، وإنّ تفرّد أسلوب القرآن، وتميّز بنيته وشموليّة اهتماماته،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فَرَّطْنَا فِي الْكِتَابِ </w:t>
      </w:r>
    </w:p>
    <w:p>
      <w:pPr>
        <w:pStyle w:val="BookText"/>
        <w:rPr/>
      </w:pPr>
      <w:r>
        <w:rPr>
          <w:rFonts w:ascii="Amiri" w:hAnsi="Amiri" w:eastAsia="Amiri" w:cs="Amiri"/>
          <w:color w:val="111111"/>
          <w:sz w:val="28"/>
          <w:sz w:val="28"/>
          <w:szCs w:val="28"/>
          <w:rtl w:val="true"/>
          <w:lang w:bidi="ar-SA"/>
        </w:rPr>
        <w:t xml:space="preserve">مِنْ شَيْءٍ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أربك المستشرقين وأوقعهم في فرضيّاتٍ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تتوقّع الكاتبتان أن تجدا في القرآن دراسةً لتاريخ اليهوديّة ومذاهبها، والفرقة التي كانت متواجدةً زمن الرّسالة في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تنتظر الباحثتان أن يحدّثها عن تاريح الافتراق المسيحي وتاريخ الأناجيل وطبيعة الجدل اللّاهوتي الدّائر بين النسطوريين وبين اليعاقبة ؟؟ والمقولات المسيحيّة التي كان يؤمن بها النّصارى زمن الرسالة ؟ هذه التوقّعات قد تكون مشروعةً لمن يبحث في كتابٍ آخر خطّ بالضّوابط العلميّة المعاصرة، ولكنّها خارج مدارات البحث القرآني بلحاظ هويّة النّصّ القرآني وطبيعة أهدافه، وسنخ أسلوبه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أحاطت الباحثتان فعليًّا بكلّ المقاطع القرآنيّة الموزّعة في عشرات السّور الكريمة، حتى تقيّما الطرح القرآني وتُصدرا أحكامًا عليه، فإصدار الحكم على هذا الموقف أو ذاك فرعُ بلوغ الرّؤية القرآنيّة حول هذا الموضوع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دقّقنا في المادّة القرآنيّة التي تتحدّث عن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نجدها تُغطّي مئات الآيات في عشرات السّور القرآنيّة ولم تستوعب الباحثتان في مقالتيهما إلّا بضعة آيات في الموضوع </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راجعنا فهرسة الموضوعات التي تحدّثت عنها الآيات القرآنيّة والمتعلّقة بأهل الكتاب وبني إسرائيل، لوجدنا عشرات العناوين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عداؤهم للمسلمين في بعضهم إيمان وأمانة وخير، كفرهم وإعراضهم عن الحق، مثوبة الصالحين منهم، تحريفهم للكتاب وإخفائهم الحقيقة نعم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عشرات</w:t>
      </w:r>
    </w:p>
    <w:p>
      <w:pPr>
        <w:pStyle w:val="BookText"/>
        <w:rPr/>
      </w:pPr>
      <w:r>
        <w:rPr>
          <w:rFonts w:ascii="Amiri" w:hAnsi="Amiri" w:eastAsia="Amiri" w:cs="Amiri"/>
          <w:color w:val="111111"/>
          <w:sz w:val="28"/>
          <w:sz w:val="28"/>
          <w:szCs w:val="28"/>
          <w:rtl w:val="true"/>
          <w:lang w:bidi="ar-SA"/>
        </w:rPr>
        <w:t>الموضوعات والعناوين</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السّلبي من اليهوديّة يمكن تعميمه للمسيحيّة رغم ثنائه عليها أحيانًا </w:t>
      </w:r>
    </w:p>
    <w:p>
      <w:pPr>
        <w:pStyle w:val="BookText"/>
        <w:rPr/>
      </w:pPr>
      <w:r>
        <w:rPr>
          <w:rFonts w:ascii="IRNazanin" w:hAnsi="IRNazanin" w:eastAsia="IRNazanin"/>
          <w:color w:val="111111"/>
          <w:sz w:val="28"/>
          <w:sz w:val="28"/>
          <w:szCs w:val="28"/>
          <w:rtl w:val="true"/>
          <w:lang w:bidi="fa-IR"/>
        </w:rPr>
        <w:t>ساقت المقالة آياتٍ قرآنيّةً تنتقد اليهود، وهو موقفٌ قرآنيٌّ لا يخفى من اليهود ومؤامراتهم الطويلة ضدّ الرّسالة والدين ،الجديد وإخفائهم حقيقة هذا النّبيّ الذي يجدونه مكتوبًا عندهم في التوراة، بل كانوا ينتظرون ظهروه ولكنّهم لمّا صدع النّبيّ محمد صلی الله علیه و آله و سلم برسالته كذبوه وأنكروا دعوته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 أنّ الباحثتين تتفهّمان هذا الموقف القرآنيّ النّقديّ لليهود، فليس القرآن ،وحده، والمسلمون وحدهم يقفون هذا الموقف السّلبي من اليهود، فأغلب شعوب العالم ترتاب منهم، وتدرك خطورة الأدوار التي لعبوها في التآمر على الأمم والجميع تقريبًا يطبق على رفض عنصريّتهم ونظريّتهم الدّونيّة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الباحثتين تستغربان من تعميم الخطاب النّقديّ للمسيحيّة؛ حيث لم تمنع بعض الخطابات المادحة للنصارى أن يتوجّه القرآن بالعتاب والنّقد للمسيحيين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ورغم أنّ الجدل مع المسيحيين أقلّ انتشارًا وإلى حدّ ما أقلّ ضراوةً من الجدل مع اليهود في التّحليل النّهائي، يعتبر اليهود والنّصارى بعضهم أولياء بعض، ولا ينبغي للمؤمنين أن يتّخذوهم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لماذا نريد من القرآن أن يقف موقفًا مغايرًا من المسيحيّة؟</w:t>
      </w:r>
    </w:p>
    <w:p>
      <w:pPr>
        <w:pStyle w:val="BookText"/>
        <w:rPr/>
      </w:pPr>
      <w:r>
        <w:rPr>
          <w:rFonts w:ascii="Amiri" w:hAnsi="Amiri" w:eastAsia="Amiri" w:cs="Amiri"/>
          <w:color w:val="111111"/>
          <w:sz w:val="28"/>
          <w:sz w:val="28"/>
          <w:szCs w:val="28"/>
          <w:rtl w:val="true"/>
          <w:lang w:bidi="ar-SA"/>
        </w:rPr>
        <w:t>فالقرآن أنصفهم جميعًا، فمدحهم وأثنى عليهم حيث استحقوا ذلك الإطراء، من 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 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سَوَاءٌ مِنْ أَهْلِ الْكِتَابِ أُمَّهُ قَابِمَةٌ يَتْلُونَ آيَاتِ اللهِ آنَاءَ اللَّيْلِ وَهُمْ</w:t>
      </w:r>
    </w:p>
    <w:p>
      <w:pPr>
        <w:pStyle w:val="BookText"/>
        <w:rPr/>
      </w:pPr>
      <w:r>
        <w:rPr>
          <w:rFonts w:ascii="Amiri" w:hAnsi="Amiri" w:eastAsia="Amiri" w:cs="Amiri"/>
          <w:color w:val="111111"/>
          <w:sz w:val="28"/>
          <w:sz w:val="28"/>
          <w:szCs w:val="28"/>
          <w:rtl w:val="true"/>
          <w:lang w:bidi="ar-SA"/>
        </w:rPr>
        <w:t>يَسْجُدُونَ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يَتْلُونَهُ حَقٌّ تِلَاوَتِهِ أُولَبِكَ يُؤْمِنُونَ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ونصحهم فذكرهم جميعًا، وأمرهم، ونهاهم، ودعا الجميع إلى كلمةٍ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وقف النّصارى موقفًا غير موقف اليهود من النّبيّ محمد صلی الله علیه و آله و سلم ؟ إنّهم لم يُنصفوا الرّسول والإسلام وتحالفوا مع خصومه وأعدائه، فكان حكمهم حكم اليهود</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أولياء ،بعض، ولذا وجب على المؤمنين ألّا يتّخذوهم 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الَّذِينَ آمَنُوا لا تَتَّخِذُوا الْيَهُودَ وَالنَّصَارَى أَوْلِيَاءَ بَعْضُهُمْ أَوْلِيَاءُ بَعْضٍ وَمَنْ يَتَوَلَّهُمْ مِنْكُمْ فَإِنَّهُ مِنْهُمْ إِنَّ اللَّهَ لَا يَهْدِى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وفي ضوء هذه المعادلات الاجتماعيّة يكون قد أكّد أنّ مواقفه من المجموعات الدّينيّة لا تحكمها العواطف ولا الانفعالات ولا المصالح والمنافع وإنّما الأساس موازين الحقّ والعدل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اعْدِلُوا هُوَ أَقْرَبُ لِلتَّقْوَى وَاتَّقُوا الله إنَّ 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الأنبياء السّابقون مسلمين ولا يتحقّق إسلام امرء إلّا بمتابعة شريعة محمد صلی الله علیه و آله و سلم؟</w:t>
      </w:r>
    </w:p>
    <w:p>
      <w:pPr>
        <w:pStyle w:val="BookText"/>
        <w:rPr/>
      </w:pPr>
      <w:r>
        <w:rPr>
          <w:rFonts w:ascii="Amiri" w:hAnsi="Amiri" w:eastAsia="Amiri" w:cs="Amiri"/>
          <w:color w:val="111111"/>
          <w:sz w:val="28"/>
          <w:sz w:val="28"/>
          <w:szCs w:val="28"/>
          <w:rtl w:val="true"/>
          <w:lang w:bidi="ar-SA"/>
        </w:rPr>
        <w:t>في الدّراسات الاستشراقيّة تجاذبٌ حول انطباق مفهوم الإيمان على عموم أهل الكتاب، لقد سعت الكاتبتان إلى التّمهيد لهذا الطرح من خلال مجموعةٍ من الإشارات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غموض مفهوم الإسلام وعدم وضوح النّسبة بين الإسلام والإيمان وامتزاج المفهومين معًا، وقد وضحنا سابقًا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غموض اللّغة القرآنيّة في بيان الحدود الفاصلة بين الإيمان والإسلام أدّت إلى سجالاتٍ قويةٍ حول حكم أهل الكتاب، وبالخصوص اليهود والنصارى وهل هم مؤمنون؟</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القرآن على إسلام الأنبياء السابقين كنوح علیه السلام، وموسى علیه السلام وعيسى علیه السلام، وبالخصوص إبراهيم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ضوء هذه المقدّمات تطرح الكاتبتان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ينصّ القرآن من جهةٍ على إسلام الأنبياء السّابقين، وبالخصوص إبراهيم علیه السلام، ومن جهةٍ أخرى يصرّ على أنّ طاعة الله لا تتحقّق إلّا بطاعة الرّسول محمد صلی الله علیه و آله و سلم في كلّ ما يأمر به وما ينهى عنه؟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يجدر بنا أن نذكر أنّه رغم القول إنّ بعض الناس السّابقين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الفاعل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القرآن واضحٌ في إصراره على أنّ طاعة الله تستلزم طاعة رسوله محمد</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المقاربة، غفلةٌ عن مفهومٍ أساسيٍّ في الثّقافة القرآنيّة والإسلاميّة عمومًا، وهو التّمييز بين الإسلام بالمعنى العام والإسلام بالمعنى الخاص، فالقرآن الكريم تارةً يستخدم لفظ الإسلام للدّلالة على الدّين الخاتم والرّسالة الخاتمة التي جاء بها النّبيّ محمد صلی الله علیه و آله و سلم ليميّز بينها وبين سائر الرّسالات وسائر الدّيانات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الله أَكْمَلْتُ لَكُمْ دِينَكُمْ وَأَتْمَمْتُ عَلَيْكُمْ نِعْمَتِي وَرَضِيتُ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أَظْلَمُ مِمَّنِ افْتَرَى عَلَى اللهِ الْكَذِبَ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إِلَى الْإِسْلَامِ وَاللَّهُ لَا يَهْدِى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الصف،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سورة آل عمران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آياتٌ عديدةٌ تتحدّث عن الإسلام بالمعنى العام، وهو الذي ينطبق على كلّ الدّين الإلهيّ المشترك بين جميع النّبوّات السّماويّة، فالدّين في جوهره عند الله واحدٌ، وهو التّسليم 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اخْتَلَفَ الَّذِينَ أُوتُوا الْكِتَابَ إِلَّا مِنْ بَعْدِ مَا جَاءَهُمُ الْعِلْمُ بَغْيًا بَيْنَهُمْ وَمَنْ يَكْفُرْ بِآيَاتِ اللَّهِ فَإِنَّ اللَّهَ سَرِيعُ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p>
    <w:p>
      <w:pPr>
        <w:pStyle w:val="BookText"/>
        <w:rPr/>
      </w:pPr>
      <w:r>
        <w:rPr>
          <w:rFonts w:ascii="Amiri" w:hAnsi="Amiri" w:eastAsia="Amiri" w:cs="Amiri"/>
          <w:color w:val="111111"/>
          <w:sz w:val="28"/>
          <w:sz w:val="28"/>
          <w:szCs w:val="28"/>
          <w:rtl w:val="true"/>
          <w:lang w:bidi="ar-SA"/>
        </w:rPr>
        <w:t xml:space="preserve">آل عمران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تفسير هذه الآية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سبحانه واحدٌ لا اختلاف فيه ولم يأمر عباده إلا به، ولم يبيّن لهم فيما أنزله من الكتاب على أنبيائه إلا إيَّاه، ولم ينصب الآيات الدّالة إلّا له، وهو الإسلام الذي هو التّسليم للحق الذي هو حقّ الاعتقاد وحقّ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هو التّسليم للبيان الصّادر عن مقام الرّبوبيّة في المعارف والأحكام، وهو وإن اختلف كمًّا وكيفًا في شرائع أنبيائه ورسله على ما يحكيه الله سبحانه في كتابه غير أنّه ليس في الحقيقة إلّا أمرًا واحدًا وإنّما اختلاف الشّرائع بالكمال والنّقص دون التّضاد والتّنافي، والتّفاضل بينها ،بالدّرجات، ويجمع الجميع أنّها تسليمٌ وإطاعةٌ لله سبحانه فيما يريده من عباده على لسان رسله، فهذا هو الدين الذي أراده الله من عباده وبيّنه لهم، ولازمه أن يأخذ الإنسان بما تبيّن له من معارفه حقّ التبيّن ويقف عند الشَّبهات وقوف التّسليم من غير تصرّفٍ فيها من عند نفسه، وأمّا اختلاف أهل الكتاب من اليهود والنّصارى في الدِّين مع نزول الكتاب الإلهيّ عليهم، وبيانه تعالى لما هو عنده دين، وهو الإسلام له، فلم يكن عن جهلٍ منهم بحقيقة الأمر وكون الدين واحدًا، بل كانوا عالمين بذلك، وإنّما حملهم على ذلك بغيهم وظلمهم 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كفرٌ منهم بآيات الله المبيّنة لهم حقّ الأمر وحقيقته لا بالله فإنّهم يعترفون به، ومن يكفر بآيات الله فإنّ الله سريع الحساب، يحاسبه سريعًا في دنياه وآخرته أمّا في الدنيا فبالخزي وسلب سعادة الحياة عنه، وأمّا في الآخرة فبأليم عذاب النار</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المعنى كان وصف الأنبياء السّابقين بالإسلام ووصيّة أقوامهم أن يكونوا 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وَوَصَّى بِهَا إِبْرَاهِيمُ بَنِيهِ وَيَعْقُوبُ يَا بَنِيَّ إِنَّ اللَّهَ اصْطَفَى لَكُمُ الدِّينَ فَلَا تَمُوتُنَّ إِلَّا وَأَنْتُمْ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إِلَهَكَ وَإِلَهَ آبَابِكَ إِبْرَاهِيمَ وَإِسْمَاعِيلَ وَإِسْحَاقَ إِلَهَا وَاحِدًا وَنَحْنُ لَهُ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عِيسَى مِنْهُمُ الْكُفْرَ قَالَ مَنْ أَنْصَارِى إِلَى اللهِ قَالَ الْحَوَارِيُّونَ نَحْنُ أَنْصَارُ اللهِ آمَنَّا بِاللهِ وَاشْهَدْ بِأَنَّا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المفهوم العام للإسلام والتسليم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 القرآن كحقيقة كونيّة وجوديّةٍ تقرّ بها كلّ الموجودات وتعترف،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دِينِ اللهِ يَبْغُونَ وَلَهُ أَسْلَمَ مَنْ فِي السَّمَاوَاتِ وَالْأَرْضِ طَوْعًا وَكَرْهًا وَإِلَيْهِ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عودة إلى هذه القضيّة فى المبحث الثالث من هذا الفصل لما نقارب النّظرية القرآنيّة في التعدّديّة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الالتحام الإسلاميّ المسيحيّ بين الانتقائيّة والانحياز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التّفاعل الأوّل بين المسلمين ومشركي مكّة، ولكن المقالة قدّمت التّفاعل الإسلاميّ المسيحيّ، وخاضت فيه وأرجأت البحث في التّفاعل مع المشركين لنهاية المقطع، بل وجيّرت البحث في هذا الالتحام مع المشركين لمناقشة إشكاليّة اعتبار أهل الكتاب من المشركين وفي ذلك إشارةً لأهميّة الجدل المسيحي الإسلامي في التّاريخ وفي نظرة الباحثتين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الجهد التّحليليّ الذي قدّمته المقالة للحوار الإسلاميّ المسيحيّ، لم يخرج من الأطر الضّيّقة التي حبست الباحثتان نفسيهما فيه من البداية، فمع الادّعاء أنّهما تنظران للتفاعل الدّيني من بابه الانثربولوجي الواسع، الذي يشمل الأعلام والمؤسّسات والبيئة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نرى انتقائيّةً واضحةً في اختيار الوقائع والأشخاص، وأيضًا انحيازاً واضحًا في تفسير تلك الوقائع وتلك المدارات للجدل والدفاع، كما أطلقتا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ورومًا للاختصار نكتفي بالإشارة لبعض هذه التحيّزات والمقاربات التخمينيّة فاقدة الدّقّة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الباحثتان بدًّا من الاعتراف بأنّ هناك سجالاتٍ دوّنها القرآن قد دارت مع المسيحيين، مع تأكيدها كالعادة أنّ القرآن لا يقدّم صورةً واضحةً عن مسيحيي الجزيرة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وبالتّالي لا حاجة لاعتبار الإشارات المرجعيّة المختصرة إلى عقائد النّصارى </w:t>
      </w:r>
    </w:p>
    <w:p>
      <w:pPr>
        <w:pStyle w:val="BookText"/>
        <w:rPr/>
      </w:pPr>
      <w:r>
        <w:rPr>
          <w:rFonts w:ascii="Amiri" w:hAnsi="Amiri" w:eastAsia="Amiri" w:cs="Amiri"/>
          <w:color w:val="111111"/>
          <w:sz w:val="28"/>
          <w:sz w:val="28"/>
          <w:szCs w:val="28"/>
          <w:rtl w:val="true"/>
          <w:lang w:bidi="ar-SA"/>
        </w:rPr>
        <w:t>واليهود شهادات واضحة ودقيقة على عقائد أو أعمال معيّنة لهذه المجتمعات، رغم أنّ المؤشّرات القرآنيّة على الحجج اليهوديّة والمسيحيّة حول إبراهيم والسبت يمكن أن تكون عاكسةً لهذا النّزاع</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فالقرآن دائمًا قاصرٌ على فهم المسيحيّة وطرح أصولها طرحًا محايدًا، بل هذه التّعمية عمّن يقصدهم من أتباع النّصرانية</w:t>
      </w:r>
    </w:p>
    <w:p>
      <w:pPr>
        <w:pStyle w:val="BookText"/>
        <w:rPr/>
      </w:pPr>
      <w:r>
        <w:rPr>
          <w:rFonts w:ascii="IRNazanin" w:hAnsi="IRNazanin" w:eastAsia="IRNazanin"/>
          <w:color w:val="111111"/>
          <w:sz w:val="28"/>
          <w:sz w:val="28"/>
          <w:szCs w:val="28"/>
          <w:rtl w:val="true"/>
          <w:lang w:bidi="fa-IR"/>
        </w:rPr>
        <w:t>واليهودية هي غطاءٌ یسمح له أن يزوّر أو يبدّل كيفما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المقالة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 عن الافتقار إلى دليلٍ خارجيٍّ على وجود النّصارى اليهود في البيئة القرآنيّة يجب التأمّل في المقصد الجدلي للقرآن عند قراءة الآيات التي تُشير إلى الموحّدين الآخرين؛ إذ افترضت المواعظ القرآنيّة للنّبي وجود علم لدى الجمهور بالظاهرة التي تتحدّث عنها فسيكون لها حريّة المبالغة والتحريف حتى إطلاق الألقاب في جهدها لإقناع مستمعيها</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المسيحيون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في نفس الموسوعة لسيدني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Griffith Sidny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فنّدت هذا 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وغالبًا ما كان العلماء الغربيون منهم بالخصوص، يقومون بتفسير بعض أجزاء الخطاب القرآني النّقديّ والاعتراضي للعقائد المسيحيّة التّقليديّة بشكلٍ خاطئٍ، حيث يرى هؤلاء أنّ الخلل الكامن في موقف القرآن من المسيحيين ناتجٌ عن سوء فهم بعض العقائد المسيحيّة، أو بكونه أي الخطاب القرآني، أرجع صدى بعض العقائد الخاصّة بجماعاتٍ مغمورةٍ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التّفسيرات كانت ناتجةً في الغالب عن نهجٍ انفعاليٍّ أو اعتذاريٍّ حيال القرآن، وهي ليست ناتجةً عن فحصٍ تاريخيٍّ دقيق للبيئة التي ظهر فيها النّصّ، أو للذين توجّه إليهم في المقام الأوّل</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تسمية النّصارى على المسيح بشكلٍ خفيٍّ تعبّر الباحثتان عن نوعٍ من الامتعاض لإصرار القرآن على استخدام اسم النّصارى وعدم استعمال التّرجمة الحرفيّة للعبارة اليونانيّة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Christian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مسيحيّة بالعربيّة، وترجع أصل الاشتقاق </w:t>
      </w:r>
    </w:p>
    <w:p>
      <w:pPr>
        <w:pStyle w:val="BookText"/>
        <w:rPr/>
      </w:pPr>
      <w:r>
        <w:rPr>
          <w:rFonts w:ascii="Amiri" w:hAnsi="Amiri" w:eastAsia="Amiri" w:cs="Amiri"/>
          <w:color w:val="111111"/>
          <w:sz w:val="28"/>
          <w:sz w:val="28"/>
          <w:szCs w:val="28"/>
          <w:rtl w:val="true"/>
          <w:lang w:bidi="ar-SA"/>
        </w:rPr>
        <w:t>في عبارة النّصارى إلى النّسبة إلى مدينة النّاصرة في الجليل، التي نشأ فيها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 رأي آخر لأصل التّسمية حاول البعض أن يستدلّ عليه، لم تشر إليه المقالة و هو أن تكون أصل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عبارة أنصاري إلى الله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أَنْصَارَ اللَّهِ كَمَا قَالَ عِيسَى ابْنُ مَرْيَمَ لِلْحَوَارِتِينَ مَنْ أَنْصَارِى إِلَى اللَّهِ قَالَ الْحَوَارِيُّونَ نَحْنُ أَنْصَارُ اللَّهِ فَآمَنَتْ طَائِفَةٌ مِنْ بَنِي إِسْرَابِيلَ وَكَفَرَتْ طَائِفَةٌ فَأَيَّدْنَا الَّذِينَ آمَنُوا عَلَى عَدُوِّهِمْ فَأَصْبَحُوا ظَاهِرِينَ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الصف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صاحب المفردات كأحد وجهي التّسمية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والنّصارى قيل سمّوا بذلك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سمّوا بذلك انتسابًا إلى قرية يُقال لها نصران، فيقال نصراني وجمعه نصاری</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تضعيف الوجه القرآني للتسمية وتقريب النّسبة المكانيّة؛ لأنّه يصعب تبرير التّسمية من أصلٍ لغويٍّ أو دينيٍّ آخر فلا بدّ أن تكون التّسمية ناشئةً من بيئة القوم الأصليّة، ولكن هذه التّسمية في النّهاية كانت معروفةً وشائعةً بين العرب، ونجدها ماثلةً في الشّعر الجاهليّ، وكان المسيحيون في البيئة العربيّة يطلقون على أنفسهم هذا الاسم والقرآن خاطب العرب بلغتهم ومفرداتهم، وإلى فترةٍ تاريخيّةٍ قريبةٍ كان المسيحيون في الشّرق يتمسّكون بهذه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لا بدّ أن يكون إطلاق القرآن لهذا الاسم دليلًا يُستدلّ به على موضوعيّة القرآن الكريم واحترامه للأديان، فديدن القرآن أن يلتزم في تسمية الأديان ما سمّت به نفسها وهذا حال القرآن مع سائر الأديان والملل والنحل التي ذكرها كاليهوديّة والمجوسيّة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لماذا يتحسّس البعض من هذه التّسمية، فإن كان المسيح قد ارتضى لنفسه هذه التّسمية، فلماذا لا نقبلها في حقّ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الأناجيل، جاء اسم يسوع النّاصري في ثمانية عشر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بذكر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يسوع الناصري انجيل متى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فسألهم من تطلبون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يسوع الناصري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إنجيل يوحنا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أَنَّهُ يَسُوعُ النَّاصِرِي، ابْتَدَأَ يَصْرُخُ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يَسُوعُ ابْنَ دَاوُدَ، ارْحَمْنِي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إنجيل مرقس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فَأَخْبَرُوهُ أَنَّ يَسُوعَ النَّاصِرِي مُجْتَاز، إنجيل لوقا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وتغيب عن الكثيرين خصوصيّة النّظرة القرآنيّة للأديان وموقفه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يرى أنّ المسألة الجوهريّة لتقويم الأديان في كينونتها ومآلاتها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مسألةً قشريّةً تعود إلى الأسماء والألقاب، بل الأساس هي المبادئ والمضامين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يَدْخُلَ الْجَنَّةَ إِلَّا مَنْ كَانَ هُودًا أَوْ نَصَارَى تِلْكَ أَمَانِتُهُمْ قُلْ هَاتُوا بُرْهَانَكُمْ إِنْ كُنْتُمْ صَادِقِينَ بَلَى مَنْ أَسْلَمَ وَجْهَهُ لِلَّهِ وَهُوَ مُحْسِنٌ فَلَهُ أَجْرُهُ عِنْدَ رَبِّهِ وَلَا خَوْفٌ عَلَيْهِمْ وَلَا هُمْ يَحْزَنُونَ وَقَالَتِ الْيَهُودُ لَيْسَتِ النَّصَارَى عَلَى شَيْءٍ وَقَالَتِ النَّصَارَى لَيْسَتِ الْيَهُودُ عَلَى شَيْءٍ وَهُمْ يَتْلُونَ الْكِتَابَ كَذَلِكَ قَالَ الَّذِينَ لَا يَعْلَمُونَ مِثْلَ قَوْلِهِمْ فَاللَّهُ يَحْكُمُ بَيْنَهُمْ يَوْمَ الْقِيَامَةِ فِيمَا كَانُوا فِيهِ يَخْتَلِفُونَ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الآيات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يرفض هذا المنطق الذي كان سائدًا بين الأديان في نفي بعضها البعض وادّعاء انحصار النّجاة والخلاص في الذّات دون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الموقف القرآني من المسيحيّة واليهوديّة تحكمه المواقف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موضعٍ أثارت المقالة هذه المسألة </w:t>
      </w:r>
      <w:r>
        <w:rPr>
          <w:rStyle w:val="FootnoteAnchor"/>
          <w:rtl w:val="true"/>
        </w:rPr>
        <w:footnoteReference w:id="734"/>
      </w:r>
      <w:r>
        <w:rPr>
          <w:rFonts w:ascii="Amiri" w:hAnsi="Amiri" w:eastAsia="Amiri" w:cs="Amiri"/>
          <w:color w:val="111111"/>
          <w:sz w:val="28"/>
          <w:sz w:val="28"/>
          <w:szCs w:val="28"/>
          <w:rtl w:val="true"/>
          <w:lang w:bidi="ar-SA"/>
        </w:rPr>
        <w:t>بل فسرّت تشريع بعض التّشريعات، كتطوّر في منحى العلاقة مع الأديان الأخرى، ومحاولة لتكريس التّباعد والانفصال عن أتباعها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كتغيير القبلة، وتبديل محدّدات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استفادت من بعض الدّراسات الاستشراقيّة حول المنظومة الطقوسية للإسلام، وبالخصوص الطهارة والوضوء كمحدّدٍ من محدّدات الاتّصال أو الانفصال مع الآخر</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يعبّر عن قصورٍ في فهم فلسفة التّشريع في الإسلام، فهذه التّشريعات تحكمها منظومةٌ متكاملةٌ من الأسس التي تعود إلى مقاصد الشّريعة، والمصالح والمفاسد وضرورات الزمان والمكان كما راعى التّشريع زمن الرّسالة منطق التّدرّج </w:t>
      </w:r>
    </w:p>
    <w:p>
      <w:pPr>
        <w:pStyle w:val="BookText"/>
        <w:rPr/>
      </w:pPr>
      <w:r>
        <w:rPr>
          <w:rFonts w:ascii="Amiri" w:hAnsi="Amiri" w:eastAsia="Amiri" w:cs="Amiri"/>
          <w:color w:val="111111"/>
          <w:sz w:val="28"/>
          <w:sz w:val="28"/>
          <w:szCs w:val="28"/>
          <w:rtl w:val="true"/>
          <w:lang w:bidi="ar-SA"/>
        </w:rPr>
        <w:t>في تبليغ الأحكام لقرب النّاس من الجاهليّة واحتياج الانتقال من منظومةٍ قيميّة وقانونيّة إلى منظومةٍ جديدةٍ إلى تدرّجٍ ومرونةٍ، خاصة إذا كانت المنظومة الجديدة منظومةً قائمةً على رؤيةٍ كونيّةٍ مغايرةٍ وتصوّرٍ كونيٍّ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أصل الموقف القرآني من الأديان، فهو موقفٌ يستند إلى أسسٍ ثابتةٍ، فالقرآن حافظ على رؤيةٍ موحّدةٍ من أهل الكتاب وأسّس عليها منظومة أحكامٍ من حلّية طعامهم، وحلّيّة الزّواج منهم، ودفع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أمّا المحاربون منهم وناكثو العهود فلهم أحكامهم الخاصّة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التشريعات التي سنّها الإسلام ليست انفعاليّةً، وتنبع من نزعةٍ براغماتيّةٍ، تسامحت في العصر المكّي وتشدّدت في العصر المدني، وإنّما بعض الأحكام لم يكن لها موضوعيّة في المرحلة المكيّة أو في الفترة المبكرة من العصر المدني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الحوادث والوقائع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يتجلّى الانحياز في سياقات بعض الشّواهد، التي جاء ذكرها في المقالة كنماذج على التفاعل الإسلاميّ المسيحيّ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 يُلاحظه القارئ، أنّ هذه السّرديات لتلك الوقائع في كثيرٍ من الأحيان تعاني من خللین بارزین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إهمال أو تجاهل تفاصيل مهمّة في الواقعة من شأنها أن تخدم الفكرة والهدف من البحث، وإغراق القارئ في هوامش جانبيّةٍ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تغليب الدّور المسيحيّ في العلاقة التّفاعليّة، وإعطاؤه الحيّز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ولنقف سريعًا عند شواهد هذين الخللين في شكل 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تعظيم الدّور الذي لعبه الرّاهب بحيرا في الإخبار بنبوّة النّبي محمد صلی الله علیه و آله و سلم وشهادته بتحقّق العلامات فيه، وكذلك لا تغفل عن دور ورقة بن نوفل المزعوم في طمأنة خديجة والرّسول بأنّ ما عاشه محمد في غار حراء هو الناموس الأكبر الذي جاء لموسى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لا تُحدّثنا الباحثتان عن الحبشة وهجرة المسلمين </w:t>
      </w:r>
    </w:p>
    <w:p>
      <w:pPr>
        <w:pStyle w:val="BookText"/>
        <w:rPr/>
      </w:pPr>
      <w:r>
        <w:rPr>
          <w:rFonts w:ascii="IRNazanin" w:hAnsi="IRNazanin" w:eastAsia="IRNazanin"/>
          <w:color w:val="111111"/>
          <w:sz w:val="28"/>
          <w:sz w:val="28"/>
          <w:szCs w:val="28"/>
          <w:rtl w:val="true"/>
          <w:lang w:bidi="fa-IR"/>
        </w:rPr>
        <w:t>الأوائل إليها، نراهما لا تحاولان تفسير الأثر الحاصل وراء هذا اللّقاء المسيحي الإسلامي، وتغفلان عن كثيرٍ من التّفاصيل المهمّة كتقديس القرآن للسيدة مریم علیها السلام وللمسيح علیه السلام وتأثّر النّجاشي بهذا الموقف القرآني، والأقوال التّاريخية في إسلام النّجاشي، ودور جعفر الطيّار في الحوار مع النّجاشي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الوقائع التي تنقلها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المباهلة مع نصارى نجران، فمع أنّ موضوع المباهلة يمثّل قضيّةً مركزيّةً في الجدل الإسلامي المسيحي حول طبيعة المسيح نرى اختزالًا للأحداث وإغفالًا لسبب انسحاب وفد نجران عن المباهلة، وإعراضًا عن الحديث عن أشخاص وفد الرسول صلی الله علیه و آله و سلم، والتي تمثّل الواقعة فضيلةً ومنزلةً إلهيّةً خاصة بهؤلاء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وبالمقابل تغرق المقالة القارئ في التّحقيق حول معتقد وفد نجران والخلفيّة النسطوريّة للوفد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المفارقة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تكون الحنيفيّة فيها شائبة الشّرك والتّثليث هو الإيمان بالمسيح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يوازن القارئ المدقّق بين مناقشة المقالة لدلالات مصطلح حنيف، كما مرّ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المبحث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وربط هذا المصطلح الممحّض قرآنيًا في الإخلاص ونفي الشّرك بمصطلح الهاجريّة، وذلك استنادًا إلى مقاربةٍ فيلولوجيّةٍ مع أصولٍ لغويّةٍ سريانيّةٍ، وفي أحسن الأحوال تعتبره مفهومًا لاهوتيًّا غامضًا، ومن جهة أخرى نراها تُرجع لفظ التثليث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أصولٍ سريانيّةٍ؛ ليكون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المقالة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وتركّز الرّد على المسيحيين بشكلٍ رئيسيٍّ على مسألة الثّالوث أو الموضوعات المسيحانيّة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w:t>
      </w:r>
      <w:r>
        <w:rPr>
          <w:rFonts w:eastAsia="Times New Roman" w:cs="Times New Roman" w:ascii="Times New Roman" w:hAnsi="Times New Roman"/>
          <w:color w:val="111111"/>
          <w:sz w:val="28"/>
          <w:szCs w:val="28"/>
          <w:lang w:val="en-US" w:bidi="en-US"/>
        </w:rPr>
        <w:t>Griffith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السريانيات من أجل الحجّة القائلة إنّ هذه ترجمة عربية لكلمة سريانية، وهي وفقًا للسانيات الحديثة تفقد معناها الأصلي، أي أنّ الصّفة ثليثايا لقب للمسيح</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إزاء هذه المفارقة في الاستخلاصات والنتائج التي تقود إليها هذه المعالجات الفيلولوجيّة المزعومة، لا نملك إلا أن نترحّم على الحياد والتّجرّد العلميين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اللّقاء الإسلاميّ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تكرار منظومة الأوهام وهفوات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تختلف كثيرًا معالجة اللّقاء الإسلامي اليهودي عن نظيره الإسلامي المسيحي بلحاظ المشتركات العديدة في القرآن في النّظرة إلى الدّيانتين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ولكنّنا سنقتصر في بيان الهنات المضمونيّة والمنهجيّة على نقاطٍ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لا يعرف اليهوديّة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الباحثتان أنّ القرآن في عرضه للعقائد اليهوديّة، هو لا يُبدي معرفةً دقيقةً بأصول اليهوديّة كما مرّ بنا مع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ورغم أنّ أصول وشعائر الجماعات اليهوديّة في بيئة محمد لم تكن موثّقة جيدًا، فإن الدّليل القرآني، وكذلك المصادر الأخرى كالحديث والسيرة، تُشير إلى تواجد المجتمعات اليهوديّة في الجزيرة العربية في القرن السابع</w:t>
      </w:r>
      <w:r>
        <w:rPr>
          <w:rFonts w:eastAsia="Amiri" w:cs="Amiri" w:ascii="Amiri" w:hAnsi="Amiri"/>
          <w:color w:val="111111"/>
          <w:sz w:val="28"/>
          <w:szCs w:val="28"/>
          <w:rtl w:val="true"/>
          <w:lang w:bidi="ar-SA"/>
        </w:rPr>
        <w:t>»</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رددنا على الأساس المنهجي لهذا الإشكال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إنكار معرفة الإسلام لعقائد أهل الكتاب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نضيف هنا ما جاء في مقالة اليهود واليهوديّة للمستشرق أوري روبين الذي قدّم قراءةً واضحةً لليهود واليهوديّة في القرآن وبيّن تاريخ العلاقة، وكشف حقيقة هذا الادّعاء المزعوم في تقريب القرآن لعقائد اليهود والموقف منهم؛ إذ عزاه للتشكيك الذي حصل في تاريخ القرآن وإرجاع تشكّل القرآن إلى مرحلةٍ متأخّرةٍ على نزوله وتدوينه، كما يعتقد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ضوء الشّكّ الذي أثاره بعض العلماء حديثًا، والذين أشاروا إلى أنّ القرآن اتّخذ صيتغه النّهائيّة في وقتٍ متأخّرٍ جدًا عن أيّام محمد، وحتى ربّما ليس في الجزيرة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Q.S,Wansbrough</w:t>
      </w:r>
      <w:r>
        <w:rPr>
          <w:rFonts w:ascii="Amiri" w:hAnsi="Amiri" w:eastAsia="Amiri" w:cs="Amiri"/>
          <w:color w:val="111111"/>
          <w:sz w:val="28"/>
          <w:sz w:val="28"/>
          <w:szCs w:val="28"/>
          <w:rtl w:val="true"/>
          <w:lang w:bidi="ar-SA"/>
        </w:rPr>
        <w:t>؛ 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أكاديميّة ما بعد تنويريّة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تاريخ العلاقات المفترضة بين محمد واليهود واضحًا</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جذر يهودي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اللقاء الإسلامي المسيحي، جمعت كلّ القرائن التي تدعم الفرضيّة الاستشراقيّة برجوع أصول الإسلام إلى ديانات أهل الكتاب، وأكّدت بالخصوص على قصّة بحيرا الرّاهب، وعلى ذلك نرى في اللقاء </w:t>
      </w:r>
    </w:p>
    <w:p>
      <w:pPr>
        <w:pStyle w:val="BookText"/>
        <w:rPr/>
      </w:pPr>
      <w:r>
        <w:rPr>
          <w:rFonts w:ascii="Amiri" w:hAnsi="Amiri" w:eastAsia="Amiri" w:cs="Amiri"/>
          <w:color w:val="111111"/>
          <w:sz w:val="28"/>
          <w:sz w:val="28"/>
          <w:szCs w:val="28"/>
          <w:rtl w:val="true"/>
          <w:lang w:bidi="ar-SA"/>
        </w:rPr>
        <w:t>الإسلامي اليهودي الدعوى تتكرر، وفي هذا السّياق تقول الباحثتان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الشّخصيّة الأبرز في الرّوايات الإسلاميّة المسيحيّة على السّواء هي الرّاهب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روايات لأحد النّساخ اليهود الذين كتبوا عن محمد الذي وفقًا لرأي الرّاوي إمّا أنّه علّم محمدًا العقيدة اليهوديّة أو أثبت نبوّة محمد</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فرضيّات بائسةً خلنا أنّ التّطوّر المنهجي في الدّراسات الاستشراقيّة قد تجاوزها، ولكن يبدو أنّ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أخذ محمد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للحبر اليهودي أبراهام جيجر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مهيمناً حتى على هؤلاء المستشرقين الحداثيين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عود للموضوع في نقد الفرضيّات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تهميش وثيقة المدينة وتجاهلها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وثيقة المدينة أبرز واقعة في تنظيم العلاقات مع الأطراف الدّينيّة والسّياسيّة في مجتمع المدينة، وهي وثيقةٌ وضعها الرّسول في السّنة الأولى للهجرة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الشهر الخامس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وتتألّف من الكثير من البنود فعدّها البعض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 وبعضهم أرجعها إلى أكثر من خمسين بندا، جاء في سيرة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وكتب الرسول صلی الله علیه و آله و سلم كتابًا بين المهاجرين والأنصار وادع فيه اليهود وعاهدهم، وأقرّهم على دينهم وأموالهم، وشرط لهم، واشترط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الله الرحمان الرحيم هذا كتاب من محمد النّبي صلی الله علیه و آله و سلم بين المؤمنين والمسلمين من قريش ويثرب، ومن تبعهم، فلحق بهم وجاهد معهم، إنهم أمة واحدة دون الناس</w:t>
      </w:r>
      <w:r>
        <w:rPr>
          <w:rFonts w:eastAsia="IRNazanin" w:cs="IRNazanin"/>
          <w:color w:val="111111"/>
          <w:sz w:val="28"/>
          <w:szCs w:val="28"/>
          <w:rtl w:val="true"/>
          <w:lang w:bidi="fa-IR"/>
        </w:rPr>
        <w:t>...»</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يفضّل بنود هذا العهد، ومن البنود التي يجب الوقوف عندها في هذه الصّحيفة، والتي تفسّر لنا ما حدث من إخراجٍ ليهود بني النّضير في السّنة الرابعة للهجرة وإجلاء يهود بني قينقاع ثم مقاتلة يهود بني قريظة في السنة الخامسة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البنود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تبعنا من يهود فله النصر والأسوة غير مظلومين ولا متناصرين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وإنكم مهما اختلفتم فيه من شيء فإنّ مردّه إلى الله عز وجل وإلى محمد صلی الله علیه و آله و سلم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اليهود ينفقون مع المؤمنين ما داموا محاربين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يهود بني عوف أمة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لليهود دينهم وللمسلمين دينهم ومواليهم وأنفسهم إلا من ظلم وأثم فإنه لا يوتغ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نفسه وأهل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على اليهود نفقتهم وعلى المسلمين نفقتهم، وإن بينهم النصر على من حارب أهل هذه الصحيفة، وإن بينهم النصح والنصيحة والبر دون الاثم وإنه يأثم امرؤ بحليفه وإن النصر للمظلوم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اليهود ينفقون مع المؤمنين ما داموا محاربين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لا تجار قريش ولا من نصرها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ما كان بين أهل هذه الصحيفة من حدث أو اشتجار يخاف فساده فإنّ مردّه إلى الله عز وجل وإلى محمد رسول الله وإن الله على أتقى ما في هذه الصحيفة وأبرّه</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اليهود نقضوا هذا العهد وخانوا مواثيقها فتآمروا مع المنافقين ومع مشركي قريش، بل أسّسوا تحالفًا لغزو المدينة والقضاء على الإسلام، فكانت العقوبة العادلة إخراجهم من المدينة، ولكن بعد ما تبيّن للمسلمين أن مجرّد إخرارج النّضير وقنيقاع لم يردعهما عن التآمر على المسلمين والتّحالف مع قريش في غزوة الأحزاب للهجوم على المدينة في السنة الخامسة للهجرة وبعد أن ثبت أنّ بني قريظة انضمّوا للأحزاب وشكّلوا تهديدًا للمسلمين ولظهر المدينة بعد أن ظنّ المسلمون أنّ تلك الجبهة آمنة من جهتهم للعهد بينهم، لذلك كانت عقوبة هؤلاء أشدّ بعد أن حكّم الرسول صلی الله علیه و آله و سلم فيهم حليفهم من الخزرج سعد بن معاذ، فكان جزاؤهم قتل رجالهم المحاربين وسبي نسائهم وغنيمة ممتلكاتهم، كما تنصّ تعاليم التّوراة، وكما هي شرائع الحرب في العلاقات الدّوليّة السّائدة أنذاك</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سجّل القرآن الكريم كلّ هذه الخيانات من طرف اليهود، ففي سورة </w:t>
      </w:r>
    </w:p>
    <w:p>
      <w:pPr>
        <w:pStyle w:val="BookText"/>
        <w:rPr/>
      </w:pP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القرآن الكريم عن طرد بني النّضير، وفي الآيات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يحدّثنا عن بني قينقاع، وفي 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يحدّثنا عن قضيّة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أغفلت المقالة، أو تغافلت عن أهمّ وثيقةٍ في الفكر السّياسيّ الإنسانيّ القديم التي تعبّر عن إيمانٍ عميق بالتّعدّديّة الدّينيّة ضمن مجتمعٍ سياسيٍّ واحدٍ، وعن التّسامح والتّعايش بين الطّوائف والمذاهب ،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أن نؤكّد أنّ فشل هذه التّجربة بسبب اليهود لم يلغِ الفكرة المركزيّة التي أنشئت لهذه الصحيفة، وهي تكوين المجتمع السياسي المتنوّع في الانتماء الدّيني وإقامة دولة لهذا المجتمع، على أساس الإسلام، بل إنّ هذا المبدأ التّشريعي السياسي الإسلامي لا يزال قائماً، ويمكن العمل به دائما في كلّ عصر وفي نطاق أيّ جماعة بشرية</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الالتحام مع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قضيّتان نكتفي بهما في مدار العلاقة والتّفاعل بين المسلمين والمشركين وكلّ واحدةٍ تؤشّر إلى مكمنٍ من مكامن النّهج المعتمد في المقالة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إشارةٍ سابقةٍ تحدّثت المقالة عن تأثّر القرآن الكريم بالتّراث المسيحي واليهودي</w:t>
      </w:r>
      <w:r>
        <w:rPr>
          <w:rStyle w:val="FootnoteAnchor"/>
          <w:rtl w:val="true"/>
        </w:rPr>
        <w:footnoteReference w:id="743"/>
      </w:r>
      <w:r>
        <w:rPr>
          <w:rFonts w:ascii="Amiri" w:hAnsi="Amiri" w:eastAsia="Amiri" w:cs="Amiri"/>
          <w:color w:val="111111"/>
          <w:sz w:val="28"/>
          <w:sz w:val="28"/>
          <w:szCs w:val="28"/>
          <w:rtl w:val="true"/>
          <w:lang w:bidi="ar-SA"/>
        </w:rPr>
        <w:t xml:space="preserve">، ما أطلقت عليه التّأثير التّوحيدي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monotheistic influence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مع أنّ الدّراسة الموضوعيّة للأصول الاعتقاديّة في الدّيانات الثلاث، تقود إلى الإقرار بأنّ التّنزيه التّوحيدي الذي عبّر عنه القرآن الكريم والتوحيد الخالص الذي دعا إليه لا يمكن أن ترقى إليه الرؤية اللاهوتيّة في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واللّاهوت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شعب الله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في المسيحيّة هو أب الإنسان، والله في اليهوديّة إلهٌ قوميٌّ، ولكنّه سبحانه في عقيدة المسلمين ربّ العالمين وإله النّاس أجمعين ونسبته إلى كلّ الخلق وإلى كلّ الموجودات نسبة واحدة، وهو منزّه عن كلّ شائبة ونقص،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الشورى،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الزمر،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آياتٍ عديدةٍ يؤكّد القرآن الكريم على أنّ التوحيد في الإسلام هو امتدادٌ للدعوة الإبراهميّة، وأنّ إبراهيم علیه السلام هو ممثّل الحنفيّة المخلصة، وهو الذي سمّى الموحّدين ،بالمسلمين والآيات في سورة البقرة من 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تحدّثنا عن التّأسيس الإبراهيمي للحنفيّة السّمحاء وتشييد بيت الله الحرام ودعوة النّاس إلى الحجّ، وأيضًا التّبشير بالنّبيّ محمد صلی الله علیه و آله و سلم  والدّعاء لله بأن يُرسل في هذه الأمة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فِيهِمْ رَسُولًا مِنْهُمْ يَتْلُو عَلَيْهِمْ آيَاتِكَ وَيُعَلِّمُهُمُ الْكِتَابَ وَالحِكْمَةَ وَيُزَكِّيهِمْ إِنَّكَ أَنْتَ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قيل كلّ شيء في هذا المقطع الرّائع، فإبراهيم هو الذي أقام البيت بأمر من الله، وساعده ولده إسماعيل، جدّ العرب، وهو المسلم الأوّل ذاك الذي أسلم لله وجهه آمن به وبه ،وثق وسلّم أمره إلى 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وتختم صلاة الجدّين المؤسسين بالتّمنّي على الله بأن يُرسل من ذرّيّتهما نبيًّا يعلّمه الحقّ، وهذه إشارةً واضحةٌ لمحمد</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وتتوالى الآيات لتؤكّد هذه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التجديد الإبراهي للتوحيد الإلهي وإعادة إقامة البيت الحرام وتجديد قواعده وانتساب الدّعوة المحمّديّة إلى تلك الرّسالة وتلك الأمّة العظيمة، ومن هنا كان النّبيّ يحاجج اليهود خاصّة وأهل الكتاب عمومًا في أنّه أولى من إبراهيم، وأنه علیه السلام أسبق من التّوراة والإنجيل، فكيف يحاججون رسول الله فيه، وهو الذي ينتمي إليه نسبًا وعقيدةً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المقطع من سورة آل عمران يعلن الموقف ويضع الأمور في نصابها</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الْكِتَابِ لِمَ تُحَاجُّونَ فِي إِبْرَاهِيمَ وَمَا أُنْزَلَتِ التَّوْرَاةَ وَالإنجيل إلَّا مِنْ بَعْدِهِ أَفَلَا تَعْقِلُونَ مَا أَنْتُمْ هَؤُلَاءِ حَاجَجْتُمْ فِيمَا لَكُمْ بِهِ عِلْمٌ فَلِمَ تُحَاجُّونَ فِيمَا لَيْسَ لَكُمْ بِهِ عِلْمٌ وَاللهُ يَعْلَمُ وَأَنْتُمْ لَا تَعْلَمُونَ مَا كَانَ إِبْرَاهِيمُ يَهُودِيًّا وَلَا نَصْرَانِيًّا </w:t>
      </w:r>
    </w:p>
    <w:p>
      <w:pPr>
        <w:pStyle w:val="BookText"/>
        <w:rPr/>
      </w:pPr>
      <w:r>
        <w:rPr>
          <w:rFonts w:ascii="Amiri" w:hAnsi="Amiri" w:eastAsia="Amiri" w:cs="Amiri"/>
          <w:color w:val="111111"/>
          <w:sz w:val="28"/>
          <w:sz w:val="28"/>
          <w:szCs w:val="28"/>
          <w:rtl w:val="true"/>
          <w:lang w:bidi="ar-SA"/>
        </w:rPr>
        <w:t>وَلَكِنْ كَانَ حَنِيفًا مُسْلِمًا وَمَا كَانَ مِنَ الْمُشْرِكِينَ 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الغريب أن تحاول الباحثتان من تخفيف حدّة نزعة الشّرك والوثنيّة عند مشركي قريش، وتنقل عن </w:t>
      </w:r>
      <w:r>
        <w:rPr>
          <w:rFonts w:eastAsia="Times New Roman" w:cs="Times New Roman" w:ascii="Times New Roman" w:hAnsi="Times New Roman"/>
          <w:color w:val="111111"/>
          <w:sz w:val="28"/>
          <w:szCs w:val="28"/>
          <w:lang w:val="en-US" w:bidi="en-US"/>
        </w:rPr>
        <w:t>Hawting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idia of idolatry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الجدل معهم يكشف عن صراعٍ مع موحدين</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وهذا الاشتباه في الواقع يعود إلى الاختلاط والامتزاج الذي حصل في عقيدة المشركين بين الإرث الإبراهيمي التّوحيديّ وبين عبادة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في كتاب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الذي سلخ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عبادة الأوثان والحجارة أنّه كان لا يظعن من مكة ظاعن إلا احتمل حجارة من حجارة الحرم، تعظيمًا للحرم وصبابةً بمكة، فحيثما حلّوا وضعوه، وطافوا به كطوفهم بالكعبة، تيمّنًا منهم بها وصبابةً بالحرم وحبًّا له وهم بعد يعظّمون الكعبة ومكة، ويحجّون ويعتمرون على إرث إبراهيم وإسماعيل علیهما السلام ثم سلخ ذلك بهم إلى أن عبدوا ما استحبّوا، ونسوا ما كانوا عليه، واستبدلوا بدين إبراهيم وإسماعيل غيره فعبدوا الأوثان، وصاروا على ما كانت عليه الأمم من قبلهم، وانتجثوا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يعبد قوم نوح علیه السلام منها، على إرث ما فيهم من ذكرها وفيهم على ذلك بقايا من عهد إبراهيم وإسماعيل يتنسّكون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تعظيم البيت والطواف به والحج والعمرة، والوقوف على عرفة والمزدلفة وإهداء البدن والإهلال بالحج والعمرة مع إدخالهم ما ليس منه</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النّزعة الماديّة الاقتصاديّة التي تتّخذها المقالة في تحليل أسباب الصّدام بين المسلمين والمشركين، وأنّ رفض المشركين لرسالة الإسلام، ناشئٌ من خشيتهم على مركز الشّرك وموسم الحج وعلى مكتسباتهم الاقتصاديّة، ومن جهته تحرّك الرّسول في معادلة الصّراع هذه من منطلق استقطاب الفقراء، والعبيد ،والضّعفاء، الذين همّشهم التّفاوت وطبقيّة النظام الاجتماعي القبلي المكي</w:t>
      </w:r>
      <w:r>
        <w:rPr>
          <w:rFonts w:eastAsia="Amiri" w:cs="Amiri" w:ascii="Amiri" w:hAnsi="Amiri"/>
          <w:color w:val="111111"/>
          <w:sz w:val="28"/>
          <w:szCs w:val="28"/>
          <w:rtl w:val="true"/>
          <w:lang w:bidi="ar-SA"/>
        </w:rPr>
        <w:t xml:space="preserve">. </w:t>
      </w:r>
      <w:bookmarkStart w:id="575" w:name="pg8898_139826"/>
    </w:p>
    <w:p>
      <w:pPr>
        <w:pStyle w:val="BookText"/>
        <w:rPr/>
      </w:pPr>
      <w:bookmarkEnd w:id="575"/>
      <w:r>
        <w:rPr>
          <w:rFonts w:ascii="Amiri" w:hAnsi="Amiri" w:eastAsia="Amiri" w:cs="Amiri"/>
          <w:color w:val="111111"/>
          <w:sz w:val="28"/>
          <w:sz w:val="28"/>
          <w:szCs w:val="28"/>
          <w:rtl w:val="true"/>
          <w:lang w:bidi="ar-SA"/>
        </w:rPr>
        <w:t xml:space="preserve">ولا نريد أن نطيل النّقاش في مثل هذا التّحليل الذي يتماهى مع العديد من المسائل التي جاءت في المقالة، والتي تجانب التّفسير الواقعيّ لجوهر الرّسالة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بعين الاعتبار العامل الغيبي والتّاريخي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وتسقط في تفسيراتٍ وضعيّةٍ تستغرق في أغلب الأحيان في نظريّة العامل الواحد، التي أثبت الفكر الإسلامي بطلانها وقصورها عن تفسير الظواهر الاجتماعية والتاريخية،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جنح جمهورٌ من الكتّاب والمفكّرين إلى تفسير المجتمع والتّاريخ بعاملٍ واحدٍ من العوامل المؤثّرة في دنيا الإنسان؛ إذ يعتبرونه المفتاح السّحري الذي يفتح مغاليق الأسرار، ويمتلك الموقف الرّئيسي في عمليّات التّاريخ، ويفسّرون العوامل الأخرى على أنّها مؤثّراتٌ ثانويّة، تتبع العامل الرئيسي في وجودها وتطوّرها وتقلبها واستمرارها</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6" w:name="__RefHeading___Toc935853_2870459653"/>
      <w:bookmarkStart w:id="577" w:name="_Toc218"/>
      <w:bookmarkEnd w:id="576"/>
      <w:r>
        <w:rPr>
          <w:rtl w:val="true"/>
        </w:rPr>
        <w:t>المبحث الثالث</w:t>
      </w:r>
      <w:r>
        <w:rPr>
          <w:rtl w:val="true"/>
        </w:rPr>
        <w:t xml:space="preserve">: </w:t>
      </w:r>
      <w:r>
        <w:rPr>
          <w:rtl w:val="true"/>
        </w:rPr>
        <w:t>النظريّة القرآنيّة في التَّعدّديّة الدّينيّة بين الوهم والحقيقة</w:t>
      </w:r>
      <w:r>
        <w:rPr>
          <w:rtl w:val="true"/>
        </w:rPr>
        <w:t>:</w:t>
      </w:r>
      <w:bookmarkEnd w:id="577"/>
    </w:p>
    <w:p>
      <w:pPr>
        <w:pStyle w:val="BookText"/>
        <w:rPr/>
      </w:pPr>
      <w:r>
        <w:rPr>
          <w:rFonts w:ascii="Amiri" w:hAnsi="Amiri" w:eastAsia="Amiri" w:cs="Amiri"/>
          <w:color w:val="111111"/>
          <w:sz w:val="28"/>
          <w:sz w:val="28"/>
          <w:szCs w:val="28"/>
          <w:rtl w:val="true"/>
          <w:lang w:bidi="ar-SA"/>
        </w:rPr>
        <w:t>بعد أن استغرقت الباحثتان طويلًا، في بحث المفردات، والمجتمعات الدّينيّة وتفاعلاتها في القرآن، خصّصت القسم الأصغر من المقالة للإجابة عن الإشكال الرئيسي للمقالة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للقرآن موقف من التّعدّديّة الدّينيّة؟ وما هو؟</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النتائج دائمًا تتبع أخصّ المقدّمات، فمن الطّبيعي أن نصل في نهاية المطاف إلى طريقٍ مسدودٍ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ضوء التّمشّي الذي سلكته الباحثتان في القسمين الأوّل والثاني من الدّراسة، وبالنّظر إلى كلّ ذلك الرّكام من الإشكالات الفنّيّة والمنهجيّة والمضمونيّة التي رصدناها، كان من الطبيعي ألّا نبلغ نتيجةً دقيقةً وحاسمةً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يتجلّى بوضوحٍ في التّردّدات والتّناقضات التي تضمّنها هذا 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تصرّح الكاتبتان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موقفٌ قرآنيٌّ واحدٌ من الأديان الأخرى</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xml:space="preserve">، ومرة ثانية تصرّح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حكمٌ قرآنيٌّ حيال التّعدّديّة الدّينيّة</w:t>
      </w:r>
      <w:r>
        <w:rPr>
          <w:rFonts w:eastAsia="Amiri" w:cs="Amiri" w:ascii="Amiri" w:hAnsi="Amiri"/>
          <w:color w:val="111111"/>
          <w:sz w:val="28"/>
          <w:szCs w:val="28"/>
          <w:rtl w:val="true"/>
          <w:lang w:bidi="ar-SA"/>
        </w:rPr>
        <w:t>»</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ثالثة تعتبر أنّ بعض الموضوعات القرآنيّة المرتبطة بالأديان الأخرى تعبّر عن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لشرعيّة التّعدّديّة الدّينيّة النّاتجة عنها</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ويبدو أنّ الذي عقّد مهمّة الباحثتين أكثر، أنّ جوهر إشكاليّة المقالة تنبع من دراسةٍ قرآنيّةٍ لمفهومٍ معاصرٍ، تبلور حديثًا في الفكر الغربي، واللّاهوت المسيحي بالخصوص، وهكذا دراسة تتطلّب الكثير من التّدقيق في فهم سياقات النّصّ، وحقوله الدّلاليّة، وتنقيح منهج واضح في فهم الآيات القرآنيّة واستنطاقها، وتفسير بعضها في ضوء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يصدّق بعضه بعضًا ويفسّر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لاستكشاف الموقف القرآنيّ، حتى لا نتورّط في إسقاطاتٍ بعيدةٍ عن روح النّصّ أو رؤية تجزيئيّة تضّيق الرّؤية القرآنيّة في دائرة دلالات بعض آياته في الموضوع دون غيرها، أو نتورّط في توهّم التّناقض والتّهافت بين ظواهر الآيات كما حصل للباحثتين على ما يبدو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الموقف التّقييميّ القلق والمضطرب للنظريّة القرآنيّة في التعدّديّة الدّينيّة جاء محفوفًا بالكثير من الاشتبهات والمصادرات كالنّظرة الاتّهاميّة لمصنّفى الملل والنحل، والنّظرة الاتّهاميّة للمفسّرين وتكريسهم لرؤيةٍ بعيدةٍ عن القرآن، موقف القرآن من العقاب الأخروي لغير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 المسار أيضًا بقراءةٍ خاطئةٍ للموقف العملي الذي يوجّه الإسلام المسلمين له في التّعاطي مع الأديان الأخرى؛ حيث يبلغ الوهم مداه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المفسّرين المتأخرين يميلون لتصنيف غير المسلمين، كلّهم حتى أهل الكتاب في هذه الخانة مما شجّع على تفسير القرآن على أنّه يمكن أن يؤيّد موقفًا عدائيّا تجاه غير المسلمين وحتى تجاه المسلمين الذين لا يعتبرون مسلمين صالحين</w:t>
      </w:r>
      <w:r>
        <w:rPr>
          <w:rFonts w:eastAsia="Amiri" w:cs="Amiri" w:ascii="Amiri" w:hAnsi="Amiri"/>
          <w:color w:val="111111"/>
          <w:sz w:val="28"/>
          <w:szCs w:val="28"/>
          <w:rtl w:val="true"/>
          <w:lang w:bidi="ar-SA"/>
        </w:rPr>
        <w:t>»</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تكون المعالجة التي نطرحها في هذا المبحث قائمةً على ركنين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لمحةً عن الرؤية القرآنيّة حول التعدّديّة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أهم المصادرات المعتمدة</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القرآنيّة حول التعدّديّة لما كان المقام لا يسمح بالطّرح </w:t>
      </w:r>
    </w:p>
    <w:p>
      <w:pPr>
        <w:pStyle w:val="BookText"/>
        <w:rPr/>
      </w:pPr>
      <w:r>
        <w:rPr>
          <w:rFonts w:ascii="Amiri" w:hAnsi="Amiri" w:eastAsia="Amiri" w:cs="Amiri"/>
          <w:color w:val="111111"/>
          <w:sz w:val="28"/>
          <w:sz w:val="28"/>
          <w:szCs w:val="28"/>
          <w:rtl w:val="true"/>
          <w:lang w:bidi="ar-SA"/>
        </w:rPr>
        <w:t>التّفصيلي، سنكتفي بعرض أصول الرّؤية القرآنيّة ومحدّدات النّظرية القرآنيّة للأديان والتّعدّد الدّيني وأسس منظومته الأخلاقيّة والسّلوكيّة في التّعامل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وسنمهّد لذلك كلّه بتوضيحاتٍ حول أطروحة التّعدّديّة الدّينيّة ونبذةٍ عن تاريخها، حتى لا نقع فيما وقعت فيه المقالة من خللٍ منهجيٍّ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فاستكشاف النّظريّة القرآنيّة في مثل هذه الموضوعات ينطلق من إحاطةٍ بالقضيّة المعاصرة والفهم الدّقيق لأبعادها وأسئلتها التي يفرضها ،واقعها ثم القدوم على القرآن الكريم لنعرض تلك التساؤلات محاولين استنطاقه ومحاورته حول كلّ تلك القضايا والإشكالات ونسعى للإنصات في حيادٍ لكلّ المضامين القرآنيّة، عسانا ندرك جوابه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والجذور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 تعني التنوع والتكثّر، ولكلمة التَّعدّديّة معان كثيرةٌ ومختلفةٌ، تختلف باختلاف 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تعدّديّة فلسفية، تعدّديّة سياسيّة، تعدّديّة ثقافيّة، تعدّديّة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الجملة هو المذهب الذي يتقبّل التّنوّع والكثرة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الفلسفة تطلق التّعدّديّة على القول بوجود كائناتٍ متعدّدةٍ يتكوّن منها العالم، متناقضةً في ذلك مع الواحديّة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nomism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التي تردّ كل الكائنات إلى جوهرٍ أو مبدأٍ واحدٍ وضدّ الثّنائيّة التي تُرجع العالم إلى مبدأين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التَّعدّديّة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مفهومٌ كرّسته الليبراليّة، وهو يتجلّى في التّكتّلات والتّشكيلات الحزبيّة المتنوّعة في الانتخابات في مختلف مستوياتها الرئاسيّة أو البرلمانيّة أو المحليّة، بحيث تتشكّل الحكومات والمجالس المحليّة بهيئاتٍ تمثل كلّ الاتّجاهات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التعدّديّة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باستقراء الأديان، نرى أنّ الانحصاريّة في الحقّانيّة والخلاص الفكرة الطّاغية على جميع المتديّنيين، فالاعتقاد الشّائع بأنّ الحقيقة والخلاص في الدنيا والآخرة يتحقّقان في دينٍ واحدٍ فقط، هو الصّراط المستقيم، وربّما استوحى البعض من القرآن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على لسان يسوع في إنجيل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هو الطريق والحقّ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يأتي إلى الأب إلا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إنجيل يوحنا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اللّاهوت المسيحي والكنائس عمومًا، وخصوصًا الكنيسة الكاثوليكيّة، تلتزم هذه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خلاص خارج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تجاوزت هذه النّظرة في المجمع الفاتيكاني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سنة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أعلنت الكنيسة أنّه يمكن تعلّم الحقائق الأساسيّة من دياناتٍ أخرى، وبرّأت في هذا المجمع اليهود من دم المسيح</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التّطوّر في الموقف الكنسيّ الرسميّ من الأديان الأخرى، عمّق وساند جهود العديد من المفكّرين وفلاسفة الدين ورجالات اللّاهوت الذين بادروا بطرح تصوّراتٍ جديدةٍ في تفسير التَّنوّع الدّينيّ، ومصير المخالفين، وطبيعة الموقف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برز رموزٌ عدَّة من رجال اللّاهوت الغربي، وكلّ منهم وضع لبنةً في بناء عقيدة لاهوت الأديان، مساوين بين المسيحيّة وبقيّة الأديان، نذكر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إرنست ترولتش، وهو صاحب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المسيحيّة لا تمتلك فكرة الحقيقة المطلقة</w:t>
      </w:r>
      <w:r>
        <w:rPr>
          <w:rFonts w:eastAsia="IRNazanin" w:cs="IRNazanin"/>
          <w:color w:val="111111"/>
          <w:sz w:val="28"/>
          <w:szCs w:val="28"/>
          <w:rtl w:val="true"/>
          <w:lang w:bidi="fa-IR"/>
        </w:rPr>
        <w:t>» (</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eastAsia="IRNazanin" w:cs="IRNazanin"/>
          <w:color w:val="111111"/>
          <w:sz w:val="28"/>
          <w:szCs w:val="28"/>
          <w:lang w:bidi="fa-IR"/>
        </w:rPr>
        <w:t>1923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کارل بارت </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فكرة أنّ الدين يمثل جهدًا بشريًّا لمعرفة الله، ولذلك كلّ دينٍ يحوي صورًا مشوّهةً وأصنامًا بعيدةً عن الله؛ كارل راهنر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فكرة أنّ الأديان الأخرى تحتوي على قيمٍ أخلاقيّةٍ، وروحيّة وثقافيةٍ، فيمكن أن تكون طريقًا لخلاص أتباعها جاك ديبوي، وهو صاحب فكرة أنّ السيد المسيح حاضرٌ وفاعلٌ في كلّ الأديان، فهو يخصّ كلّ الأديان، بل كلّ الأديان خاصّته؛ وأشهر هؤلاء جان هيك </w:t>
      </w: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_</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يرى لكلّ دينٍ خصوصيّته وطريقته المستقلّة فى الوصول إلى السّعادة، ولكن بما أنّ هدف جمیع الأديان واحدٌ، وجميعها تسعى للوصول إلى الحقيقة ومقصدها واحد، لذلك فجميع الأديان يمكن أن تكون على حق، فالأديان هي طرقٌ ومسالكٌ ومشاربٌ إلى نبعٍ واحدٍ ويقرّب الفكرة من خلال مثال في علم الفلك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كانت على مدى قرونٍ طويلةٍ هي المحور الذي يدور حولها العالم وفق النّظريّة البطلوميّة القديمة، بينما الحقيقة خلاف ذلك، وذلك كان مجرّد تصوّرٍ إنسانيٍّ للقضيّة، ومن ثم ظهر أنّ المحور شيء آخر، والأرض جزء من منظومةٍ تدور حول هذا المحور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مجال </w:t>
      </w:r>
    </w:p>
    <w:p>
      <w:pPr>
        <w:pStyle w:val="BookText"/>
        <w:rPr/>
      </w:pPr>
      <w:r>
        <w:rPr>
          <w:rFonts w:ascii="Amiri" w:hAnsi="Amiri" w:eastAsia="Amiri" w:cs="Amiri"/>
          <w:color w:val="111111"/>
          <w:sz w:val="28"/>
          <w:sz w:val="28"/>
          <w:szCs w:val="28"/>
          <w:rtl w:val="true"/>
          <w:lang w:bidi="ar-SA"/>
        </w:rPr>
        <w:t xml:space="preserve">الدين الأمر كذلك، كان المتديّنون وعلى مدى قرونٍ يتصوّرون أنّ دينهم هو محور الحقيقة، وأنّه السّبيل الوحيد للوصول إليها، وأنّ السّبل الأخرى لا بدّ أن تدور في فلك دينهم، ووجدنا الآن أنّ المحور هو أمرٌ آخر ، هو الحقيقة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تسعى جميع الأديان والمذاهب للوصول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استفاد جون هيك في مقاربته للتعدّديّة الدّينيّة من نسبيّة الفيلسوف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تميّز بين الشّيء في ذاته والشَّيء لذاتنا، وبناء عليه فالحقيقة الدّينيّة واحدةً، لكنّها تتمظهر لدى كلّ فردٍ وجماعةٍ بشكلٍ يختلف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وتفاعلت هذه الأطروحة في السّاحات العالميّة وتبنّاها في السّاحة الفكريّة الإسلاميّة مناصورن وعاداها مخالفون ودارت سجالاتٌ بين هؤلاء، سعى كلّ طرفٍ فيها إلى أن ينتصر لرأيه، وقُدّمت قراءاتٌ قرآنيّةٌ تدعم هذه النّظريّة، من ذلك جمال البنّا في مصر، وعبد الكريم سروش في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الصراطات المستقيمة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والدكتور حسين نصر، بالمقابل أدلى المعارضون بدلوهم وقدّموا احتجاجاتٍ قرآنيّةً لإبطال هذه النّظريّة كالشّيخ السّبحاني والشيخ جوادي آملي في السّاحة الإيرانية والمدرسة الإسلاميّة التقليديّة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هذه الدّراسة النّقديّة لسنا بصدد استكشاف النّظريّة وعرضها عرضًا كاملًا، وإنّما أردنا أن نلفت الأنظار إلى خصوصيّات الرّؤية القرآنيّة ومنهجيّتها المغايرة ولذلك سنكتفي ببيان بعض النّقاط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الإطار الفكريّ العام القاعدة الفكريّة الأساسيّة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العقائديّة للتعدّديّة في القرآن</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الضّوابط التّشريعيّة والأخلاقيّة</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الإطار العام للموقف من الأديان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لا يتعامل مع مثل هذه القضايا الكبرى في التّاريخ، كالموقف من الأديان بخفّة وانفعالاتٍ تتغيّر وفق الظّروف السّياسيّة، كما أشارت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رؤيته الوجوديّة ومفهومه </w:t>
      </w:r>
    </w:p>
    <w:p>
      <w:pPr>
        <w:pStyle w:val="BookText"/>
        <w:rPr/>
      </w:pPr>
      <w:r>
        <w:rPr>
          <w:rFonts w:ascii="Amiri" w:hAnsi="Amiri" w:eastAsia="Amiri" w:cs="Amiri"/>
          <w:color w:val="111111"/>
          <w:sz w:val="28"/>
          <w:sz w:val="28"/>
          <w:szCs w:val="28"/>
          <w:rtl w:val="true"/>
          <w:lang w:bidi="ar-SA"/>
        </w:rPr>
        <w:t>الفلسفي للكون والحياة والإنسان والتّاريخ، وهو يقدّم موقفه من التّنوّع الدِّيني في سياق هذه الرّؤية الكونيّة وعلى أساس فلسفته للتاريخ والحضارة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الإنساني المشترك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فآيات كثيرةً أكّدت أنّ البشر أصلهم نفسٌ واحدةٌ، ينحدون من أبٍ وأمًّ واحدةٍ، وهم أخوة في الخلق والإنسانيّة، وينتمون إلى إلهٍ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أَنْشَأَكُمْ مِنْ نَفْسٍ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وَقَبَابِلَ لِتَعَارَفُوا إِنَّ أَكْرَمَكُمْ عِنْدَ اللَّهِ أَتْقَاكُمْ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الحجرات،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الَّذِى خَلَقَكُمْ مِنْ نَفْسٍ وَاحِدَةٍ وَخَلَقَ مِنْهَا زَوْجَهَا وَبَثَّ مِنْهُمَا رِجَالًا كَثِيرًا وَنِسَاءً وَاتَّقُوا اللهَ الَّذِي تَسَاءَلُونَ بِهِ وَالْأَرْحَامَ إِنَّ اللَّهَ كَانَ عَلَيْكُمْ رَقِيبًا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الزمر،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القرآن عن هذا الأصل المشترك بآياتِ تحدّثت عن الأمّة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جماعة يجمعها مقصدٌ واحدٌ والخطاب في الآية على ما يشهد به سياق الآيات خطابٌ عامٌ يشمل جميع الأفراد المكلّفين من الإنسان والمراد بالأمّة النّوع الإنساني</w:t>
      </w:r>
    </w:p>
    <w:p>
      <w:pPr>
        <w:pStyle w:val="BookText"/>
        <w:rPr/>
      </w:pPr>
      <w:r>
        <w:rPr>
          <w:rFonts w:ascii="Amiri" w:hAnsi="Amiri" w:eastAsia="Amiri" w:cs="Amiri"/>
          <w:color w:val="111111"/>
          <w:sz w:val="28"/>
          <w:sz w:val="28"/>
          <w:szCs w:val="28"/>
          <w:rtl w:val="true"/>
          <w:lang w:bidi="ar-SA"/>
        </w:rPr>
        <w:t xml:space="preserve">الذي هو نوعٌ واحدٌ وتأنيث الإشارة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لتأنيث الخبر</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التّنوّع البشريّ والتّعدّديّة في اللّون واللّسان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خَلْقُ السَّمَاوَاتِ وَالْأَرْضِ وَاخْتِلَافُ أَلْسِنَتِكُمْ وَأَلْوَانِكُمْ إِنَّ فِي ذَلِكَ لَآيَاتٍ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الروم،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سنّة من سنن الخلق والإيجاد وآية من آيات الإبداع الإلهيّ كخلق السّموات والأرض واختلاف الليل والنهار،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الجاثية،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المجتمع الدّيني الإنساني الأوّل وحتميّة الاختلاف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يَهْدِى مَنْ يَشَاءُ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مركزيّة في توضيح فلسفة الوحدة الدّينيّة الأصليّة للمجتمع الإنساني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التّوحيد كما جاء في الرّوايات، وإنّ الاختلافات ليس منها فكاك فهي حتميّةً تفرضها طبيعة الإنسان ككائنٍ عاقلٍ ومريدٍ ومختارٍ، وكائنٍ اجتماعيٍّ تفرض عليه الحياة الاجتماعيّة تضارب المصالح، مما يتطلّب تنظيم الصّدام الذي يقود إليه هذا التّناقض وشرعنته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وعبّرت آيات عدّة عن سننيّة الاختلاف الدّيني، والحكمة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نوَمَا كَانَ النَّاسُ إِلَّا أُمَّةٌ وَاحِدَةٌ فَاخْتَلَفُوا وَلَوْلَا كَلِمَةٌ سَبَقَتْ مِنْ رَبِّكَ لَقُضِيَ بَيْنَهُمْ فِيمَا فِيهِ يَخْتَلِفُونَ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لَجَعَلَ النَّاسَ أُمَّةٌ وَاحِدَةٌ وَلَا يَزَالُونَ مُخْتَلِفِينَ إِلَّا مَنْ رَحِمَ رَبُّكَ وَلِذَلِكَ خَلَقَهُمْ وَتَمَّتْ كَلِمَةُ رَبِّكَ لَأَمْلَأَنَّ جَهَنَّمَ مِنَ الْجِنَّةِ وَالنَّاسِ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هود الآيتان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لَجَعَلَكُمْ أُمَّةٌ وَاحِدَةً وَلَكِنْ يُضِلُّ مَنْ يَشَاءُ وَيَهْدِي مَنْ يَشَاءُ وَلَتُسْأَلُنَّ عَمَّا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لَجَعَلَهُمْ أُمَّةً وَاحِدَةٌ وَلَكِنْ يُدْخِلُ مَنْ يَشَاءُ فِي رَحْمَتِهِ وَالظَّالِمُونَ مَا لَهُمْ مِنْ وَلِيّ وَلَا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الشورى،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وإحدى مشكلات المقالة أنّها أغفلت هذه البنية التّحتيّة لأطروحة التّعدّديّة الدّينيّة في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العقائديّة لتعدّد الأديان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أركان العقيدة الإسلاميّة التي بشّر بها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بالرّسل والأنبياء وعدم التّفريق بينهم، كما نصّت الآيات على أنّ دين الله واحدٌ، وأنّه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رسالات الأنيبياء جميعًا مهما اختلفت تسمياتهم التّاريخيّة وانتماءاتهم الاجتماعيّة والقبليّة هي الإسلام الذي يتناغم مع تسليم الكون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دِينِ اللَّهِ يَبْغُونَ وَلَهُ أَسْلَمَ مَنْ فِي السَّمَاوَاتِ وَالْأَرْضِ طَوْعًا وَكَرْهًا وَإِلَيْهِ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بنا استعراض الآيات المرتبطة بهذا الأصل، عند مناقشة المقالة في تعريف الإسلام والتمييز بين الإسلام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نورد هنا فقط الآيات النّاهية عن التفريق بين 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وَالْمُؤْمِنُونَ كُلٌّ آمَنَ بِاللَّهِ وَمَلَابِكَتِهِ وَكُتُبِهِ وَرُسُلِهِ لَا نُفَرِّقُ بَيْنَ أَحَدٍ مِنْ رُسُلِهِ وَقَالُوا سَمِعْنَا وَأَطَعْنَا غُفْرَانَكَ رَبَّنَا وَإِلَيْكَ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بِاللَّهِ وَرُسُلِهِ وَلَمْ يُفَرِّقُوا بَيْنَ أَحَدٍ مِنْهُمْ أُولَبِكَ سَوْفَ يُؤْتِيهِمْ أُجُورَهُمْ وَكَانَ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يَكْفُرُونَ بِاللَّهِ وَرُسُلِهِ وَيُرِيدُونَ أَنْ يُفَرِّقُوا بَيْنَ اللَّهِ وَرُسُلِهِ وَيَقُولُونَ نُؤْمِنُ بِبَعْضٍ وَنَكْفُرُ بِبَعْضٍ وَيُرِيدُونَ أَنْ يَتَّخِذُوا بَيْنَ ذَلِكَ سَبِيلًا أُولَبِكَ هُمُ الْكَافِرُونَ حَقًّا وَأَعْتَدْنَا لِلْكَافِرِينَ عَذَابًا مُهِينًا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الآيتان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عالميّة الإسلام عموديّة وأفقيّة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التي أكّدت على كونيّة الإسلام وعالميّته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تمحّض النّبوّات السّابقة في الإسلام فكلّ الأنياء دعوا إلى التّسليم لله والإقرار له بالوحدانيّة والعبوديّة، ويدلّ أيضًا على عموميّة رسالة الإسلام أنّه الدّين الإلهي الأخير لكلّ البشر، وأنّ النّبيّ محمد صلی الله علیه و آله و سلم وريث النّبوّات وخاتم الأنبياء، وأنّ القرآن كتابٌ عالمیٌّ مهيمنٌ على الرّسالات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 بَشِيرًا وَنَذِيرًا وَلَكِنَّ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سبأ،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الدّالّة على عالميّة القرآن الكريم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إبراهيم،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ص،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الدّين وتنوّع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الالتقاء عبر التاريخ بين الأمم حول دين واحدٍ، لا يلغي تعدّد المناهج والشّرائع، وهذا ما نصّ عليه القرآن في آياتٍ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جَعَلْنَا مَنْسَكًا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وِجْهَهُ هُوَ مُوَلّيهَا فَاسْتَبِقُوا 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الأمم الغابرة أتباع الدّيانات السّابقة على سبيل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هذا المعتقد الرّاسخ لمفهوم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الدّيانات السّابقة في عصرها حقّانيّة وأتباعها على سبيل نجاة وقد دلّت على ذلك آياتٌ عديدةٌ منها الآيات التي مرّت سابقا في بحث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السّياق يرفض القرآن الكريم منطق انحصاريّة الهداية التي يدّعيها </w:t>
      </w:r>
    </w:p>
    <w:p>
      <w:pPr>
        <w:pStyle w:val="BookText"/>
        <w:rPr/>
      </w:pPr>
      <w:r>
        <w:rPr>
          <w:rFonts w:ascii="Amiri" w:hAnsi="Amiri" w:eastAsia="Amiri" w:cs="Amiri"/>
          <w:color w:val="111111"/>
          <w:sz w:val="28"/>
          <w:sz w:val="28"/>
          <w:szCs w:val="28"/>
          <w:rtl w:val="true"/>
          <w:lang w:bidi="ar-SA"/>
        </w:rPr>
        <w:t>بعض أتباع الدّيانات، كما يرفض منطق انحصاريّة النّجاة والخلاص، ويؤكّد أنّ الله وحده سبحانه هو الذي يفصل بين النّاس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لَيْسَتِ النَّصَارَى عَلَى شَيْءٍ وَقَالَتِ النَّصَارَى لَيْسَتِ الْيَهُودُ عَلَى شَيْءٍ وَهُمْ يَتْلُونَ الْكِتَابَ كَذَلِكَ قَالَ الَّذِينَ لَا يَعْلَمُونَ مِثْلَ قَوْلِهِمْ فَاللَّهُ يَحْكُمُ بَيْنَهُمْ يَوْمَ الْقِيَامَةِ فِيمَا كَانُوا فِيهِ يَخْتَلِفُونَ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يَدْخُلَ الْجَنَّةَ إِلَّا مَنْ كَانَ هُودًا أَوْ نَصَارَى تِلْكَ أَمَانِيُّهُمْ قُلْ هَاتُوا بُرْهَانَكُمْ إِنْ كُنتُمْ صَادِقِينَ بَلَى مَنْ أَسْلَمَ وَجْهَهُ لِلَّهِ وَهُوَ مُحْسِنٌ فَلَهُ أَجْرُهُ عِنْدَ رَبِّهِ وَلَا خَوْفٌ عَلَيْهِمْ وَلَا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الآيتان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كَانَتْ لَكُمُ الدَّارُ الْآخِرَةُ عِنْدَ اللهِ خَالِصَةٌ مِنْ دُونِ النَّاسِ فَتَمَنَّوُا الْمَوْتَ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الضّوابط السلوكيّة الأخلاقيّة والتّشريعات 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القاعدة الفكريّة المركزيّة للتعدّديّة وأصولها الاعتقاديّة، تتفرّع مجموعةً من الضّوابط السلوكيّة الأخلاقيّة والتّشريعات العمليّة الفرديّة والمجتمعيّة التي نادى بها القرآن، ومن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حريّة العقيدة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إِكْرَاهَ فِي الدِّينِ قَدْ تَبَيَّنَ الرُّشْدُ مِنَ الْغَيِّ فَمَنْ يَكْفُرْ بِالطَّاغُوتِ وَيُؤْمِنْ بِاللَّهِ فَقَدِ اسْتَمْسَكَ بِالْعُرْوَةِ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لَآمَنَ مَنْ فِي الْأَرْضِ كُلُّهُمْ جَمِيعًا أَفَأَنْتَ تُكْرِهُ النَّاسَ حَتَّى يَكُونُوا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الْحَقُّ مِنْ رَبِّكُمْ فَمَنْ شَاءَ فَلْيُؤْمِنْ وَمَنْ شَاءَ فَلْيَكْفُرْ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الكيف، الآية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الدعوة إلى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مخطابة الآخر يدعو القرآن لاعتماد استراتيجيّة الحوار</w:t>
      </w:r>
    </w:p>
    <w:p>
      <w:pPr>
        <w:pStyle w:val="BookText"/>
        <w:rPr/>
      </w:pPr>
      <w:r>
        <w:rPr>
          <w:rFonts w:ascii="Amiri" w:hAnsi="Amiri" w:eastAsia="Amiri" w:cs="Amiri"/>
          <w:color w:val="111111"/>
          <w:sz w:val="28"/>
          <w:sz w:val="28"/>
          <w:szCs w:val="28"/>
          <w:rtl w:val="true"/>
          <w:lang w:bidi="ar-SA"/>
        </w:rPr>
        <w:t>والجدال بالتي هي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الْكِتَابِ إِلَّا بِالَّتِي هِيَ أَحْسَنُ إِلَّا الَّذِينَ ظَلَمُوا مِنْهُمْ وَقُولُوا آمَنَّا بِالَّذِى أُنْزِلَ إِلَيْنَا وَأُنْزِلَ إِلَيْكُمْ وَالهُنَا وَإِلَهُكُمْ وَاحِدٌ وَنَحْنُ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العنكبوت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ويتجلّى واضحًا من الآيتين الأوليين، التّوجيه نحو الالتقاء على المشترك الدّيني لتوسيع قاعدة الحوار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وعبادة الله الواحد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الأولى، وفي الآية الثانية الإيمان بالمشترك الرسولي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إلينا وأنزل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والإله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إلى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 لِلسَّلْمِ فَاجْنَحْ لَهَا وَتَوَكَّلْ عَلَى اللَّهِ إِنَّهُ هُوَ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 وَلَا تَتَّبِعُوا خُطُوَاتِ الشَّيْطَانِ إِنَّهُ لَكُمْ عَدُوٌّ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اعْتَزَلُوكُمْ فَلَمْ يُقَاتِلُوكُمْ وَأَلْقَوْا إِلَيْكُمُ السَّلَمَ فَمَا جَعَلَ اللهُ لَكُمْ عَلَيْهِمْ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النهي عن سبّ مقدّسات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 كَذَلِكَ زَيَّنَّا لِكُلِّ أُمَّةٍ عَمَلَهُمْ ثُمَّ إِلَى رَبِّهِمْ مَرْجِعُهُمْ فَيُنَبِّئُهُمْ بِمَا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هَادُوا وَالصَّابِبِينَ وَالنَّصَارَى وَالْمَجُوسَ وَالَّذِينَ أَشْرَكُوا إِنَّ اللَّهَ يَفْصِلُ بَيْنَهُمْ يَوْمَ الْقِيَامَةِ إِنَّ اللَّهَ عَلَى كُلِّ شَيْءٍ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إلى الوحدة وعدم التّفريق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الذِينَ وَلَا تَتَفَرَّقُوا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الشورى،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فَرَّقُوا دِينَهُمْ وَكَانُوا شِيَعًا لَسْتَ مِنْهُمْ فِي شَيْءٍ إِنَّمَا أَمْرُهُمْ إِلَى اللَّهِ ثُمَّ يُنَبِّئُهُمْ بِمَا كَانُوا 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مُنِيبِينَ إِلَيْهِ وَاتَّقُوهُ وَأَقِيمُوا الصَّلاةَ وَلَا تَكُونُوا مِنَ الْمُشْرِكِينَ مِنَ الَّذِينَ فَرَّقُوا دِينَهُمْ وَكَانُوا شِيَعًا كُلُّ حِزْبٍ بِمَا لَدَيْهِمْ فَرِحُونَ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الروم، الآيتان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المصادرات والاشتباهات</w:t>
      </w:r>
    </w:p>
    <w:p>
      <w:pPr>
        <w:pStyle w:val="BookText"/>
        <w:rPr/>
      </w:pPr>
      <w:r>
        <w:rPr>
          <w:rFonts w:ascii="Amiri" w:hAnsi="Amiri" w:eastAsia="Amiri" w:cs="Amiri"/>
          <w:color w:val="111111"/>
          <w:sz w:val="28"/>
          <w:sz w:val="28"/>
          <w:szCs w:val="28"/>
          <w:rtl w:val="true"/>
          <w:lang w:bidi="ar-SA"/>
        </w:rPr>
        <w:t>لم تخلو المقالة خلال استعراض النّظرة القرآنيّة للتعدّديّة والتّوجيه السّلوكيّ للمسلمين من أحكامٍ، وأفكارٍ مسبقةٍ بحاجةٍ إلى مراجعةٍ عميقةٍ، ورومًا للاختصار وحتى لا يطول بنا المقام أكثر، نردّ بعجالةٍ على هذه الأحكام والمواقف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مرّة أخرى يُطيح بالموضوعيّة والرّؤية المتوازنة، ففي نقدها للنّزعة الجدليّة في كتب الملل والنّحل تطلق الباحثتان حكمًا عامًا، يتّهم كلّ مصنّفات الملل والنّحل برفض، لا الآخر الديني فقط، ولكن الآخر المذهبي أيضًا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التّحيّز المذهبي يغلب على كثيرٍ من مصنّفات الملل والنّحل، لكنّ الباحث المنصف لا يمكن إلّا أن يشيد بجهود علماء الكلام الإسلامي ومساهمتهم التّأسيسيّة لعلم الأديان المقارن، وقد اعترف الكثير من المستشرقين بهذه الجهود ونوّهوا بالمصنّفات المميّزة التي نأت بنفسها عن الأسلوب الجدلي، وغلب على </w:t>
      </w:r>
    </w:p>
    <w:p>
      <w:pPr>
        <w:pStyle w:val="BookText"/>
        <w:rPr/>
      </w:pPr>
      <w:r>
        <w:rPr>
          <w:rFonts w:ascii="Amiri" w:hAnsi="Amiri" w:eastAsia="Amiri" w:cs="Amiri"/>
          <w:color w:val="111111"/>
          <w:sz w:val="28"/>
          <w:sz w:val="28"/>
          <w:szCs w:val="28"/>
          <w:rtl w:val="true"/>
          <w:lang w:bidi="ar-SA"/>
        </w:rPr>
        <w:t xml:space="preserve">طابعها المنهج الوصفي، وجاء في الموسوعة البريطانية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إشادة بجهود المسلمين في دراسة الأديان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Meanwhile, Islamic theology had an impact on western Christianity, notably upon medieval Scholastic philosophy, in which the values of both reason and revelation were maintained. Muslim</w:t>
      </w:r>
    </w:p>
    <w:p>
      <w:pPr>
        <w:pStyle w:val="BookText"/>
        <w:rPr/>
      </w:pPr>
      <w:r>
        <w:rPr>
          <w:rFonts w:eastAsia="Times New Roman" w:cs="Times New Roman" w:ascii="Times New Roman" w:hAnsi="Times New Roman"/>
          <w:color w:val="111111"/>
          <w:sz w:val="28"/>
          <w:szCs w:val="28"/>
          <w:lang w:val="en-US" w:bidi="en-US"/>
        </w:rPr>
        <w:t>knowledge of other religions was in advance of European knowledge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ed.1998.Chicag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رابط المادة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//iswy.co/el1mmt</w:t>
      </w:r>
    </w:p>
    <w:p>
      <w:pPr>
        <w:pStyle w:val="BookText"/>
        <w:rPr/>
      </w:pPr>
      <w:r>
        <w:rPr>
          <w:rFonts w:ascii="Amiri" w:hAnsi="Amiri" w:eastAsia="Amiri" w:cs="Amiri"/>
          <w:color w:val="111111"/>
          <w:sz w:val="28"/>
          <w:sz w:val="28"/>
          <w:szCs w:val="28"/>
          <w:rtl w:val="true"/>
          <w:lang w:bidi="ar-SA"/>
        </w:rPr>
        <w:t xml:space="preserve">حيث تنوّه الموسوعة بسبق المسلمين لدراسة الأديان، وبالجمع بين العقل والوحي عند المتكلمين المسلمين في هذه الدّراسة، الأمر الذي تفتقده الدّراسات الغربيّة للأديان، وها هو المستشرق آدم متز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Adam Mez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يرى أنّ الحسن بن موسى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الآراء والديانات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رائدًا في التاريخ الإنساني في حقل دراسة الأديان ويقول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 أوّل كتاب له شأنُ في الآراء والدّيانات</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وأشاد المستشرقون بجهود بعض المصنّفات المميّزة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دراسة النّصرانيّة وكتاب المقالات في أصول الديانات للمسعودي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وكتاب المقالات لأبي عيسى الوراق،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للهند من مقولة مقبولة في العقل أو مرذولة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الريحان البيروني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خاص بديانات الهند وله كتاب خاص باليهودية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الباقية عن 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وأطرى آدم متز كتاب ما للهند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وجعله كتاب حكاية لمذاهب الهند على وجهها لا كتاب حجاج وجدال ولذلك لم يناقض الخصوم ولم يتحرّج من حكاية كلامهم وإن باين الحقّ فكان هذا الكتاب كتاب بحثٍ </w:t>
      </w:r>
    </w:p>
    <w:p>
      <w:pPr>
        <w:pStyle w:val="BookText"/>
        <w:rPr/>
      </w:pPr>
      <w:r>
        <w:rPr>
          <w:rFonts w:ascii="Amiri" w:hAnsi="Amiri" w:eastAsia="Amiri" w:cs="Amiri"/>
          <w:color w:val="111111"/>
          <w:sz w:val="28"/>
          <w:sz w:val="28"/>
          <w:szCs w:val="28"/>
          <w:rtl w:val="true"/>
          <w:lang w:bidi="ar-SA"/>
        </w:rPr>
        <w:t>علميٍّ نزيهٍ</w:t>
      </w:r>
      <w:r>
        <w:rPr>
          <w:rFonts w:eastAsia="Amiri" w:cs="Amiri" w:ascii="Amiri" w:hAnsi="Amiri"/>
          <w:color w:val="111111"/>
          <w:sz w:val="28"/>
          <w:szCs w:val="28"/>
          <w:rtl w:val="true"/>
          <w:lang w:bidi="ar-SA"/>
        </w:rPr>
        <w:t>»</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هؤلاء كثيرون وقد تصدّى في السّاحة الإسلامية العديد من الأقلام منافحين عن دور المتكلمين المسلمين في تأسيس هذا العلم وأنّه انتقل فيما بعد إلى أوروبا</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تخطئة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تقع هنا المقالة في التّعميم، فتصدر حكمًا يعمّ كلّ المفسّرين الذين اتّهمتهم بالتّذرّع بأنّ الآيات الدّالة على حريّة المعتقد، والمؤيّدة لثقافة التّسامح منسوخة بآيات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وبإيجازٍ تذكر الباحثتين أنّ نسخ هذه الآيات وخاصّة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مسألة خلافيّة بين المفسّرين، وقد ذهب عددٌ منهم إلى أنّ هذه الآية والعديد من الآيات المشابهة هي أبيّةً عن النسخ، وليس لها القابليّة أن تكون منسوخةً إلى جانب وجود بعض العلماء ممّن أنكر أصل النّسخ في القرآن الكريم، كأبي مسلم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المعتزلة ابن جنيد الفقيه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العلماء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والشيخ هبة الدين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والشيح محمد أبو 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والشيخ هادي 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مرتضى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محمد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ومن منظور أصول الرّؤية القرآنيّة لتنوّع الأديان وتعدّدها كما طرحناها لا تعتبر آيات السّيف ناسفةً لتلك الرّؤية، وكيف تنسفها، وقد شيّدت على قاعدة الرّؤية التَّوحيديّة للكون ،والوجود ،والإنسان والحياة، وعلى أساس المقاصد العليا للدين والشّريعة؟ وبالتّالي فهذه الآيات تكمّل الصورة التي عرضناها وتحدّد للمسلمين الموقف من القوى الكافرة المحاربة وهذا رأي قسمٍ كبيرٍ من المفسّرين والفقهاء، فقد اعتبروا أنّ حكم مقاتلة الكفّار ملاكه المحاربة لا الكفر</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شرع الجهاد بالأصل للدفاع عن النّفس ومن المهم أن نذكّر أنّ القرآن الكريم لم يشرّعه في بداية الدّعوة، بل كانت الآيات في فجر الرسالة، تأمر المسلمين </w:t>
      </w:r>
    </w:p>
    <w:p>
      <w:pPr>
        <w:pStyle w:val="BookText"/>
        <w:rPr/>
      </w:pPr>
      <w:r>
        <w:rPr>
          <w:rFonts w:ascii="Amiri" w:hAnsi="Amiri" w:eastAsia="Amiri" w:cs="Amiri"/>
          <w:color w:val="111111"/>
          <w:sz w:val="28"/>
          <w:sz w:val="28"/>
          <w:szCs w:val="28"/>
          <w:rtl w:val="true"/>
          <w:lang w:bidi="ar-SA"/>
        </w:rPr>
        <w:t>بالكفّ عن القتال والصّبر على أذى المشركين،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عَلَى مَا يَقُولُونَ وَاهْجُرْهُمْ هَجْرًا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المزمل،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وتدعو المسلمين لإعلان الموقف العقائدي الواضح دون صدامٍ أو مواجهة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الكافرون،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المشركين حاربوا المسلمين وحاصروهم وآذوهم، وحاولوا ممارسة كلّ الضّغوط؛ لإرجاعهم عن دينهم باستنفاذ كلّ ما يملكون من نفوذٍ قبليٍّ وعشائريٍّ، وسلطويٍّ، وماليٍّ، ما اضطرّ المسلمين للهجرة مرّتين إلى الحبشة وخروج رسول الله إلى الطائف ناشرًا ،رسالته طالبًا النّصرة، وتُوّجت في الأخير المرحلة المكيّة بالهجرة إلى المدينة ليجد هؤلاء المؤمنون ملاذًا آمنًا يحميهم من بطش قريش واستبدادها بهم، وفي المرحلة المدنيّة نزل الإذن بالقتال والجهاد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 الَّذِينَ أُخْرِجُوا مِنْ دِيَارِهِمْ بِغَيْرِ حَقٍ إِلَّا أَنْ يَقُولُوا رَبُّنَا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فأصل تشريع الجهاد،كان للدفاع عن النّفس وردّ عادية الظالمين وحتى لا يفتن هؤلاء المستضعفون المهجّرون عن دينهم وعن الحق الذي أصابوه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حَتَّى لَا تَكُونَ فِتْنَةٌ وَيَكُونَ الدِّينُ كُلُّهُ لِلَّهِ فَإِنِ انْتَهَوْا فَإِنَّ اللَّهَ بِمَا يَعْمَلُونَ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كان هذا الجهاد الدّفاعيّ مقصده الأساس إحقاق الحقّ وإنصاف المظلومين نهى القرآن عن الاعتداء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الموقف من أهل الكتاب الذين لم يأمر القرآن بمواجهتهم إلّا بعد أن نكثوا العهود وانضمّوا إلى المعسكر المعادي المحارب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يُقَاتِلُونَكُمْ جَمِيعًا إِلَّا فِي قُرَى مُحَصَّنَةٍ أَوْ مِنْ وَرَاءِ جُدْرٍ بَأْسُهُمْ بَيْنَهُمْ شَدِيدٌ تَحْسَبُهُمْ جَمِيعًا وَقُلُوبُهُمْ شَتَّى ذَلِكَ بِأَنَّهُمْ قَوْمُ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الحشر،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مقصد الجهاد كما ذكرنا الدّفاع عن المظلومين، لا نجد البتّة في تتبّع الآيات التّعليليّة للجهاد موردًا واحدًا ينصّ على أنّ من هدف الجهاد إخراج الآخرين عن دينهم وإدخالهم عنوةً وبحدّ السّيف في الإسلام، فالأهداف التي نصّت عليها الآيات القرآنيّة هي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الدفاع عن الحرمات وردّ العدوان كما في قوله تعالى في سورة الحج،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 وَاقْتُلُوهُمْ حَيْثُ ثَقِفْتُمُوهُمْ وَأَخْرِجُوهُمْ مِنْ حَيْثُ أَخْرَجُوكُمْ وَالْفِتْنَةُ أَشَدُّ مِنَ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الآيتان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والآية الأخيرة صريحةٌ في أنّ القتال هو الردّ على اعتداءات المشركين والدّفاع عن الأعراض والدّيار، وعن حقّ المؤمنين أن يعيشوا في كنف دينهم في أمنٍ وسلامٍ، وعدم السماح للمشركين أن يفتنوهم عن دينهم فالفتنة أشدّ من القتل؛ لأنّ مقصد حفظ الدّين أولى في منظومة الإسلام التّشريعيّة من حفظ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 للمظلومين والمستضعفين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وَلَمْ يُهَاجِرُوا مَا لَكُمْ مِنْ وَلَايَتِهِمْ مِنْ شَيْءٍ حَتَّى يُهَاجِرُوا وَإنِ اسْتَنْصَرُوكُمْ فِي الدِّينِ فَعَلَيْكُمُ النَّصْرُ إِلَّا عَلَى قَوْمٍ بَيْنَكُمْ وَبَيْنَهُمْ مِيثَاقُ وَاللَّهُ بِمَا تَعْمَلُونَ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نكث العهود ونقض المواثيق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نَكَثُوا أَيْمَانَهُمْ مِنْ بَعْدِ عَهْدِهِمْ وَطَعَنُوا فِي دِينِكُمْ فَقَاتِلُوا أَبِمَّةَ الْكُفْرِ إِنَّهُمْ لَا أَيْمَانَ لَهُمْ لَعَلَّهُمْ يَنْتَهُونَ أَلا تُقَاتِلُونَ قَوْمًا نَكَحُوا أَيْمَانَهُمْ وَهَمُّوا بِإخْرَاجَ الرَّسُولِ وَهُمْ بَدَءُوكُمْ أَوَّلَ مَرَّةٍ أَتَخْشَوْنَهُمْ فَاللَّهُ أَحَقُّ أَنْ تَخْشَوْهُ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الآيتان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حماية ثغور المسلمين وردّ العدوان المحتمل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يَزَالُونَ يُقَاتِلُونَكُمْ حَتَّى يَرُدُّوكُمْ عَنْ دِينِكُمْ إِنِ اسْتَطَاعُوا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قَاتِلُوا الَّذِينَ يَلُونَكُمْ مِنَ الْكُفَّارِ وَلْيَجِدُوا فِيكُمْ غِلْظَةٌ وَاعْلَمُوا أَنَّ اللَّهَ مَعَ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الدفاع عن أهمّ حقٌّ فطريٍّ من 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يعلل السّيد الطبطبائي تشريع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الإسلام دين التوحيد، وهو مبنيّ على أساس الفطرة، وهو القيّم</w:t>
      </w:r>
    </w:p>
    <w:p>
      <w:pPr>
        <w:pStyle w:val="BookText"/>
        <w:rPr/>
      </w:pPr>
      <w:r>
        <w:rPr>
          <w:rFonts w:ascii="Amiri" w:hAnsi="Amiri" w:eastAsia="Amiri" w:cs="Amiri"/>
          <w:color w:val="111111"/>
          <w:sz w:val="28"/>
          <w:sz w:val="28"/>
          <w:szCs w:val="28"/>
          <w:rtl w:val="true"/>
          <w:lang w:bidi="ar-SA"/>
        </w:rPr>
        <w:t>على إصلاح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الروم،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فأهم الحقوق الفطريّة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إقامة هذا الدين والتحفّظ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يكون الدّفاع عنه حقّ فطريٌّ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لَفَسَدَتِ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 في ضمن آيات القتال من سورة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 الحَقَّ وَيُبْطِلَ الْبَاطِلَ وَلَوْ كَرِهَ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بعد آياتٍ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فسُمّي الجهاد والقتال الذي يُدعى له المؤمنون محيبًا لهم، ومعناه أنّ القتال سواء كان بعنوان الدّفاع عن المسلمين أو عن بيضة الإسلام أو كان قتالا ابتدائيًّا، كلّ ذلك بالحقيقة دفاعٌ عن حقّ الإنسانيّة في حياتها، ففي الشّرك بالله سبحانه هلاك الإنسانيّة وموت الفطرة، وفي القتال وهو دفاع عن حقّها إعادة لحياتها وإحيائها بعد الموت</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هذا التّحليل يغدو الجهاد أقرب إلى السّنّة التّاريخيّة الجارية، التي تضطرّ إليه الكثير من المجتمعات الإيمانيّة حينما تواجه تحدي الفتنة عن الدين والتّهجير والمطاردة، وحينما توصد في وجهها أبواب الدّعوة للرسالة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نَي قَاتَلَ مَعَهُ رِبْيُّونَ كَثِيرُ فَمَا وَهَنُوا لِمَا أَصَابَهُمْ فِي سَبِيلِ اللَّهِ وَمَا ضَعُفُوا وَمَا اسْتَكَانُوا وَاللَّهُ يُحِبُّ الصَّابِرِينَ وَمَا كَانَ قَوْلَهُمْ إِلَّا أَنْ قَالُوا رَبَّنَا اغْفِرْ لَنَا ذُنُوبَنَا وَإِسْرَافَنَا فِي أَمْرِنَا وَثَبِّتْ أَقْدَامَنَا وَانْصُرْنَا عَلَى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الآيتان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إشكاليّة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آراء شخصيّاتٍ إشكاليّةٍ في العالم الإسلامي لتفسير المواقف المتناقضة من الآخر الدّيني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توفّق ماك أوليف ومساعدتها في اختيار الأعلام الذين استشهدتا بآرائهم في الموقف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بن لادن حتى يكون عنوانًا للطرح الإسلامي؟ فمن العجيب حقًّا أن نستشهد به في دراسةٍ علميّةٍ، والظّاهر أنّ شهرته الإعلاميّة خاصّة وسائر الأشخاص عمومًا في الغرب وفي العالم الإسلامي، وراء الانتقاء،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لادن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فترة إعداد الموسوعة وصدورها حضورًا إعلاميًا لافتًا، خاصّة بعد أحداث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المنسوبة لجماعة القاعدة التي يتزّعمها، أمّا شهرة القرضاوي فسبهها التّرويج له كرمزٍ للصحوة الإسلاميّة والاعتدال الدّيني في التّسعينيات والسنوات الأولى بعد الألفين حين بلغت شهرته أوجهها ، وقد أدّت قناة الجزيرة القطريّة دورًا مهمًّا في تلميع صورته وإبرازه كزعيمٍ إسلاميٍّ لا يُضاهى، ففي تلك السنوات كانت له إطلالةٌ أسبوعيّةً مباشرةٌ في 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والحياة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بعد تداعيات ما سمّي بالرّبيع العربي، فقدَ هذه الموقعيّة التي مُنحت له، فقد اتّخذ مواقف متطرّفة إزاء بعض الفئات والمذاهب الدّينيّة في البلدان الإسلاميّة وأيّد توجّهات الجماعات التّكفريّة القتاليّة الإجراميّة، وأصدر فتاوى بقتل زعماء سياسيين في بعض البلدان بل أفتى بجواز كلّ من يعمل لمصلحة النّظام السوري من مدنيين وعسكريين وحتى علماء الدين وربط الكثيرون بين هذه الفتوى وبين استشهاد الشيخ محمد سعيد رمضان البوطي علّامة بلاد الشام، في أحد مساجد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انقلب القرضاوي على مقولات الوحدة والتّسامح والانفتاح إبّان الربيع العربي حتى أطلق عليه خصومه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الفتنة</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الشّخصيّة الفكريّة الأكثر احترامًا التي تعاطت معها المقالة، هو سيد قطب، ولكن بتصنيفٍ خاطئٍ، اعتمدت فيه على مشهوراتٍ سادت عن فكره، فقد ظُلم كثيرًا في تفسير أطروحاته، ونسبت إليه الكثير من المقولات والآراء، ممّا لم يقله صراحة، لقد وظّفت أفكاره بعض الجماعات المصلحة توجّهاتها التكفيريّة القتاليّة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نقول الجهاديّة؛ لأنّ مفهوم الجهاد بريء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 الأحوال فإنّ شخصيّة سيد قطب هی شخصيّةٌ جدليّةً أُختلف جوهريًّا في تفسير تراثه وتوجّهاته، ومن جهةٍ أخرى، تُحاكم المقالة الرّجل دون الاستشهاد ولو بنصٍّ واحدٍ له يدلّل على زعمها فيه</w:t>
      </w:r>
      <w:r>
        <w:rPr>
          <w:rFonts w:eastAsia="IRNazanin" w:cs="IRNazanin"/>
          <w:color w:val="111111"/>
          <w:sz w:val="28"/>
          <w:szCs w:val="28"/>
          <w:rtl w:val="true"/>
          <w:lang w:bidi="fa-IR"/>
        </w:rPr>
        <w:t xml:space="preserve">. </w:t>
      </w:r>
      <w:bookmarkStart w:id="578" w:name="pg8898_139844"/>
    </w:p>
    <w:p>
      <w:pPr>
        <w:pStyle w:val="Heading6"/>
        <w:numPr>
          <w:ilvl w:val="5"/>
          <w:numId w:val="1"/>
        </w:numPr>
        <w:rPr/>
      </w:pPr>
      <w:bookmarkStart w:id="579" w:name="__RefHeading___Toc935855_2870459653"/>
      <w:bookmarkStart w:id="580" w:name="_Toc219"/>
      <w:bookmarkEnd w:id="578"/>
      <w:bookmarkEnd w:id="579"/>
      <w:r>
        <w:rPr>
          <w:rtl w:val="true"/>
        </w:rPr>
        <w:t>المبحث الرّابع</w:t>
      </w:r>
      <w:r>
        <w:rPr>
          <w:rtl w:val="true"/>
        </w:rPr>
        <w:t xml:space="preserve">: </w:t>
      </w:r>
      <w:r>
        <w:rPr>
          <w:rtl w:val="true"/>
        </w:rPr>
        <w:t>الفرضيّات المتوارية والسياقات الاستشراقية</w:t>
      </w:r>
      <w:bookmarkEnd w:id="580"/>
    </w:p>
    <w:p>
      <w:pPr>
        <w:pStyle w:val="BookText"/>
        <w:rPr/>
      </w:pPr>
      <w:r>
        <w:rPr>
          <w:rFonts w:ascii="Amiri" w:hAnsi="Amiri" w:eastAsia="Amiri" w:cs="Amiri"/>
          <w:color w:val="111111"/>
          <w:sz w:val="28"/>
          <w:sz w:val="28"/>
          <w:szCs w:val="28"/>
          <w:rtl w:val="true"/>
          <w:lang w:bidi="ar-SA"/>
        </w:rPr>
        <w:t>تجلّى لنا إلى حدّ الآن في دراستنا لهذه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 الإشكالات الواردة والتّساؤلات التي تفرض نفسها عن واقعيّة الكثير من الآراء، وجدّيّة العديد من المواقف وصحّة الكثير من الأفكار ولكن يبدو أنّ ما تورارى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هنات ما وراء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يقلّ خطبًا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إزاء خطابٍ بُني على فرضيّاتٍ متواريةٍ لم يُصرّح ببعضها، وزوّق بعضها الآخر للقارئ، وسُرّب بعضها مموّهًا مواربةً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المرقى الأخير من قراءتنا النّقديّة، سنتجاوز المنطوق إلى المسكوت عنه، ونسعى لكشف المستور المتخفّي وراء النّصّ، ووراء منابعه ومصادره بالكشف عن هذه الفرضيّات والمنطلقات الاستشراقيّة، التي للأسف لا تزال مهيمنةً على المستشرقين الجدد، والتأمّل في مدّيات أثرها على معالجات القضيّة ومضامينها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المنهج الفيلولوجي في شرح معاني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الجذور السّريانيّة والآراميّة للغة العربية واستخدام القرآن مفردات من اللغات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مرجعيّةٌ لاهوتيّةٌ مسيحيّةٌ ويهوديّةٌ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النّزعة الوضعيّة والانسياق وراء الأبعاد التّاريخيّة وإنكار المصدر المتعالي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الأساسيّ على القراءة السّنيّة للإسلام</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المراوحة بين المناهج الاستشراقيّة القديمة والتّنكّب عن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مركزيّة العقل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فهم التّعدّديّة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وإخضاع القرآن لهذه المركزيّة</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فرضيّاتٌ خلنا أنّه في ضوء فشل الكثير منها، واعتراف المستشرقين الذين اعتمدوها أنفسهم بفشلها</w:t>
      </w:r>
      <w:r>
        <w:rPr>
          <w:rStyle w:val="FootnoteAnchor"/>
          <w:rtl w:val="true"/>
        </w:rPr>
        <w:footnoteReference w:id="758"/>
      </w:r>
      <w:r>
        <w:rPr>
          <w:rFonts w:ascii="Amiri" w:hAnsi="Amiri" w:eastAsia="Amiri" w:cs="Amiri"/>
          <w:color w:val="111111"/>
          <w:sz w:val="28"/>
          <w:sz w:val="28"/>
          <w:szCs w:val="28"/>
          <w:rtl w:val="true"/>
          <w:lang w:bidi="ar-SA"/>
        </w:rPr>
        <w:t xml:space="preserve">، خلنا أنّ الدراسات القرآنيّة الحديثة قد تحرّرت منها، </w:t>
      </w:r>
    </w:p>
    <w:p>
      <w:pPr>
        <w:pStyle w:val="BookText"/>
        <w:rPr/>
      </w:pPr>
      <w:r>
        <w:rPr>
          <w:rFonts w:ascii="Amiri" w:hAnsi="Amiri" w:eastAsia="Amiri" w:cs="Amiri"/>
          <w:color w:val="111111"/>
          <w:sz w:val="28"/>
          <w:sz w:val="28"/>
          <w:szCs w:val="28"/>
          <w:rtl w:val="true"/>
          <w:lang w:bidi="ar-SA"/>
        </w:rPr>
        <w:t>لقد تهاوى الكثير منها في ضوء الكشوفات الحديثة والبحوث الجديدة، وبعضها الآخر لن يصمد طويلًا أمام منطق التاريخ وتكامل الوعي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حَتَّى يَتَبَيَّنَ لَهُمْ أَنَّهُ الْحَقُّ أَوَلَمْ يَكْفِ بِرَبِّكَ أَنَّهُ عَلَى كُلِّ شَيْءٍ ى الْآفَاقِ وَفِي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فصلت،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الوقوف مفصّلًا عند هذه الفرضيّات والإحاطة بها، ممّا يخرج بنا عن الحدّ الذي يسمح به المقام نكتفي بالإشارة إليها، والنّقد العابر والنقض المختزل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الفرضيّتان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لمسنا حضور هذا المنهج في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 الدّينيّة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 بحث المفردات ومحاولة إرجاع بعض الألفاظ القرآنيّة إلى أصولٍ سريانيّةٍ، أو آراميّةٍ، أو أكاديّة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المنهج طبّق أوّلًا في نقد الكتاب المقدّس عند اليهود والمسيحيّة وتحمّس له المستشرقون لتعميمه على القرآن باعتباره نصًّا أدبيًّا أيضًا، لا يختلف كثيرًا عن النّصّ التّوراتي والمسيحي، بل هو عندهم مقتبس منهما ولذلك عمّموا النّتائج التي خرجوا بها في نقد العهدين على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أوائل المستشرقين الذين سلكوا هذا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الاسترالي آرثر جيفري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المفردات الدّخيلة في القرآن والتي اعتمدته المقالة في مصادرها وجدّد هذه الدّعوى المستشرق الألماني غونتر لولينغ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سطوة هذا المنهج ضعُفت وتعرّض لانتقاداتٍ من المستشرقين أنفسهم، وكشفت دراساتٌ عديدةٌ تهافت الأسس التي قام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كل المراجعات النّقديّة لهذا المنهج، والتّحوّلات إلى مناهج أخرى في الدّراسات الاستشراقيّة لا يزال البعض يصّر على التّمسّك به وينادي بالعود إليه، كما هو حال جاك بيرك المستشرق الفرنسي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كرستوف لوكسنبورغ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سريانية آرامية للقرآن مساهمة في تحليل اللّغة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ادّعى وجود قرآنٍ أصليٍّ باللّغة السّريانيّة الآراميّة، وأنّ القرآن</w:t>
      </w:r>
    </w:p>
    <w:p>
      <w:pPr>
        <w:pStyle w:val="BookText"/>
        <w:rPr/>
      </w:pPr>
      <w:r>
        <w:rPr>
          <w:rFonts w:ascii="Amiri" w:hAnsi="Amiri" w:eastAsia="Amiri" w:cs="Amiri"/>
          <w:color w:val="111111"/>
          <w:sz w:val="28"/>
          <w:sz w:val="28"/>
          <w:szCs w:val="28"/>
          <w:rtl w:val="true"/>
          <w:lang w:bidi="ar-SA"/>
        </w:rPr>
        <w:t>المتدوال قد اقتبست فقراته من ذلك القرآن الأصلي، ولذلك كان مزيجًا من الكلمات العربيّة والآراميّة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وتعسّف الباحث في إثبات هذه الفرضيّة عبر تفسير جملةٍ من الآيات القرآنيّة شكّك في عربيّة مفرداتها واعتبر أنّ معانيها لا تستقيم إلّا بإرجاع الكلمات إلى الأصل السّرياني أو الآراميّ، وهذه المزاعم لا تقوى أمام النّقد العلمي الصارم الداخلي لهذه الدّعاوى على أساس الشّعر الجاهليّ والسّياقات القرآنيّة نفسها، وكذلك النقد الخارجي والذي يعتمد فيه على تاريخ اللّغات واشتقاقاتها، والذي تؤكّد بعضها أنّ اللّغة العربيّة هي أم اللغات</w:t>
      </w:r>
      <w:r>
        <w:rPr>
          <w:rStyle w:val="FootnoteAnchor"/>
          <w:rtl w:val="true"/>
        </w:rPr>
        <w:footnoteReference w:id="759"/>
      </w:r>
      <w:r>
        <w:rPr>
          <w:rFonts w:ascii="Amiri" w:hAnsi="Amiri" w:eastAsia="Amiri" w:cs="Amiri"/>
          <w:color w:val="111111"/>
          <w:sz w:val="28"/>
          <w:sz w:val="28"/>
          <w:szCs w:val="28"/>
          <w:rtl w:val="true"/>
          <w:lang w:bidi="ar-SA"/>
        </w:rPr>
        <w:t>، وأنّ السرّيانيّة والآراميّة والأكاديّة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انبثقت منها وأنّ المفردات التي يُظنّ أنّ القرآن استعملها ولم تُعرف عند العرب، هي في الواقع من الكلمات العربيّة الأم، ولكّنها هُجرت في البيئة العربيّة، واُستخدمت في بيئاتٍ أخرى</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كما يشكل اعتراف فقهاء النحو السريان بأن اصل تالعربية هي الأصل من ذلك ما يقوله المطران أقليمس يوسف داود في كتابه اللمعة الشهية في نحو اللغة السريانية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سنة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وأشهر اللغات السامية العربية، والعبرانية والسريانية والحبشية بفروعها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ونما ذكرنا العربية أولا بين اللغات الجزيرية لأن العربية باعتراف جميع المحققين هي أشرف اللغات السامية، من حيث هي لغة وأقدمهن وأغناهن ومعرفتها لازمة لمن يريد أن يتقن تقانا حسنا معرفة سائر اللغات السامية ولاسيما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نعتقد أن الآرامية هي أقدم اللغات السامية كما زعم قوم وأقل من ذلك أنها أقدم لغات العالم كما زعم غيرهم بلا بينة ولا أساس بل نثبت مع العلماء المحققين أن العربية هي التي تقرب إلى ام اللغات السامية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مقالة للدكتور أحمد سعد الدين هل اللة العربية مشتقة من السريانية؟ عن موقع </w:t>
      </w:r>
      <w:r>
        <w:rPr>
          <w:rFonts w:eastAsia="Times New Roman" w:cs="Times New Roman" w:ascii="Times New Roman" w:hAnsi="Times New Roman"/>
          <w:color w:val="111111"/>
          <w:sz w:val="28"/>
          <w:szCs w:val="28"/>
          <w:lang w:val="en-US" w:bidi="en-US"/>
        </w:rPr>
        <w:t>https://www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civgrds.com</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القرائن الدّالّة على أنّ اللغة العربيّة هي أمّ اللّغات عدد المفردات في اللغة العربيّة التي يفوق ما سواها ولا يمكن أن يُقارن بين العربية وغيرها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أوهام مرجعيّة اللّاهوت المسيحي واليهودي للنّصّ القرآنيّ وللدين الإسلاميّ، هي أسخف من أن نقف عندها مطوّلًا، فأساطير مثل أسطورة </w:t>
      </w:r>
    </w:p>
    <w:p>
      <w:pPr>
        <w:pStyle w:val="BookText"/>
        <w:rPr/>
      </w:pPr>
      <w:r>
        <w:rPr>
          <w:rFonts w:ascii="Amiri" w:hAnsi="Amiri" w:eastAsia="Amiri" w:cs="Amiri"/>
          <w:color w:val="111111"/>
          <w:sz w:val="28"/>
          <w:sz w:val="28"/>
          <w:szCs w:val="28"/>
          <w:rtl w:val="true"/>
          <w:lang w:bidi="ar-SA"/>
        </w:rPr>
        <w:t>ورقة بن نوفل والرّاهب بحيرا، والمعلم اليهودي، الذي علّم الرسول محمد، تُضحك التّكلى، ولكنّها تستمد شيئًا من حضورها المتبقّي في بعض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تعود إلى الدّوافع التّبشيريّة لحركة الاستشراق الأولى التي كانت تمتزج أهدافها بالتّبشير وخدمة الاستعمار للعالم الإسلامي، فقد كان الاستشراق أنذاك امتدادًا للحروب الصليبيّة، ولكن بسلاحٍ جديدٍ سلاح الكلمات كما يُعبّر بطرس المبجّل مؤسّس أوّل ترجمة بائسة ومشوّه للقرآن الكريم إلى اللّغة اللاتينيّة، وهكذا فقد قامت الترجمتات الأولى للقرآن والدّراسات الأولى للسيرة النّبويّة على هذه القناعة ولكن يبدو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التقاليد الاستشراقيّة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ساريةً، وأنّ ظلال هذه الأوهام لا تزال تُغطّي قامات حتّى بعض المستشرقين الحداثيين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الفرضيّة الرّابعة هي أسّ الكثير من المزالق والانحرافات في الفهم والتّحليل، فالقرآن في عقيدة المسلمين وحيٌ إلهيٌ نزل به الرّوح الأمين على قلب رسول الله صلی الله علیه و آله و سلم، والمسلمون يتعاطون معه على هذا الأساس ولكنّ المستشرقين ونتيجةً لنزعتهم الوضعيّة ينكرون ويكذّبون نظريّة الوحي، وينساقون وراء فرضيّاتٍ ونظريّاتٍ أخرى بعيدةٍ كلّ البُعد عن الحقيقة المنبلجة كانبلاج الفجر الصّادق، من ذلك النّظريات التّاريخيّة في تفسير ظهور القرآن وتطوّره أيضًا، كما يزعمون ولذلك فإنّ أسلوب الآيات القرآنيّة وإيقاعها ومضامينها، يعود بالأساس إلى الظّروف التاريخيّة التي عاشها الرّسول في مختلف مراحل الدّعوة، وفي الواقع فإنّ المستشرقيين المعاصرين ضلّوا أوفياء لهذه الفرضيّة كلّ ما في الأمر أنّهم لا يصرّحون ،بلوازمها، وهي إنكار الأصل الإلهي للقرآن فنحن نسأل هؤلاء، أيّ المنهجين يعدّ علميًّا وموضوعيًّا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نأخذ بعين الاعتبار البُعدين الميتافيزيقي للقرآن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ضوء ما يدّعيه المؤمنون بالقرآن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والبُعد التّاريخي والزّمني، أو أن نقصر فهمنا للآيات على العوامل الزّمنيّة والتّاريخية؟</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تفرض الموضوعيّة العلميّة الاعتراف بكلّ هذه المعطيات؟ هل يبّرر عدم تصديقيهم بنظريّة الوحي إنكار العامل الميتافيزيفي؟ أين التّجرّد وأين الموضوعيّة العلميّة التي يدّعونها إذن؟ وهل سيلغي فعلاً هذا الإنكار دور هذا العامل؟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فالواقعيّة تفرض علينا إعادة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يُنكر البُعد الزّمنّي للقرآن الكريم يجافي حقيقةً واضحةً في ارتباط آياتٍ عديدةٍ ببيئة النّزول ومسيرة الدّعوة وتكاملها، وتعلّق موضوعاتها بنمط حياة الناس وظروفهم، ولكنّنا من جهةٍ أخرى لا يمكن أن ننكر الجنبة الغيبيّة المتعالية والطّاغية أكثر على النّصّ، فهو يتعاطى مع كلّ هذه القضايا الزّمنيّة من حرب، وسلم وعلاقات دوليّة، وتشريعات عباديّة ومعاملتيّة، وأحكام في فضاءٍ غارقٍ بالحقائق عن الله والملكوت، والملائكة، والآخرة، والسّموات والعرش والخزائن والجنّة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المقالة تجلّت هذه الفرضيّة المتوارية في أكثر من موضعٍ من ذلك ربط الموقف من الكتاب بالظّروف الزّمنيّة وتبدّل موازين القوى حصرًا، وربط بعض التّشريعات الأولى كالاتّجاه إلى بيت المقدس، وصيام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تقول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بمرحلة التّقرّب من اليهود أمّا بعد تبيّن موقفهم الرّافض لنبوّة النّبيّ محمد، فقد شرع صيام رمضان وتغيّر اتّجاه قبلة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الفصل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الفرضيّة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المستشرقون الأوائل معذورين في استنادهم إلى مركزيّة الإسلام السِّنّي في تنقيح الأطروحات الإسلاميّة، فقد تبنّى أولئك القراءة السنّيّة الرّسميّة، التي تعتقد أنّ المذاهب الإسلامية الأخرى، الفقهيّة منها، والكلاميّة هی مذاهب على هامش الإسلام المركزي السِّنّي، ولكن مع التّطوّرات العميقة التي حصلت في العالم الإسلامي وبروز مذاهب إسلاميّة أخرى، احتلّت مكانةً بارزةً في الحياة الفكريّة للأمّة الإسلاميّة، وفي المعادلات السّياسيّة للعالم الإسلامي، كان لا بدّ أن يلتفت المستشرقون لهذا التّحوّل ويتجاوزوا الانغلاق على المصادر السّنيّة والانفتاح، خاصّة على الإسلام الشّيعي، وهذا الذي دعا محمد علي أمير معزّي إلى الدّعوة إلى ضرورة الاعتناء بالمصادر الشَّيعيّة في دراسات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 ما أسماه القرآن الصامت مقابل القرآن النّاطق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قاصدًا بالقرآن الصّامت الإهمال،الذي تلقاه المصادر التّفسيريّة الشّيعيّة في الدّراسات القرآنيّة الغربيّة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المقالة طغى في مقاربة الطروحات القرآنيّة والإسلاميّة، منطق الإسلام السنّي المهيمن، وبدت مقولاته وآراء علمائه هي الحاضرة، ولن يشفع تعزيز قائمة المصادر بتفسير الميزان للسيد الطبطبائي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مكانته وأهمّيته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للادّعاء بأنّ المعالجة هى أكثر توازنًا وأقلّ تحيّزاً للإسلام النّاطق، بل إنّ إهمال الكثير من القضايا وتهميشها ربّما يعود لهذا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لوحظ هذا التّحيّز حتّى في المقالات الأخرى التي كتبتها السّيدة جين ماك دومنيك للموسوعة، ومن ذلك مقالة فاطمة عن السيدة الزهراء علیها السلام؛ حيث تحصر الآيات النّازلة في حقّ الزهراء علیها السلام في حدود المشهور السنّي في المباهلة والتّطهير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الكوثر لا تعترف بنزولها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وترفض مقولة الكثير من العلماء وبالخصوص الشّيعة منهم بأفضليّة السيدة الزهراء علیها السلام على مريم البتول علیها السلام</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الفرضيّة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المثير حقًّا أنّ مقالة التّعدّديّة تعكس تنوّعًا مناهجيًّا، فيتراءى لنا المنهج الفيلولوجي في تحليل ،المفردات والمنهج الانتقائي في القراءة التّجزيئيّة للآيات القرآنيّة والمنهج الإسقاطي في إسقاط مفاهيم معاصرة على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كتفسير مصطلح حزب وفرقة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ومنهج التّأثير والتّأثّر في التّأكيد على تأثّر القرآن بالعهدين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كلّ هذه المنهجيّات، ولكن للأسف لا نرى لمنهج الفهم، وقد كنّا نظنّ أنّه مع تنامي النّزعة الإنسانيّة والانثربولوجيّة عند المستشرقين الحداثيين، وتحرّرهم النّسبي من التّبعيّة الاستعماريّة والاستخباريّة كنّا نظنّ أنّ منهج الفهم سيقوى ويتعزّز، وهذا المنهج يبدو حضوره ضروريّ خاصّة وأنّ المعالجة هي التّعدّديّة الدّينيّة والموقف من الآخر في الدّين والمعتقد، وهذا المنهج يُنسب لمؤرّخ الأديان الألماني يواكيم فاخ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ونظرًا لطبيعة موضوع تاريخ الدّيانات التي تستوجب على الباحث أن يحاول أن يفهم الدين كما يفهمه أصحابه</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ويُقارن فاخ بين علم اللّاهوت وعلم الأديان فيرى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علم اللاهوت مهتمّ </w:t>
      </w:r>
    </w:p>
    <w:p>
      <w:pPr>
        <w:pStyle w:val="BookText"/>
        <w:rPr/>
      </w:pPr>
      <w:r>
        <w:rPr>
          <w:rFonts w:ascii="Amiri" w:hAnsi="Amiri" w:eastAsia="Amiri" w:cs="Amiri"/>
          <w:color w:val="111111"/>
          <w:sz w:val="28"/>
          <w:sz w:val="28"/>
          <w:szCs w:val="28"/>
          <w:rtl w:val="true"/>
          <w:lang w:bidi="ar-SA"/>
        </w:rPr>
        <w:t>بفهم وتثبيت الإيمان، أمّا علم الأديان فيهتمّ بدراسة وفهم الأديان الأخرى وهو لا يقضي على القيم الدينية، أو يهملها، ولكنّه يسعى إلى القيم الدّينيّة التي توسّع الشّعور الدّيني وتعمّق الفهم الديني</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نادت هذه النّظريّة بضرورة الاتّصاف بسعة الأفق، والتّركيز على المشترك الدّيني، ومحاولة الإحساس بالدين وتجاوز كل الايديولوجيات والافتراضات المسبقة وأن نفهم ظواهر الدّيانات وندرسها في واقعها ولكن للأسف هذا المنهج على أهمّيته تنكبت عنه الدّراسات الاستشراقيّة؛ إذ إنّ الغالبيّة العظمى من المستشرقين تخصّصوا في الدّراسات القرآنية من دون محاولةٍ منهم لفهم الإسلام من داخله، أو فهم الإسلام والقرآن الكريم كما فهمه المسلمون، ومحاولة تفسيره وتحليله من خلال مصادره الأصليّة والمعتمدة إلى الحدّ الذي يمكن القول معه إنّه بات هناك فهمان للقرآن الكريم، الأوّل فهمًا إسلاميًّا يتبعه المسلون والثاني فهمًا استشراقيًّا مغايرًا طوّره المستشرقون</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للأسف لم تمثّل نظرية الفهم قضيّةً أو إشكاليّةً بالنّسبة للدراسات الاستشراقيّة، وهذه مفارقةٌ عجيبةٌ، فكيف لمن يتصدّى لدراسة الإسلام وحضارته والقرآن وقضاياه دون أن تكون إشكالية الفهم حاضرة؟؟؟ ولكن إذا عرفنا جذور الحركة الاستشراقيّة في التاريخ وأهدافها وارتباطاتها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انقضى العجب لكن يظلّ السّؤال مطروحًا إزاء الدّراسات الغربيّة المعاصرة للقرآن والتي تدّعي أنّها قطعت مع الاستشراقي الاستعماري والتّنصيري والمخابراتي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ونُقاربها من خلال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حقًّا أرادت الباحثتان بناء الرّؤية القرآنيّة للتعدّديّة ؟ أم إنّهما انطلقتا من موقفٍ مسبقٍ ورؤيةٍ ناجزةٍ حول التّعدّديّة كما تفهمانها وحاكمتا القرآن في ضوء ذلك ؟ قد تعيب الباحثتان على المؤمنين عقيدتهم بعصمة القرآن، وأنّنا لا نعدو قوله في الاعتقاد، والتشريع، لكنّهما</w:t>
      </w:r>
    </w:p>
    <w:p>
      <w:pPr>
        <w:pStyle w:val="BookText"/>
        <w:rPr/>
      </w:pPr>
      <w:r>
        <w:rPr>
          <w:rFonts w:ascii="IRNazanin" w:hAnsi="IRNazanin" w:eastAsia="IRNazanin"/>
          <w:color w:val="111111"/>
          <w:sz w:val="28"/>
          <w:sz w:val="28"/>
          <w:szCs w:val="28"/>
          <w:rtl w:val="true"/>
          <w:lang w:bidi="fa-IR"/>
        </w:rPr>
        <w:t xml:space="preserve">تغفلان أنّهما أيضًا تتسلّحان برؤيةٍ مطلقةٍ تمثّل ميزان الصّواب والخطأ، وتحاكمان القرآن، والمفسّرين والمتكلّمين على أساس التّعدّديّة النّسبيّة التي آمنتا بها، والتي تعتقد بنسبيّة الحقيقة وصوابيّة كلّ الأديان وحقانيتها، وأنّ كلّ الأتباع هي علی سبيل 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لماذا لا يكون للقرآن تفسيره الخاصّ لتنوّع الأديان؟ ولماذا لا يكون للقرآن موقفه من التّعدّد؟ ولماذا لم تسعيا بجدٍّ لفهم نظريّة القرآن لا محاكمتها في ضوء القبليّات؟؟</w:t>
      </w:r>
    </w:p>
    <w:p>
      <w:pPr>
        <w:pStyle w:val="BookText"/>
        <w:rPr/>
      </w:pPr>
      <w:r>
        <w:rPr>
          <w:rFonts w:ascii="Amiri" w:hAnsi="Amiri" w:eastAsia="Amiri" w:cs="Amiri"/>
          <w:color w:val="111111"/>
          <w:sz w:val="28"/>
          <w:sz w:val="28"/>
          <w:szCs w:val="28"/>
          <w:rtl w:val="true"/>
          <w:lang w:bidi="ar-SA"/>
        </w:rPr>
        <w:t>هل جرّبتا أن تفهما الرّأي القرآني؟ هل جرّبتا أن تصغيا لقول القرآن؟؟</w:t>
      </w:r>
    </w:p>
    <w:p>
      <w:pPr>
        <w:pStyle w:val="BookText"/>
        <w:rPr/>
      </w:pPr>
      <w:r>
        <w:rPr>
          <w:rFonts w:ascii="Amiri" w:hAnsi="Amiri" w:eastAsia="Amiri" w:cs="Amiri"/>
          <w:color w:val="111111"/>
          <w:sz w:val="28"/>
          <w:sz w:val="28"/>
          <w:szCs w:val="28"/>
          <w:rtl w:val="true"/>
          <w:lang w:bidi="ar-SA"/>
        </w:rPr>
        <w:t>لو بذلتا جهدًا بسيطًا في هذا الاتّجاه لأدركتا عظمة الأطروحة القرآنيّة التي جمعت في رؤيتها للتعدّديّة بين العناصر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الواقعيّة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بطلان النّسبيّة، والإيمان بوجود حقيقةٍ موضوعيّةٍ في الواقع وفي نفس الأمر ، ويمكن للناس أن يدركوها ويمكن أن يخطئوها، أمّا الادّعاء بأنّ كلّ ما أصابه النّاس من مفاهيم وعقائد شتّى هي صحيحة، فهذا لا يقود في النّهاية إلّا إلى السّفسطة وهدم أساس كلّ علم وكلّ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المنطق القرآني</w:t>
      </w:r>
    </w:p>
    <w:p>
      <w:pPr>
        <w:pStyle w:val="BookText"/>
        <w:rPr/>
      </w:pPr>
      <w:r>
        <w:rPr>
          <w:rFonts w:ascii="Amiri" w:hAnsi="Amiri" w:eastAsia="Amiri" w:cs="Amiri"/>
          <w:color w:val="111111"/>
          <w:sz w:val="28"/>
          <w:sz w:val="28"/>
          <w:szCs w:val="28"/>
          <w:rtl w:val="true"/>
          <w:lang w:bidi="ar-SA"/>
        </w:rPr>
        <w:t>ليس بعد الحقّ إلا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حقّانيّة الدّيانات السّماويّة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ومشروعيّتها، وخاتميّة الدّيانات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تمّ الاستدلال عليه آنفًا بآياتٍ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الإلهيّ في المنظور القرآني، هو مسارٌ تاريخيٌّ تلبّسٌّ نبوّة الأنبياء في تسلسلهم الزّمني حتى توّج بنبوّة النّبيّ محمد صلی الله علیه و آله و سلم، فالدّين الإلهيّ عبر التّاريخ روحٌ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ساريةً من آدم إلى محمد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وعدم الملازمة بين المشروعيّة والنّجاة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الملازمة بين الحقّانيّة والخلاص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يهلك من يكون صاحب ديانةٍ مشروعةٍ بسببٍ أو بآخر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عملي، تمرّد وعصيان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ينجو صاحب عقيدةٍ فاسدةٍ لقصوره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التّمييز بين القاصر والمقصّر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منهم مقصّرٌ بمعنى أنّه يملك كلّ المؤهّلات </w:t>
      </w:r>
    </w:p>
    <w:p>
      <w:pPr>
        <w:pStyle w:val="BookText"/>
        <w:rPr/>
      </w:pPr>
      <w:r>
        <w:rPr>
          <w:rFonts w:ascii="Amiri" w:hAnsi="Amiri" w:eastAsia="Amiri" w:cs="Amiri"/>
          <w:color w:val="111111"/>
          <w:sz w:val="28"/>
          <w:sz w:val="28"/>
          <w:szCs w:val="28"/>
          <w:rtl w:val="true"/>
          <w:lang w:bidi="ar-SA"/>
        </w:rPr>
        <w:t xml:space="preserve">العقليّة والنّفسيّة والماديّة لإدراك الحقّ وبلوغ الدّين الصحيح، فهذا إن أخطأ الطريق الإلهي يحاسب ولا يكون من أهل الخلاص، أمّا من كان قاصرًا بمعنى لا يمكن حسب طبيعة إمكاناته وظروفه المحيطة به أن يصل إلى الحقيقة، فهذا معذورٌ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كالمستضعفين الذين لا يملكون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الكثير من العلماء إلى أنّ أغلب الكفّار هم من القاصرين، عوامهم بل وعلمائهم وهذا رأي الإمام الخميني قدس سره ورأي الشيخ 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للأسف تقف المقالة على مسافةٍ من منهج الفهم، ولولا أن نسيئ الظَّنّ، بجهود الباحثتين 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 المطلوب هو عدم الفهم لا الفهم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المعضلة ستبقى تتوالى ما دامت مركزيّة العقل الغربي مهيمنة وما دام المستشرق يأتي للقرآن في مسعًى للإسقاط والمحاكمة، عندما يأتي هؤلاء بقصد الفهم والإنصات الواعي والحيادي للقرآن وإيحاءته الفكريّة في فضائه الخاص قد</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يحقّقون هدفهم</w:t>
      </w:r>
      <w:r>
        <w:rPr>
          <w:rFonts w:eastAsia="Amiri" w:cs="Amiri" w:ascii="Amiri" w:hAnsi="Amiri"/>
          <w:color w:val="111111"/>
          <w:sz w:val="28"/>
          <w:szCs w:val="28"/>
          <w:rtl w:val="true"/>
          <w:lang w:bidi="ar-SA"/>
        </w:rPr>
        <w:t xml:space="preserve">. </w:t>
      </w:r>
      <w:bookmarkStart w:id="581" w:name="pg8898_139854"/>
    </w:p>
    <w:p>
      <w:pPr>
        <w:pStyle w:val="Heading5"/>
        <w:numPr>
          <w:ilvl w:val="4"/>
          <w:numId w:val="1"/>
        </w:numPr>
        <w:rPr/>
      </w:pPr>
      <w:bookmarkStart w:id="582" w:name="__RefHeading___Toc935857_2870459653"/>
      <w:bookmarkStart w:id="583" w:name="_Toc220"/>
      <w:bookmarkEnd w:id="581"/>
      <w:bookmarkEnd w:id="582"/>
      <w:r>
        <w:rPr>
          <w:rtl w:val="true"/>
        </w:rPr>
        <w:t>الخاتمة</w:t>
      </w:r>
      <w:bookmarkEnd w:id="583"/>
    </w:p>
    <w:p>
      <w:pPr>
        <w:pStyle w:val="BookText"/>
        <w:rPr/>
      </w:pPr>
      <w:r>
        <w:rPr>
          <w:rFonts w:ascii="Amiri" w:hAnsi="Amiri" w:eastAsia="Amiri" w:cs="Amiri"/>
          <w:color w:val="111111"/>
          <w:sz w:val="28"/>
          <w:sz w:val="28"/>
          <w:szCs w:val="28"/>
          <w:rtl w:val="true"/>
          <w:lang w:bidi="ar-SA"/>
        </w:rPr>
        <w:t>في مرفأ النّهايات وعقيب هذه الرّحلة التي بدت في إرهاصاتها الأولى مشوّقةً ومشرقةً مع موضوعٍ حيويٍّ، إنسانيٍّ إلى أبعد الحدود، آفاقيٍّ إلى منتهى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فصلت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يحّط مسار القراءة التّحليليّة النّقديّة رحلته على استخلاصاتٍ ونتائج لا تتماهى إلى حدٍّ بعيدٍ مع تلك التّوقّعات الرّائقة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فرغم النّجاحات التي حقّقتها المقالة إلى حدٍّ ما على مستوى الشّكليّات وتقنيات الكتابة العلميّة، لكنّها لا تخلو من نقائص جوهريّةٍ على مستوى المضمون وإشكالاتٍ أساسيّةٍ على مستوى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تميّزت الموسوعة على المستوى العام بكلّ خصائص العمل الموسوعي الأكاديمي، خاصّة على مستوى الشّكليّات وإدارة العمل والتّحرير، من تخطيطٍ ومشاركةٍ واسعةٍ للمحررين وتخصّص الباحثين التّرتيب الالفبائي، المصادر الكشافات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نتجاوز حدود البحث في نقد المضمون العلميّ للموسوعة ككل، إلّا في حدود المقالة المعنيّة، وإن كان دراسة مقالة التّعدديّة تطلّبت الاطّلاع على بعض المقالات الأخرى، خاصّة تلك التي لها علاقة موضوعيّة بها، وما يمكن القول إزاء هذا الاطلاع الجزئي على الموسوعة، إنّ هناك تفاوت في المستوى وأسلوب ،المقالات كما نسجّل عدم الانسجام في المضامين والتّنافي بين أطروحات الباحثين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سجلنا في بحثنا نماذج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يُتوقّع تحقيق الانسجام الفكري بين المقالات ما أمكن، ولا جدال أنّ هناك مقالاتِ منصفةً إلى حد ما، ومنضبطةً علميًّا وموضوعيًّا، وتحرّرت من التَّبعيّة لمشهورات الاستشراق القديم وأساطيره المؤسِّسة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وبالمقابل توجد مقالات غارقة في أوهام الاستشراق</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تمزت المقالة بموضوعها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التَّعدّديّة الدّينيّة الذي حمّل الباحثتين </w:t>
      </w:r>
    </w:p>
    <w:p>
      <w:pPr>
        <w:pStyle w:val="BookText"/>
        <w:rPr/>
      </w:pPr>
      <w:r>
        <w:rPr>
          <w:rFonts w:ascii="Amiri" w:hAnsi="Amiri" w:eastAsia="Amiri" w:cs="Amiri"/>
          <w:color w:val="111111"/>
          <w:sz w:val="28"/>
          <w:sz w:val="28"/>
          <w:szCs w:val="28"/>
          <w:rtl w:val="true"/>
          <w:lang w:bidi="ar-SA"/>
        </w:rPr>
        <w:t>مسؤوليّةً مضاعفةً، فهكذا موضوع يحمل من أبعادٍ مهمةٍ وخطرةٍ ما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الخطأ في مقاربة موقف القرآن من العديد من الموضوعات التي درستها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المفاهيم الأخلاقيّة، أو بعض الشَّخصيّات، أو حتّى بعض المفاهيم الاجتماعيّة، كالخطأ أو الاشتباه في تحديد موقف القرآن من الأديان ورؤيته للتعدّد، وهو محور الجدل الأزلي بين بين الأنا والآخر بين الشّرق والغرب، وأحد المزالق الكبرى للاستشراق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تميّزت المقالة بوفرة المصادر وتنوّعها حتى خلنا أنّ وراء كلِ جملةٍ إحالة وهذا كما يُعبّر عن الثَّراء الببليوغرافي من جهة، ولكنّه من جهةٍ أخرى، ومع حرص الباحثتين الواضح على تحشيد كلّ هذه الإحالات يشوّش ذهن القارئ، ويحول دون وحدة نسيج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شكّلت هذه التّعزيزات من خارج المقالة بدراساتٍ غربيةٍ في الموضوع أو مقالاتٍ في نفس الموسوعة حاجزاً دون فهم الرّؤية القرآنيّة بمنأى عن إسقاطاتٍ من اليمين واليسار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العديد من الأحيان تستشهد المقالة بآيات قرآنية دون إيراد نصها، وتكتفي بذكر السورة ورقم الآية، وهذا من جهةٍ لا يساعد القارئ على فهم السّياق والتأكّد من التّبرير، الذي تقدّمه المقالة للفكرة، ومن جهةٍ أخرى لاحظنا في بعض ،الموارد تكون الآيات أجنبيّة عن المقام وخارج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وأشرنا لذلك في صلب</w:t>
      </w:r>
    </w:p>
    <w:p>
      <w:pPr>
        <w:pStyle w:val="BookText"/>
        <w:rPr/>
      </w:pPr>
      <w:r>
        <w:rPr>
          <w:rFonts w:ascii="IRNazanin" w:hAnsi="IRNazanin" w:eastAsia="IRNazanin"/>
          <w:color w:val="111111"/>
          <w:sz w:val="28"/>
          <w:sz w:val="28"/>
          <w:szCs w:val="28"/>
          <w:rtl w:val="true"/>
          <w:lang w:bidi="fa-IR"/>
        </w:rPr>
        <w:t>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التّمشّي المنطقي الذي سلكته المقالة إلى حدّ ما كان مناسبًا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 المفردات الدّينيّة ثمّ المجتمعات الدّينيّة التي تحدّث عنها القرآن وتفاعلاتها، فالنّظريّة القرآنية حول التّعدّديّة والتوجيه السّلوكي للموقف من الأديان الأخرى</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المقالة استغرقت كثيرًا في بحث المفردات ولم تخصّص للإشكاليّة الأساسيّة في البحث إلّا صفحات قليلة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المقالة يفتقد إلى السّلاسة والانسيابيّة كما يفتقد إلى جماليّة التّعبير وجودة الحبكة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 الإنجليزية وتبعًا لذلك النّصّ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وزادت الاستطرادات والانتقالات من موضوع إلى آخر وكثرة الإحالات الوضع سوءا، ولذلك خصّصنا فصلًا كاملًا أعدنا فيه عرض المقالة عرضًا منظّمًا لعلّنا نخفّف من وطأة التّشتّت في معالجات المقالة، وكان ذلك خطوةً ضروريّةً لقراءةٍ نقديّةٍ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لمسناه في بحث المفردات ينبئ عن قصورٍ في فهم المعجم القرآني والمجالات الدّلاليّة لمصطلحات القرآن كما لاحظنا غياب القدرة على الربط بين المفردات والعقبة التي تسري في سائر مفاصل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إشكاليّة التّعاطي مع التّرجمات القرآنيّة، فالتّعامل مع ترجمةٍ للقرآن باللغة الإنجليزية مهما كانت دقّة الترجمة يمثّل حائلًا دون الفهم العميق لآيات الكتاب، فهذه الترجمات كما قيل هي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ما لا يُترجم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كانت معالجة المفردات تتّسم بالتّجزئة وعدم الدّقّة، ولم يكن بحث المجتمعات وتفاعلها أحسن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التّجزيئيّة إسقاطات على النّصّ القرآني الانحياز للانتماء المسيحي بالخصوص التّأكيد على تأثير المسيحيّة واليهوديّة بدرجةٍ أقل على النّبي محمد صلی الله علیه و آله و سلم، و على الإسلام، وعلى المفسّرين والمتكلّمين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صدقت السّيدة جن ماك أوليف حين نسبت الفضل إلى الثالوث في اهتماتها في مجال اللاهوت وفلسفة الدين، فلقد بدت منحازةً لعقيدتها، وهمّشت كلّ ما يرمز إلى تفوّق الموقف الإسلامي، ونقاط القوّة على مستوى الشّخصيّات والوقائع والجدل، بل سعت لتبرير حتّى نقاط الضّعف في الموقف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ذلك تفسيرها للتثليث بمرجعيّة سريانية</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انساقت الباحثتان مع الفرضيّات الاستشراقيّة، والتي شكّلت لحوالي قرنين من الزّمان العقليّة الاستشراقيّة الواهمة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كالتّحليل الفيلولوجي بإرجاع القرآن إلى لغاتٍ سريانيّةٍ وآراميّةٍ أو إرجاع الوحي الإلهي إلى مرجعيّاتٍ يهوديّةٍ ومسيحيّة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للأسف الدّراسات تكرّر هذه الخرافات والأساطير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فنّدنا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وكنا </w:t>
      </w:r>
    </w:p>
    <w:p>
      <w:pPr>
        <w:pStyle w:val="BookText"/>
        <w:rPr/>
      </w:pPr>
      <w:r>
        <w:rPr>
          <w:rFonts w:ascii="Amiri" w:hAnsi="Amiri" w:eastAsia="Amiri" w:cs="Amiri"/>
          <w:color w:val="111111"/>
          <w:sz w:val="28"/>
          <w:sz w:val="28"/>
          <w:szCs w:val="28"/>
          <w:rtl w:val="true"/>
          <w:lang w:bidi="ar-SA"/>
        </w:rPr>
        <w:t xml:space="preserve">نخال موسوعةً قرآنيّةً في مطلع القرن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ستتجاوز هذه الخرافات أو الوقاحات الصبيانيّة بتعبير المستشرق الألماني نولدكة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تخلو المقالة من التّفسيرات الوضعيّة الغارقة في الأبعاد الماديّة أو الزّمنيّة للظواهر والتي لا تنسجم مع منطق القرآن وروحيّته فكيف نطبّق منهجا لا ينسجم مع موضوع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أهملت أو تجاهلت المقالة منهج المقارنة في مقام استكشاف موقف الإسلام من الآخر الدّيني فالمقام يقتضي أن نعرض موقف الدّيانات الأخرى من الإسلام في نصوص اليهوديّة وسلوكات أتباعها، وكذلك في نصوص المسيحيّة وسلوك أتباعها، أمّا عن اليهود فنصوصهم في احتقار الأمم الأخرى والدّعوة لقتلهم وتشريدهم أشهر من أن تُذكر وأدوار اليهوديّة المتحالفة مع الصّهيونيّة والماسونيّة في العالم ضدّ الإنسانيّة، وليس ضدّ المسلمين فقط لا تخفى على عاقل أمّا المسيحيّة فنذكّر الباحثتين بتاريخ الحروب الصليبيّة، ودور الكنيسة في قيادة هذه الحروب وكيف كانت مؤسّسة الاستشراق الامتداد المعرفيّ لهذه الحروب والغطاء الإيديولوجي للتبشير والاستعمار وكيف أنّ الكنيسة الكاثوليكيّة لم تتجاوز موقفها العدائي الصّريح للأديان الأخرى إلّا في المجمع الفاتيكاني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أصدرت اعترافًا محتشمًا بالدّيانات الأخرى، وبرّأت اليهود من دم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يُقاس موقف المسيحيّة هذا بموقف القرآن الذي لا نجد كتابًا دينيًّا في التّاريخ يتحدّث عن الأديان الأخرى أكثر من تاريخه، ويفضّل تاريخ الأنبياء الآخرين أكثر من تاريخ نبيّه لا نجد كتابًا يعترف بالآخرين ويدعو للحوار والجدل بالتي هي أحسن، والسلم، والكلمة السواء، وحتى موقف القوّة والقتال فهو يؤسّسه على منطق الدّفاع عن أهم حقوق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وانطلاقًا من أصل العدل والدّفاع عن المستضعفين</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سجّلنا أيضًا تغييب منهج الفهم، وعدم اعتماد مركزيّة النّصّ القرآني فالمقالة في أكثر الموضوعات لم تترك القرآن يعبّر عن مقاصده، بل تسلّحت بعدّةٍ استشراقيّةٍ شكلت عائقًا آخر أمام الفهم وربّما هذا التّغييب هو الذي يجيبنا عن </w:t>
      </w:r>
    </w:p>
    <w:p>
      <w:pPr>
        <w:pStyle w:val="BookText"/>
        <w:rPr/>
      </w:pPr>
      <w:r>
        <w:rPr>
          <w:rFonts w:ascii="Amiri" w:hAnsi="Amiri" w:eastAsia="Amiri" w:cs="Amiri"/>
          <w:color w:val="111111"/>
          <w:sz w:val="28"/>
          <w:sz w:val="28"/>
          <w:szCs w:val="28"/>
          <w:rtl w:val="true"/>
          <w:lang w:bidi="ar-SA"/>
        </w:rPr>
        <w:t xml:space="preserve">سؤال حيّر الكثير من الباحثين في مجال الدّراسات الاستشراقيّة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نجح الاستشراق في فهم ديانات الشّرق الأقصى رغم أنّها دياناتٌ معقّدةٌ جدًا ولكنّه فشل في فهم الإسلام رغم بساطته وعقلانيّته؟؟؟</w:t>
      </w:r>
    </w:p>
    <w:p>
      <w:pPr>
        <w:pStyle w:val="BookText"/>
        <w:rPr/>
      </w:pPr>
      <w:r>
        <w:rPr>
          <w:rFonts w:ascii="Amiri" w:hAnsi="Amiri" w:eastAsia="Amiri" w:cs="Amiri"/>
          <w:color w:val="111111"/>
          <w:sz w:val="28"/>
          <w:sz w:val="28"/>
          <w:szCs w:val="28"/>
          <w:rtl w:val="true"/>
          <w:lang w:bidi="ar-SA"/>
        </w:rPr>
        <w:t>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أكّدت السّيدة جين ماك أوليف في مقدّمة الموسوعة أنّ عملهم قام على ازدواجيّة تجمع بين الماضي والمستقبل، كأفقٍ جديدٍ للدّراسات القرآنيّة، ولكن يبدو للأسف أنّ سلطة الماضي بما تختزنه من إرثٍ استشراقيٍّ ثقيلٍ أبعدت الموسوعة أو على الأقل المقالة عن آفاق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حصيلة قراءتنا التّقويميّة لمقالة التعدّديّة الدّينيّة، وهي كما تتراءى أمام النّاظر تستوجب مراجعةً عميقةً وإعادة نظرٍ فى العديد من الأسس والقواعد، فضلًا عن الأفكار والمواقف، ولكن مع تأكيد السيدة ماك أوليف على الاستعداد الدّائم للتطوير والمراجعة في الطّبعات اللاحقة، فإنّ الموسوعة مدعوّةٌ فعلاً لهذه المراجعة لعلّها تُحقّق هدفها في جعل القرآن متاحًا لفهم الإنسان عمومًا وفي الغرب خصوصًا بما ينفع فعلا هذا الإنسان بتقريب الحقائق منه وإبعاد الأوهام عنه، وإلّا فإنّ هذا العمل لن يكون له نفع في منطق القرآن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يَضْرِبُ اللهُ الْحَقَّ وَالْبَاطِلَ فَأَمَّا الزَّبَدُ فَيَذْهَبُ جُفَاءٌ وَأَمَّا مَا يَنْفَعُ النَّاسَ فَيَمْكُثُ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الرعد،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ربّ العالمين </w:t>
      </w:r>
      <w:bookmarkStart w:id="584" w:name="pg8898_139865"/>
    </w:p>
    <w:p>
      <w:pPr>
        <w:pStyle w:val="Heading4"/>
        <w:numPr>
          <w:ilvl w:val="3"/>
          <w:numId w:val="1"/>
        </w:numPr>
        <w:rPr/>
      </w:pPr>
      <w:bookmarkStart w:id="585" w:name="__RefHeading___Toc935859_2870459653"/>
      <w:bookmarkStart w:id="586" w:name="_Toc221"/>
      <w:bookmarkEnd w:id="584"/>
      <w:bookmarkEnd w:id="585"/>
      <w:r>
        <w:rPr>
          <w:rtl w:val="true"/>
        </w:rPr>
        <w:t>المصادر والمراجع</w:t>
      </w:r>
      <w:bookmarkEnd w:id="5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الجديد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السائب الكلبي، هشام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تح أحمد زكي باشا،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الكتب المصرية،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تفسير القرآن العظيم، لا ط دار طيبة، الرياض،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محمد بن 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دار صادر، بیروت، لا ط، لا 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عبد الملك السيرة النبوية، تح مصطفى السقا دار حياء التراث العربي بيروت، 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العسكري الفروق في اللغة، ط دار الآفاق الجديدة،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إيزوتستو، توشيهوكو، المفهومات الأخلاقية الدينية في القرآن تر عيسى علي العاكوب دار ،نینوی دمشق، </w:t>
      </w:r>
      <w:r>
        <w:rPr>
          <w:rFonts w:eastAsia="IRNazanin" w:cs="IRNazanin"/>
          <w:color w:val="111111"/>
          <w:sz w:val="28"/>
          <w:szCs w:val="28"/>
          <w:lang w:bidi="fa-IR"/>
        </w:rPr>
        <w:t>2016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إيزتسو، توشيهوكو الله والإنسان في القرآن تر هلال محمد الجهاد،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المنظمة العربية للترجمة، بيروت،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البعلبكي، منير قاموس المورد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البهنسي، أحمد القرآن الكريم وعلومه في الموسوعات اليهودية،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مركز تفسير للدراسات القرآنية، الرياض،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بوفيم، عبدالله اللغة العربية أم اللغات،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،لا ،م، لا ن،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البويني، عبد الرحمان أحمد اللغة العربية أصل اللغات كلها دار الحسن، عمان،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الحجيلي، عبد الرحمان المعاجم المفهرسة لألفاظ القرآن الكريم، لاط الجامعة الإسلامية بالمدينة المنورة 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الجرجاني علي بن محمد التعريفات تح براهيم الأنباري، دار الريان للتراث، لام، 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جعيط هشام مسيرة محمد في المدينة وانتصار الإسلام لا ط دار الطليعة للنشر، بيروت 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الخشن، حسين أصول الاجتهاد الكلامي،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المركز الإسلامي الثقافي، بيروت،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دراز، محمد عبدالله الدين لا ط الهنداوي، مصر،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الراغب الأصفهاني، ابو القاسم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المفردات في غريب القرآن مكتبة نزار مصطفى الباز لام 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زادة ، محمد 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المعجم في فقه القرآن وسر بلاغته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مجمع البحوث الإسلامية، مشهد،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 جلال الدين الإتقان في علوم القرآن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ناشرون، دمشق،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السيوطي، عبد الرحمن جلال الدين، الدر المنثور في التفسير بالمأثور، دار الفکر،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شلبي، أحمد اليهودية، ط</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مكتبة النهضة، القاهرة،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الدين محمد مهدي في الاجتماع السياسي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المؤسسة الدولية للدراسات والنشر،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هاشم قاموس القرآن الكريم بالفرنسية حدث فكري ،مهم، جريدة الشرق الأوسط، العدد </w:t>
      </w:r>
      <w:r>
        <w:rPr>
          <w:rFonts w:eastAsia="Amiri" w:cs="Amiri" w:ascii="Amiri" w:hAnsi="Amiri"/>
          <w:color w:val="111111"/>
          <w:sz w:val="28"/>
          <w:szCs w:val="28"/>
          <w:lang w:bidi="ar-SA"/>
        </w:rPr>
        <w:t>11214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الصدر ، محمد باقر ،اقتصادنا، ط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محمد بن جرير، جامع البيان عن تأويل آيالقرآن تح عبد الله التركي،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هجر للطباعة القاهرة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الطبطبائي، محمد حسين الميزان في تفسير القرآن،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التعارف، بیروت،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عمر لطفي، المستشرقون والقرآن دراسة نقدية لمناهج المستشرقين،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الدراسات الإسلامية، مالطة،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أحمد مختار المعجم الموسوعي لألفاظ القرآن وقراءاته،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سطور،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إبراهيم دائرة المعارف الإسلامية الاستشراقية أباطيل وأضاليل،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مكتبة البلد الأمين،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لابوم، جول، تفصيل آيات القرآن الكريم تر محمد عبد الباقي لات،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 آدم، الحضارة الإسلامية في القرن الرابع الهجري، تر محمد عبد الهادي أبو ريدة، طه، دار الكتاب اللبناني، بيروت، 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مرزوق، عبد الرؤوف، معجم الموضوعات والأعلام في القرآن الكريم،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الشروق، القاهرة، </w:t>
      </w:r>
      <w:r>
        <w:rPr>
          <w:rFonts w:eastAsia="Amiri" w:cs="Amiri" w:ascii="Amiri" w:hAnsi="Amiri"/>
          <w:color w:val="111111"/>
          <w:sz w:val="28"/>
          <w:szCs w:val="28"/>
          <w:lang w:bidi="ar-SA"/>
        </w:rPr>
        <w:t>1995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المسيري، عبد الوهاب موسوعة اليهود واليهودية والصهيونية،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الشروق،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نشرد ،تد دلیل اكسفورد للفلسفة تر نجيب ،الحصادي المكتب الوطني للبحث والتطوير ليبيا 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نولدكة تيودور تاريخ القرآن ترجمة جورج تامر ،طع منشورات الجمل كولونيا</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Jane Dammen McAuliffe, General Editor ,Encyclopedia of the  Quran, Brill,Leiden,Bosten,2001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الدوريات والمقالات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اسكندرلو محمد جواد كتابة الموسوعات عند المستشرقين دراسات استشراقية، ع</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ربیع </w:t>
      </w:r>
      <w:r>
        <w:rPr>
          <w:rFonts w:eastAsia="IRNazanin" w:cs="IRNazanin"/>
          <w:color w:val="111111"/>
          <w:sz w:val="28"/>
          <w:szCs w:val="28"/>
          <w:lang w:bidi="fa-IR"/>
        </w:rPr>
        <w:t>2017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البهنسي أحمد، إشكال فهم النص القرآني في الدراسات الاستشراقية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 الإسرائيلي أنموذجا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دراسات استشراقية، العدد الثاني، خريف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رضائي،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جولة في دائرة معارف ليدن العدد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صيف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زينب مقالة القراءة الغربية للقرآن مؤتمر القراءة الغربية للقرآن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الدعوة الإسلامية ليبيا ديسمبر</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،إقبال الموسوعة التكاملية للقرآن مجلة الاسلام والعلم، عدد</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صيف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bookmarkStart w:id="587" w:name="pg8898_139872"/>
    </w:p>
    <w:p>
      <w:pPr>
        <w:pStyle w:val="Heading2"/>
        <w:numPr>
          <w:ilvl w:val="1"/>
          <w:numId w:val="1"/>
        </w:numPr>
        <w:rPr/>
      </w:pPr>
      <w:bookmarkStart w:id="588" w:name="__RefHeading___Toc935861_2870459653"/>
      <w:bookmarkStart w:id="589" w:name="_Toc222"/>
      <w:bookmarkEnd w:id="587"/>
      <w:bookmarkEnd w:id="588"/>
      <w:r>
        <w:rPr>
          <w:rtl w:val="true"/>
        </w:rPr>
        <w:t xml:space="preserve">الاختيار الانتقائي والبيان اللامتوازن للمعلومات في موسوعة القرآن </w:t>
      </w:r>
      <w:r>
        <w:rPr>
          <w:rtl w:val="true"/>
        </w:rPr>
        <w:t xml:space="preserve">( </w:t>
      </w:r>
      <w:r>
        <w:rPr>
          <w:rtl w:val="true"/>
        </w:rPr>
        <w:t xml:space="preserve">ليدن </w:t>
      </w:r>
      <w:r>
        <w:rPr>
          <w:rtl w:val="true"/>
        </w:rPr>
        <w:t>)</w:t>
      </w:r>
      <w:bookmarkEnd w:id="589"/>
    </w:p>
    <w:p>
      <w:pPr>
        <w:pStyle w:val="Heading3"/>
        <w:numPr>
          <w:ilvl w:val="2"/>
          <w:numId w:val="1"/>
        </w:numPr>
        <w:rPr/>
      </w:pPr>
      <w:bookmarkStart w:id="590" w:name="__RefHeading___Toc935863_2870459653"/>
      <w:bookmarkStart w:id="591" w:name="_Toc223"/>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لطيفي </w:t>
      </w:r>
      <w:r>
        <w:rPr>
          <w:rStyle w:val="FootnoteAnchor"/>
          <w:rtl w:val="true"/>
        </w:rPr>
        <w:footnoteReference w:id="765"/>
      </w:r>
    </w:p>
    <w:p>
      <w:pPr>
        <w:pStyle w:val="Heading3"/>
        <w:numPr>
          <w:ilvl w:val="2"/>
          <w:numId w:val="1"/>
        </w:numPr>
        <w:rPr/>
      </w:pPr>
      <w:bookmarkStart w:id="592" w:name="__RefHeading___Toc935865_2870459653"/>
      <w:bookmarkStart w:id="593" w:name="_Toc224"/>
      <w:bookmarkEnd w:id="592"/>
      <w:r>
        <w:rPr>
          <w:rtl w:val="true"/>
        </w:rPr>
        <w:t>الملخص</w:t>
      </w:r>
      <w:bookmarkEnd w:id="593"/>
    </w:p>
    <w:p>
      <w:pPr>
        <w:pStyle w:val="BookText"/>
        <w:rPr/>
      </w:pPr>
      <w:r>
        <w:rPr>
          <w:rFonts w:ascii="Amiri" w:hAnsi="Amiri" w:eastAsia="Amiri" w:cs="Amiri"/>
          <w:color w:val="111111"/>
          <w:sz w:val="28"/>
          <w:sz w:val="28"/>
          <w:szCs w:val="28"/>
          <w:rtl w:val="true"/>
          <w:lang w:bidi="ar-SA"/>
        </w:rPr>
        <w:t xml:space="preserve">تُعدُّ موسوعة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الصادرة عن دار بريل في لايدن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أحدث الجهود الغربيّة التي تصبُّ في دائرة الأبحاث الإسلاميّة والاستشراق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تظهرُ في هذا العمل الخصائص المعهودة التي تطبعُ هذا الحقل البحثي القديم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تنوُّع الباحثين الذين ساهموا في تأليف هذه الموسوعة، إلا أنّه يُمكن تحديد الأُطُر المنهجيّة العامّة التي تُشكّل المضمون وتقودُ التحليل في العديد من المقاطع البحثية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تهدفُ هذه الدراسة لتحقيق ذلك من خلال تقديم نماذج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الانتقائي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غير المتوازن للمعلومات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المؤدَّييْن غالباً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صياغة تحليلاتٍ مُضلَّلة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تحتجُّ الدراسة بعدها أنّ تطبيق هذه المعايير في مقاربة أي نصٍ وفهمه سواء كان نصاً دينياً قديماً، منظومةً قانونية لدولةٍ علمانية معاصِرة، أو حتى نصاً ناتجاً عن مدرسةٍ 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توجه إلحادي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يُنتجُ مفاهيمَ خاطئة أو سخيفة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هذه 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والنقد الموجُّه 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لقرونٍ خلت وتظهرُ في النقاشات حول الاستشراق الغربيّ تسعى هذه الدراسة أن تطرح الفرضيّة الشهيرة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النمط العلميّ يقود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كأحد التفاسير الأساسية التي تُبيّن لماذا يقاوم هذا الحقل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الإسلامية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التغييرات أو التصحيحات</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القرآن الدراسات الإسلاميّة، الدراسات القرآنية، الاستشراق المنهجيّة الانتقائيّة الموضوعية العلميّة، الافتراضات اللاواعية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Selective Collection and Unbalanced Presentation of</w:t>
      </w:r>
    </w:p>
    <w:p>
      <w:pPr>
        <w:pStyle w:val="BookText"/>
        <w:rPr/>
      </w:pPr>
      <w:r>
        <w:rPr>
          <w:rFonts w:eastAsia="Times New Roman" w:cs="Times New Roman" w:ascii="Times New Roman" w:hAnsi="Times New Roman"/>
          <w:color w:val="111111"/>
          <w:sz w:val="28"/>
          <w:szCs w:val="28"/>
          <w:lang w:val="en-US" w:bidi="en-US"/>
        </w:rPr>
        <w:t>Data in the Encyclopedia of Qur'an (Leiden)</w:t>
      </w:r>
    </w:p>
    <w:p>
      <w:pPr>
        <w:pStyle w:val="BookText"/>
        <w:rPr/>
      </w:pPr>
      <w:r>
        <w:rPr>
          <w:rFonts w:eastAsia="Times New Roman" w:cs="Times New Roman" w:ascii="Times New Roman" w:hAnsi="Times New Roman"/>
          <w:color w:val="111111"/>
          <w:sz w:val="28"/>
          <w:szCs w:val="28"/>
          <w:lang w:val="en-US" w:bidi="en-US"/>
        </w:rPr>
        <w:t>Hossein Latifi</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The Encyclopedia of Qur'an (Leiden) is among the latest efforts in the West- ern tradition of Islamic Studies and Orientalism. As such, it displays typi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cal characteristics common in this relatively old field of studies. Despite the diversity of the Encyclopedia's authors, general methodological frameworks</w:t>
      </w:r>
    </w:p>
    <w:p>
      <w:pPr>
        <w:pStyle w:val="BookText"/>
        <w:rPr/>
      </w:pPr>
      <w:r>
        <w:rPr>
          <w:rFonts w:eastAsia="Times New Roman" w:cs="Times New Roman" w:ascii="Times New Roman" w:hAnsi="Times New Roman"/>
          <w:color w:val="111111"/>
          <w:sz w:val="28"/>
          <w:szCs w:val="28"/>
          <w:lang w:val="en-US" w:bidi="en-US"/>
        </w:rPr>
        <w:t>that shape the content and guide the analysis in many of its entries can be outlined. Present study aims at doing so by bringing into light cases of "selec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tive data collection" and "unbalanced data presentation" which often result in "formation of misleading analyses." The study then argues the applica- tion of such measures in approaching and understanding any literature, be it a religious tradition of the past, legal system of a modern secular country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 even a philosophical school with atheistic orientation, will only produce wrong, or rather ridiculous misconceptions. Since these characteristics and criticism against them- are as old as centuries in discussions about Western orientalism, the study then tries to suggest the famous hypothesis "scientific</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paradigm leads the research" as one major explanation of why this discipline (Islamic Studies in the West) resists against certain changes or corrections. Keywords: Encyclopedia of Qur'an, Islamic Studies, Qur'anic Studies, Ori- entalism, Selective Methodology, Scientific Objectivism, Subconscious Pre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suppositions</w:t>
      </w:r>
    </w:p>
    <w:p>
      <w:pPr>
        <w:pStyle w:val="BookText"/>
        <w:rPr/>
      </w:pPr>
      <w:r>
        <w:rPr>
          <w:rFonts w:eastAsia="Times New Roman" w:cs="Times New Roman" w:ascii="Times New Roman" w:hAnsi="Times New Roman"/>
          <w:color w:val="111111"/>
          <w:sz w:val="28"/>
          <w:szCs w:val="28"/>
          <w:lang w:val="en-US" w:bidi="en-US"/>
        </w:rPr>
        <w:t>Introduction</w:t>
      </w:r>
    </w:p>
    <w:p>
      <w:pPr>
        <w:pStyle w:val="BookText"/>
        <w:rPr/>
      </w:pPr>
      <w:r>
        <w:rPr>
          <w:rFonts w:eastAsia="Times New Roman" w:cs="Times New Roman" w:ascii="Times New Roman" w:hAnsi="Times New Roman"/>
          <w:color w:val="111111"/>
          <w:sz w:val="28"/>
          <w:szCs w:val="28"/>
          <w:lang w:val="en-US" w:bidi="en-US"/>
        </w:rPr>
        <w:t>The old tradition of western orientalism in general and Islamic studies in partic- ular, has received-almost since its birth-mixed reactions by Muslims; from those who deem the field as the most scientific endeavor ever to understand Islamic tradition which must be adopted and followed by Muslim thinkers too, as the ultimate example of true scientific research method; to those who regard it as a tool and necessary component in the western imperialistic and dominative colonial and post-colonial policies. By examining some of the key methodolog- ical frameworks in the Encyclopedia of Qur'an, the present study argues that beyond political agendas or sincere individual motivations, this field of study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exemplified now in EQ, suffers from serious deficiencies. As it is common with scientific fields, deficiencies exist and so are critical and peer reviewed approach to rectify them; yet aforementioned deficiencies are difficult to be cured, partly because they are seen by the field's practitioners as values and not problems. The study comprises of two sections and a conclusion. In the first section, random examples of selective data collection in EQ are listed. In the second section, cases of unbalanced date presentation in EQ are discussed and finally, the study arrives at its main conclusion, which is an answer to the question concerning the origin and cause; simply put, why such partial blindness keeps repeating itselffrequently -and against all the long standing criticism- in what is primarily supposed to bea scientific discipline</w:t>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What is meant Selective Collection and Unbalanced Presentation? In brief and simple words, in this paper selective collection of research ma- Sime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terials means when a researcher, mainly due to her presuppositions, either intentionally or subconsciously, ignores certain facts which are contrary to her pre-established theory. For example, if a noticeable number of Muslim scholars have a certain opinion, but a researcher turns a blind eye on them; a common case with the exegetical opinions of Shia scholars in EQ, as these opinions are ignored as if they never exist (while the authors remember to</w:t>
      </w:r>
    </w:p>
    <w:p>
      <w:pPr>
        <w:pStyle w:val="BookText"/>
        <w:rPr/>
      </w:pPr>
      <w:r>
        <w:rPr>
          <w:rFonts w:eastAsia="Times New Roman" w:cs="Times New Roman" w:ascii="Times New Roman" w:hAnsi="Times New Roman"/>
          <w:color w:val="111111"/>
          <w:sz w:val="28"/>
          <w:szCs w:val="28"/>
          <w:lang w:val="en-US" w:bidi="en-US"/>
        </w:rPr>
        <w:t>bring into light opinions from even the cult-like groups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Unbalanced date presentation means when different elements of a theological or philosophical system, or different accounts in a historical narrative, are not</w:t>
      </w:r>
    </w:p>
    <w:p>
      <w:pPr>
        <w:pStyle w:val="BookText"/>
        <w:rPr/>
      </w:pPr>
      <w:r>
        <w:rPr>
          <w:rFonts w:eastAsia="Times New Roman" w:cs="Times New Roman" w:ascii="Times New Roman" w:hAnsi="Times New Roman"/>
          <w:color w:val="111111"/>
          <w:sz w:val="28"/>
          <w:szCs w:val="28"/>
          <w:lang w:val="en-US" w:bidi="en-US"/>
        </w:rPr>
        <w:t>given their due weight in the overall depiction. For example,the weight of the monotheistic doctrine (Tawhid) with its profound and multilayered applica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tion in the Islamic theology is not similar to anything in other theological systems;to put it beside other elements just like another religious teaching is an unbalanced depiction of Tawhid. Of if there are nine traditionally au- thentic and objectively reliable accounts which narrate a historical incident in a certain way, but there's one remote and suspicious report which has a different approach, to present the one single unreliable report as the most significant and fundamental constituent of one's historical analysis is nothing but unbalanced data presentation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Cases of Selective Data Collection</w:t>
      </w:r>
    </w:p>
    <w:p>
      <w:pPr>
        <w:pStyle w:val="BookText"/>
        <w:rPr/>
      </w:pPr>
      <w:r>
        <w:rPr>
          <w:rFonts w:eastAsia="Times New Roman" w:cs="Times New Roman" w:ascii="Times New Roman" w:hAnsi="Times New Roman"/>
          <w:color w:val="111111"/>
          <w:sz w:val="28"/>
          <w:szCs w:val="28"/>
          <w:lang w:val="en-US" w:bidi="en-US"/>
        </w:rPr>
        <w:t>Apparition (1:124)</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After being defined as "preternatural appearance of a specter or vision" it is stated “There is no specific qur'ānic term for apparition." Simply ignoring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clear and explicit Qur'anic term "tamaththul" (19:17) and all its subsequent exegetical and philosophical elaborations; not to mention its widespread us- age in Hadith. (Tabatabaei, 1417, p. 14:36) However, the author then takes two other words 'burhan' (proof) and 'Aya' (sign) to trace "apparition" in Qur'an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Since these two have completely different lexical senses from 'apparition, one might wonder why? Then it turns out according to one interpretation based on Isra'iliyat, the word 'burhan' in 12:24 alludes to something in the form of apparition. This interpretation has precedence in Babylonian Talmud, hence fits the theory of Qur'an's inauthenticity; such a strange negligence of 'ta- maththul' and vivid divergence from 'apparition' to 'proof, just to spotlight an interpretation with precedence in biblical tradition. Then the author goes on to discuss cases of illusions and optical errors in the same entry, whereupon giving the picture that there's no clear distinction between Prophetic visions. and Satanic hallucinations in Qur'an; another Westernpopular theory about Qur'an and the Messenger who brought 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Al-Aqsa Mosque (1:25)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Within Muhammad's life-time ... "the farthest (al-aqsa) place ofprayer" might have been in heaven, in Jerusalem (q.v.) or perhaps in a locale near Mecca." according to the author, there's nothing in Islamic exegetical tradi- tion to interpret thequr'anic title "Masjid al-aqsa;" not even enough evidence to determinethe approximate time from which Muslim writers started to as- sociate 'Masjid al-aqsa' to Jerusalem: "Only at a later, unknown time did the</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topographical attribution become the proper name of the Aqsa Mosque." then she goes on "No Muslim source records the Haram's first mosque...but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Gallic pilgrim Arculf saw that the "Saracens" had a rough prayer house, unnamed, in its eastern part ... That mosque has been attributed to Umar b. al-Khaāb" (1:125) and then she lists the renovations and expansions of that building throughout history and who exactly is to be credited for details of the building (or buildings) at each historical stage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She also makes sure to state that Muslim historians and geographers' de- tailed descriptions of al-aqsa are "sometimes contradictory ... while Hamil- ton's study provides the most complete archaeological record."(1:126) to sum up, since no building called "Masjid" existed in Jerusalem during the reve- lation of Qur'an, this qur'anic term is originally vague; only later-the date and source remain unknown- it has been used to refer to a building that is attributed to the second caliph. Simply put, this part of Qur'an was vague and meaningless for Muslims (or even the Prophet (s) himself) it could mean anywhere in heaven or earth, in Arabia or the Levant, until some Muslims (was it during the second Caliph? Who knows, it's just an attribution!) erect- ed a building in Jerusalem</w:t>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One is left wondering whether this masterpiece issimply the result of a petty, unwitting mistake between 'mosque as a building' and 'mosque as a piece of land. A quick survey in early Islamic tradition reveals that "Masjid" is occa- sionally associated with a piece of land' and not necessarily a 'building;' thus, the absence of a building called Masjid in Jerusalem, does not render verse 17:1 and countless other Hadith that contain the title 'Masjid al-aqsa' orig- inally vague. Not to mention the fact that in Islamic historical perspective, places of worship that were built by prophets, are truly Masjids; Adam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built Ka'ba, David(a) specified a piece of land as Masjid al-aqsa (later built by Solomon (a) and known in the biblical tradition as Solomon's temple), and Muhammad (s) built the Masjid in Medina. In fact, the plural title 'Masajid al-anbiya' (Mosques of the Prophets) is applied to the three in early Islamic</w:t>
      </w:r>
    </w:p>
    <w:p>
      <w:pPr>
        <w:pStyle w:val="BookText"/>
        <w:rPr/>
      </w:pPr>
      <w:r>
        <w:rPr>
          <w:rFonts w:eastAsia="Times New Roman" w:cs="Times New Roman" w:ascii="Times New Roman" w:hAnsi="Times New Roman"/>
          <w:color w:val="111111"/>
          <w:sz w:val="28"/>
          <w:szCs w:val="28"/>
          <w:lang w:val="en-US" w:bidi="en-US"/>
        </w:rPr>
        <w:t>tradition, in recognition of their historical divine origin. (al-Jassas, 1405, p. 1:302)</w:t>
      </w:r>
    </w:p>
    <w:p>
      <w:pPr>
        <w:pStyle w:val="BookText"/>
        <w:rPr/>
      </w:pPr>
      <w:r>
        <w:rPr>
          <w:rFonts w:eastAsia="Times New Roman" w:cs="Times New Roman" w:ascii="Times New Roman" w:hAnsi="Times New Roman"/>
          <w:color w:val="111111"/>
          <w:sz w:val="28"/>
          <w:szCs w:val="28"/>
          <w:lang w:val="en-US" w:bidi="en-US"/>
        </w:rPr>
        <w:t>Abrogation (1:11)</w:t>
      </w:r>
    </w:p>
    <w:p>
      <w:pPr>
        <w:pStyle w:val="BookText"/>
        <w:rPr/>
      </w:pPr>
      <w:r>
        <w:rPr>
          <w:rFonts w:eastAsia="Times New Roman" w:cs="Times New Roman" w:ascii="Times New Roman" w:hAnsi="Times New Roman"/>
          <w:color w:val="111111"/>
          <w:sz w:val="28"/>
          <w:szCs w:val="28"/>
          <w:lang w:val="en-US" w:bidi="en-US"/>
        </w:rPr>
        <w:t>In a reversed and negative definition, instead of defining it as the natural re- sult of any flexible any gradual legislative process, "Abrogation" is defined, at</w:t>
      </w:r>
    </w:p>
    <w:p>
      <w:pPr>
        <w:pStyle w:val="BookText"/>
        <w:rPr/>
      </w:pPr>
      <w:r>
        <w:rPr>
          <w:rFonts w:eastAsia="Times New Roman" w:cs="Times New Roman" w:ascii="Times New Roman" w:hAnsi="Times New Roman"/>
          <w:color w:val="111111"/>
          <w:sz w:val="28"/>
          <w:szCs w:val="28"/>
          <w:lang w:val="en-US" w:bidi="en-US"/>
        </w:rPr>
        <w:t>the beginning of its entry as "a concept... which allowed the harmonization of apparent contradictions in legal rulings." Giving the picture that Qur'an had initial contradictions and only later Muslim thinkers came up with a concept called "Naskh" to reconcile them. It is true that from a later perspec- tive, abrogation has that function, but to define abrogation mainly as a kind of justification for discrepancy in a legal text is not a firsthand definition of the concept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Azar (1:192)</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Completely ignoring -either deliberately or unintentionally- the strong Shia in- terpretation of the verses related to Azar, which reject him as Ibrahim's father, the author tries to reconcile the discrepancy between the name of Ibrahim's father in biblical tradition, Terah; and the one in Qur'an, Azar -according to non-Shia interpretation- and states: "The most widely-acceptedview...is that- the name derives from the Hebrew Elyezer,the name of Abraham's servant 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Gen15:2" And then the reader is notified "it also suggests an inability among early Muslims to differentiate Abraham's father from his servant in the biblical account." Clearly, had the author only considered Shia views in this regard he could have saved at least some early -and also later- Muslims from such inabil- ities.Ignoring Shia views in this particular case seems more questionable when we see in other cases, the authors normally spare no effort to find the remotest ideas and present them as mainstream, orthodox Shia beliefs, e.g. the case with the Shia views on Tahrif (Distortion of the Holy Qur'an)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Cain and Abel (1:270)</w:t>
      </w:r>
    </w:p>
    <w:p>
      <w:pPr>
        <w:pStyle w:val="BookText"/>
        <w:rPr/>
      </w:pPr>
      <w:r>
        <w:rPr>
          <w:rFonts w:eastAsia="Times New Roman" w:cs="Times New Roman" w:ascii="Times New Roman" w:hAnsi="Times New Roman"/>
          <w:color w:val="111111"/>
          <w:sz w:val="28"/>
          <w:szCs w:val="28"/>
          <w:lang w:val="en-US" w:bidi="en-US"/>
        </w:rPr>
        <w:t>It is surprising how the clear difference between Qur'anic and biblical narra- tives of Abel's burial is ignored. The fact that God's sending a raven to teach</w:t>
      </w:r>
    </w:p>
    <w:p>
      <w:pPr>
        <w:pStyle w:val="BookText"/>
        <w:rPr/>
      </w:pPr>
      <w:r>
        <w:rPr>
          <w:rFonts w:eastAsia="Times New Roman" w:cs="Times New Roman" w:ascii="Times New Roman" w:hAnsi="Times New Roman"/>
          <w:color w:val="111111"/>
          <w:sz w:val="28"/>
          <w:szCs w:val="28"/>
          <w:lang w:val="en-US" w:bidi="en-US"/>
        </w:rPr>
        <w:t>Cain how to bury his brother's body, isuniquely Qur'anic -and is absent in all biblical tradition- such a fact is nothing worthy of the author's attention, yet</w:t>
      </w:r>
    </w:p>
    <w:p>
      <w:pPr>
        <w:pStyle w:val="BookText"/>
        <w:rPr/>
      </w:pPr>
      <w:r>
        <w:rPr>
          <w:rFonts w:eastAsia="Times New Roman" w:cs="Times New Roman" w:ascii="Times New Roman" w:hAnsi="Times New Roman"/>
          <w:color w:val="111111"/>
          <w:sz w:val="28"/>
          <w:szCs w:val="28"/>
          <w:lang w:val="en-US" w:bidi="en-US"/>
        </w:rPr>
        <w:t>he feels free to define with full certainty, the passivity of Abel in (Q 5:28) as a Christian element, without any implicit or explicit reference to such a link from Muslim sources. "Abel's inaction and passivity (cf. q 5:28) is evidently a Christian element since, according to Christian tradition, the murder (q.v.) of Abel is considered a prefiguration of the crucifixion of Jesus." (1:271) Ac- cording to this passage, (Qur'an 5:28) contains an evident Christian element, not because there's noteven the slightest clue for such a link from Muslim sources, but only because Christians believe Abel's murder was a foregoing</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example of Jesus' crucifixion; not to remind the author and his respected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readers that Qur'an explicitly denies the latter (crucifixion story) elsewhere (Q 4:157) altogether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Friday Prayer (2:271)</w:t>
      </w:r>
    </w:p>
    <w:p>
      <w:pPr>
        <w:pStyle w:val="BookText"/>
        <w:rPr/>
      </w:pPr>
      <w:r>
        <w:rPr>
          <w:rFonts w:eastAsia="Times New Roman" w:cs="Times New Roman" w:ascii="Times New Roman" w:hAnsi="Times New Roman"/>
          <w:color w:val="111111"/>
          <w:sz w:val="28"/>
          <w:szCs w:val="28"/>
          <w:lang w:val="en-US" w:bidi="en-US"/>
        </w:rPr>
        <w:t>Jum'a (Friday) is introduced as the sixth day of the week (whose week? Mus- lim or Jewish?); then it is claimedthat the name "Jum'a" or "Assembly" drives</w:t>
      </w:r>
    </w:p>
    <w:p>
      <w:pPr>
        <w:pStyle w:val="BookText"/>
        <w:rPr/>
      </w:pPr>
      <w:r>
        <w:rPr>
          <w:rFonts w:eastAsia="Times New Roman" w:cs="Times New Roman" w:ascii="Times New Roman" w:hAnsi="Times New Roman"/>
          <w:color w:val="111111"/>
          <w:sz w:val="28"/>
          <w:szCs w:val="28"/>
          <w:lang w:val="en-US" w:bidi="en-US"/>
        </w:rPr>
        <w:t>from a Jewish custom of market-gathering on Fridays. Thus,designation of Friday as a day for congregational prayer for Muslims was a juxtaposition of market activity and collective religious duty." As we continue, we realize that Friday was not set apart as a day of rest, and there is no evidence that its establishment as a day of communal prayer was of a polemical intent; it's only</w:t>
      </w:r>
    </w:p>
    <w:p>
      <w:pPr>
        <w:pStyle w:val="BookText"/>
        <w:rPr/>
      </w:pPr>
      <w:r>
        <w:rPr>
          <w:rFonts w:eastAsia="Times New Roman" w:cs="Times New Roman" w:ascii="Times New Roman" w:hAnsi="Times New Roman"/>
          <w:color w:val="111111"/>
          <w:sz w:val="28"/>
          <w:szCs w:val="28"/>
          <w:lang w:val="en-US" w:bidi="en-US"/>
        </w:rPr>
        <w:t>in later developments that Friday has emerged as a religious rival to Saturday or Sunday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address the above claims by order, first it might be useful to know that the pre-Islamic name of Friday, was not Jum'a or Assembly, for the sake of Jewish</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market-gathering, rather the day was known as yawm al-uruba, the day of Arabism. Oldest fragments of Ancient Arab poetry use the name al-'Uru- bal</w:t>
      </w:r>
      <w:r>
        <w:rPr>
          <w:rStyle w:val="FootnoteAnchor"/>
        </w:rPr>
        <w:footnoteReference w:id="768"/>
      </w:r>
      <w:r>
        <w:rPr>
          <w:rFonts w:eastAsia="Times New Roman" w:cs="Times New Roman" w:ascii="Times New Roman" w:hAnsi="Times New Roman"/>
          <w:color w:val="111111"/>
          <w:sz w:val="28"/>
          <w:szCs w:val="28"/>
          <w:lang w:val="en-US" w:bidi="en-US"/>
        </w:rPr>
        <w:t>], rather than Jum'a</w:t>
      </w:r>
      <w:r>
        <w:rPr>
          <w:rStyle w:val="FootnoteAnchor"/>
        </w:rPr>
        <w:footnoteReference w:id="769"/>
      </w:r>
      <w:r>
        <w:rPr>
          <w:rFonts w:eastAsia="Times New Roman" w:cs="Times New Roman" w:ascii="Times New Roman" w:hAnsi="Times New Roman"/>
          <w:color w:val="111111"/>
          <w:sz w:val="28"/>
          <w:szCs w:val="28"/>
          <w:lang w:val="en-US" w:bidi="en-US"/>
        </w:rPr>
        <w:t>; in fact, it has been explicitly stated by early Arab lexical experts and writers that prior to Islam, "no one used the name Jum'a for Friday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Also, earliest and oldest surviving accounts accompanying this verse, explic- itly state the 'polemical intent' of this day in comparison to Jewish Saturday</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nations, they disagreed, but we were guided to it" 1:125 1991 )) "get ready for Friday from Thursday eve, like the way Jews get ready for Saturday from Friday eve." 86:197 54:211 1403xo)) 54:21</w:t>
      </w:r>
    </w:p>
    <w:p>
      <w:pPr>
        <w:pStyle w:val="BookText"/>
        <w:rPr/>
      </w:pPr>
      <w:r>
        <w:rPr>
          <w:rFonts w:eastAsia="Times New Roman" w:cs="Times New Roman" w:ascii="Times New Roman" w:hAnsi="Times New Roman"/>
          <w:color w:val="111111"/>
          <w:sz w:val="28"/>
          <w:szCs w:val="28"/>
          <w:lang w:val="en-US" w:bidi="en-US"/>
        </w:rPr>
        <w:t>or Christian Sunday. It is noteworthy that Friday was not set apart as a day of rest, for there's no concept of "day of rest" in Islam. The belief that God</w:t>
      </w:r>
    </w:p>
    <w:p>
      <w:pPr>
        <w:pStyle w:val="BookText"/>
        <w:rPr/>
      </w:pPr>
      <w:r>
        <w:rPr>
          <w:rFonts w:eastAsia="Times New Roman" w:cs="Times New Roman" w:ascii="Times New Roman" w:hAnsi="Times New Roman"/>
          <w:color w:val="111111"/>
          <w:sz w:val="28"/>
          <w:szCs w:val="28"/>
          <w:lang w:val="en-US" w:bidi="en-US"/>
        </w:rPr>
        <w:t>took rest on a special day after six day creation is directly rejected by Qur'an (50:38). So to expect holiday/rest-day link is rather a wrong expectation in</w:t>
      </w:r>
    </w:p>
    <w:p>
      <w:pPr>
        <w:pStyle w:val="BookText"/>
        <w:rPr/>
      </w:pPr>
      <w:r>
        <w:rPr>
          <w:rFonts w:eastAsia="Times New Roman" w:cs="Times New Roman" w:ascii="Times New Roman" w:hAnsi="Times New Roman"/>
          <w:color w:val="111111"/>
          <w:sz w:val="28"/>
          <w:szCs w:val="28"/>
          <w:lang w:val="en-US" w:bidi="en-US"/>
        </w:rPr>
        <w:t>Islamic tradition. Still, Muslims are encouraged to leave work for the sake of worship-and not rest- on Friday. (62:9)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author then cites the verse encouraging Muslims to spread and look for the bounty of God after the prayer, as an evidence for the ritual's occurrence</w:t>
      </w:r>
    </w:p>
    <w:p>
      <w:pPr>
        <w:pStyle w:val="BookText"/>
        <w:rPr/>
      </w:pPr>
      <w:r>
        <w:rPr>
          <w:rFonts w:eastAsia="Times New Roman" w:cs="Times New Roman" w:ascii="Times New Roman" w:hAnsi="Times New Roman"/>
          <w:color w:val="111111"/>
          <w:sz w:val="28"/>
          <w:szCs w:val="28"/>
          <w:lang w:val="en-US" w:bidi="en-US"/>
        </w:rPr>
        <w:t>in the proximity of commercial and social pursuits. Just there, he admits. that historical observations confirm that in Arabia, market-gathering would</w:t>
      </w:r>
    </w:p>
    <w:p>
      <w:pPr>
        <w:pStyle w:val="BookText"/>
        <w:rPr/>
      </w:pPr>
      <w:r>
        <w:rPr>
          <w:rFonts w:eastAsia="Times New Roman" w:cs="Times New Roman" w:ascii="Times New Roman" w:hAnsi="Times New Roman"/>
          <w:color w:val="111111"/>
          <w:sz w:val="28"/>
          <w:szCs w:val="28"/>
          <w:lang w:val="en-US" w:bidi="en-US"/>
        </w:rPr>
        <w:t>normally diminish by noon. He seems not to notice the discrepancy in his analysis; if market-gathering diminishes before prayer (noon), then how can</w:t>
      </w:r>
    </w:p>
    <w:p>
      <w:pPr>
        <w:pStyle w:val="BookText"/>
        <w:rPr/>
      </w:pPr>
      <w:r>
        <w:rPr>
          <w:rFonts w:eastAsia="Times New Roman" w:cs="Times New Roman" w:ascii="Times New Roman" w:hAnsi="Times New Roman"/>
          <w:color w:val="111111"/>
          <w:sz w:val="28"/>
          <w:szCs w:val="28"/>
          <w:lang w:val="en-US" w:bidi="en-US"/>
        </w:rPr>
        <w:t>encouraging Muslims to look for bounty of God afternoon prayer have any- thing to do with the claimed market-gathering? Finally we finish the entry with a masterpiece of chronological analysis. The</w:t>
      </w:r>
    </w:p>
    <w:p>
      <w:pPr>
        <w:pStyle w:val="BookText"/>
        <w:rPr/>
      </w:pPr>
      <w:r>
        <w:rPr>
          <w:rFonts w:eastAsia="Times New Roman" w:cs="Times New Roman" w:ascii="Times New Roman" w:hAnsi="Times New Roman"/>
          <w:color w:val="111111"/>
          <w:sz w:val="28"/>
          <w:szCs w:val="28"/>
          <w:lang w:val="en-US" w:bidi="en-US"/>
        </w:rPr>
        <w:t>verse indicating Muslims left Prophet (s) standing, can't be a reference to the sermon and the speech before prayer in Friday -as it has been stated in</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traditional interpretation of the verse- because a Hadith used in such inter- pretation, contains the word 'Minbar' or ceremonial pulpit, and such a thing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did not exist at that time; as clear and as genius as that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Any reader with slightest familiarity with Islam and its history would wonder what the source of such a claim is; that minbar did not exit during the time</w:t>
      </w:r>
    </w:p>
    <w:p>
      <w:pPr>
        <w:pStyle w:val="BookText"/>
        <w:rPr/>
      </w:pPr>
      <w:r>
        <w:rPr>
          <w:rFonts w:eastAsia="Times New Roman" w:cs="Times New Roman" w:ascii="Times New Roman" w:hAnsi="Times New Roman"/>
          <w:color w:val="111111"/>
          <w:sz w:val="28"/>
          <w:szCs w:val="28"/>
          <w:lang w:val="en-US" w:bidi="en-US"/>
        </w:rPr>
        <w:t>of Prophet (s). Then a minbar-related source catches your eyes in the bibliog- raphy; "The Pulpit in Islam" by "S. M. Zwemer?" a 13 page paper which cites</w:t>
      </w:r>
    </w:p>
    <w:p>
      <w:pPr>
        <w:pStyle w:val="BookText"/>
        <w:rPr/>
      </w:pPr>
      <w:r>
        <w:rPr>
          <w:rFonts w:eastAsia="Times New Roman" w:cs="Times New Roman" w:ascii="Times New Roman" w:hAnsi="Times New Roman"/>
          <w:color w:val="111111"/>
          <w:sz w:val="28"/>
          <w:szCs w:val="28"/>
          <w:lang w:val="en-US" w:bidi="en-US"/>
        </w:rPr>
        <w:t>historical and traditional accounts about the existence and use of minbar during the life of Prophet (s). (Zwemer, 1933) Where does it state minbar did</w:t>
      </w:r>
    </w:p>
    <w:p>
      <w:pPr>
        <w:pStyle w:val="BookText"/>
        <w:rPr/>
      </w:pPr>
      <w:r>
        <w:rPr>
          <w:rFonts w:eastAsia="Times New Roman" w:cs="Times New Roman" w:ascii="Times New Roman" w:hAnsi="Times New Roman"/>
          <w:color w:val="111111"/>
          <w:sz w:val="28"/>
          <w:szCs w:val="28"/>
          <w:lang w:val="en-US" w:bidi="en-US"/>
        </w:rPr>
        <w:t>not exit during the life of Prophet (s)? Nobody seems to know. References to minber during the life of Prophet (s) are too many and too diverse</w:t>
      </w:r>
      <w:r>
        <w:rPr>
          <w:rStyle w:val="FootnoteAnchor"/>
        </w:rPr>
        <w:footnoteReference w:id="772"/>
      </w:r>
      <w:r>
        <w:rPr>
          <w:rFonts w:eastAsia="Times New Roman" w:cs="Times New Roman" w:ascii="Times New Roman" w:hAnsi="Times New Roman"/>
          <w:color w:val="111111"/>
          <w:sz w:val="28"/>
          <w:szCs w:val="28"/>
          <w:lang w:val="en-US" w:bidi="en-US"/>
        </w:rPr>
        <w:t>to easily fit under the usual label of "later-Muslim-fabrication" by typical west- ern orientalists; this particular subject is not one of those. And besides, one account in the exegesis of the verse (62:11) containing the word 'minbar' (which the author, erroneously, believes indulges anachronism) should not permit him to ignore and disregard other accounts and Hadith that present similar interpretation of that verse (i.e. delivering sermon while standing)</w:t>
      </w:r>
    </w:p>
    <w:p>
      <w:pPr>
        <w:pStyle w:val="BookText"/>
        <w:rPr/>
      </w:pPr>
      <w:r>
        <w:rPr>
          <w:rFonts w:eastAsia="Times New Roman" w:cs="Times New Roman" w:ascii="Times New Roman" w:hAnsi="Times New Roman"/>
          <w:color w:val="111111"/>
          <w:sz w:val="28"/>
          <w:szCs w:val="28"/>
          <w:lang w:val="en-US" w:bidi="en-US"/>
        </w:rPr>
        <w:t>without mentioning minbar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Exegesis of the Qurān: Classical and Medieval (2:99) In this entry we somehow learn that the technical sense of word "Tafsir" has no origin in Qur'an itself and like almost everything else in early Islamic literature, it has been plagiarized from Judo-Christian tradition. And why 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that? Because the word "tafsir" occurs as 'hapaxlegomenon' in Qur'an and is mostly linked with "unveiling" or "uncovering;" the author replies. An aver- age reader is left wondering what the basis for the claim of 'hapaxlegomenon' is, and more importantly, why the clear connection between the original ety- mological sense (unveiling and uncovering) and the technical one (interpre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tation) is easily ignored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Then we go on to know about "ta'wil" as well. This one has been used in Qur'an several times. But again, like any typical contribution in Islamic lit- erature, its meaning and contrast to tafsir is nothing but an echo of Jewish and patristic discussions of fourfold ways of interpretation. The space does. not allow us to mention in detail the great differences between tafsir/ta'wil dichotomy and the fourfold interpretation of scripture mainly initiated by Alexandrian theologians, but a quick survey of the usage of 'ta'wil' in Qur'an and later Muslim exegetical tradition, reveals the unique dimensions of its 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lamic conception and consolidation. Let's just treat one example. The author states "It has recently been definitively shown that the verb ta'awwala, from</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which the term tawll is formed, originally meant "to apply a verse to a given situation," before it came to mean allegorical interpretation" (2:100) One of the very usages of ta'wil in Qur'an, not only reveals the author's 're- cent discovery' to be pretty old, but also facilitates the consistency of ta'wil's etymological and technical senses and proves the great difference between ta'wil (both in etymological sense and technical practice) and 'the allegori- cal interpretation' as understood in Judo-Christian tradition. As the author has passingly quoted from early Arab lexicons, ta'wil etymologically means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returning to the beginning." What he failed to note is that 'beginning' in this definition is best understood in the sense of Greek Arche, the first or beginning not just in the temporal or spatial sense, but more in the sense of prototype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clear and classic example of both the etymological and technical sense of ta'wil is in Qur'an 12:100, when Yusuf (Joseph) eventually finds himself on</w:t>
      </w:r>
    </w:p>
    <w:p>
      <w:pPr>
        <w:pStyle w:val="BookText"/>
        <w:rPr/>
      </w:pPr>
      <w:r>
        <w:rPr>
          <w:rFonts w:eastAsia="Times New Roman" w:cs="Times New Roman" w:ascii="Times New Roman" w:hAnsi="Times New Roman"/>
          <w:color w:val="111111"/>
          <w:sz w:val="28"/>
          <w:szCs w:val="28"/>
          <w:lang w:val="en-US" w:bidi="en-US"/>
        </w:rPr>
        <w:t>the throne and his family members bowing in respect, he says as quoted in Qur'an "this is the ta'wil (realization) of my dream from before; indeed my</w:t>
      </w:r>
    </w:p>
    <w:p>
      <w:pPr>
        <w:pStyle w:val="BookText"/>
        <w:rPr/>
      </w:pPr>
      <w:r>
        <w:rPr>
          <w:rFonts w:eastAsia="Times New Roman" w:cs="Times New Roman" w:ascii="Times New Roman" w:hAnsi="Times New Roman"/>
          <w:color w:val="111111"/>
          <w:sz w:val="28"/>
          <w:szCs w:val="28"/>
          <w:lang w:val="en-US" w:bidi="en-US"/>
        </w:rPr>
        <w:t>Lord has made it a true one." Ta'wil meanswhen you have a hint, a sign or a signifier (in this case an old dream) and you try to find the prototype or origin from which it had been taken. Once the two match, it's called correct ta'wil.In exegesis of Qur'an, a Muslim who believes Qur'anic verses (again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bad translation, there is no 'verse' in original Arabic, it's Aya meaning 'sign') so a Muslim who believes these 'signs' were taken from a high position (11:1)</w:t>
      </w:r>
    </w:p>
    <w:p>
      <w:pPr>
        <w:pStyle w:val="BookText"/>
        <w:rPr/>
      </w:pPr>
      <w:r>
        <w:rPr>
          <w:rFonts w:eastAsia="Times New Roman" w:cs="Times New Roman" w:ascii="Times New Roman" w:hAnsi="Times New Roman"/>
          <w:color w:val="111111"/>
          <w:sz w:val="28"/>
          <w:szCs w:val="28"/>
          <w:lang w:val="en-US" w:bidi="en-US"/>
        </w:rPr>
        <w:t>essentially tries to find out the particular prototype matches for those signs. Once the match is found, he claims possessing the correct ta'wil of that sign and returns (applies) the sign to its original prototype. Sometimes the pro- totype match seems so distanced and different from the initial sign, that the process fits under the description of allegory, that is, to treat an unmentioned subject under the guise of another similar; but this is only how it looks to an ignorant eye, from the standpoint of the one who does the ta'wil, the practice is more of match finding and application, not a simple metaphorical assim</w:t>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ilation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Of course discussions and complications about ta'wil and its different senses. do not end here, present paper only allows us to know that explicit traces of</w:t>
      </w:r>
    </w:p>
    <w:p>
      <w:pPr>
        <w:pStyle w:val="BookText"/>
        <w:rPr/>
      </w:pPr>
      <w:r>
        <w:rPr>
          <w:rFonts w:eastAsia="Times New Roman" w:cs="Times New Roman" w:ascii="Times New Roman" w:hAnsi="Times New Roman"/>
          <w:color w:val="111111"/>
          <w:sz w:val="28"/>
          <w:szCs w:val="28"/>
          <w:lang w:val="en-US" w:bidi="en-US"/>
        </w:rPr>
        <w:t>this explanation about ta'wil and the connection between its etymological and technical senses can be found in the earliest Muslim traditional and ex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egetical literature.</w:t>
      </w:r>
      <w:r>
        <w:rPr>
          <w:rStyle w:val="FootnoteAnchor"/>
        </w:rPr>
        <w:footnoteReference w:id="775"/>
      </w:r>
      <w:r>
        <w:rPr>
          <w:rFonts w:eastAsia="Times New Roman" w:cs="Times New Roman" w:ascii="Times New Roman" w:hAnsi="Times New Roman"/>
          <w:color w:val="111111"/>
          <w:sz w:val="28"/>
          <w:szCs w:val="28"/>
          <w:lang w:val="en-US" w:bidi="en-US"/>
        </w:rPr>
        <w:t>It remains unknown how the author not just claims the sense of "application of a verse to a situation"to be just a 'recent discovery' but</w:t>
      </w:r>
    </w:p>
    <w:p>
      <w:pPr>
        <w:pStyle w:val="BookText"/>
        <w:rPr/>
      </w:pPr>
      <w:r>
        <w:rPr>
          <w:rFonts w:eastAsia="Times New Roman" w:cs="Times New Roman" w:ascii="Times New Roman" w:hAnsi="Times New Roman"/>
          <w:color w:val="111111"/>
          <w:sz w:val="28"/>
          <w:szCs w:val="28"/>
          <w:lang w:val="en-US" w:bidi="en-US"/>
        </w:rPr>
        <w:t>also why he ignores such classical explanation on their consistency and insists on the disjunction between the etymological and technical senses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Ambiguous (1:70)</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 read in this entry that "Al-Zarkashī (d. 794/1392), on the authority of Nisaburi argues that these passages (Qur'an 3:7; 39:23 &amp; 11:1) present three different statements on the nature of the Qur'an." This meansZarkashi has accepted the contradiction of these verses, and then "He characterizes the verse that supports the idea of the compound nature." It is present as Zarkashi arbitrarily takes side with one particular verse in this triple contradiction. In sum, the picture is this: Qur'anic verses are contradictory and a Muslim commentator just randomly takes side with one verse. Here we won't go into details of how Muslim exegetical writers dealt with these verses by noting different senses of the word 'Mutashabih, but let's just see in particular what Zarkashi has written. Does he believe these verses pres- ent different statements and then he choose one? He writes "Nisaburi quotes three opinions in this issue: first: all of Qur'an is :see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unambiguous because of the verse (11:1); the second: all of it is ambiguous, because of the verse (39:23); and third [opinion] -which is the right one-: some of Qur'an is unambiguous and some of it is ambiguous, because of the verse (3:7)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مِنْهُ مُحْكَمًا وَمِنْهُ مُتَشَابِهَا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 آيَاتٌ مُحْكَمَاتٌ هُنَّ أم الكتاب الزركشي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Clearly, Zarkashi and Nisaburi are quoting different 'opinions' based on these verses, and they defend and support the exegetical opinion they regard as the correct one, not 'characterize the verse that supports' one idea, giving the false picture that they refute or dismiss other two verses. They dismiss and refute other two exegetical opinions, not Qur'anic verses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Unbalanced Data Presentation</w:t>
      </w:r>
    </w:p>
    <w:p>
      <w:pPr>
        <w:pStyle w:val="BookText"/>
        <w:rPr/>
      </w:pPr>
      <w:r>
        <w:rPr>
          <w:rFonts w:eastAsia="Times New Roman" w:cs="Times New Roman" w:ascii="Times New Roman" w:hAnsi="Times New Roman"/>
          <w:color w:val="111111"/>
          <w:sz w:val="28"/>
          <w:szCs w:val="28"/>
          <w:lang w:val="en-US" w:bidi="en-US"/>
        </w:rPr>
        <w:t>Unbalanced data presentation means the non-proportionate distribution of attention to different elements in an attempted analysis; to treat a marginal</w:t>
      </w:r>
    </w:p>
    <w:p>
      <w:pPr>
        <w:pStyle w:val="BookText"/>
        <w:rPr/>
      </w:pPr>
      <w:r>
        <w:rPr>
          <w:rFonts w:eastAsia="Times New Roman" w:cs="Times New Roman" w:ascii="Times New Roman" w:hAnsi="Times New Roman"/>
          <w:color w:val="111111"/>
          <w:sz w:val="28"/>
          <w:szCs w:val="28"/>
          <w:lang w:val="en-US" w:bidi="en-US"/>
        </w:rPr>
        <w:t>piece of data as central and neglect the mainstream, pivotal narrative. In certain fields and areas, such an approach might not be bad in itself, as it gives way to more creative perspectives, nonetheless, in some other areas of research, researchers do not have the liberty to ignore the weight of each element in its original context. Like if I want to study Christianity as a his- torical phenomenon with different social, political, spiritual etc. dimensions, I simply can't treat some lines from apocryphal sources as mainstream Chris- tian beliefs and later claim I have depicted an objective and unbiased pic- ture of Christianity. And the pseudo-scientific saying that "practitioners of</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Christianity were and are biased in their treatment of their religion, but my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approach to Christianity is objective" does not give credit to my caricatured picture; simply because my research is supposed to give a coherent picture</w:t>
      </w:r>
    </w:p>
    <w:p>
      <w:pPr>
        <w:pStyle w:val="BookText"/>
        <w:rPr/>
      </w:pPr>
      <w:r>
        <w:rPr>
          <w:rFonts w:eastAsia="Times New Roman" w:cs="Times New Roman" w:ascii="Times New Roman" w:hAnsi="Times New Roman"/>
          <w:color w:val="111111"/>
          <w:sz w:val="28"/>
          <w:szCs w:val="28"/>
          <w:lang w:val="en-US" w:bidi="en-US"/>
        </w:rPr>
        <w:t>of that phenomenon based on what is mainstream and what is apocryphal in the view of Christians themselves. By dragging the marginal to the central</w:t>
      </w:r>
    </w:p>
    <w:p>
      <w:pPr>
        <w:pStyle w:val="BookText"/>
        <w:rPr/>
      </w:pPr>
      <w:r>
        <w:rPr>
          <w:rFonts w:eastAsia="Times New Roman" w:cs="Times New Roman" w:ascii="Times New Roman" w:hAnsi="Times New Roman"/>
          <w:color w:val="111111"/>
          <w:sz w:val="28"/>
          <w:szCs w:val="28"/>
          <w:lang w:val="en-US" w:bidi="en-US"/>
        </w:rPr>
        <w:t>and pushing the central to the marginal, not only I'm betraying the initial goal of my research, but -most probably- I'm also tipping the original balance among the elements of that phenomenon in favor of my own, pre-established theories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After a quick survey of the encyclopedia, we realize that some major topics. and decisive discussions are almost completely ignored, while other minor and marginal ones are discussed rather lengthily. For example, in the entry of Hadith and the Qur'an (2:376) we learn that according to 'western inves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tigators, the Isnads (chain of transmitters and one of the main means of authentication or falsification of early Islamic tradition) "are better left alone, inasmuch as not only a good number as is generally admitted but, conceivably, all of them may be forged." However, the writer gives us a break by stating that his article will only be 'less radically skeptical. Then we have long discussions on some of the typical favorite topics of orientalists, like the beginning of the revelation and traditions of 'the Seven Letters.Despite</w:t>
      </w:r>
    </w:p>
    <w:p>
      <w:pPr>
        <w:pStyle w:val="BookText"/>
        <w:rPr/>
      </w:pPr>
      <w:r>
        <w:rPr>
          <w:rFonts w:eastAsia="Times New Roman" w:cs="Times New Roman" w:ascii="Times New Roman" w:hAnsi="Times New Roman"/>
          <w:color w:val="111111"/>
          <w:sz w:val="28"/>
          <w:szCs w:val="28"/>
          <w:lang w:val="en-US" w:bidi="en-US"/>
        </w:rPr>
        <w:t>questioning the isnads of all Islamic traditions and considering them as mass fabrication and forgery, orientalists regard some of the reports in these two</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particular topics as ultimate historical truths, why? Simply because it fits their theory; sometimes painstakingly, they could find implicit and indirect traces of non-divine origins of Qur'an in them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And then there's no discussion about Isra'iliyat, the topic under which Mus- lim scholars discuss biblical narratives infiltrating their tradition; a topic that shows an early awareness by Muslims about the originality of their tradition and its borders with Judo-Christian teachings. This topic does not deserve discussion in this voluminous encyclopedia -which has independent, and rather long, entries on dog and donkey and Daruz- simply because it does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not fit in western and orientalist narrative about Islam. Islam must be intro- duced as a bad copy of biblical tradition, plagiarized by some Bedouin, desert</w:t>
      </w:r>
    </w:p>
    <w:p>
      <w:pPr>
        <w:pStyle w:val="BookText"/>
        <w:rPr/>
      </w:pPr>
      <w:r>
        <w:rPr>
          <w:rFonts w:eastAsia="Times New Roman" w:cs="Times New Roman" w:ascii="Times New Roman" w:hAnsi="Times New Roman"/>
          <w:color w:val="111111"/>
          <w:sz w:val="28"/>
          <w:szCs w:val="28"/>
          <w:lang w:val="en-US" w:bidi="en-US"/>
        </w:rPr>
        <w:t>living Arabs who were not aware of what they were doing; Arabs in their tribal society, who only knew war, wine and women, then all of a sudden, in less than some decades, not just found interest in biblical tradition and pla- giarized its main themes, but also could forge out complete and independent systems of theology, historiography, literature review and so on; and most importantly were aware and conscious about the borders of their tradition with other traditions and would block the infiltration of other traditions by introducing subjects like Isra'ilyat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unique thing about Islamic tradition is that unlike Judo-Christian tra- dition, which decides about Canonical and Apocryphal in remote corners. of history and in secret sessions behind closed doors, Islamic tradition and Muslim scholars from the earliest time have put forward the ways and meth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ods of authentication and falsification of religious teachings' reports (Hadith)in their books. Their debates took place in phrases of transmitted oral ac</w:t>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counts or written paragraphs in circulating books, not behind closed doors. Although there has not been an ultimate Church-like authority in Islam, there definitely have been clear technics and methodologies for systematic authen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tication or rejection of traditional accounts by Muslim scholars. To ignorethe distinction between authentic and fabricated, canonical and apocryphal, and</w:t>
      </w:r>
    </w:p>
    <w:p>
      <w:pPr>
        <w:pStyle w:val="BookText"/>
        <w:rPr/>
      </w:pPr>
      <w:r>
        <w:rPr>
          <w:rFonts w:eastAsia="Times New Roman" w:cs="Times New Roman" w:ascii="Times New Roman" w:hAnsi="Times New Roman"/>
          <w:color w:val="111111"/>
          <w:sz w:val="28"/>
          <w:szCs w:val="28"/>
          <w:lang w:val="en-US" w:bidi="en-US"/>
        </w:rPr>
        <w:t>try to produce so-called genuine and objective researches thereupon, will re- sult in something which is neither a picture of a traditional religion nor that of a historical phenomenon. What happens if we apply the same methods in studying Christianity? to mix canonical and apocryphal texts and come up</w:t>
      </w:r>
    </w:p>
    <w:p>
      <w:pPr>
        <w:pStyle w:val="BookText"/>
        <w:rPr/>
      </w:pPr>
      <w:r>
        <w:rPr>
          <w:rFonts w:eastAsia="Times New Roman" w:cs="Times New Roman" w:ascii="Times New Roman" w:hAnsi="Times New Roman"/>
          <w:color w:val="111111"/>
          <w:sz w:val="28"/>
          <w:szCs w:val="28"/>
          <w:lang w:val="en-US" w:bidi="en-US"/>
        </w:rPr>
        <w:t>with a belief system; is that a real, objective picture of Christianity? or just a mixture of narratives that fit our pre-established theory about Christianity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Conclusion</w:t>
      </w:r>
    </w:p>
    <w:p>
      <w:pPr>
        <w:pStyle w:val="BookText"/>
        <w:rPr/>
      </w:pPr>
      <w:r>
        <w:rPr>
          <w:rFonts w:eastAsia="Times New Roman" w:cs="Times New Roman" w:ascii="Times New Roman" w:hAnsi="Times New Roman"/>
          <w:color w:val="111111"/>
          <w:sz w:val="28"/>
          <w:szCs w:val="28"/>
          <w:lang w:val="en-US" w:bidi="en-US"/>
        </w:rPr>
        <w:t>So far, some cases of selective data collection and unbalanced data presen- tation have been discussed, but what are the consequences of applying these</w:t>
      </w:r>
    </w:p>
    <w:p>
      <w:pPr>
        <w:pStyle w:val="BookText"/>
        <w:rPr/>
      </w:pPr>
      <w:r>
        <w:rPr>
          <w:rFonts w:eastAsia="Times New Roman" w:cs="Times New Roman" w:ascii="Times New Roman" w:hAnsi="Times New Roman"/>
          <w:color w:val="111111"/>
          <w:sz w:val="28"/>
          <w:szCs w:val="28"/>
          <w:lang w:val="en-US" w:bidi="en-US"/>
        </w:rPr>
        <w:t>methodological frameworks in approaching and understanding any given theological, philosophical or legal system? Particular illustrations of how any</w:t>
      </w:r>
    </w:p>
    <w:p>
      <w:pPr>
        <w:pStyle w:val="BookText"/>
        <w:rPr/>
      </w:pPr>
      <w:r>
        <w:rPr>
          <w:rFonts w:eastAsia="Times New Roman" w:cs="Times New Roman" w:ascii="Times New Roman" w:hAnsi="Times New Roman"/>
          <w:color w:val="111111"/>
          <w:sz w:val="28"/>
          <w:szCs w:val="28"/>
          <w:lang w:val="en-US" w:bidi="en-US"/>
        </w:rPr>
        <w:t>thought-system, be it Christian theology, Buddhist tradition, Kantian phi- losophy, or American legal system look like after applying similar methods</w:t>
      </w:r>
    </w:p>
    <w:p>
      <w:pPr>
        <w:pStyle w:val="BookText"/>
        <w:rPr/>
      </w:pPr>
      <w:r>
        <w:rPr>
          <w:rFonts w:eastAsia="Times New Roman" w:cs="Times New Roman" w:ascii="Times New Roman" w:hAnsi="Times New Roman"/>
          <w:color w:val="111111"/>
          <w:sz w:val="28"/>
          <w:szCs w:val="28"/>
          <w:lang w:val="en-US" w:bidi="en-US"/>
        </w:rPr>
        <w:t>would make the aforementioned deficiencies more visible for a western mind. What would be the result if, exactly like a gossip columnist, a researcher</w:t>
      </w:r>
    </w:p>
    <w:p>
      <w:pPr>
        <w:pStyle w:val="BookText"/>
        <w:rPr/>
      </w:pPr>
      <w:r>
        <w:rPr>
          <w:rFonts w:eastAsia="Times New Roman" w:cs="Times New Roman" w:ascii="Times New Roman" w:hAnsi="Times New Roman"/>
          <w:color w:val="111111"/>
          <w:sz w:val="28"/>
          <w:szCs w:val="28"/>
          <w:lang w:val="en-US" w:bidi="en-US"/>
        </w:rPr>
        <w:t>dedicates major parts of his analysis to problematic marginal issues in these thought systems and depicts them as mainstream? To a large extent, we ob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serve similar attitudes in the tradition of western orientalism and Islamic Studies; an old fond for controversial, or remote ideas, and at the same time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negligence of mainstream and coherent theological or philosophical systems. There might be various reasons for such behavior in different levels of its</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application; however, one particular condition seems to have the most share of effectiveness. Philosopher of science, Thomas Kuhn has rightly written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Paradigms guide research by direct modeling as well as through abstracted rules" (Kuhn, 1996, p. 47). This is much true when it comes to Western-de- veloped Studies of foreign cultures and religions, including Islam. Since its emergence, Islam received heavily negative and biased reactions from The West, mostly due to religious motivations common in medieval Europe; how- ever, the strange thing is that, the exact initial biased attitude continued after renaissance and enlightenment throughout colonial and post-colonial period in just different clothing. The main lines of medieval views on Islam, that it has nothing original worthy of attention and it is just a bad and incoherent</w:t>
      </w:r>
    </w:p>
    <w:p>
      <w:pPr>
        <w:pStyle w:val="BookText"/>
        <w:rPr/>
      </w:pPr>
      <w:r>
        <w:rPr>
          <w:rFonts w:eastAsia="Times New Roman" w:cs="Times New Roman" w:ascii="Times New Roman" w:hAnsi="Times New Roman"/>
          <w:color w:val="111111"/>
          <w:sz w:val="28"/>
          <w:szCs w:val="28"/>
          <w:lang w:val="en-US" w:bidi="en-US"/>
        </w:rPr>
        <w:t>plagiarism of other traditions, lived passed all the European social, political, and cultural revolutions and became the main conscious or subconscious</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guidelines for any research about Islam in the modern West. Hence, the process of data collection or data presentation in western-developed Islamic studies follows certain general patterns we observed in this paper. And this is dangerous for two reasons; first: like the way selectiveness in western journal- ism plays major role in giving a wrong picture of Muslims to general western minds and further deepens the divisions and paves the way for stereotypes. and the reactive radicalism, also selectiveness in academic researches on Is- lam and its systematic theology or historiography only bears the same fruits on both sides. Additionally, the persistence of this mentality that survived throughout different changes in the West and even gained more strength in colonial period, makes scientific corrections and scholarly modifications very difficult and time-consuming, specially that its practitioners deeply believe they are being unbiased and objective in their approach. Obviously, the prac- tical result of such belief is feeling the liberty to approach Islamic heritage almost like a gossip columnist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Bibliography</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al-Jassas, A. b. (1405). Ahkam al-Qur'an. Beirut: Dar Ihya al-Turath al-Arabi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Ja'fariyan, R. (2003). A Study of Sunni and Shii Traditions Cencerning Tahrif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Part 1. al-Tawhid, 3. Retrieved from al-Islam.org. Kuhn, T. S. (1996). The Structure of Scientific Revolutions (3rd ed.). Chicago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Tabatabaei, M. (1417). Al-Mizan fi Tafsir al-Qur'an. Qom: Jame Modarresin Publications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Zwemer, S. M. (1933). Pulpit in Islam. The Moslem World, 217229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Transliteration of Arabic Sources' titles and authors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Usd al-Ghaba by Ibn Athir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Al-Musnad by IbnRahwayh</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Lisan al-Arab by IbnManzur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Al-Musnad by Ahmad b. Hanbal</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Al-Jami' al-Sahih by al-Tirmidhi</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Al-Burhan by al-Zarkashi</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Al-Musnad &amp; al-Tafsir by al-Shafi'i</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Al-Tafsir by al-Qummi</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Ahkam al-Qur'an by al-Jassass</w:t>
      </w:r>
      <w:r>
        <w:rPr>
          <w:rFonts w:eastAsia="Times New Roman" w:cs="Times New Roman" w:ascii="Times New Roman" w:hAnsi="Times New Roman"/>
          <w:color w:val="111111"/>
          <w:sz w:val="28"/>
          <w:szCs w:val="28"/>
          <w:rtl w:val="true"/>
          <w:lang w:val="en-US" w:bidi="en-US"/>
        </w:rPr>
        <w:t xml:space="preserve"> </w:t>
      </w:r>
      <w:bookmarkStart w:id="594" w:name="pg8898_139912"/>
    </w:p>
    <w:p>
      <w:pPr>
        <w:pStyle w:val="BookText"/>
        <w:rPr/>
      </w:pPr>
      <w:bookmarkEnd w:id="594"/>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Al-Mizan fi Tafsir al-Qur'an by Tabataba'i</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Al-Musannaf by al-San'ani</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Al-Mufassal fi Tarikh al-Arab by Jawad Ali</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Al-Muwatta' by al-Malik</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Bihar al-Anwar by al-Majlisi</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Al-Jami' al-Sahih by al-Bukhari</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Al-Jami' al-Sahih by al-Muslim</w:t>
      </w:r>
    </w:p>
    <w:p>
      <w:pPr>
        <w:pStyle w:val="Heading2"/>
        <w:numPr>
          <w:ilvl w:val="1"/>
          <w:numId w:val="1"/>
        </w:numPr>
        <w:rPr/>
      </w:pPr>
      <w:bookmarkStart w:id="595" w:name="__RefHeading___Toc935867_2870459653"/>
      <w:bookmarkStart w:id="596" w:name="_Toc225"/>
      <w:bookmarkEnd w:id="595"/>
      <w:r>
        <w:rPr>
          <w:rtl w:val="true"/>
        </w:rPr>
        <w:t>المصادر والمراجع</w:t>
      </w:r>
      <w:bookmarkEnd w:id="5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علي بن محمد، أسد الغابة، بيروت، دار الكتب العلميه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راهویه اسحاق بن ،ابراهیم ،المسند المدينه المنوره، مكتبه الایمان،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،بیروت، دار صادر،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حنبل، المسند، الرسالة،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الترمذي محمد بن عيسى الجامع الصحيح قاهرة، دارالحدیث،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الزركشي، بدرالدين بن عبدالله البرهان في علوم القرآن بيروت، دار احياء الكتب العربية،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الشافعى محمد بن ادريس المسند ،بيروت دار الكتب العلمية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الرياض دار التدمرية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القمى على بن ابراهيم ،التفسير ،قم، دار الكتاب،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جصاص أحمد بن على احكام ،القرآن بيروت، دار احیاء التراث العربي،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طباطبايي، محمد حسين الميزان في تفسير القرآن قم جامعة مدرسين،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الرزاق الصنعاني ابو بكر بن همام ،المصنف الهند المجلس العلمي،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جواد المفصل فى تاريخ العرب قبل الاسلام بغداد بمساعدة جامعة بغداد،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بن انس الموطأ ابو ظبي، موسسه زايد بن سلطان آل نهيان للاعمال الخيرية والانسانية،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مجلسي، محمد باقر، بحار الأنوار، بيروت، دار احياء التراث العربي،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بن حجاج الجامع الصحيح، قاهرة دار الحديث،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هذا الكتاب هو جهدُ مجموعةٍ من الباحثين الذين شاركوا في المؤتمر، الذي عقده المركز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الدولي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الكريم في الفكر الاستشراقيّ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مقاربات نقديّة لموسوعة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Encyclopaedia of the Quran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والمخصّص لنقد مشروع علميّ موسوعيّ يحوي مجموعةً من البحوث والدّراسات المتمحورة حول القرآن الكريم والموضوعات والقضايا المرتبطة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تأليفه بأقلام مجموعة من المستشرقين الغربييّن المعاصرين من مختلف دول العالم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وإصداره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Encyclopaedia of the Quran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المركز الاسلامي للدراسات الاستراتيجية</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http://www.iicss.iq 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الآيتان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الطباطبائي، الميزان في تفسير القرآن،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مؤسسة الأعلمي للمطبوعات،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علي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أکبر الغفاري، لاط، قم المقدّسة، مؤسّسة النشر الإسلامي التابعة لجماعة المدرّسین بقم المقدّسة،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باب معنی أشراف الأمّة،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بكري، 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التعبير الفني في القرآن، لاط، بيروت، دار الشروق،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تصحيح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ط ع، طهران، دار الكتب الإسلامية؛ مطبعة حيدري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فضل القرآن، باب في تمثّل القرآن وشفاعته لأهله،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أحمد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يُشار إلى أنّ بعض فقرات المدخل مستلة من المقالات بهدف عدم الوقوع في تكرار المضافين بين البحوث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البعلبكي، 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المورد ،طا، دار العلم للملايين بيروت،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فرهنگ و معارف قرآن، دائرة المعارف قرآن کریم، بوستان کتاب،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قم، انتشارات دفتر تبلیغات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هـ ش،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موسوی بجنوردى،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فرهنگ و معارف قرآن، دائرة المعارف قرآن کریم،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رضائی اصفهانی، مجله مستشرقان و قرآن،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خراسانی، علی؛ علوی مهر،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دارالمعارف های قرآنی، هفده گفتار قرآن پژوهی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بهمنی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،تهران وزارت فرهنگ وارشاد اسلامی،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هـ ش،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البستاني 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عام لكل فنّ ومطلب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ط، بيروت، لا د،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كبير في اللغة الفارسيّة، صنّف أوسع قاموس في اللغة الفارسيّة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علي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،لا ط، طهران، مؤسسه انتشارات و چاپ دانشگاه،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Encyclopedia Of Islam</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اليهود واليهودية والصهيونية،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الأردن، دار الشروق،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البهنسي،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وعلومه في الموسوعات اليهوديّة،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مركز تفسير للدراسات القرآنية،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همفري </w:t>
      </w:r>
      <w:r>
        <w:rPr>
          <w:rFonts w:eastAsia="IRNazanin" w:cs="IRNazanin"/>
          <w:b w:val="false"/>
          <w:bCs w:val="false"/>
          <w:i w:val="false"/>
          <w:iCs w:val="false"/>
          <w:color w:val="333333"/>
          <w:sz w:val="20"/>
          <w:szCs w:val="20"/>
        </w:rPr>
        <w:t>Stephen Humphreys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اطار البحث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Islamic History: A Framework for Inquir</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الإسلامية أباطيل وأضاليل، محمد أركون في كتابه نقد العقل الإسلامي،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عبد العزيز ومقالتها في مؤتمر القراءة الغربية للقرآن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كلية الدعوة الإسلامية ليبيا ديسمبر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القرآن الكريم بالفرنسية حدث فكري مهم، جريدة الشرق الأوسط، العدد </w:t>
      </w:r>
      <w:r>
        <w:rPr>
          <w:rFonts w:eastAsia="IRNazanin" w:cs="IRNazanin"/>
          <w:b w:val="false"/>
          <w:bCs w:val="false"/>
          <w:i w:val="false"/>
          <w:iCs w:val="false"/>
          <w:color w:val="333333"/>
          <w:sz w:val="20"/>
          <w:szCs w:val="20"/>
        </w:rPr>
        <w:t>11214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الدليل على النت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with a powerful one volume resource covering</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الموقع الإلكتروني لـ </w:t>
      </w:r>
      <w:r>
        <w:rPr>
          <w:rFonts w:eastAsia="IRNazanin" w:cs="IRNazanin"/>
          <w:b w:val="false"/>
          <w:bCs w:val="false"/>
          <w:i w:val="false"/>
          <w:iCs w:val="false"/>
          <w:color w:val="333333"/>
          <w:sz w:val="20"/>
          <w:szCs w:val="20"/>
        </w:rPr>
        <w:t>Corpus Coranicum) https://corpuscoranicum.de</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الموقع الإلكتروني لـ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Corpus Coranicum) https://corpuscoranicum.de</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رویکرد خاورشناسان به ،قرآن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فرهنگ ،گستر،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Scholer,Marca 2004, Post- Enlighenment Academic Study Of the Quran, Eo, Vol, 4Leiden P.187</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Scholer, Ibid, 191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Scholler, Marco, Op, Citp.190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Scholer, Marco, Ibido P. 193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نویورث، انجلیکا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آسمان، العدد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صيف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مواليد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متخصّصة في الدّراسات اللاّهوتيّة والبحوث القرآنيّة والإسلاميّة، حائزة على باكلوريوس في الفلسفة واللّاهوت من جامعة ترينيتي بواشنطن، وماجستير في الدّراسات الدّينيّة، تابعت الدكتوراه في الدّراسات الإسلامية بجامعة تورنتو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وعملت مدرّسة في جامعة تورنتو، وجامعة إيموري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ix</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ix</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ومتخصص في الدراسات الأدبيّة والألسنيات من المغرب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حذف التعريف بالموسوعة من البحث حرصًا على عدم التكرار حيث أوردنا ذلك في مدخل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لؤي عبد الفتاح، زين العابدين حمزاوي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أساسيات في تقنيات ومناهج البحث، جامعة محمد الأول، كلية العلوم القانونية والاقتصادية والاجتماعية ،وجدة، المغرب، السنة الجامعية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 مطبوع جامعي،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Mucchielli, R : L'analyse de contenu des documents et des communications.E.S.F.Paris.1977, p : 11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البحث العلمي في علوم التربية والعلوم الإنسانية،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الدار البيضاء، منشورات عالم التربية، مطبعة النجاح الجديدة،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لؤي عبد الفتاح، زين العابدين حمزاوي، أساسيات في تقنيات ومناهج البحث،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القرآن الكريم برواية ورش عن نافع عن الأزرق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الجابري، محمد عابد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التراث ومشكل المنهج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المنهجية في الأدب والعلوم الإنسانية،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الدار البيضاء، دار توبقال للنشر،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الجابري، محمد عابد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التراث ومشكل المنهج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المنهجية في الأدب والعلوم الإنسانية،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الدار البيضاء، دار توبقال للنشر،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الخالق، أحمد عمار عبد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وصناعة الفكر الهدام، دار آمنة للنشر والتوزيع، طبعة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خروبات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والعلوم الإسلامية بين نقلانية التأصيل وعقلانية التأويل،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مراكش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المطبعة والوراقة الوطنية،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Janne Dammen MC Auliffe: Encyclopedia of the Quran, Leiden, Brill, Hollande, 2001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Groupe D'entrevernes:Analyse sémiotique des textes.ED.Toubkal, Casablanca, 1987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ريكور، 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والزمان والسرد،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الغانمي،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الدار البيضاء، المغرب، المركز الثقافي العربي،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طه في الشعر الجاهلي،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دار الكتب المصرية،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Janne Dammen MC Auliffe: Encyclopedia of the Quran, Leiden, Brill, Hollande, 2001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الوهابية والقرآن، والجماعة والمجتمع في القرآن، والنسخ المخطوطة من القرآن، والتعليم والتبليغ في القرآن، والعلوم الاجتماعية والقرآن، والتنبؤ في القرآن، والفلسفة والقرآن، والمؤلفات القرآنية في جنوب شرق آسيا، وتلاوة القرآن، وتفسير القرآن في الحقبة القديمة والعصور الوسطى، ولغة القرآن وأسلوبه، والمعارف التقليدية في الدراسات القرآنية، والفن والهندسة في القرآن، والكتب المقدسة والقرآن، والقانون والقرآن، والجزيرة العربية زمن الجاهلية والقرآن، والسياسة والقرآن، والإعلام والقرآن، والحديث والقرآن، والأدب والقرآن، والصوفية والقرآن، ومخطوطات القرآن، وقراءات القرآن، والأدب الفارسي والقرآن، والكتاب والفرقان، واللوح المحفوظ، والوحي والإلهام، وأسماء القرآن، ووحدة النص القرآني، والمصحف، واللاهوت والقرآن، وهيئة القرآن وبنيته، والأساطير في القرآن، والخطابة والقرآن، والسور والآيات، والاستخدامات الشعبية والسحرية للقرآن، والدواء والقرآن، والسيرة والقرآن، والأخلاق والقرآن، وأسباب النزول، والأدوات البحثية للقرآن، والنساء والقرآن، وعلم الآثار والقرآن، والدراسة الأكاديمية حول القرآن بعد عصر التنوير، والأدب التركي والقرآن، والثقافة المادية والقرآن، وتفسير القرآن في مطلع العهد الحديث والمعاصر، والتعددية الدينية والقرآن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Janne Dammen MC Auliffe: Encyclopedia of the Quran, Leiden, Brill, Hollande, 2001</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Janne Dam mer MC Auliffe: Encyclopedia of the Quran, Leiden, Brill, Hollande, 2001</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Janne Dammen MC Auliffe: Encyclopedia of the Quran, Leiden, Brill, Hollande, 2001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خروبات، محمد، الاستشراق والعلوم الإسلامية بين نقلانية التأصيل وعقلانية التأويل،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Janne Dammen MC Auliffe: Encyclopedia of the Quran, Leiden, Brill, Hollande, 2001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القرآن الكريم برواية روش عن نافع عن الأزرق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Janne Dammer MC Auliffe: Encyclopedia of the Quran, Leiden, Brill, Hollande, 2001</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Mohammed Arkoun : L'Islam : religion et société. Interviews dirigées par Mario Arosio. Traduit de l'italien par Maurice Borrmans (Paris, Éditions du Cerf. 1970); Essais sur la pensée</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وباحث في التفسير وعلوم القرآن والدراسات القرآنية المعاصرة، إيران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Scholler Marco, Pbjt- EnlishTenmentAcade Mic Study Of The Quran, EQ. Vol. 4. Page 187</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McauliffeGane Dammen, 2001, Preface EQ Vol,I</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Mcauliffe, Ibid</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Mcauliffe, Jane Dammen, EQ, Ibid, P.X</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في ترجمة هذه المقدمة على سماحة السيد نقي صادقي، مع الاكتفاء بإجراء بعض التقويمات البسيطة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ليدن القرآنية، 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جین دمن مک اولیف، لا ط ،لایدن، مكتبة بريل، لا 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Mcauliffe, Jane Dammen Op. CitP.ii</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گلخانی امیرخیز، ایرج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اندازی بر سبک بیانی، قرآن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قرآن در آینه پژوهش، دفتر سوم، لام، نشر هستی نما،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هـ ش،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گلخانی امیرخیز، ایرج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اندازی بر سبک بیانی قرآن،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قرآن در آینه پژوهش، دفتر سوم،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نشر هستی نما،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ایزوتسو، توشى هيكو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وانسان در 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آرام،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تهران، دفتر نشر فرهنگ اسلامی،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عباس همامی، پژوهش در تناسب آیات و سوره های قرآن، قرآن در آینه پژوهش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قم، دفتر انتشارات اسلامی،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بُستي، أبو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رسائل في إعجاز القرآن،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القاهرة، دار المعارف،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القرطبي،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تهران، انتشارات ناصر خسرو،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قم، چاپ علمية،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سعیدی، روشن، محمدباقر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زبان قرآن و روش شناسی فهم، آن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انتشارات پژوهشگاه فرهنگ و اندیشه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أُحْكِمَتْ آيَاتُهُ ثُمَّ فُصِّلَتْ مِن لَّدُنْ حَكِيمٍ 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جوادی آملی،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لام، نشر اسراء،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هادوی تهرانی،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کلامی اجتهاد در برداشت از قرآن کریم،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قم، مؤسسه فرهنگ خانه خرد،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ليدن القرآنية،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Exegesis of the Quran: Classical and Medieval, Claude Gilliot</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حول مواقف الشيعة والمعتزلة والأشاعرة، راجع الكتب الكلامية من قبيل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لا م، دار الكتب الحديث،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ليدن القرآنية،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محمد علی رضایی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درسنامه روشها و گرایشهای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تفسیر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ط، لا م، انتشارات مرکز جهانی علوم اسلامی،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أسلوب التفسير العقلي والاجتهادي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أبو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لا ط، بيروت، دار المعرفة،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لیدن القرآنیّة،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Aoron - Andrew Rippin</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الفضل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طهران، المكتبة الإسلامية،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الحويزي، عبد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المطبعة العلميّة،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الشيرازي، ناصر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القرآن المنزل، لا ط، طهران، دار الكتب الإسلاميّة،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الدفاع عن القرآن،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جاد الله، لا ط، لا م، الدار العالمية للكتب والنشر، لا 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ليدن القرآنيّة،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Hadth and the Quran - G. H. A. Juynball</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دار إحياء التراث العربي،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السيوطي جلال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دار الكتاب العربي،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لا ط، قم، المطبعة العلمية،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معرفت، محمد 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علوم القرآن، لا ط، قم، مؤسسة النشر الإسلامي،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حجتي،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پژوهشي در تاریخ قرآن کریم، لا ط، طهران، دفتر نشر فرهنگ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 مبحث القراءات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ليدن القرآنية،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Fatima - Jane Dammen Me Auliffe</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مؤيد، علي حيدر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في الذكر الحكيم، لا ،ط، قم، مكتبة الحيدرية،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الحلو،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شأن فاطمة علیها السّلام،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لا م، لا د،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الشيرازي،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في القرآن،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 م، هيئة محمد الأمين صلّی الله علیه و آله،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وغيرها من الكتب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محمد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ط، بيروت، داراحياء التراث العربي،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لا ط، قم، مؤسسة إسماعيليان،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تفسير الميزان،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مكارم الشيرازي، تفسير المثل،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الحويزي، نور، الثقلين،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خوئيني، اسماعیل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در آئینه کتاب، لا ط، قم، انتشارات الهادى،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لا ط، بيروت، دار الفکر،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التستري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لا ط، طهران، لا د، لا 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أعداء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البيت علیهم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التفسير والمفسرون،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تاويل آي القرآن، لا ط، بیروت، دار الفكر،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تفسير الميزان،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محمد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لا ط، بيروت، دار إحياء التراث العربي،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ليدن القرآنية،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Adam and Eve - Cornelia Schock</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تفسير الميزان،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ليدن القرآنية،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Abraham - Reven Firestone</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الشيرازي، تفسير الأمثل،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وأستاذ متخصّص في الدراسات القرآنية وتفسير القرآن ومناهجه، لبنان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حول المشروع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رشواني مشروع الموسوعة القرآنية </w:t>
      </w:r>
      <w:r>
        <w:rPr>
          <w:rFonts w:eastAsia="IRNazanin" w:cs="IRNazanin"/>
          <w:b w:val="false"/>
          <w:bCs w:val="false"/>
          <w:i w:val="false"/>
          <w:iCs w:val="false"/>
          <w:color w:val="333333"/>
          <w:sz w:val="20"/>
          <w:szCs w:val="20"/>
        </w:rPr>
        <w:t>Corpus Coranicum</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Nerwrith, Form and structure..., E.Q. vol.2, pp, 246-247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وكذا في الآية الثانية من سورتي الشعراء والقصص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أنجليكا نويفيرت، القرآن جزءٌ من أوروبا؟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Two Views of History and Human Future: Qur'anic and Biblical Renderings of Divine Promises</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نويفرت، أنجليكا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بوصفه نصًا من نصوص العصور القديمة المتأخرة، ترجمة بدري الحاكيمي، مؤسسة مؤمنون بلا حدود،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بوطیب، رشید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آنجیلیکا نويفيرت والقرآن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آفاق القراءة وحدودها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قراءة في كتابها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بوصفه نصاً من العصور الكلاسيكية المتأخرة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أوروبية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https://ar.qantara.de</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يعد القرآن جزءًا من العصور القديمة المتأخرة لأوربا؟ قراءة في الاستشراق الإلماني،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کلار، ماریانا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لبنية السورة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القراءتين التزامنية والتعاقبية لسورة البقرة،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صبري، ومحمود نجاح،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الطقس أو الليتورجيّا هو التعبير الحضاري و الثقافي عن إيمان جماعة ما، في زمن ما، ولحدث ما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جلال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دار الكتاب العربي،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الموارد التي ذكرها الزمخشري في هذا المجال نذكر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موسی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القرآنية في تفسير الزمخشري،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مصر، مكتبة وهبة،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هذه الدراسات نذكر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الإسلامي سماته وأصوله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بريغش، الأدب الإسلامي وصلته بالحياة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الرابع الحسني الندوي، الأدب الإسلامي بين النظرية والتطبيق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 عبد الدايم، خصائص القصة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فريز جرار وغيرهم من النقاد والباحثين الإسلاميين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عبد الرازق، 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الإسلامي في النقد الأدبي،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الفكر المعاصر،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لورافيشيا، فاغليري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الإسلام،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 البعلبكي، لا ط، بيروت، دار العلم،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أحمد جاد الكريم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البنية والبنيوية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www.alukah.net</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سلطة النص وموت المؤلف، </w:t>
      </w:r>
      <w:r>
        <w:rPr>
          <w:rFonts w:eastAsia="IRNazanin" w:cs="IRNazanin"/>
          <w:b w:val="false"/>
          <w:bCs w:val="false"/>
          <w:i w:val="false"/>
          <w:iCs w:val="false"/>
          <w:color w:val="333333"/>
          <w:sz w:val="20"/>
          <w:szCs w:val="20"/>
        </w:rPr>
        <w:t>www.alukah.net</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الدراسات القرآنية، المجلد الخامس، عدد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Journal of Qur'anic Studies</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الهلنستي فترة في التاريخ القديم كانت فيها الثقافة اليونانية تذخر بالكثير من مظاهر الحضارة في ذلك 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بدأت بعد وفاة الإسكندر الأكبر عام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واستمرت حوالي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في اليونان وحوالي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في الشرق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ويستخدم اصطلاح هيلينستية لتمييز هذه الفترة عن الفترة الهلينية وهي فترة الإغريقيين القدماء التي اعتبرت أوج عبقرية وعظمة الفكر والعلوم والفلسفة الإغريقية في ظل الامبراطورية الأثينية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زراقط، عبد المجيد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الأدبي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مفهومه ومساره التَّاريخي ومناهجه،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العتبة العباسية المقدسة، المركز الإسلامي للدراسات الاستراتيجية،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ھ،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المصاروة، ثامر إبراهيم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البنيوية بين النشأة والتأسيس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نظرية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السانكروني تزامنيّ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Synchronic / Synchronique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تزامنيّ يستخدم في حقل الدراسات اللسانيّة، في تقابل مع لفظ دياكرونيّ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المنهج الدياكرونيّ </w:t>
      </w:r>
      <w:r>
        <w:rPr>
          <w:rFonts w:eastAsia="IRNazanin" w:cs="IRNazanin"/>
          <w:b w:val="false"/>
          <w:bCs w:val="false"/>
          <w:i w:val="false"/>
          <w:iCs w:val="false"/>
          <w:color w:val="333333"/>
          <w:sz w:val="20"/>
          <w:szCs w:val="20"/>
        </w:rPr>
        <w:t>dichronique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على دراسة الظواهر اللسانيّة أو الوقائع التاريخيّة في تعاقبها الزمنيّ، أو في صيرورتها المتعاقبة، فإنّ المنهج التزامنيّ أو السانكرونيّ هو بخلاف ذلك، منهج يقارب الوقائع اللغوية دونما اعتبار لشروط تكوّنها أو تطوّرها التاريخيّ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 السانكروني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التزامني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دراسة القرآن </w:t>
      </w:r>
      <w:r>
        <w:rPr>
          <w:rFonts w:eastAsia="IRNazanin" w:cs="IRNazanin"/>
          <w:b w:val="false"/>
          <w:bCs w:val="false"/>
          <w:i w:val="false"/>
          <w:iCs w:val="false"/>
          <w:color w:val="333333"/>
          <w:sz w:val="20"/>
          <w:szCs w:val="20"/>
        </w:rPr>
        <w:t>https://tafsir.net/translation</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الساميَّة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ميشيل كويبرس </w:t>
      </w:r>
      <w:r>
        <w:rPr>
          <w:rFonts w:eastAsia="IRNazanin" w:cs="IRNazanin"/>
          <w:b w:val="false"/>
          <w:bCs w:val="false"/>
          <w:i w:val="false"/>
          <w:iCs w:val="false"/>
          <w:color w:val="333333"/>
          <w:sz w:val="20"/>
          <w:szCs w:val="20"/>
        </w:rPr>
        <w:t>Michel Capers</w:t>
      </w:r>
      <w:r>
        <w:rPr>
          <w:rFonts w:ascii="IRNazanin" w:hAnsi="IRNazanin" w:eastAsia="IRNazanin"/>
          <w:b w:val="false"/>
          <w:b w:val="false"/>
          <w:bCs w:val="false"/>
          <w:i w:val="false"/>
          <w:i w:val="false"/>
          <w:iCs w:val="false"/>
          <w:color w:val="333333"/>
          <w:sz w:val="20"/>
          <w:sz w:val="20"/>
          <w:szCs w:val="20"/>
          <w:rtl w:val="true"/>
        </w:rPr>
        <w:t>، ترجمة، خليل محمود اليماني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خليفة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القرآن الكريم عند المستشرقين في ضوء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الكتاب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نولدکه، تیودور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منشورات الجمل،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سورة القيامة، الآية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سورة الأعلى،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نولدکه، تاریخ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لا م، المطبعة الخيرية،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اسکندرلو، محمد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الآيات والسور القرآنية في دراسات المستشرقين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وتحليل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دراسات إستشراقية، 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السنة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شتاء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هـ</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التناسق الموضوعي في السورة القرآنية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الوحدة الموضوعية في السورة القرآنية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اصطلاحان حادثان في هذا العصر، لم يأتيا في كلام المتقدمين صراحة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بيروت، دار إحياء الكتب العربية،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العبيدي، زهراء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علم المناسبة والتفسير الموضوعي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منهجية مقارنة، المجلة العالمية لبحوث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علمية إلكترونية محكمة تعنى بنشر البحوث القرآنية، تصدر عن مركز بحوث القرآن جامعة مالايا، العدم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Neuwrith, Form and structure of the Quran, E.Q. vol.2, pp., 246 - 247</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246</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Neuwrith, Form and structure of the Quran, E.Q. vol.2, pp., -248247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247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البقاعي، إبراهيم بن عمر بن حسن الرباط بن علي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الدرر في تناسب الآيات والسور لاط، القاهرة، دار الكتاب الإسلامي،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ابو عبد الله محمد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العربي، بيروت،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 البرهان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النظام،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الهند، الدائرة الحميدية بالهند،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البقاعي، مصاعد النظر للإشراف على مقاصد السور،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ذلك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النبأ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الكتاب،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النظم 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لحسين الدراويش، أطروحة دكتوراه عن قسم الآداب في الجامعة الأردنية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الشاطبي، إبراهيم بن موسى بن محمد اللخمي الغرناطي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نویفرت، أنجيليكا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المقدّس، الشعر، وصناعة المجتمع قراءة القرآن كنصٍّ أدبي، ترجمة أمينة أبو بكر، مركز تفسير للدراسات القرانية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کلار، ماریانا، مقاربات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لبنية السورة القرآنية،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الدراسات المهمة حول الفاصلة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حسان، محمود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الدلالات المعنوية لفواصل الآيات القرآنية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الفتح للدراسات،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الرماني والخطابي والجرجاني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رسائل في إعجاز القرآن، حققها وعلق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خلف الله، ومحمد زغلول سلام،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الباقلاني،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الانتصار لنقل القرآن، دراسة وتحقيق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زغلول سلام،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الرماني والخطابي والجرجاني،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الواحد 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Neuwrith, Form and structure of the Quran, E.Q. vol.2, p 255</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Neuwrith, Form and structure of the Quran, E.Q. vol.2, p 256- 257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وأستاذ في الفلسفة الإسلاميّة، كلية دار العلوم جامعة المنيا مصر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Abul-Majd, Abdurrahman, Review of language and style of the Qur'ān in Encyclopaedia of the Qur'an. Quranic studies journal, hasn't been published yet</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Claude Gilliot and Pierre Larcher, Language and Styleof the Qur'an in Encyclopaedia of the Qur'ān [EQ,]: Updated version, 1st September 2014,, (edited by Jane Dammen McAuliffe (genral editor), Claude Gilliot, William A. Graham, Wadad Kadi, Andrew Rippin, 6 vols., Leiden; Brill, 2001-2006), III, 2003, pp. 109 -35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کلود جيليو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Claude Gilliot</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Gilliot and Larcher, Language, Encyclopaedia of the Qur'ān, p.110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Gilliot and Larcher, Language, Encyclopaedia of the Qur'ān, p.111</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Neal Conan, TALK OF THE NATION, npr News, Washington, November 28, 200610:00 AM ET</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أبو المجد، حوار ميشيل كويبرس وعبدالرحمن أبو المجد حول نظم القرآن المذهلة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Grammatical Shift For The Rhetorical Purposes: Iltift And Related Features In The Qur'an M A S Abdel Haleem, Bulletin of the School of Oriental and African Studies, 1992, Volume LV, Part 3.https:// www.islamic-awareness.org/quran/text/grammar/iltifaat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Gilliot and Larcher, Language, Encyclopaedia of the Qur'an, p.112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البروفيسور نيكولاي سيناي غني عن التعريف لشهرته في الدراسات القرآنية، وفاز مشروعه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بمنحة مجلس الأبحاث الأوروبي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ERC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جنيه استرليني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NICOLAI SINAI, Review Essay: Going Round in CirclesJournal of Qur'anic Studies 19.2 (2017),p. 109 www.euppublishing.com/jqs</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Gilliot and Larcher, Language, Encyclopaedia of the Qur'ān, p.112- 113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EXCERPTS FROM THE INTERVIEW WITH KAREN ARMSTRONG</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Gilliot and Larcher, Language, Encyclopaedia of the Qur'ān, P.114</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Gilliot and Larcher, Language, Encyclopaedia of the Qur'ān, p.115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السيد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مؤسسة الأعلمي للمطبوعات،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Gilliot and Larcher, Language, Encyclopaedia of the Qur'ān, p.117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منينة،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على سخافات المستشرق الفرنسي كلود جيليو عن النبي الكريم والقرآن العظيم،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عوض، ملتقى الانتصار للقرآن الكريم، مركز تفسير، </w:t>
      </w:r>
      <w:r>
        <w:rPr>
          <w:rFonts w:eastAsia="IRNazanin" w:cs="IRNazanin"/>
          <w:b w:val="false"/>
          <w:bCs w:val="false"/>
          <w:i w:val="false"/>
          <w:iCs w:val="false"/>
          <w:color w:val="333333"/>
          <w:sz w:val="20"/>
          <w:szCs w:val="20"/>
        </w:rPr>
        <w:t>1437/10/24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2016/07/29</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Gilliot and Larcher, Language, Encyclopaedia of the Qur'ān,, P. 117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الطيار، مساعد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أنكر ابن جرير قراءة متواترة أو ردّها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 ما ذهب إليه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لبيب السعيد في كتابه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Gilliot and Larcher, Language, Encyclopaedia of the Qur'ān,, p.118</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Gilliot and Larcher, Language, Encyclopaedia of the Qur'ān, p.116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Gilliot and Larcher, Language, Encyclopaedia of the Qur'ān, p.117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محمد بن أحمد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المحسن التركي،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مؤسسة الرسالة،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أبو الفرج نور الدين علي بن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المعرفة،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سيبويه، أبو بشر عمرو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هارون،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القاهرة، مكتبة الخانجي،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أحال لغولد تسهیر بوجود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في السياق الثعلبي والبغوي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Tha'labi, Tafsir, ad from 55:4from an anonymous source; Goldziher, Grammar, 45, quoting Baghawi, Ma'alim, presently still only in</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Tha`labi, Tafsir, ad q 55:4, from an anonymous source; Goldziher, Grammar, 45, quoting Baghawi, Ma'alim, presently still only in manuscript form; but the figure "700" in Baghawi, Ma'alim, iv, 266 has to be corrected</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p.119</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Abd al-Malik b. Habib, Ta'rikh, 278-; Suyuṭī, Muzhir, i, 301-/Eng. trans. Czapkiewicz, Views, 66 -7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Goldziher, Grammar, 445-; Loucel, Origine. IV,167 -8).c</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الأندلسي، عبد الملك بن حبيب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الغني مستو،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المطبعة العصرية،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الأندلسي، عبد الملك بن حبيب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الغني مستو،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بيروت، المطبعة العصرية،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Abdelrahman Abulmajd, Richard Serrano and AbdalrahmanAbulmajd are discussing Qur'an recitation</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السمهودي، أبو الحسن علي بن عبد الله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الوفا بأخبار دار المصطفى،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الأمين محمد محمود أحمد الجكيني طبع على نفقة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محمود أحمد،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استقاها من بلاشير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Blachère, Histoire, i, 70-5; Versteegh, Arabic</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بلاشير، ريجيس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نزوله وتدوينه وترجمته وتأثيره،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سعادة،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الكتاب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كيس فيرستيغ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لا نؤكد أن الفكر اللغوي العربي مبني على قواعد اللغة اليونانية، لكننا نعتقد أن تعليمات</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Solehah Haji Yaacob, Dept. of Arabic Language and Literature of Islamic Revealed Knowledgeand</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أكاديمي أمريكي شهير، تخرج في كلية الآداب، جامعة بنسلفانيا في الولايات المتحدة، أقام في القاهرة زمناً طويلاً ودرس اللغة العربية، ثم تابع دراستها في جامعة كاليفورنيا في بيركلي حيث تخصص في الشعر الجاهلي القديم، في سنة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 شهادة الدكتوراه من الجامعة نفسها في مجال دراسات الشرق الأدنى، ومنذ ذلك الحين يقوم بتدريس الأدب العربي في الجامعة الأمريكية بالكويت، ثم اتجه لدراسة القرآن، وقام ببحوث علمية قيمة في التناظر والتناسق، جذبت إليه الأضواء عالميًا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https://www.alukah.net/culture/079776//ixzz6GyZSnPmM</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Gilliot and Larcher, Language, Encyclopaedia of the Qur'an, p.123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يسعف الوقت الباحث لفحص ذلك واختبار من ناقشوه وقاموا بالرد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Vollers, Volkssprache, 169; Zwettler, Oral tradition, 1178-, with discussion of this thesis; Versteegh</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Owens, Idgam al-kabir, 504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الراشد، سعد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كتابات إسلامية من مكة، لا ط، الرياض، مكتبة الملك فهد،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http://alsahra.org/?p=19281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الأنعام، الآية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يونس، الآية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سورة هود، الآية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سورة يوسف، الآية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سورة الحجر، الآية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سورة الشعراء، 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سورة النمل،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وسورة القصص، 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سورة سبأ، الآية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سورة الدخان،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Gilliot and Larcher, Language, Encyclopaedia of the Qur'ān, p.124- 125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Gilliot and Larcher, Language, Encyclopaedia of the Qur'ān, p.127</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p.127- 128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الأسف لم يسعف الوقت بالبحث ومناقشة ذلك</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the introduction of Tabari, Tafsir, ed. Shakir, i, 8- 12/Eng. trans. in Commentary, i, 8 -12; Gilliot, Elt, 73-8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Gilliot and Larcher, Language, Encyclopaedia of the Qur'ān, p.127 - 128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Jones, Language, 33 -7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Jones, Ora, 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Gilliot and Larcher, Language, Encyclopaedia of the Qur'ān, p.129</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Nöldeke, Geschichte, 107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Luxenberg, Lesart, 248- 51; also iscussed in the following reviews of Luxenberg's work: Nabielek, WeintraubenstattJungfrauen, 72; Gilliot, Langue, $ 4; Phenix and Horn, Review, $ 30- 4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Spitaler, Review of Fück, 'Arabiya</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Gilliot and Larcher, Language, Encyclopaedia of the Qur'an, p.132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وأستاذ في التفسير وعلوم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المصطفى صلّی الله علیه و آله العالميٍّة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زماني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مستشرقان و قرآن، موسسه بوستان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چاپ و نشر دفتر تبلیغات اسلامي حوزه علمیه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 al-Karim Biazar, The covenant in the Quran, p. 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Mostansir Mir, The unity of the text of the Quran, EQ, p405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أركون،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الإسلامي نقد واجتهاد، ترجمة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صالح، لا ط، الجزائر، لافوميك، المؤسسة الوطنية للكتاب،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 مقال في دائرة معارف القرآن تحت هذا العنوان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بي ازار شيرازي في كتابه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convenient in the Quran</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 أبو عبد الله بدر الدين محمد بن عبد الله بن بهادر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إحياء الكتب العربية عيسى البابي الحلبي،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لا ط، مصر، الهيئة المصرية العامة للكتاب،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الذين تناولوا موضوع التناسب والمناسب في علوم القرآن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الفضل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حقّقه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 والمحققين الأخصائيين، قدّم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العاملي،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لبنان، مؤسسة الأعلمي للمطبوعات،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تفسير،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 أبو الفضل شهاب الدين السيد محمود الآلوسي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العظيم والسبع المثاني،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بيروت، إدارة الطباعة المنيرية، دار إحياء التراث العربي،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هـ،ق،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أبو عبد الله محمد بن عمر بن الحسن بن الحسين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دار إحياء التراث العربي،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ھ،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وغيرها من الموارد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البقاعي، برهان الدين أبي الحسن إبراهيم بن عمر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مصاعد النظر بالإشراف على مقاصد السور، قدّم له وحقّقه وعلّق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السميع محمد أحمد حسنين،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الرياض، مكتبة المعارف،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البقاعي برهان الدين أبي الحسن إبراهيم بن عمر الشافعي، مصاعد النظر بالإشراف على مقاصد السور،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علي بن الحسين الموسوي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الحسيني،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مهدي الرجائي،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القرآن الكريم، قم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المرتضى، علي بن الحسين الموسوي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 تصحيح وتقديم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أبو القاسم كرجي، انتشارات دانشکاه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الطوسي، محمد بن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الأنصاري القمي، مؤسسة البعثة، قم،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الآمدي،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الحلي، نجم الدين أبو القاسم جعفر بن الحسن بن يحيى الهُذلي المعروف بالمحقق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إعداد السيد محمد حسين الرضوي الكشميري،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مؤسسة آل البيت لإحياء التراث،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مداس،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لسانيات النص نحو منهج لتحليل الخطاب الشعري،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،إربد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 عالم الكتب الحديث، جدارا للكتاب العالمي،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الأردن،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 صبحي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اللغة النصي بين النظرية والتطبيق دراسة تطبيقية على السور المكية، لاط، مصر، دار قباء للطباعة والنشر والتوزيع،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البدري، انسجام النص القرآني،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التناسب البياني في القرآن دراسة في النظم المعنوي والصوتي، لا ط ،الرباط، منشورات كلية الآداب والعلوم الإنسانية، مطبعة النجاح،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 البرهان،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أبو منصور أحمد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تعليقات وملاحظات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الخرسان، لا ط، النجف الأشرف، منشورات مطابع النعمان،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أبو النظر محمد بن مسعود بن عياش السلمى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 وقف على تصحيحه وتحقيقه والتعليق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الرسولي المحلاتي، المكتبة العلمية الإسلامية، لا ط، طهران،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تشكيك في صحّة هذه النسبة واختلاف معتد به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علي بن إبراهيم،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طيب الموسوي الجزائري،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دار الكتاب للطباعة والنشر،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علي بن إبراهيم،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طيب الموسوي الجزائري،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دار الكتاب للطباعة والنشر،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علوم القرآن، لا ط، قم، مطبعة مهر،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Jacques Augustin Berque</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العلا،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وأوهام مستشرق، لاط، مصر، المكتب العربي للمعارف، ديسمبر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نقلًا عن مقدمة ترجمته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Gustave Le Bon</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لوبون، غوستاف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العرب، نقله إلى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زعيتر،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القاهرة، دار إحياء الكتب العربية لعيسى البابي الحلبي و شركاه،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Bell</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Bill, introduction to the Quran, pp. 72 &amp; 24 - 32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Ignac Goldziher</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تسهير، أجنيتس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التفسير الإسلامي،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الحليم النجار،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دار إقراء،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Carlyle</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Montgamery Watt</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Merrill</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Mir, Coherence in the Quran, P., 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Mir, Coherence in the Quran, PP., 108 - 116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برغم كونه مسلمًا إلّا أنّ منهجه يصنّف ضمن مناهج المستشرقين والغربيين عموماً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أركون الفكر الإسلامي نقد واجتهاد،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Neuwrith, Form and structure..., E.Q. vol.2, pp. 246 - 247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Neuwrith, Form and structure..., E.Q. vol.2, pp. 247 - 248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247</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Neuwrith, Form and structure..., E.Q. vol.2, pp. 255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Neuwrith, Form and structure..., E.Q. vol.2, pp. 256- 257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Neuwrith, Sura, E.Q. Vol. 5, p., 166</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Neuwrith, Sura, E.Q. Vol. 5, p., 176</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169. 167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Neuwrith, Sura, E.Q. Vol. 5, p, 172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Neuwrith, Verse E.Q. Vol. 5, pp., 419 -430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Neuwrith, Sura, E.Q. Vol. 5, p. 247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المصدرين التاليين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Sholer, Post-Enlightenment Academic..., Vol. 4, 198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الهواوشة، محمود سليمان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عناصر الاتساق في تماسك النص، رسالة مقدمة إلى عمادة الدراسات العليا للحصول على درجة الماجستير في النحو والصرف، جامعة مؤتة،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زماني،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مستشرقان و قرآن، موسسه بوستان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چاپ و نشر دفتر تبلیغات اسلامي حوزه علمیه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تفسير القمي،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الزركشي، البرهان،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معرفة التمهيد،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life of Mohammad, p., xxvi - xxviii</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Bill, introduction to the Quran, pp., 89 - 105</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Bill, introduction to the Quran, pp., 89 - 105</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Neuwrith, Vers, E.Q. Vol. 5, p., 198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الميلاني، السيد علي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تحريف القرآن،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العراق، مركز الأبحاث العقائدية،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الاسترابادي، محمد أمين، الفوائد المدنية، وبذيله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المكية، السيد نور الدين الموسوي العاملي،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الرحمتي الأراكي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التابعة لجماعة المدرسين بقم المشرفة،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العيداني، مدخل أخباري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أصول الفقه المقارن،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محمد حسين، تفسير الميزان، لا ط، قم، منشورات جماعة المدرسين في الحوزة العلمية في قم المقدسة،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نزال، عمران سميح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التاريخية للسورة القرآنية، لا ط، مأدب، الأردن، دار القراء،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الفاخوري، 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في الأدب العربي القديم،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دار الجيل،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الزيات، أحمد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بيروت، دار المعرفة،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الحسيني، تاريخ الأدب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الفاخوري، الموجز في الأدب العربي القديم،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زماني، مستشرقان و 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عبد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محاولات تقديم القرآن الكريم وترجمته والردّ عليها، الهيئة المصرية العامة للكتاب،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 العرب،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اشكاليات ترجمة معاني القرآن الكريم واللغة والمعنى،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مصر، نهضة مصر والنشر ابريل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 ،البنداق، محمد صالح المستشرقون وترجمة القرآن الكريم بيروت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دار الآفاق الجديدة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رمضان، 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القرآن وأثرها في معانيه مع دراسة تحليلية لثماني ترجمات متداولة بست لغات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الانكليزية والفرنسية والروسية والألمانية والتركية والشركسية، دار المحبة، دمشق،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عظیم پور،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ترجمه های 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نژاد حقیقی، بهدخت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ترجمه های قرآن از منظر ایدئولوژِیک، و قلیزاده، دکتر حیدر، مشکلات ساختاری ترجمه قرآن کریم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بوكاي، موريس، القرآن والعلم المعاصر، ترجمه وقدّم له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اسماعيل بصل،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خير البقاعي،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العلا، القرآن وأوهام مستشرق،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Neuwrith, Form and structure..., E.Q. vol.2, p. 246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وباحث متخصص في علوم القرآن والحديث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الهيأة العلمية في جامعة المصطفى صلّی الله علیه و آله العالمية بقم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 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وردود حول القرآن الكريم، مؤسسة التمهيد للنشر،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محمد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لا ط، بيروت، دار المعرفة،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نسبوا إلى رجل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بن داود رأس الجالوت يخالفون سائر اليهود في السبت والأعياد، وينهون عن أكل الطير والظباء والسمك والجراد، ويذبحون الحيوان على القفا ويصدقون عيسى علیه السلام في مواعظه وإشاراته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يخالف التوراة البتة، بل قررها ودعا الناس إليها، وهو من بني إسرائيل المتعبدين بالتوراة ومن المستجيبين لموسى علیه السلام، إلا أنهم لا يقولون بنبوته ورسالته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بيروت، دار المفيد،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جه مادّة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نسخ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الإصفهاني، حسين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الشامية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هـ مادّة</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العلامة الطباطبائي قدّس سرّه إلى أنّ النسخ غير مختصّ بالتشريعيات، بل يعم التكوينيات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السيد محمد حسين الميزان في تفسير القرآن،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مؤسسة الأعلمي للمطبوعات،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ھ،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التفصيل،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دار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التفصيل،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الخوئي،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الطباطبائي،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الزرقاني، محمد عبد العظيم، مناهل العرفان في علوم القرآن، بيروت، دار إحياء التراث العربي،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معرفة،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الزرقاني، مناهل العرفان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معرفة،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السيد الطباطبائي قدّس سرّه أنّ النسخ يتعلّق بالتكوينيّات فضلًا عن التشريعيّات ولعلّ مُرَاده بالنسخ بالتكوينيّات هو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الزركشي، محمد بن عبد الله، البرهان في علوم القرآن، بيروت، دار إحياء الكتب العربية،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السيوطي، جلال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بيروت، دار الفكر،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معرفة،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ضياع شيء من القرآن وعدم وصوله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والتحريف بهذا المعنى هو الذي وقع فيه الخلاف، فأثبته قوم، ونفاه آخرون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الزركشي، البرهان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السيوطي،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معرفة،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الزركشي، البرهان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السيوطي، الإتقان في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الخوئي،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 البرهان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السيوطي،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الزرقاني، مناهل العرفان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الخوئي،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معرفة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معرفة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 البرهان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السيوطي ،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الزرقاني، مناهل العرفان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الخوئي،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مناهل العرفان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معرفة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معرفة،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مناهل العرفان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معرفة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في علوم القرآن، ط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بيروت، دار العلم للملايين،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الزرقاني مناهل العرفان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الزرقاني، مناهل العرفان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Burton, John, (Abrogation),Encyclopaedia Of The Quran. Vol.1.PP.11 -19, Collection Of The Quran Vol.1 PP.352-360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سَتُفْرِكُكَ فَلَا تَنسىَ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شَاءَ اللهُ إِنَّهُ يَعْلَمُ الْجَهْرَ وَمَا يُخَفَىَ</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يَمْحُوا الله مَا يَشَاءُ وَيُنْبِتُ وَعِنْدَهُ أُمُّ الْكِتَابِ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وَليِن شِئْنَا لَتَذْهَبَنَّ بِالنَّى أَوْحَيْنَا إِليكَ ثُمَّ لَا يَجدُ لَكَ بِهِ عَلَيْنَا وَكِيلًا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نَنْسَخْ مِنْ آيَةٍ أَوْ نُنْسِهَا نَأْتِ بَخِيرُ مِنْهَا أَوْ مِثْلِهَا أَلَمْ تَعْلَمْ أَنَّ الله عَلَى كُل شَيءٍ قَدِيرٌ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والفَسَوي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والتاريخ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والشَّجري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ترتيب الأمالي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نولدکه، تئودور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 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تامر، جورج، زوریخ، دار نشر جورج ألمز،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الزَّانِيَةُ وَالزَّانِي فَاجْلِدُوا كُلَّ وَاحِدٍ مِنْهُما مِائَةَ جَلْدَةٍ وَلَا تَأْخُذْكُمْ بِهِمَا رَأْفَةٌ فِي دِينِ اللهِ إِنْ كُنْتُمْ تُؤْمِنُونَ بِاللَّهِ وَالْيَوْمِ الآخِرِ وَلْيَشْهَدْ عَذَابَهُمَا طَائِفَةٌ مِنَ الْمُؤْمِنِينَ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الطباطبائي،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الباقلّاني، محمد بن 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للقرآن، بيروت، دار ابن حزم،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الزركشي، البرهان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العريضي، علي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في نسخ القرآن الكريم، مصر، مكتبة الخانجي،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 في ظلال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معرفت التمهيد،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البیان في تفسیر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الخوئي، البيان،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السبحاني،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والبداء في الكتاب والسنة، بيروت، دار الهادي،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الشيرازي،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طهران، دار الكتب الإسلامية،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قم، دار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الحوزة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الفيومي،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قم، مؤسسة دار الهجرة، من دون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مفردات الفاظ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التفسير الامثل،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محمد جواد، تفسير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الطبطبائي، الميزان،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الطبطبائي، الميزان،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التفسير الأمثل،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الطبطبائي، الميزان،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ودكتور في الأدب العربي بمرتبة الشرف الأولى، وكبير الباحثين بمركز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بمكتبة الإسكندرية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والمفسرون، لا ط، القاهرة، مكتبة وهبة، بدون تاريخ نشر،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والمفسرون في ثوبه القشيب،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مشهد، الجامعة الرضوية للعلوم الإسلامية،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شلتوت،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محمد 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الفاتحة وست سور من خواتيم القرآن، لا ط، القاهرة، دار المنار،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محمد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ط، مصر، الهيئة المصرية العامة للكتاب،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مشكل القرآن، لا ط، بيروت، دار الكتب العلمية، لا ت،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 التفسير والمفسرون في ثوبه القشيب،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ويلانت، راترود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في مطلع العصر الحديث والمعاصر، مقالة منشورة في موسوعة ليدن للدراسات القرآنية، وقد وصلتني مترجمة إلى العربية؛ لذا سأكتفي بأن أضع النص المقتبس منها بين علامتي تنصيص دون الإشارة إلى توثيقها في نصها الإنجليزي فليس بين يدي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حسن، التفسير والمفسرون،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أصفهاني، محمد علي رضائي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التفسير واتجاهاته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مقارنة في مناهج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بیروت، مركز الحضارة لتنمية الفكر الإسلامي،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المكاصيصي، محمد نوري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الاتجاهات العامة في تفسير القرآن، كلية التربية للعلوم الإنسانية، جامعة بابل،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منشورة على الموقع الإلكتروني للجامعة تحت هذا الرابط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http://www.uobabylon.edu.iq/UOBCOLEGES V179E=lcid&amp;r=depid&amp;=lecture_view.aspx?fid</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 خالد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التفسير وقواعده،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دار النفائس، 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التفسير وقواعده،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دار النفائس، 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حسن، التفسير والمفسرون،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أصفهاني، محمد علي رضائي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جولة في دائرة معارف ليدن القرآنية، مجلة دراسات استشراقية، العدد الأول، صيف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أصفهاني، محمد علي رضائي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جولة في دائرة معارف ليدن القرآنية، مجلة دراسات استشراقية، العدد الأول، صيف</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 التفسير والمفسرون في ثوبه القشيب،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الرومي، فهد بن عبد الرحمن بن سليمان، منهج المدرسة العقلية الحديثة في التفسير،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هـ،ج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عزوزي،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النص القرآني بين النقل والعقل، مجلة دعوة الحق، العدد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يونيو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التفسير الإسلامي،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النجار ،لا ط، مصر، مكتبة الخانجي بمصر، ومكتبة المثنى ببغداد،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عزوزي ،حسن تفسير النص القرآني بين النقل والعقل،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التفسير والمفسرون في ثوبه القشيب،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حسن، التفسير والمفسرون،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أصفهاني، جولة في دائرة معارف ليدن القرآنية،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219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حسن، التفسير والمفسرون،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الوعلان، عبد المجيد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الكونية دراسة عقدية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لنيل درجة الماجستير، قسم العقيدة</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النابلسي، محمد 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الإعجاز العلمي في القرآن والسنة، دار المكتبي للطباعة والنشر والتوزيع،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والمفسرون،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الخولي، 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التجديد في النحو والبلاغة والتفسير والأدب، مكتبة الأسرة،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إصفهاني، محمد علي رضائي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الإعجاز والتفسير العلمي،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علي مطر، مجلة نصوص معاصرة، السنة الثانية عشرة، العدد السابع والأربعون، صيف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الرومي، 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التفسير في القرن الرابع عشر،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مؤسسة الرسالة،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أصفهاني، محمد علي رضائي، الإعجاز والتفسير العلمي،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شلبي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العلمي للقرآن الكريم بين النظريات والتطبيق،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تونس، مطبعة تونس قرطاج،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شلبي، هند، التفسير العلمي للقرآن الكريم بين النظريات والتطبيق،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أصفهاني، محمد علي رضائي، الإعجاز والتفسير العلمي،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الشرقاوي، 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التفسير في مصر في العصر الحديث، لا ط، مصر، جامعة عين شمس،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الله، محمد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القصصي في القرآن الكريم، شرح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عبد الكريم، لا ط، بيروت، الانتشار العربي،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مقدمة أمين الخولي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حسن، التفسير والمفسرون،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فضل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أساسياته واتجاهاته ومناهجه في العصر الحديث،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عمان، دار النفائس للنشر والتوزيع،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الاتجاهات الحديثة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الأدبي، بحث منشور في موسسة تبيان الثقافية والمعلوماتية، إعداد سيد مرتضى محمدي، تحت هذا الرابط </w:t>
      </w:r>
      <w:r>
        <w:rPr>
          <w:rFonts w:eastAsia="IRNazanin" w:cs="IRNazanin"/>
          <w:b w:val="false"/>
          <w:bCs w:val="false"/>
          <w:i w:val="false"/>
          <w:iCs w:val="false"/>
          <w:color w:val="333333"/>
          <w:sz w:val="20"/>
          <w:szCs w:val="20"/>
        </w:rPr>
        <w:t>https://arabic.tebyan.net/index.aspx?pid=268642</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البياني للقرآن الكريم،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مصر، دار المعارف، لا ت،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عائشة، التفسير البياني للقرآن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القرآني في منطوقه ومفهومه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دراسة تطبيقية لقصتي آدم ويوسف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دار المعرفة للطباعة والنشر،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وأستاذٌ جامعيٍّ، الجزائر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وطبعا هذا لا يعني توهيننا من الأبحاث المرتبطة بهذا، أو الضرر الذي تحدثه، ولكنه أقل بكثير من الضرر الذي تحدثه المواقف من المصادر المقدسة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مؤلفاتها التي اشتركت فيها مع غيرها مما يتعلق بهذا الجانب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المعتزلة في اليهودية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يتناولُ مذهب الاعتزال الذي تأثر به علماء لاهوت اليهود والمسيحيون،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تفاعلات وخلافات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ذو طابعٍ جدلي ويضمّ مجموعةً من المقالات التي تتناولُ نصوصاً جدلية ألفها مسلمون ضدّ اليهودية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القرآن الكريم خمس آيات تتصدر بهذه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وكلها توضح مفهوم الإيمان، وتوضح مصاديقه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نولدکه، تیودور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تامر، لا ط، ألمانيا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منشورات الجمل،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جولدتسيهر، اجناس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والشريعة في الإسلام، ترجمة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مترجمين، دار الرائد العربي،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أن المستشرق درمنغ من المستشرقين الذين أنصفوا إلى حدٍّ ما رسول الله صلّی الله علیه و آله؛ فقد فسير بعض الباحثين العبارة التي أوردها في هذا أنه يقصد منها اللذة المعنويّة التي كان يجدها رسول الله صلّی الله علیه و آله وهو يتحنّث في غار حراء، وهذا مما لا حرج فيه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درمنغم، امیل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زعيتر،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مصر، دار إحياء الكتاب العربي،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 نصر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والسلطة والحقيقة،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بيروت، المركز الثقافي العربي،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ادريس الطعان،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العلمانيون والقرآن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تاريخية النص،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دار ابن حزم،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من السور التي وقع الخلاف في كونها مكية أو مدنية، والكثير يذهب إلى أنها مكية، ويدلّ على ذلك إيقاع آياتها وطبيعة مضامينها، قال سيّد قطب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نسق السورة تتضح فيه سمات القرآن المكي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السرخسي، محمد بن أحمد بن أبي سهل شمس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لا ط، بيروت، دار المعرفة،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أبو الفداء إسماعيل بن عمر بن كثير القرشي البصري ثم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المحقق، سامي بن محمد سلامة،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طيبة للنشر والتوزيع،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الألوسي، شهاب الدين محمود بن عبد الله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العظيم والسبع المثاني،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عبد الباري عطية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الكتب العلمية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محمد بن إسماعيل أبو عبدالله البخاري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المسند الصحيح المختصر من أمور رسول الله وسننه وأيامه صحيح البخاري،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زهير بن ناصر الناصر،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طوق النجاة،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ھ،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ورواه محدّثو الشيعة باختلاف يسير،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طهران، دار الكتب الإسلامية،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الشيخ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إلى تحصيل مسائل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مؤسسة آل البيت لإحياء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المشرفة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10721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حديث رقم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أبو الحسن تقي الدين علي بن عبد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السبكي، دار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أبو زكريا محيي الدين يحيى بن 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شرح صحيح مسلم بن حجاج، لا ط، بيروت، دار الكتاب العربي،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أبو حامد محمد بن محمد الغزالي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فيصل التفرقة بين الإسلام والزندقة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القصور العوالي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ط، بيروت، دار المعرفة،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عمر الملقب بفخر الدين الرازي خطيب الري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الرازي، 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لبنان، دار الفكر للطباعة والنشر والتوزيع،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علیهم السّلام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الأفاضل، لا ط، طهران، دار الكتب الإسلامية،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التفصيل حول الآيات الواردة في القتال وتوجيهها 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حرية الاعتقاد في القرآن الكريم والسنة النبوية للشيخ حسن بن فرحان المالكي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ساسي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الخطاب الاستشراقي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الظاهرة الاستشراقية وأثرها في الدراسات الإسلامية،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المدار الإسلامي،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ساسي سالم، نقد الخطاب الاستشراقي،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محمد بن يوسف الصالحي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في سيرة خير العباد، وذكر فضائله وأعلام نبوته وأفعاله وأحواله في المبدأ والمعاد، تحقيق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عادل أحمد عبد الموجود ، الشيخ علي محمد معوض،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الكتب العلمية،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عيسى، محمد بن عيسى بن سَورة بن موسى بن الضحاك،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عواد معروف، لا ط، بیروت، دار الغرب الإسلامي،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للامام علي بن أبي طالب علیهم السّلام،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الاستاذ محمد عبده، لا ط، بیروت، دار المعرفة للطباعة،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الكشاف،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جامعي وحوزوي، محقّق وباحث في تاريخ الأديان، لبنان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يوحنا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تعرضنا لهذه المسألة في كتاب المسيح في الإنجيل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لاهوته وناسوته، فليراجع ثمة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يوحنا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يوحنا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وقد عالجنا هذه المسألة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 المسيح في الإنجيل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يوحنا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إنجيل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إنجيل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بحثنا هذه المهمة أكثر تفصيلا، في مقالة خاصة،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الملكوت في دعوة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في الدين والفكر،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يوحنا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يوحنا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محمد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دار الكتب العلمية، بيروت، كتاب بدء الوحي،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الآيات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إسماعيل، حاتم صلب المسيح في الإنجيل، لا ط، بيروت، المركز الإسلامي للدراسات،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تعرضنا لهذا البحث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 المسيح في الإنجيل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يعدها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بسترس،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اللاهوت المسيحي والإنسان المعاصر، الطبعة الثانية، منشورات المكتبة البولسية، بيروت،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الجديد، الطبعة الثالثة، بيروت، دار المشرق،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بحثنا هذا الموضوع في ندوة بحثية في كلية اللاهوت في الشرق الأدنى في بيروت، بتاريخ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وطبع في کتاب مقالات في الفكر والدين،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إنجيل برنابا في ميزان الاعتبار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سعادة مقدمة ترجمة إنجيل برنابا،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 الأب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برنابا شهادة زور على القرآن الكريم،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المكتبة البولسية،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 يوسف 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دعوة نصرانية، بيروت، المكتبة البولسية،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يوحنا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ومدرس في الحوزة العلمية في النجف الأشرف في التفسير وعلوم القرآن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ترجمة للفارسية مؤسسة التبليغ الإسلامي،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مؤسسة انتشارات حكمت التابعة لمؤسسة التبليغ الإسلامي،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لأنّا اعتمدنا على الترجمة الفارسية لموسوعة ليدن القرآنية، التي جاءت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والتي تمت ترجمتها من قبل مؤسسة التبليغ الإسلامي في إيران في خمس مجلدات، وقد صدر منها الطبعة الأولى في أربع مجلدات فقط في سنة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هـ، دون المجلد الخامس، وسنتناول مداخل الأنبياء التي وردت في المجلدات الأربع دون المداخل الأخرى التي احتوى عليها المجلد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الموضوعات والمداخل التي تبدأ بالحروف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م، ن، هـ، و، 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إشكالية التحيّز رؤية معرفية ودعوة للاجتهاد،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هيرندن فيرجينيا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الولايات المتحدة الأميركية، المعهد العالمي للفكر الإسلامي،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من منظور غربي، لا ط ،القاهرة، دار الهلال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مؤسسة الأعلمي للمطبوعات،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الوفاء،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اشيخ علي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بن علي النمازي، لا ط، قم، مؤسسة النشر الإسلامي التابعة لجماعة المدرسین،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مؤسسة الأعلمي للمطبوعات،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مستدرك سفينة البحار،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والشريعة في الإسلام،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ثيودور نولدکه تاريخ القرآن،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تامر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مؤسسة كونراد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أدناور ،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الريسوني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القرآني من تهافت القراء إلى أفق التدبير، لا ط ،المغرب، منشورات وزارة الأوقاف والشؤون الإسلامية،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والدلالة نحو تحليل سيميائي للأدب، لا ط، منشورات وزارة الثقافة،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مرقص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 نصر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النص دراسة في علوم القرآن، لا ط، مصر، الهيئة المصرية للكتاب،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أركون،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من التفسير الموروث إلى تحليل الخطاب الديني،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دار الطليعة،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هامش 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حنفي ومجموعة 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والحداثة، لا ط، بيروت، دار الساقي،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وباحث في الفكر الإسلاميّ والإسلاميَّات المعاصرة، ورئيس تحرير مجلة الكلمة المملكة العربية السعودية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،طع بيروت، المؤسسة العربية للدراسات والنشر،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بارت 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الدراسات العربية والإسلامية في الجامعات الألمانية،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ماهر ،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المركز القومي للترجمة،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تسيهر أجناتس مذاهب التفسير الإسلامي،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عبدالحليم النجار، لا ط، القاهرة، الهيئة المصرية العامة للكتاب،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فوك يوهان تاريخ حركة الاستشراق الدراسات العربية والإسلامية في أوروبا حتى بداية القرن العشرين تعريب عمر لطفي العالم لا ط دمشق دار ،قتيبة،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محمد حسين المستشرقون والدراسات القرآنية،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بيروت، دار المؤرخ العربي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أجناتس جولد تسيهر مذاهب التفسير الإسلامي،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مشروع القرآن الأوروبي، نشرة القرآن والاستشراق المعاصر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فصلية تُعنى بالاستشراق المعاصر حول القرآن الكريم تصدر عن المركز الإسلامي للدراسات الاستراتيجية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الأول السنة الأولى، شتاء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56</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فوك يوهان تاريخ حركة الاستشراق،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جحا ميشال الدراسات العربية والإسلامية في أوروبا،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معهد الإنماء العربي،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143</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137</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تفسير المنار ،طا ،بيروت، دار الكتب العلمية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محمد ،رشید تفسیر المنار،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أو مفاتيح الغيب، بيروت، دار الكتب العلمية،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تجديد التفكير الديني في الإسلام لا ط، دمشق، دار وحي القلم،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176</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وباحث وأستاذ في علوم القرآن والحديث العراق</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الدسوقي محمد الاستشراق والفقه الإسلامي مجلة حولية تصدر عن كلية الشريعة والدراسات الإسلامية جامعة قطر،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الندوي أبو الحسن علي الحسني الأركان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الزكاة، الصوم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ضوء الكتاب والسنة مقارنة مع الديانات الأخرى، ط ،الكويت، دار القلم،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 جواد فقه الإمام جعفر الصادق طه، قم، مؤسسة الصادق للسلام،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مؤسسة النشر الإسلامي التابعة لجماعة المدرسين بقم المقدسة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جمال الدين أبي منصور الحسن بن يوسف بن المطهر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تحقيق إبراهيم البهادري،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مؤسسة الإمام الصادق ع السلام،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دورکهایم امیل الأشكال الأولية للحياة الدينية ترجمة رندة ،بعث ،طا الدوحة المركز العربي للأبحاث ودراسة السياسات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إليا مرسيا المقدس والمدنس، ترجمة عبدالهادي ،عباس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دار دمشق للطباعة والنشر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الزاهي نور الدين المقدس ،الإسلامي، طا المغرب دار توبقال للنشر،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محسن عبد الناصر سلطان المفهوم الوجودي للمقدس والمدنس في الإسلام،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gjat. June 2014. vol issue. 117</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مقدمة الفتاوى الواضحة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تحقيق السيد أحمد الحسيني، لا ط، قم، دار القرآن الكريم،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مكارم الشيرازي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،طا، قم، مطبعة أمير المؤمنين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مرتضى مجموعة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الملحمة الحسينية،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مغنية محمد جواد الفقه على المذاهب الخمسة،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محمد جواد تفسير الكاشف،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دار العلم للملايين،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حوزوي وباحث في الفكر والكلام الإسلامي من تونس باحث في المركز الإسلامي للدراسات الاستراتيجية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العتبة العباسية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بكاتبتي المقالة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التّعدّديّة نتاج تأليف مشترك بين السيدة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جين دمين مك أوليف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Jane Dammen McAuliffe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والسيدة كلير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وايلد </w:t>
      </w:r>
      <w:r>
        <w:rPr>
          <w:rFonts w:eastAsia="IRNazanin" w:cs="IRNazanin"/>
          <w:b w:val="false"/>
          <w:bCs w:val="false"/>
          <w:i w:val="false"/>
          <w:iCs w:val="false"/>
          <w:color w:val="333333"/>
          <w:sz w:val="20"/>
          <w:szCs w:val="20"/>
        </w:rPr>
        <w:t>Clare Wild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وهذه المقالة هي الوحيدة المشتركة بينهما، في حين انفردت السيدة اولیف بالمقالات أبرهة والإنجيل والمراء ،والجدال في الجزء الأوّل وفاطمة والقلب في الجزء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تُساهم السّيدة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كلير وايلد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بهذه المقالة المشتركة ومقالة أخرى من مقالات الجزء الرابع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التعريف بالكاتبتين، فيراجع حول التعريف بالسّيدة جين دمين مك أوليف مدخل هذا الكتاب ودرست السيدة كلير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ايلينا وايلد </w:t>
      </w:r>
      <w:r>
        <w:rPr>
          <w:rFonts w:eastAsia="IRNazanin" w:cs="IRNazanin"/>
          <w:b w:val="false"/>
          <w:bCs w:val="false"/>
          <w:i w:val="false"/>
          <w:iCs w:val="false"/>
          <w:color w:val="333333"/>
          <w:sz w:val="20"/>
          <w:szCs w:val="20"/>
        </w:rPr>
        <w:t>Clare Wild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الدراسات الدينية في جامعة برينستون، والدّراسات العربيّة والإسلامية في المعهد البابوي لدراسة اللغة العربية والإسلام في روما، وحصلت على درجة الدكتوراه في تاريخ الكنيسة السريانية والعربيّة واللاتينيّة من الجامعة الكاثوليكية الأمريكية في واشنطن العاصمة كلية اللاهوت والدّراسات الدّينيّة، وكانت أطروحتها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في النّصوص العربية المسيحية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وهي تشغل منصب أستاذ مساعد في كلية اللاهوت والدّراسات الدينية بجامعة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جرونينجن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بهولاندا منذ العام الدراسي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يومنا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وترتكز بحوثها على القرآن والنّصوص القديمة، والعلاقات بين المسلمين وغير المسلمين ونصوص الإرهاب وتاريخ المسيحيّة، وتاريخ العلاقات الإسلاميّة المسيحيّة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والإسلام المبكر، ولها العديد من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صفحة الأستاذة على موقع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أحدث كتاباتها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تبادل وخفاء المعرفة الدّينيّة في اليهودية المبكرة والمسيحيّة والإسلام وهو تأليف مشترك مع باحثين 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وفيما يرتبط بالموسوعة القرآنية ليدن فقد ساهمت بمقالتين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المجلّد الرّابع، وتتألّف من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والمقالة الثانية هي التّعدّديّة الدّينيّة والقرآن بالاشتراك مع رئيسة تحرير الموسوعة السيدة ماك اوليف</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مقالة التعددية الدينية والقرآن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وثيقة رسمية من وثائق المؤتمر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المقالة،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الموسوعة باللغة الإنجليزية،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المقالة،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العمزد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القرآن ،ليدن،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جلال الدين الإتقان في علوم القرآن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دمشق، مؤسسة الرسالة ناشرون،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71</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ابو القاسم الحسين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لا ط ،لام مكتبة نزار مصطفى الباز، لا ت،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آي القرآن تح عبد الله التركي ،طا القاهرة، هجر للطباعة،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عبد الرحمن جلال الدين الدر المنثور في التفسير بالمأثور، لا ط بیروت، دار الفکر،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الحجيلي، عبد الرحمان المعاجم المفهرسة لألفاظ القرآن الكريم، لاط المدينة المنورة الجامعة الإسلامية بالمدينة المنورة لا ت ص </w:t>
      </w:r>
      <w:r>
        <w:rPr>
          <w:rFonts w:eastAsia="IRNazanin" w:cs="IRNazanin"/>
          <w:b w:val="false"/>
          <w:bCs w:val="false"/>
          <w:i w:val="false"/>
          <w:iCs w:val="false"/>
          <w:color w:val="333333"/>
          <w:sz w:val="20"/>
          <w:szCs w:val="20"/>
        </w:rPr>
        <w:t>266</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مختار عمر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المعجم الموسوعي لألفاظ القرآن وقراءاته،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سطور،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محمد عبدالله الدين ،لاط ،مصر ، الهنداوي،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الدراز، محمد عبدالله الدين،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الدراز، محمد عبدالله الدين،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دراز محمد عبدالله الدين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إيزوتستو توشيهوكو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المفهومات الأخلاقية الدينية في القرآن تر عيسى علي العاكوب، لا ط دمشق، دارنینوی،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 نشرد تد دلیل اکسفورد للفلسفة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الحصادي، لا ط، ليبيا، المكتب الوطني للبحث والتطوير، لا 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جمال الدین محمد بن مكرم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 ،ط ،بیروت، دارصادر، لات مادة ملل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ابو القاسم الحسين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لا ط ،لام مكتبة نزار مصطفى الباز، لات،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610</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الهلال العسكري في الفروق</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وابن كثير والميزان</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الثاني</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علي بن محمد التعريفات تح ابراهيم الأنباري، دار الريان للتراث، لام، لات مادة دين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المفردات،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شرائع الإسلام المحقق الحلي</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محمد حسين الميزان في تفسير القرآن ،طا ،بیروت، دار ،التعارف،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الميزان في تفسير القرآن ،طا ،بیروت، دار التعارف،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إيزوتستو، توشيهوكو، المفهومات الأخلاقية الدينية في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إيزتسو، توشيهوكو، الله والإنسان في القرآن،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محمد الجهاد،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المنظمة العربية للترجمة،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هو حصيلة جهود المرحوم آية الله واعظ زاده الخراسان وعدد من زملائه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مؤلّف هذا الكتاب بترتيب مفردات القرآن وفق الحروف الأبجدية وأورد شرح كل مفردة ضمن أقسام أربعة في البداية يقدم الكاتب شرحا مختصرا حول تركيبة كلّ مفردة وعدد المرّات التي تمّ استخدامها في مختلف السور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يتعرض لمعنى المفردة في المصادر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ترتيب تاريخ التأليف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ذلك يتم التطرّق إلى آراء مختلف المفسّرين منذ صدر الإسلام حتّى الزمن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تلك المفردة ومن ثمّ يتمّ تحليل تلك المفردة وتأصيلها وبيان المعنى الحقيقي والمجازي لها من الناحية الأدبية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القسم الأخير الذي هو أهم الأقسام يتمّ إطلاع القارئ على الاستعمالات القرآنية لتلك المفردة بناء على تأمّل الكاتب وتحليله للمعلومات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زادة محمد 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في فقه القرآن وسر بلاغته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مجمع البحوث الإسلامية،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المقالة الموسوعة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لفظ أهل الكتاب والذين أوتوا الكتاب وأهل الإنجيل تتكرّر أكثر من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في القرآن الكريم والأصح أن لفظ اهل الكتاب ورد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ولفظ الذين أوتوا الكتاب فقد تكرر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ولفظ الإنجيل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 أما أهل الانجيل فقد وردت مرة واحدة في القرآن الكريم</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الطبطبائي، محمد حسين تفسير الميزان،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لابوم، جول تفصيل آيات القرآن الكريم تر محمد عبد الباقي، لا ط، بيروت، دار الكتاب العربي، لا ت، حيث قسم المستشرق لابوم فهرسه لى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من ضمنها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تتعلق مباشرة بأهل الكتاب بنو اسرائيل التوراة النصارى، وتضمن كل باب عدة فروع وتحت كل فرع العديد من الآيات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مرزوق، عبد الرؤوف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الموضوعات والأعلام في القرآن الكريم،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القاهرة، دار الشروق،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الشواهد القرآنية راجع معجم الموضوعات والأعلام في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أهل الكتاب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،اليدن،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مقالة المسيحيون والمسيحية،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المفردات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اليهود واليهودية لأوري روبين،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الموسوعة،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عبد الملك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تح مصطفى السقا لا ط بیروت، دار حياء التراث العربي، لا 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الحلبيّة،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مهدي في الاجتماع السياسي الإسلامي،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المؤسسة الدولية للدراسات والنشر،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جعيط ،هشام مسيرة محمد في المدينة وانتصار الإسلام ،لاط، دار الطليعة للنشر، بيروت،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76</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السائب الكلبي هشام بن محمد الأصنام،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زكي باشا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 دار الكتب المصرية،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الصدر محمد باقر اقتصادنا، ط</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بیروت، دار التعارف للمطبوعات،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ليدن،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الطباطبائي، تفسير الميزان،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new Encyclopedia Britannica: "study of religion". Vol.15. p.615. by Safra, S.Yannias, James E.Goulka. 15th</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آدم الحضارة الإسلامية في القرن الرابع الهجري، تر محمد عبد الهادي أبو ريدة ،طه، بيروت، دار الكتاب اللبناني لات،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متز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في القرن الرابع الهجري،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الهادي أبو ريدة ،طه، بيروت، دار الكتاب اللبناني، لا ت ص </w:t>
      </w:r>
      <w:r>
        <w:rPr>
          <w:rFonts w:eastAsia="IRNazanin" w:cs="IRNazanin"/>
          <w:b w:val="false"/>
          <w:bCs w:val="false"/>
          <w:i w:val="false"/>
          <w:iCs w:val="false"/>
          <w:color w:val="333333"/>
          <w:sz w:val="20"/>
          <w:szCs w:val="20"/>
        </w:rPr>
        <w:t>385</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شلبي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اليهودية، ط</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القاهرة، مكتبة النهضة،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تفسير الميزان،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كمثال على ذلك يمكن أن نذكر تجربة نولدكة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وكتابه تاريخ القرآن حيث اعتبر منهجه الفيلولوجي في كتابه هذا حماقة صبيانية، حيث جاء في مقدمة الطبعة الثانية لكتاب تاريخ ،القرآن منوها بجهود صيقه شفالي الذي تصدّى لإعادة النظر في نسخة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قام بقدر الإمكان بجعل الكتاب الذي أنجزته بسرعة قبل نصف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بقدر الإمكان لأن آثار الوقاحة الصبيانية لن يمكن محوها بالكلية، من دون أن يعاد تأليف الكتاب من جديد بعض ما قلته حينذاك بقليل أو بكثير من الثقة انعدمن ثقلي به لاحقا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مقالة الرد على من يزعم أن العربية أصلها من الآرامية أو السريانية أو العربية لمحمد عبد الله الأنصار على موقع مجمع اللغة العربية على الشبكة العالمية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 //www.m-a-arabia.com/site</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تعتبر العربية أما لعدة لهجات كاللهجة العربية الأكادية بفرعيها البابلي والآشوري اللهجة العمرية الكنعانية اللهجة العربية السبئية واللهجة العربية النبطية، واللهجة العربية السريانية، واللهجة العربية الآرامية واللهجة العربية البربرية انظر مازن محمد حسن الأصول اللغوية المشتركة بين العربية والآرامية والسريانية، مجلة العلوم الإنسانية كلية التربية جامعة ،بابل، المجلد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البهنسي أحمد إشكال فهم النص القرآني في الدراسات الاستشراقية الاستشراق الإسرائيلي أنموذجا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دراسات استشراقية، العدد الثاني، خريف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البهنسی احمد اشکال فهم النص القرانی فی الدراسات الاستشراقیه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 حسين أصول الاجتهاد الكلامي،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المركز الإسلامي الثقافي،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وأستاذ في الفلسفة الغربية جامعة طهران وأستاذ زائر في الدراسات الإسلامية في جامعة زيمبابوي وجامعة أروبة اليسوعية، وأستاذ في الدراسات الحوزوية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Visiting lecturer of Islamic Studies in the University of Zimbabwe</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Entry: 'Shi'ism and the Qur'an' (4:593) introduces the belief in textual alteration (omission from and addition to Qur'an) as an early orthodox Shia belief. For a short and simple refutation of such allegation, see: (Ja'fariyan, 2003)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Jawad Ali believes this name comes from "EribShebat" meaning the eve before Saturday in Hebrew. 8:468 1993)) this displays clear pre-Islamic Jewish influence, yet no sense of assembly or market- gathering is there. gbligazolçöŸtelvėtḥmės</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نفسيالفداء لأقوامهمو خلطوا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لعَرُوبة أزواداً بأزواد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الشافعی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3:1356</w:t>
      </w:r>
      <w:r>
        <w:rPr>
          <w:rFonts w:ascii="IRNazanin" w:hAnsi="IRNazanin" w:eastAsia="IRNazanin"/>
          <w:b w:val="false"/>
          <w:b w:val="false"/>
          <w:bCs w:val="false"/>
          <w:i w:val="false"/>
          <w:i w:val="false"/>
          <w:iCs w:val="false"/>
          <w:color w:val="333333"/>
          <w:sz w:val="20"/>
          <w:sz w:val="20"/>
          <w:szCs w:val="20"/>
          <w:rtl w:val="true"/>
        </w:rPr>
        <w:t xml:space="preserve">؛ علی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8:465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السهيلي في الرَّوْض الأنْف أَنَّ كعب بن لؤي أوّلُ من جَمَّع يوم العَرُوبةِ، ولم تسمَّ العَروبةُ الجُمعة إلا مذ جاء الإسلام ابن منظور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8:58</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you and your nation have been preferred over other nations by Friday" 70 1400)) "Jews envied us for Friday" 5:75 1994)) and God written [commemoration of] Friday upon previous</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انس </w:t>
      </w:r>
      <w:r>
        <w:rPr>
          <w:rFonts w:eastAsia="IRNazanin" w:cs="IRNazanin"/>
          <w:b w:val="false"/>
          <w:bCs w:val="false"/>
          <w:i w:val="false"/>
          <w:iCs w:val="false"/>
          <w:color w:val="333333"/>
          <w:sz w:val="20"/>
          <w:szCs w:val="20"/>
        </w:rPr>
        <w:t>Direct quotes by Prophet (s) include: "whoever makes a false oath on my minbar - [] my minbar is a garden of paradise" or "my minbar is based on paradise." or "between my</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E:.or..E 33 house and my minbar is a garden from paradise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الصنعاني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 had the vision that 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1ε: 0 EV F</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Jus</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Tyrant from among Umayyad steps on my minbar</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القمل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 more elaboration, see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القمل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جصاص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حَلَى الْحُسَيْنُ بْنُ مُحَمَّدِ بْنِ حَبِيبِ النَّيْسَابُورِيُّ فِي هَذِهِ الْمَسْأَلَةِ ثَلَاثَةَ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الْقُرْآنَ كُلَّهُ مُحْكَمٌ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أحكمت آياته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مُتَشَابِهً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نَزَّلَ أحسن الحديث كتابا متشابها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image" Target="media/image2.jpeg"/><Relationship Id="rId656" Type="http://schemas.openxmlformats.org/officeDocument/2006/relationships/image" Target="media/image2.jpeg"/><Relationship Id="rId657" Type="http://schemas.openxmlformats.org/officeDocument/2006/relationships/footer" Target="footer650.xml"/><Relationship Id="rId658" Type="http://schemas.openxmlformats.org/officeDocument/2006/relationships/footnotes" Target="footnotes.xml"/><Relationship Id="rId659" Type="http://schemas.openxmlformats.org/officeDocument/2006/relationships/numbering" Target="numbering.xml"/><Relationship Id="rId660" Type="http://schemas.openxmlformats.org/officeDocument/2006/relationships/fontTable" Target="fontTable.xml"/><Relationship Id="rId661" Type="http://schemas.openxmlformats.org/officeDocument/2006/relationships/settings" Target="settings.xml"/><Relationship Id="rId6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660</Pages>
  <Words>138594</Words>
  <Characters>672022</Characters>
  <CharactersWithSpaces>807629</CharactersWithSpaces>
  <Paragraphs>3436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2026-08-20T06:45:41Z</dcterms:created>
  <dc:creator>ghaemiyeh.com</dc:creator>
  <dc:description/>
  <dc:language>en-US</dc:language>
  <cp:lastModifiedBy/>
  <dcterms:modified xsi:type="dcterms:W3CDTF">2026-08-20T10:15:59Z</dcterms:modified>
  <cp:revision>1</cp:revision>
  <dc:subject/>
  <dc:title>القرآن الکریم فی الفکر الاستشراقی المعاصر مقاربات نقدیة لموسوعة القرآن لیدن</dc:title>
</cp:coreProperties>
</file>

<file path=docProps/custom.xml><?xml version="1.0" encoding="utf-8"?>
<Properties xmlns="http://schemas.openxmlformats.org/officeDocument/2006/custom-properties" xmlns:vt="http://schemas.openxmlformats.org/officeDocument/2006/docPropsVTypes"/>
</file>