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Sang pencerah pengetahuan dari timur suhrawardi dan filsafat Iluminasi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24576_653776707">
            <w:r>
              <w:rPr>
                <w:webHidden/>
                <w:rStyle w:val="IndexLink"/>
              </w:rPr>
              <w:t>BOOK ID</w:t>
              <w:tab/>
              <w:t>5</w:t>
            </w:r>
          </w:hyperlink>
        </w:p>
        <w:p>
          <w:pPr>
            <w:pStyle w:val="Contents2"/>
            <w:tabs>
              <w:tab w:val="clear" w:pos="8743"/>
              <w:tab w:val="right" w:pos="9026" w:leader="dot"/>
            </w:tabs>
            <w:bidi w:val="0"/>
            <w:rPr/>
          </w:pPr>
          <w:hyperlink w:anchor="__RefHeading___Toc924578_653776707">
            <w:r>
              <w:rPr>
                <w:webHidden/>
                <w:rStyle w:val="IndexLink"/>
              </w:rPr>
              <w:t>Point</w:t>
              <w:tab/>
              <w:t>5</w:t>
            </w:r>
          </w:hyperlink>
        </w:p>
        <w:p>
          <w:pPr>
            <w:pStyle w:val="Contents2"/>
            <w:tabs>
              <w:tab w:val="clear" w:pos="8743"/>
              <w:tab w:val="right" w:pos="9026" w:leader="dot"/>
            </w:tabs>
            <w:bidi w:val="0"/>
            <w:rPr/>
          </w:pPr>
          <w:hyperlink w:anchor="__RefHeading___Toc924580_653776707">
            <w:r>
              <w:rPr>
                <w:webHidden/>
                <w:rStyle w:val="IndexLink"/>
              </w:rPr>
              <w:t>Pedoman Transliterasi Arab</w:t>
              <w:tab/>
              <w:t>9</w:t>
            </w:r>
          </w:hyperlink>
        </w:p>
        <w:p>
          <w:pPr>
            <w:pStyle w:val="Contents2"/>
            <w:tabs>
              <w:tab w:val="clear" w:pos="8743"/>
              <w:tab w:val="right" w:pos="9026" w:leader="dot"/>
            </w:tabs>
            <w:bidi w:val="0"/>
            <w:rPr/>
          </w:pPr>
          <w:hyperlink w:anchor="__RefHeading___Toc924582_653776707">
            <w:r>
              <w:rPr>
                <w:webHidden/>
                <w:rStyle w:val="IndexLink"/>
              </w:rPr>
              <w:t>Pedoman Transliterasi Persia</w:t>
              <w:tab/>
              <w:t>10</w:t>
            </w:r>
          </w:hyperlink>
        </w:p>
        <w:p>
          <w:pPr>
            <w:pStyle w:val="Contents2"/>
            <w:tabs>
              <w:tab w:val="clear" w:pos="8743"/>
              <w:tab w:val="right" w:pos="9026" w:leader="dot"/>
            </w:tabs>
            <w:bidi w:val="0"/>
            <w:rPr/>
          </w:pPr>
          <w:hyperlink w:anchor="__RefHeading___Toc924584_653776707">
            <w:r>
              <w:rPr>
                <w:webHidden/>
                <w:rStyle w:val="IndexLink"/>
              </w:rPr>
              <w:t>halam persembuhan pennlis</w:t>
              <w:tab/>
              <w:t>11</w:t>
            </w:r>
          </w:hyperlink>
        </w:p>
        <w:p>
          <w:pPr>
            <w:pStyle w:val="Contents2"/>
            <w:tabs>
              <w:tab w:val="clear" w:pos="8743"/>
              <w:tab w:val="right" w:pos="9026" w:leader="dot"/>
            </w:tabs>
            <w:bidi w:val="0"/>
            <w:rPr/>
          </w:pPr>
          <w:hyperlink w:anchor="__RefHeading___Toc924586_653776707">
            <w:r>
              <w:rPr>
                <w:webHidden/>
                <w:rStyle w:val="IndexLink"/>
              </w:rPr>
              <w:t>Daftar Isi</w:t>
              <w:tab/>
              <w:t>13</w:t>
            </w:r>
          </w:hyperlink>
        </w:p>
        <w:p>
          <w:pPr>
            <w:pStyle w:val="Contents2"/>
            <w:tabs>
              <w:tab w:val="clear" w:pos="8743"/>
              <w:tab w:val="right" w:pos="9026" w:leader="dot"/>
            </w:tabs>
            <w:bidi w:val="0"/>
            <w:rPr/>
          </w:pPr>
          <w:hyperlink w:anchor="__RefHeading___Toc924588_653776707">
            <w:r>
              <w:rPr>
                <w:webHidden/>
                <w:rStyle w:val="IndexLink"/>
              </w:rPr>
              <w:t>Pengantar Redaksi</w:t>
              <w:tab/>
              <w:t>17</w:t>
            </w:r>
          </w:hyperlink>
        </w:p>
        <w:p>
          <w:pPr>
            <w:pStyle w:val="Contents2"/>
            <w:tabs>
              <w:tab w:val="clear" w:pos="8743"/>
              <w:tab w:val="right" w:pos="9026" w:leader="dot"/>
            </w:tabs>
            <w:bidi w:val="0"/>
            <w:rPr/>
          </w:pPr>
          <w:hyperlink w:anchor="__RefHeading___Toc924590_653776707">
            <w:r>
              <w:rPr>
                <w:webHidden/>
                <w:rStyle w:val="IndexLink"/>
              </w:rPr>
              <w:t>Ucapan Terima Kasih</w:t>
              <w:tab/>
              <w:t>23</w:t>
            </w:r>
          </w:hyperlink>
        </w:p>
        <w:p>
          <w:pPr>
            <w:pStyle w:val="Contents2"/>
            <w:tabs>
              <w:tab w:val="clear" w:pos="8743"/>
              <w:tab w:val="right" w:pos="9026" w:leader="dot"/>
            </w:tabs>
            <w:bidi w:val="0"/>
            <w:rPr/>
          </w:pPr>
          <w:hyperlink w:anchor="__RefHeading___Toc924592_653776707">
            <w:r>
              <w:rPr>
                <w:webHidden/>
                <w:rStyle w:val="IndexLink"/>
              </w:rPr>
              <w:t>PENDAHULUAN</w:t>
              <w:tab/>
              <w:t>25</w:t>
            </w:r>
          </w:hyperlink>
        </w:p>
        <w:p>
          <w:pPr>
            <w:pStyle w:val="Contents2"/>
            <w:tabs>
              <w:tab w:val="clear" w:pos="8743"/>
              <w:tab w:val="right" w:pos="9026" w:leader="dot"/>
            </w:tabs>
            <w:bidi w:val="0"/>
            <w:rPr/>
          </w:pPr>
          <w:hyperlink w:anchor="__RefHeading___Toc924594_653776707">
            <w:r>
              <w:rPr>
                <w:webHidden/>
                <w:rStyle w:val="IndexLink"/>
              </w:rPr>
              <w:t>Catatan:</w:t>
              <w:tab/>
              <w:t>31</w:t>
            </w:r>
          </w:hyperlink>
        </w:p>
        <w:p>
          <w:pPr>
            <w:pStyle w:val="Contents2"/>
            <w:tabs>
              <w:tab w:val="clear" w:pos="8743"/>
              <w:tab w:val="right" w:pos="9026" w:leader="dot"/>
            </w:tabs>
            <w:bidi w:val="0"/>
            <w:rPr/>
          </w:pPr>
          <w:hyperlink w:anchor="__RefHeading___Toc924596_653776707">
            <w:r>
              <w:rPr>
                <w:webHidden/>
                <w:rStyle w:val="IndexLink"/>
              </w:rPr>
              <w:t>BAB 1: Filsafat Iluminasi</w:t>
              <w:tab/>
              <w:t>34</w:t>
            </w:r>
          </w:hyperlink>
        </w:p>
        <w:p>
          <w:pPr>
            <w:pStyle w:val="Contents3"/>
            <w:tabs>
              <w:tab w:val="clear" w:pos="8459"/>
              <w:tab w:val="right" w:pos="9026" w:leader="dot"/>
            </w:tabs>
            <w:bidi w:val="0"/>
            <w:rPr/>
          </w:pPr>
          <w:hyperlink w:anchor="__RefHeading___Toc924598_653776707">
            <w:r>
              <w:rPr>
                <w:webHidden/>
                <w:rStyle w:val="IndexLink"/>
              </w:rPr>
              <w:t>1. BAGAIMANA MENDEFINISIKAN FILSAFAT ILUMINASI?</w:t>
              <w:tab/>
              <w:t>34</w:t>
            </w:r>
          </w:hyperlink>
        </w:p>
        <w:p>
          <w:pPr>
            <w:pStyle w:val="Contents3"/>
            <w:tabs>
              <w:tab w:val="clear" w:pos="8459"/>
              <w:tab w:val="right" w:pos="9026" w:leader="dot"/>
            </w:tabs>
            <w:bidi w:val="0"/>
            <w:rPr/>
          </w:pPr>
          <w:hyperlink w:anchor="__RefHeading___Toc924600_653776707">
            <w:r>
              <w:rPr>
                <w:webHidden/>
                <w:rStyle w:val="IndexLink"/>
              </w:rPr>
              <w:t>2. KARYA-KARYA SUHRAWARDI TENTANG FILSAFAT ILUMINASI</w:t>
              <w:tab/>
              <w:t>37</w:t>
            </w:r>
          </w:hyperlink>
        </w:p>
        <w:p>
          <w:pPr>
            <w:pStyle w:val="Contents4"/>
            <w:tabs>
              <w:tab w:val="clear" w:pos="8176"/>
              <w:tab w:val="right" w:pos="9026" w:leader="dot"/>
            </w:tabs>
            <w:bidi w:val="0"/>
            <w:rPr/>
          </w:pPr>
          <w:hyperlink w:anchor="__RefHeading___Toc924602_653776707">
            <w:r>
              <w:rPr>
                <w:webHidden/>
                <w:rStyle w:val="IndexLink"/>
              </w:rPr>
              <w:t>2.1. Empat Karya Penting</w:t>
              <w:tab/>
              <w:t>37</w:t>
            </w:r>
          </w:hyperlink>
        </w:p>
        <w:p>
          <w:pPr>
            <w:pStyle w:val="Contents4"/>
            <w:tabs>
              <w:tab w:val="clear" w:pos="8176"/>
              <w:tab w:val="right" w:pos="9026" w:leader="dot"/>
            </w:tabs>
            <w:bidi w:val="0"/>
            <w:rPr/>
          </w:pPr>
          <w:hyperlink w:anchor="__RefHeading___Toc924604_653776707">
            <w:r>
              <w:rPr>
                <w:webHidden/>
                <w:rStyle w:val="IndexLink"/>
              </w:rPr>
              <w:t>2.2. Posisi Al-Lamaḥāt dan Karya-karya Lainnya</w:t>
              <w:tab/>
              <w:t>39</w:t>
            </w:r>
          </w:hyperlink>
        </w:p>
        <w:p>
          <w:pPr>
            <w:pStyle w:val="Contents4"/>
            <w:tabs>
              <w:tab w:val="clear" w:pos="8176"/>
              <w:tab w:val="right" w:pos="9026" w:leader="dot"/>
            </w:tabs>
            <w:bidi w:val="0"/>
            <w:rPr/>
          </w:pPr>
          <w:hyperlink w:anchor="__RefHeading___Toc924606_653776707">
            <w:r>
              <w:rPr>
                <w:webHidden/>
                <w:rStyle w:val="IndexLink"/>
              </w:rPr>
              <w:t>2.3. Karakter Keempat Karya Penting</w:t>
              <w:tab/>
              <w:t>42</w:t>
            </w:r>
          </w:hyperlink>
        </w:p>
        <w:p>
          <w:pPr>
            <w:pStyle w:val="Contents4"/>
            <w:tabs>
              <w:tab w:val="clear" w:pos="8176"/>
              <w:tab w:val="right" w:pos="9026" w:leader="dot"/>
            </w:tabs>
            <w:bidi w:val="0"/>
            <w:rPr/>
          </w:pPr>
          <w:hyperlink w:anchor="__RefHeading___Toc924608_653776707">
            <w:r>
              <w:rPr>
                <w:webHidden/>
                <w:rStyle w:val="IndexLink"/>
              </w:rPr>
              <w:t>2.4. Periode Penulisan Karya-karya Penting: Ihwal Kehidupan Suhrawardi</w:t>
              <w:tab/>
              <w:t>43</w:t>
            </w:r>
          </w:hyperlink>
        </w:p>
        <w:p>
          <w:pPr>
            <w:pStyle w:val="Contents4"/>
            <w:tabs>
              <w:tab w:val="clear" w:pos="8176"/>
              <w:tab w:val="right" w:pos="9026" w:leader="dot"/>
            </w:tabs>
            <w:bidi w:val="0"/>
            <w:rPr/>
          </w:pPr>
          <w:hyperlink w:anchor="__RefHeading___Toc924610_653776707">
            <w:r>
              <w:rPr>
                <w:webHidden/>
                <w:rStyle w:val="IndexLink"/>
              </w:rPr>
              <w:t>2.5. Abu Al-Barakat Al-Baghdadi dan Filsafat Iluminasi</w:t>
              <w:tab/>
              <w:t>47</w:t>
            </w:r>
          </w:hyperlink>
        </w:p>
        <w:p>
          <w:pPr>
            <w:pStyle w:val="Contents3"/>
            <w:tabs>
              <w:tab w:val="clear" w:pos="8459"/>
              <w:tab w:val="right" w:pos="9026" w:leader="dot"/>
            </w:tabs>
            <w:bidi w:val="0"/>
            <w:rPr/>
          </w:pPr>
          <w:hyperlink w:anchor="__RefHeading___Toc924612_653776707">
            <w:r>
              <w:rPr>
                <w:webHidden/>
                <w:rStyle w:val="IndexLink"/>
              </w:rPr>
              <w:t>3. KARYA-KARYA PENTING YANG DIKAJI</w:t>
              <w:tab/>
              <w:t>48</w:t>
            </w:r>
          </w:hyperlink>
        </w:p>
        <w:p>
          <w:pPr>
            <w:pStyle w:val="Contents4"/>
            <w:tabs>
              <w:tab w:val="clear" w:pos="8176"/>
              <w:tab w:val="right" w:pos="9026" w:leader="dot"/>
            </w:tabs>
            <w:bidi w:val="0"/>
            <w:rPr/>
          </w:pPr>
          <w:hyperlink w:anchor="__RefHeading___Toc924614_653776707">
            <w:r>
              <w:rPr>
                <w:webHidden/>
                <w:rStyle w:val="IndexLink"/>
              </w:rPr>
              <w:t>3.1. At-Talwīhāt</w:t>
              <w:tab/>
              <w:t>48</w:t>
            </w:r>
          </w:hyperlink>
        </w:p>
        <w:p>
          <w:pPr>
            <w:pStyle w:val="Contents4"/>
            <w:tabs>
              <w:tab w:val="clear" w:pos="8176"/>
              <w:tab w:val="right" w:pos="9026" w:leader="dot"/>
            </w:tabs>
            <w:bidi w:val="0"/>
            <w:rPr/>
          </w:pPr>
          <w:hyperlink w:anchor="__RefHeading___Toc924616_653776707">
            <w:r>
              <w:rPr>
                <w:webHidden/>
                <w:rStyle w:val="IndexLink"/>
              </w:rPr>
              <w:t>3.2. Al-Mugāwamāt</w:t>
              <w:tab/>
              <w:t>52</w:t>
            </w:r>
          </w:hyperlink>
        </w:p>
        <w:p>
          <w:pPr>
            <w:pStyle w:val="Contents4"/>
            <w:tabs>
              <w:tab w:val="clear" w:pos="8176"/>
              <w:tab w:val="right" w:pos="9026" w:leader="dot"/>
            </w:tabs>
            <w:bidi w:val="0"/>
            <w:rPr/>
          </w:pPr>
          <w:hyperlink w:anchor="__RefHeading___Toc924618_653776707">
            <w:r>
              <w:rPr>
                <w:webHidden/>
                <w:rStyle w:val="IndexLink"/>
              </w:rPr>
              <w:t>3.3. Al-Masyāri' wa Al-Muthārahāt</w:t>
              <w:tab/>
              <w:t>53</w:t>
            </w:r>
          </w:hyperlink>
        </w:p>
        <w:p>
          <w:pPr>
            <w:pStyle w:val="Contents4"/>
            <w:tabs>
              <w:tab w:val="clear" w:pos="8176"/>
              <w:tab w:val="right" w:pos="9026" w:leader="dot"/>
            </w:tabs>
            <w:bidi w:val="0"/>
            <w:rPr/>
          </w:pPr>
          <w:hyperlink w:anchor="__RefHeading___Toc924620_653776707">
            <w:r>
              <w:rPr>
                <w:webHidden/>
                <w:rStyle w:val="IndexLink"/>
              </w:rPr>
              <w:t>3.4. Hikmah Al-Isyrāq</w:t>
              <w:tab/>
              <w:t>60</w:t>
            </w:r>
          </w:hyperlink>
        </w:p>
        <w:p>
          <w:pPr>
            <w:pStyle w:val="Contents3"/>
            <w:tabs>
              <w:tab w:val="clear" w:pos="8459"/>
              <w:tab w:val="right" w:pos="9026" w:leader="dot"/>
            </w:tabs>
            <w:bidi w:val="0"/>
            <w:rPr/>
          </w:pPr>
          <w:hyperlink w:anchor="__RefHeading___Toc924622_653776707">
            <w:r>
              <w:rPr>
                <w:webHidden/>
                <w:rStyle w:val="IndexLink"/>
              </w:rPr>
              <w:t>4. KESIMPULAN</w:t>
              <w:tab/>
              <w:t>71</w:t>
            </w:r>
          </w:hyperlink>
        </w:p>
        <w:p>
          <w:pPr>
            <w:pStyle w:val="Contents3"/>
            <w:tabs>
              <w:tab w:val="clear" w:pos="8459"/>
              <w:tab w:val="right" w:pos="9026" w:leader="dot"/>
            </w:tabs>
            <w:bidi w:val="0"/>
            <w:rPr/>
          </w:pPr>
          <w:hyperlink w:anchor="__RefHeading___Toc924624_653776707">
            <w:r>
              <w:rPr>
                <w:webHidden/>
                <w:rStyle w:val="IndexLink"/>
              </w:rPr>
              <w:t>Catatan:</w:t>
              <w:tab/>
              <w:t>74</w:t>
            </w:r>
          </w:hyperlink>
        </w:p>
        <w:p>
          <w:pPr>
            <w:pStyle w:val="Contents2"/>
            <w:tabs>
              <w:tab w:val="clear" w:pos="8743"/>
              <w:tab w:val="right" w:pos="9026" w:leader="dot"/>
            </w:tabs>
            <w:bidi w:val="0"/>
            <w:rPr/>
          </w:pPr>
          <w:hyperlink w:anchor="__RefHeading___Toc924626_653776707">
            <w:r>
              <w:rPr>
                <w:webHidden/>
                <w:rStyle w:val="IndexLink"/>
              </w:rPr>
              <w:t>BAB 2: LOGIKA DALAM FILSAFAT ILUMINASI</w:t>
              <w:tab/>
              <w:t>86</w:t>
            </w:r>
          </w:hyperlink>
        </w:p>
        <w:p>
          <w:pPr>
            <w:pStyle w:val="Contents3"/>
            <w:tabs>
              <w:tab w:val="clear" w:pos="8459"/>
              <w:tab w:val="right" w:pos="9026" w:leader="dot"/>
            </w:tabs>
            <w:bidi w:val="0"/>
            <w:rPr/>
          </w:pPr>
          <w:hyperlink w:anchor="__RefHeading___Toc924628_653776707">
            <w:r>
              <w:rPr>
                <w:webHidden/>
                <w:rStyle w:val="IndexLink"/>
              </w:rPr>
              <w:t>1. PENDAHULUAN</w:t>
              <w:tab/>
              <w:t>86</w:t>
            </w:r>
          </w:hyperlink>
        </w:p>
        <w:p>
          <w:pPr>
            <w:pStyle w:val="Contents3"/>
            <w:tabs>
              <w:tab w:val="clear" w:pos="8459"/>
              <w:tab w:val="right" w:pos="9026" w:leader="dot"/>
            </w:tabs>
            <w:bidi w:val="0"/>
            <w:rPr/>
          </w:pPr>
          <w:hyperlink w:anchor="__RefHeading___Toc924630_653776707">
            <w:r>
              <w:rPr>
                <w:webHidden/>
                <w:rStyle w:val="IndexLink"/>
              </w:rPr>
              <w:t>2. PANDANGAN SURAHWARDI TENTANG LOGIKA</w:t>
              <w:tab/>
              <w:t>87</w:t>
            </w:r>
          </w:hyperlink>
        </w:p>
        <w:p>
          <w:pPr>
            <w:pStyle w:val="Contents4"/>
            <w:tabs>
              <w:tab w:val="clear" w:pos="8176"/>
              <w:tab w:val="right" w:pos="9026" w:leader="dot"/>
            </w:tabs>
            <w:bidi w:val="0"/>
            <w:rPr/>
          </w:pPr>
          <w:hyperlink w:anchor="__RefHeading___Toc924632_653776707">
            <w:r>
              <w:rPr>
                <w:webHidden/>
                <w:rStyle w:val="IndexLink"/>
              </w:rPr>
              <w:t>2.1. Bahasan Logika dalam At-Talwīhāt</w:t>
              <w:tab/>
              <w:t>87</w:t>
            </w:r>
          </w:hyperlink>
        </w:p>
        <w:p>
          <w:pPr>
            <w:pStyle w:val="Contents4"/>
            <w:tabs>
              <w:tab w:val="clear" w:pos="8176"/>
              <w:tab w:val="right" w:pos="9026" w:leader="dot"/>
            </w:tabs>
            <w:bidi w:val="0"/>
            <w:rPr/>
          </w:pPr>
          <w:hyperlink w:anchor="__RefHeading___Toc924634_653776707">
            <w:r>
              <w:rPr>
                <w:webHidden/>
                <w:rStyle w:val="IndexLink"/>
              </w:rPr>
              <w:t>2.2. Logika dalam Al-Masyāri' wa Al-Muthārahāt</w:t>
              <w:tab/>
              <w:t>90</w:t>
            </w:r>
          </w:hyperlink>
        </w:p>
        <w:p>
          <w:pPr>
            <w:pStyle w:val="Contents4"/>
            <w:tabs>
              <w:tab w:val="clear" w:pos="8176"/>
              <w:tab w:val="right" w:pos="9026" w:leader="dot"/>
            </w:tabs>
            <w:bidi w:val="0"/>
            <w:rPr/>
          </w:pPr>
          <w:hyperlink w:anchor="__RefHeading___Toc924636_653776707">
            <w:r>
              <w:rPr>
                <w:webHidden/>
                <w:rStyle w:val="IndexLink"/>
              </w:rPr>
              <w:t>2.3. Posisi Logika dalam Hikmah Al-Isyrāg</w:t>
              <w:tab/>
              <w:t>94</w:t>
            </w:r>
          </w:hyperlink>
        </w:p>
        <w:p>
          <w:pPr>
            <w:pStyle w:val="Contents3"/>
            <w:tabs>
              <w:tab w:val="clear" w:pos="8459"/>
              <w:tab w:val="right" w:pos="9026" w:leader="dot"/>
            </w:tabs>
            <w:bidi w:val="0"/>
            <w:rPr/>
          </w:pPr>
          <w:hyperlink w:anchor="__RefHeading___Toc924638_653776707">
            <w:r>
              <w:rPr>
                <w:webHidden/>
                <w:rStyle w:val="IndexLink"/>
              </w:rPr>
              <w:t>3. SINOPSIS STRUKTUR LOGIKA SUHRAWARDI</w:t>
              <w:tab/>
              <w:t>98</w:t>
            </w:r>
          </w:hyperlink>
        </w:p>
        <w:p>
          <w:pPr>
            <w:pStyle w:val="Contents4"/>
            <w:tabs>
              <w:tab w:val="clear" w:pos="8176"/>
              <w:tab w:val="right" w:pos="9026" w:leader="dot"/>
            </w:tabs>
            <w:bidi w:val="0"/>
            <w:rPr/>
          </w:pPr>
          <w:hyperlink w:anchor="__RefHeading___Toc924640_653776707">
            <w:r>
              <w:rPr>
                <w:webHidden/>
                <w:rStyle w:val="IndexLink"/>
              </w:rPr>
              <w:t>Point</w:t>
              <w:tab/>
              <w:t>98</w:t>
            </w:r>
          </w:hyperlink>
        </w:p>
        <w:p>
          <w:pPr>
            <w:pStyle w:val="Contents4"/>
            <w:tabs>
              <w:tab w:val="clear" w:pos="8176"/>
              <w:tab w:val="right" w:pos="9026" w:leader="dot"/>
            </w:tabs>
            <w:bidi w:val="0"/>
            <w:rPr/>
          </w:pPr>
          <w:hyperlink w:anchor="__RefHeading___Toc924642_653776707">
            <w:r>
              <w:rPr>
                <w:webHidden/>
                <w:rStyle w:val="IndexLink"/>
              </w:rPr>
              <w:t>3.1. Struktur Logika dalam At-Talwīhāt</w:t>
              <w:tab/>
              <w:t>99</w:t>
            </w:r>
          </w:hyperlink>
        </w:p>
        <w:p>
          <w:pPr>
            <w:pStyle w:val="Contents4"/>
            <w:tabs>
              <w:tab w:val="clear" w:pos="8176"/>
              <w:tab w:val="right" w:pos="9026" w:leader="dot"/>
            </w:tabs>
            <w:bidi w:val="0"/>
            <w:rPr/>
          </w:pPr>
          <w:hyperlink w:anchor="__RefHeading___Toc924644_653776707">
            <w:r>
              <w:rPr>
                <w:webHidden/>
                <w:rStyle w:val="IndexLink"/>
              </w:rPr>
              <w:t>3.2. Struktur Logika dalam Al-Masyāri' wa Al-Muthārahāt</w:t>
              <w:tab/>
              <w:t>104</w:t>
            </w:r>
          </w:hyperlink>
        </w:p>
        <w:p>
          <w:pPr>
            <w:pStyle w:val="Contents4"/>
            <w:tabs>
              <w:tab w:val="clear" w:pos="8176"/>
              <w:tab w:val="right" w:pos="9026" w:leader="dot"/>
            </w:tabs>
            <w:bidi w:val="0"/>
            <w:rPr/>
          </w:pPr>
          <w:hyperlink w:anchor="__RefHeading___Toc924646_653776707">
            <w:r>
              <w:rPr>
                <w:webHidden/>
                <w:rStyle w:val="IndexLink"/>
              </w:rPr>
              <w:t>3.3. Struktur dan Lingkup Logika dalam Hikmah Al-Isyrāg</w:t>
              <w:tab/>
              <w:t>106</w:t>
            </w:r>
          </w:hyperlink>
        </w:p>
        <w:p>
          <w:pPr>
            <w:pStyle w:val="Contents3"/>
            <w:tabs>
              <w:tab w:val="clear" w:pos="8459"/>
              <w:tab w:val="right" w:pos="9026" w:leader="dot"/>
            </w:tabs>
            <w:bidi w:val="0"/>
            <w:rPr/>
          </w:pPr>
          <w:hyperlink w:anchor="__RefHeading___Toc924648_653776707">
            <w:r>
              <w:rPr>
                <w:webHidden/>
                <w:rStyle w:val="IndexLink"/>
              </w:rPr>
              <w:t>4. PENILAIAN</w:t>
              <w:tab/>
              <w:t>124</w:t>
            </w:r>
          </w:hyperlink>
        </w:p>
        <w:p>
          <w:pPr>
            <w:pStyle w:val="Contents3"/>
            <w:tabs>
              <w:tab w:val="clear" w:pos="8459"/>
              <w:tab w:val="right" w:pos="9026" w:leader="dot"/>
            </w:tabs>
            <w:bidi w:val="0"/>
            <w:rPr/>
          </w:pPr>
          <w:hyperlink w:anchor="__RefHeading___Toc924650_653776707">
            <w:r>
              <w:rPr>
                <w:webHidden/>
                <w:rStyle w:val="IndexLink"/>
              </w:rPr>
              <w:t>Catatan</w:t>
              <w:tab/>
              <w:t>127</w:t>
            </w:r>
          </w:hyperlink>
        </w:p>
        <w:p>
          <w:pPr>
            <w:pStyle w:val="Contents2"/>
            <w:tabs>
              <w:tab w:val="clear" w:pos="8743"/>
              <w:tab w:val="right" w:pos="9026" w:leader="dot"/>
            </w:tabs>
            <w:bidi w:val="0"/>
            <w:rPr/>
          </w:pPr>
          <w:hyperlink w:anchor="__RefHeading___Toc924652_653776707">
            <w:r>
              <w:rPr>
                <w:webHidden/>
                <w:rStyle w:val="IndexLink"/>
              </w:rPr>
              <w:t>BAB 3 : TEORI DEFINISI ILUMINASI:METODE DAN PENGETAHUAN FORMAL</w:t>
              <w:tab/>
              <w:t>141</w:t>
            </w:r>
          </w:hyperlink>
        </w:p>
        <w:p>
          <w:pPr>
            <w:pStyle w:val="Contents3"/>
            <w:tabs>
              <w:tab w:val="clear" w:pos="8459"/>
              <w:tab w:val="right" w:pos="9026" w:leader="dot"/>
            </w:tabs>
            <w:bidi w:val="0"/>
            <w:rPr/>
          </w:pPr>
          <w:hyperlink w:anchor="__RefHeading___Toc924654_653776707">
            <w:r>
              <w:rPr>
                <w:webHidden/>
                <w:rStyle w:val="IndexLink"/>
              </w:rPr>
              <w:t>1. ISTILAH DEFINISI</w:t>
              <w:tab/>
              <w:t>141</w:t>
            </w:r>
          </w:hyperlink>
        </w:p>
        <w:p>
          <w:pPr>
            <w:pStyle w:val="Contents4"/>
            <w:tabs>
              <w:tab w:val="clear" w:pos="8176"/>
              <w:tab w:val="right" w:pos="9026" w:leader="dot"/>
            </w:tabs>
            <w:bidi w:val="0"/>
            <w:rPr/>
          </w:pPr>
          <w:hyperlink w:anchor="__RefHeading___Toc924656_653776707">
            <w:r>
              <w:rPr>
                <w:webHidden/>
                <w:rStyle w:val="IndexLink"/>
              </w:rPr>
              <w:t>Point</w:t>
              <w:tab/>
              <w:t>141</w:t>
            </w:r>
          </w:hyperlink>
        </w:p>
        <w:p>
          <w:pPr>
            <w:pStyle w:val="Contents4"/>
            <w:tabs>
              <w:tab w:val="clear" w:pos="8176"/>
              <w:tab w:val="right" w:pos="9026" w:leader="dot"/>
            </w:tabs>
            <w:bidi w:val="0"/>
            <w:rPr/>
          </w:pPr>
          <w:hyperlink w:anchor="__RefHeading___Toc924658_653776707">
            <w:r>
              <w:rPr>
                <w:webHidden/>
                <w:rStyle w:val="IndexLink"/>
              </w:rPr>
              <w:t>1.1. Pembagian Logika dan Definisi Iluminasi:</w:t>
              <w:tab/>
              <w:t>142</w:t>
            </w:r>
          </w:hyperlink>
        </w:p>
        <w:p>
          <w:pPr>
            <w:pStyle w:val="Contents4"/>
            <w:tabs>
              <w:tab w:val="clear" w:pos="8176"/>
              <w:tab w:val="right" w:pos="9026" w:leader="dot"/>
            </w:tabs>
            <w:bidi w:val="0"/>
            <w:rPr/>
          </w:pPr>
          <w:hyperlink w:anchor="__RefHeading___Toc924660_653776707">
            <w:r>
              <w:rPr>
                <w:webHidden/>
                <w:rStyle w:val="IndexLink"/>
              </w:rPr>
              <w:t>1.2. Tipologi Definisi:</w:t>
              <w:tab/>
              <w:t>145</w:t>
            </w:r>
          </w:hyperlink>
        </w:p>
        <w:p>
          <w:pPr>
            <w:pStyle w:val="Contents3"/>
            <w:tabs>
              <w:tab w:val="clear" w:pos="8459"/>
              <w:tab w:val="right" w:pos="9026" w:leader="dot"/>
            </w:tabs>
            <w:bidi w:val="0"/>
            <w:rPr/>
          </w:pPr>
          <w:hyperlink w:anchor="__RefHeading___Toc924662_653776707">
            <w:r>
              <w:rPr>
                <w:webHidden/>
                <w:rStyle w:val="IndexLink"/>
              </w:rPr>
              <w:t>2. DEFINISI DAN METODOLOGI FILSAFAT:</w:t>
              <w:tab/>
              <w:t>146</w:t>
            </w:r>
          </w:hyperlink>
        </w:p>
        <w:p>
          <w:pPr>
            <w:pStyle w:val="Contents4"/>
            <w:tabs>
              <w:tab w:val="clear" w:pos="8176"/>
              <w:tab w:val="right" w:pos="9026" w:leader="dot"/>
            </w:tabs>
            <w:bidi w:val="0"/>
            <w:rPr/>
          </w:pPr>
          <w:hyperlink w:anchor="__RefHeading___Toc924664_653776707">
            <w:r>
              <w:rPr>
                <w:webHidden/>
                <w:rStyle w:val="IndexLink"/>
              </w:rPr>
              <w:t>Point</w:t>
              <w:tab/>
              <w:t>146</w:t>
            </w:r>
          </w:hyperlink>
        </w:p>
        <w:p>
          <w:pPr>
            <w:pStyle w:val="Contents4"/>
            <w:tabs>
              <w:tab w:val="clear" w:pos="8176"/>
              <w:tab w:val="right" w:pos="9026" w:leader="dot"/>
            </w:tabs>
            <w:bidi w:val="0"/>
            <w:rPr/>
          </w:pPr>
          <w:hyperlink w:anchor="__RefHeading___Toc924666_653776707">
            <w:r>
              <w:rPr>
                <w:webHidden/>
                <w:rStyle w:val="IndexLink"/>
              </w:rPr>
              <w:t>2.1. Metodologi Definisi dan Posisinya dalam Metafisika</w:t>
              <w:tab/>
              <w:t>148</w:t>
            </w:r>
          </w:hyperlink>
        </w:p>
        <w:p>
          <w:pPr>
            <w:pStyle w:val="Contents4"/>
            <w:tabs>
              <w:tab w:val="clear" w:pos="8176"/>
              <w:tab w:val="right" w:pos="9026" w:leader="dot"/>
            </w:tabs>
            <w:bidi w:val="0"/>
            <w:rPr/>
          </w:pPr>
          <w:hyperlink w:anchor="__RefHeading___Toc924668_653776707">
            <w:r>
              <w:rPr>
                <w:webHidden/>
                <w:rStyle w:val="IndexLink"/>
              </w:rPr>
              <w:t>2.2. Dua Pendekatan dalam Menghampiri Definisi: Plato dan Aristoteles</w:t>
              <w:tab/>
              <w:t>151</w:t>
            </w:r>
          </w:hyperlink>
        </w:p>
        <w:p>
          <w:pPr>
            <w:pStyle w:val="Contents4"/>
            <w:tabs>
              <w:tab w:val="clear" w:pos="8176"/>
              <w:tab w:val="right" w:pos="9026" w:leader="dot"/>
            </w:tabs>
            <w:bidi w:val="0"/>
            <w:rPr/>
          </w:pPr>
          <w:hyperlink w:anchor="__RefHeading___Toc924670_653776707">
            <w:r>
              <w:rPr>
                <w:webHidden/>
                <w:rStyle w:val="IndexLink"/>
              </w:rPr>
              <w:t>2.3. Metode Definisi Plato</w:t>
              <w:tab/>
              <w:t>153</w:t>
            </w:r>
          </w:hyperlink>
        </w:p>
        <w:p>
          <w:pPr>
            <w:pStyle w:val="Contents4"/>
            <w:tabs>
              <w:tab w:val="clear" w:pos="8176"/>
              <w:tab w:val="right" w:pos="9026" w:leader="dot"/>
            </w:tabs>
            <w:bidi w:val="0"/>
            <w:rPr/>
          </w:pPr>
          <w:hyperlink w:anchor="__RefHeading___Toc924672_653776707">
            <w:r>
              <w:rPr>
                <w:webHidden/>
                <w:rStyle w:val="IndexLink"/>
              </w:rPr>
              <w:t>2.4. Metode Definisi Aristoteles</w:t>
              <w:tab/>
              <w:t>157</w:t>
            </w:r>
          </w:hyperlink>
        </w:p>
        <w:p>
          <w:pPr>
            <w:pStyle w:val="Contents3"/>
            <w:tabs>
              <w:tab w:val="clear" w:pos="8459"/>
              <w:tab w:val="right" w:pos="9026" w:leader="dot"/>
            </w:tabs>
            <w:bidi w:val="0"/>
            <w:rPr/>
          </w:pPr>
          <w:hyperlink w:anchor="__RefHeading___Toc924674_653776707">
            <w:r>
              <w:rPr>
                <w:webHidden/>
                <w:rStyle w:val="IndexLink"/>
              </w:rPr>
              <w:t>3. TEORI DEFINISI SUHRAWARDI: BAGIAN PERTAMA SIKLUS</w:t>
              <w:tab/>
              <w:t>162</w:t>
            </w:r>
          </w:hyperlink>
        </w:p>
        <w:p>
          <w:pPr>
            <w:pStyle w:val="Contents4"/>
            <w:tabs>
              <w:tab w:val="clear" w:pos="8176"/>
              <w:tab w:val="right" w:pos="9026" w:leader="dot"/>
            </w:tabs>
            <w:bidi w:val="0"/>
            <w:rPr/>
          </w:pPr>
          <w:hyperlink w:anchor="__RefHeading___Toc924676_653776707">
            <w:r>
              <w:rPr>
                <w:webHidden/>
                <w:rStyle w:val="IndexLink"/>
              </w:rPr>
              <w:t>Point</w:t>
              <w:tab/>
              <w:t>162</w:t>
            </w:r>
          </w:hyperlink>
        </w:p>
        <w:p>
          <w:pPr>
            <w:pStyle w:val="Contents4"/>
            <w:tabs>
              <w:tab w:val="clear" w:pos="8176"/>
              <w:tab w:val="right" w:pos="9026" w:leader="dot"/>
            </w:tabs>
            <w:bidi w:val="0"/>
            <w:rPr/>
          </w:pPr>
          <w:hyperlink w:anchor="__RefHeading___Toc924678_653776707">
            <w:r>
              <w:rPr>
                <w:webHidden/>
                <w:rStyle w:val="IndexLink"/>
              </w:rPr>
              <w:t>3.1. At-Talwīhāt</w:t>
              <w:tab/>
              <w:t>165</w:t>
            </w:r>
          </w:hyperlink>
        </w:p>
        <w:p>
          <w:pPr>
            <w:pStyle w:val="Contents4"/>
            <w:tabs>
              <w:tab w:val="clear" w:pos="8176"/>
              <w:tab w:val="right" w:pos="9026" w:leader="dot"/>
            </w:tabs>
            <w:bidi w:val="0"/>
            <w:rPr/>
          </w:pPr>
          <w:hyperlink w:anchor="__RefHeading___Toc924680_653776707">
            <w:r>
              <w:rPr>
                <w:webHidden/>
                <w:rStyle w:val="IndexLink"/>
              </w:rPr>
              <w:t>3.2. Al-Masyāri' wa Al-Muthārahāt</w:t>
              <w:tab/>
              <w:t>171</w:t>
            </w:r>
          </w:hyperlink>
        </w:p>
        <w:p>
          <w:pPr>
            <w:pStyle w:val="Contents3"/>
            <w:tabs>
              <w:tab w:val="clear" w:pos="8459"/>
              <w:tab w:val="right" w:pos="9026" w:leader="dot"/>
            </w:tabs>
            <w:bidi w:val="0"/>
            <w:rPr/>
          </w:pPr>
          <w:hyperlink w:anchor="__RefHeading___Toc924682_653776707">
            <w:r>
              <w:rPr>
                <w:webHidden/>
                <w:rStyle w:val="IndexLink"/>
              </w:rPr>
              <w:t>4. TEORI DEFINISI ILUMINASI</w:t>
              <w:tab/>
              <w:t>184</w:t>
            </w:r>
          </w:hyperlink>
        </w:p>
        <w:p>
          <w:pPr>
            <w:pStyle w:val="Contents4"/>
            <w:tabs>
              <w:tab w:val="clear" w:pos="8176"/>
              <w:tab w:val="right" w:pos="9026" w:leader="dot"/>
            </w:tabs>
            <w:bidi w:val="0"/>
            <w:rPr/>
          </w:pPr>
          <w:hyperlink w:anchor="__RefHeading___Toc924684_653776707">
            <w:r>
              <w:rPr>
                <w:webHidden/>
                <w:rStyle w:val="IndexLink"/>
              </w:rPr>
              <w:t>Point</w:t>
              <w:tab/>
              <w:t>184</w:t>
            </w:r>
          </w:hyperlink>
        </w:p>
        <w:p>
          <w:pPr>
            <w:pStyle w:val="Contents4"/>
            <w:tabs>
              <w:tab w:val="clear" w:pos="8176"/>
              <w:tab w:val="right" w:pos="9026" w:leader="dot"/>
            </w:tabs>
            <w:bidi w:val="0"/>
            <w:rPr/>
          </w:pPr>
          <w:hyperlink w:anchor="__RefHeading___Toc924686_653776707">
            <w:r>
              <w:rPr>
                <w:webHidden/>
                <w:rStyle w:val="IndexLink"/>
              </w:rPr>
              <w:t>4.1. Rumusan Teori Definisi Iluminasi</w:t>
              <w:tab/>
              <w:t>194</w:t>
            </w:r>
          </w:hyperlink>
        </w:p>
        <w:p>
          <w:pPr>
            <w:pStyle w:val="Contents3"/>
            <w:tabs>
              <w:tab w:val="clear" w:pos="8459"/>
              <w:tab w:val="right" w:pos="9026" w:leader="dot"/>
            </w:tabs>
            <w:bidi w:val="0"/>
            <w:rPr/>
          </w:pPr>
          <w:hyperlink w:anchor="__RefHeading___Toc924688_653776707">
            <w:r>
              <w:rPr>
                <w:webHidden/>
                <w:rStyle w:val="IndexLink"/>
              </w:rPr>
              <w:t>Catatan:</w:t>
              <w:tab/>
              <w:t>201</w:t>
            </w:r>
          </w:hyperlink>
        </w:p>
        <w:p>
          <w:pPr>
            <w:pStyle w:val="Contents2"/>
            <w:tabs>
              <w:tab w:val="clear" w:pos="8743"/>
              <w:tab w:val="right" w:pos="9026" w:leader="dot"/>
            </w:tabs>
            <w:bidi w:val="0"/>
            <w:rPr/>
          </w:pPr>
          <w:hyperlink w:anchor="__RefHeading___Toc924690_653776707">
            <w:r>
              <w:rPr>
                <w:webHidden/>
                <w:rStyle w:val="IndexLink"/>
              </w:rPr>
              <w:t>BAB 4: PENGETAHUAN, ILUMINASI, DAN KOSMOLOGI</w:t>
              <w:tab/>
              <w:t>222</w:t>
            </w:r>
          </w:hyperlink>
        </w:p>
        <w:p>
          <w:pPr>
            <w:pStyle w:val="Contents3"/>
            <w:tabs>
              <w:tab w:val="clear" w:pos="8459"/>
              <w:tab w:val="right" w:pos="9026" w:leader="dot"/>
            </w:tabs>
            <w:bidi w:val="0"/>
            <w:rPr/>
          </w:pPr>
          <w:hyperlink w:anchor="__RefHeading___Toc924692_653776707">
            <w:r>
              <w:rPr>
                <w:webHidden/>
                <w:rStyle w:val="IndexLink"/>
              </w:rPr>
              <w:t>1. MUNGKINKAH MENGETAHUI PENILAIAN SUHRAWARDI ATAS PANDANGAN PERIPATETIK?</w:t>
              <w:tab/>
              <w:t>222</w:t>
            </w:r>
          </w:hyperlink>
        </w:p>
        <w:p>
          <w:pPr>
            <w:pStyle w:val="Contents4"/>
            <w:tabs>
              <w:tab w:val="clear" w:pos="8176"/>
              <w:tab w:val="right" w:pos="9026" w:leader="dot"/>
            </w:tabs>
            <w:bidi w:val="0"/>
            <w:rPr/>
          </w:pPr>
          <w:hyperlink w:anchor="__RefHeading___Toc924694_653776707">
            <w:r>
              <w:rPr>
                <w:webHidden/>
                <w:rStyle w:val="IndexLink"/>
              </w:rPr>
              <w:t>Point</w:t>
              <w:tab/>
              <w:t>222</w:t>
            </w:r>
          </w:hyperlink>
        </w:p>
        <w:p>
          <w:pPr>
            <w:pStyle w:val="Contents4"/>
            <w:tabs>
              <w:tab w:val="clear" w:pos="8176"/>
              <w:tab w:val="right" w:pos="9026" w:leader="dot"/>
            </w:tabs>
            <w:bidi w:val="0"/>
            <w:rPr/>
          </w:pPr>
          <w:hyperlink w:anchor="__RefHeading___Toc924696_653776707">
            <w:r>
              <w:rPr>
                <w:webHidden/>
                <w:rStyle w:val="IndexLink"/>
              </w:rPr>
              <w:t>1.1. Dasar Ontologis ketidakpastian Epistemologi Peripatetik</w:t>
              <w:tab/>
              <w:t>224</w:t>
            </w:r>
          </w:hyperlink>
        </w:p>
        <w:p>
          <w:pPr>
            <w:pStyle w:val="Contents3"/>
            <w:tabs>
              <w:tab w:val="clear" w:pos="8459"/>
              <w:tab w:val="right" w:pos="9026" w:leader="dot"/>
            </w:tabs>
            <w:bidi w:val="0"/>
            <w:rPr/>
          </w:pPr>
          <w:hyperlink w:anchor="__RefHeading___Toc924698_653776707">
            <w:r>
              <w:rPr>
                <w:webHidden/>
                <w:rStyle w:val="IndexLink"/>
              </w:rPr>
              <w:t>2. KONSEPSI (TASHAWWUR) DAN PENILAIAN (TASHDĪQ): PEMBAGIAN EPISTEMOLOGI PERTAMA</w:t>
              <w:tab/>
              <w:t>230</w:t>
            </w:r>
          </w:hyperlink>
        </w:p>
        <w:p>
          <w:pPr>
            <w:pStyle w:val="Contents4"/>
            <w:tabs>
              <w:tab w:val="clear" w:pos="8176"/>
              <w:tab w:val="right" w:pos="9026" w:leader="dot"/>
            </w:tabs>
            <w:bidi w:val="0"/>
            <w:rPr/>
          </w:pPr>
          <w:hyperlink w:anchor="__RefHeading___Toc924700_653776707">
            <w:r>
              <w:rPr>
                <w:webHidden/>
                <w:rStyle w:val="IndexLink"/>
              </w:rPr>
              <w:t>2.1. Keberatan-keberatan Suhrawardi atas kaum Peripatetik</w:t>
              <w:tab/>
              <w:t>230</w:t>
            </w:r>
          </w:hyperlink>
        </w:p>
        <w:p>
          <w:pPr>
            <w:pStyle w:val="Contents4"/>
            <w:tabs>
              <w:tab w:val="clear" w:pos="8176"/>
              <w:tab w:val="right" w:pos="9026" w:leader="dot"/>
            </w:tabs>
            <w:bidi w:val="0"/>
            <w:rPr/>
          </w:pPr>
          <w:hyperlink w:anchor="__RefHeading___Toc924702_653776707">
            <w:r>
              <w:rPr>
                <w:webHidden/>
                <w:rStyle w:val="IndexLink"/>
              </w:rPr>
              <w:t>2.2 Pembagian Pengetahuan Menurut Kaum Iluminasionis</w:t>
              <w:tab/>
              <w:t>234</w:t>
            </w:r>
          </w:hyperlink>
        </w:p>
        <w:p>
          <w:pPr>
            <w:pStyle w:val="Contents3"/>
            <w:tabs>
              <w:tab w:val="clear" w:pos="8459"/>
              <w:tab w:val="right" w:pos="9026" w:leader="dot"/>
            </w:tabs>
            <w:bidi w:val="0"/>
            <w:rPr/>
          </w:pPr>
          <w:hyperlink w:anchor="__RefHeading___Toc924704_653776707">
            <w:r>
              <w:rPr>
                <w:webHidden/>
                <w:rStyle w:val="IndexLink"/>
              </w:rPr>
              <w:t>3. PENGETAHUAN MELALUI ILUMINASI</w:t>
              <w:tab/>
              <w:t>240</w:t>
            </w:r>
          </w:hyperlink>
        </w:p>
        <w:p>
          <w:pPr>
            <w:pStyle w:val="Contents4"/>
            <w:tabs>
              <w:tab w:val="clear" w:pos="8176"/>
              <w:tab w:val="right" w:pos="9026" w:leader="dot"/>
            </w:tabs>
            <w:bidi w:val="0"/>
            <w:rPr/>
          </w:pPr>
          <w:hyperlink w:anchor="__RefHeading___Toc924706_653776707">
            <w:r>
              <w:rPr>
                <w:webHidden/>
                <w:rStyle w:val="IndexLink"/>
              </w:rPr>
              <w:t>3.1. Kritik Suhrawardi atas Pandangan Peripatetik Ihwal...............</w:t>
              <w:tab/>
              <w:t>240</w:t>
            </w:r>
          </w:hyperlink>
        </w:p>
        <w:p>
          <w:pPr>
            <w:pStyle w:val="Contents4"/>
            <w:tabs>
              <w:tab w:val="clear" w:pos="8176"/>
              <w:tab w:val="right" w:pos="9026" w:leader="dot"/>
            </w:tabs>
            <w:bidi w:val="0"/>
            <w:rPr/>
          </w:pPr>
          <w:hyperlink w:anchor="__RefHeading___Toc924708_653776707">
            <w:r>
              <w:rPr>
                <w:webHidden/>
                <w:rStyle w:val="IndexLink"/>
              </w:rPr>
              <w:t>3.2. Visi Mimpi Suhrawardi Berjumpa Aristoteles</w:t>
              <w:tab/>
              <w:t>242</w:t>
            </w:r>
          </w:hyperlink>
        </w:p>
        <w:p>
          <w:pPr>
            <w:pStyle w:val="Contents4"/>
            <w:tabs>
              <w:tab w:val="clear" w:pos="8176"/>
              <w:tab w:val="right" w:pos="9026" w:leader="dot"/>
            </w:tabs>
            <w:bidi w:val="0"/>
            <w:rPr/>
          </w:pPr>
          <w:hyperlink w:anchor="__RefHeading___Toc924710_653776707">
            <w:r>
              <w:rPr>
                <w:webHidden/>
                <w:rStyle w:val="IndexLink"/>
              </w:rPr>
              <w:t>3.3. Pandangan Iluminasi Tentang Pengetahuan Diri</w:t>
              <w:tab/>
              <w:t>244</w:t>
            </w:r>
          </w:hyperlink>
        </w:p>
        <w:p>
          <w:pPr>
            <w:pStyle w:val="Contents4"/>
            <w:tabs>
              <w:tab w:val="clear" w:pos="8176"/>
              <w:tab w:val="right" w:pos="9026" w:leader="dot"/>
            </w:tabs>
            <w:bidi w:val="0"/>
            <w:rPr/>
          </w:pPr>
          <w:hyperlink w:anchor="__RefHeading___Toc924712_653776707">
            <w:r>
              <w:rPr>
                <w:webHidden/>
                <w:rStyle w:val="IndexLink"/>
              </w:rPr>
              <w:t>3.4. Kesadaran Diri dan Iluminasi</w:t>
              <w:tab/>
              <w:t>247</w:t>
            </w:r>
          </w:hyperlink>
        </w:p>
        <w:p>
          <w:pPr>
            <w:pStyle w:val="Contents4"/>
            <w:tabs>
              <w:tab w:val="clear" w:pos="8176"/>
              <w:tab w:val="right" w:pos="9026" w:leader="dot"/>
            </w:tabs>
            <w:bidi w:val="0"/>
            <w:rPr/>
          </w:pPr>
          <w:hyperlink w:anchor="__RefHeading___Toc924714_653776707">
            <w:r>
              <w:rPr>
                <w:webHidden/>
                <w:rStyle w:val="IndexLink"/>
              </w:rPr>
              <w:t>3.5. Epistemologi Iluminasi: Proses Intuisi dan Iluminasi Visi</w:t>
              <w:tab/>
              <w:t>251</w:t>
            </w:r>
          </w:hyperlink>
        </w:p>
        <w:p>
          <w:pPr>
            <w:pStyle w:val="Contents3"/>
            <w:tabs>
              <w:tab w:val="clear" w:pos="8459"/>
              <w:tab w:val="right" w:pos="9026" w:leader="dot"/>
            </w:tabs>
            <w:bidi w:val="0"/>
            <w:rPr/>
          </w:pPr>
          <w:hyperlink w:anchor="__RefHeading___Toc924716_653776707">
            <w:r>
              <w:rPr>
                <w:webHidden/>
                <w:rStyle w:val="IndexLink"/>
              </w:rPr>
              <w:t>4. ILUMINASI DAN EMANASI</w:t>
              <w:tab/>
              <w:t>259</w:t>
            </w:r>
          </w:hyperlink>
        </w:p>
        <w:p>
          <w:pPr>
            <w:pStyle w:val="Contents3"/>
            <w:tabs>
              <w:tab w:val="clear" w:pos="8459"/>
              <w:tab w:val="right" w:pos="9026" w:leader="dot"/>
            </w:tabs>
            <w:bidi w:val="0"/>
            <w:rPr/>
          </w:pPr>
          <w:hyperlink w:anchor="__RefHeading___Toc924718_653776707">
            <w:r>
              <w:rPr>
                <w:webHidden/>
                <w:rStyle w:val="IndexLink"/>
              </w:rPr>
              <w:t>5. WUJUD DAN CAHAYA</w:t>
              <w:tab/>
              <w:t>265</w:t>
            </w:r>
          </w:hyperlink>
        </w:p>
        <w:p>
          <w:pPr>
            <w:pStyle w:val="Contents4"/>
            <w:tabs>
              <w:tab w:val="clear" w:pos="8176"/>
              <w:tab w:val="right" w:pos="9026" w:leader="dot"/>
            </w:tabs>
            <w:bidi w:val="0"/>
            <w:rPr/>
          </w:pPr>
          <w:hyperlink w:anchor="__RefHeading___Toc924720_653776707">
            <w:r>
              <w:rPr>
                <w:webHidden/>
                <w:rStyle w:val="IndexLink"/>
              </w:rPr>
              <w:t>5.1. Wujud dan Berbagai Determinan Utamanya</w:t>
              <w:tab/>
              <w:t>265</w:t>
            </w:r>
          </w:hyperlink>
        </w:p>
        <w:p>
          <w:pPr>
            <w:pStyle w:val="Contents4"/>
            <w:tabs>
              <w:tab w:val="clear" w:pos="8176"/>
              <w:tab w:val="right" w:pos="9026" w:leader="dot"/>
            </w:tabs>
            <w:bidi w:val="0"/>
            <w:rPr/>
          </w:pPr>
          <w:hyperlink w:anchor="__RefHeading___Toc924722_653776707">
            <w:r>
              <w:rPr>
                <w:webHidden/>
                <w:rStyle w:val="IndexLink"/>
              </w:rPr>
              <w:t>5.2. Wujud dan Kosmologi</w:t>
              <w:tab/>
              <w:t>267</w:t>
            </w:r>
          </w:hyperlink>
        </w:p>
        <w:p>
          <w:pPr>
            <w:pStyle w:val="Contents3"/>
            <w:tabs>
              <w:tab w:val="clear" w:pos="8459"/>
              <w:tab w:val="right" w:pos="9026" w:leader="dot"/>
            </w:tabs>
            <w:bidi w:val="0"/>
            <w:rPr/>
          </w:pPr>
          <w:hyperlink w:anchor="__RefHeading___Toc924724_653776707">
            <w:r>
              <w:rPr>
                <w:webHidden/>
                <w:rStyle w:val="IndexLink"/>
              </w:rPr>
              <w:t>Catatan:</w:t>
              <w:tab/>
              <w:t>271</w:t>
            </w:r>
          </w:hyperlink>
        </w:p>
        <w:p>
          <w:pPr>
            <w:pStyle w:val="Contents2"/>
            <w:tabs>
              <w:tab w:val="clear" w:pos="8743"/>
              <w:tab w:val="right" w:pos="9026" w:leader="dot"/>
            </w:tabs>
            <w:bidi w:val="0"/>
            <w:rPr/>
          </w:pPr>
          <w:hyperlink w:anchor="__RefHeading___Toc924726_653776707">
            <w:r>
              <w:rPr>
                <w:webHidden/>
                <w:rStyle w:val="IndexLink"/>
              </w:rPr>
              <w:t>APENDIKS A</w:t>
              <w:tab/>
              <w:t>292</w:t>
            </w:r>
          </w:hyperlink>
        </w:p>
        <w:p>
          <w:pPr>
            <w:pStyle w:val="Contents3"/>
            <w:tabs>
              <w:tab w:val="clear" w:pos="8459"/>
              <w:tab w:val="right" w:pos="9026" w:leader="dot"/>
            </w:tabs>
            <w:bidi w:val="0"/>
            <w:rPr/>
          </w:pPr>
          <w:hyperlink w:anchor="__RefHeading___Toc924728_653776707">
            <w:r>
              <w:rPr>
                <w:webHidden/>
                <w:rStyle w:val="IndexLink"/>
              </w:rPr>
              <w:t>Point</w:t>
              <w:tab/>
              <w:t>292</w:t>
            </w:r>
          </w:hyperlink>
        </w:p>
        <w:p>
          <w:pPr>
            <w:pStyle w:val="Contents3"/>
            <w:tabs>
              <w:tab w:val="clear" w:pos="8459"/>
              <w:tab w:val="right" w:pos="9026" w:leader="dot"/>
            </w:tabs>
            <w:bidi w:val="0"/>
            <w:rPr/>
          </w:pPr>
          <w:hyperlink w:anchor="__RefHeading___Toc924730_653776707">
            <w:r>
              <w:rPr>
                <w:webHidden/>
                <w:rStyle w:val="IndexLink"/>
              </w:rPr>
              <w:t>Catatan:</w:t>
              <w:tab/>
              <w:t>298</w:t>
            </w:r>
          </w:hyperlink>
        </w:p>
        <w:p>
          <w:pPr>
            <w:pStyle w:val="Contents2"/>
            <w:tabs>
              <w:tab w:val="clear" w:pos="8743"/>
              <w:tab w:val="right" w:pos="9026" w:leader="dot"/>
            </w:tabs>
            <w:bidi w:val="0"/>
            <w:rPr/>
          </w:pPr>
          <w:hyperlink w:anchor="__RefHeading___Toc924732_653776707">
            <w:r>
              <w:rPr>
                <w:webHidden/>
                <w:rStyle w:val="IndexLink"/>
              </w:rPr>
              <w:t>APENDIKS B</w:t>
              <w:tab/>
              <w:t>300</w:t>
            </w:r>
          </w:hyperlink>
        </w:p>
        <w:p>
          <w:pPr>
            <w:pStyle w:val="Contents2"/>
            <w:tabs>
              <w:tab w:val="clear" w:pos="8743"/>
              <w:tab w:val="right" w:pos="9026" w:leader="dot"/>
            </w:tabs>
            <w:bidi w:val="0"/>
            <w:rPr/>
          </w:pPr>
          <w:hyperlink w:anchor="__RefHeading___Toc924734_653776707">
            <w:r>
              <w:rPr>
                <w:webHidden/>
                <w:rStyle w:val="IndexLink"/>
              </w:rPr>
              <w:t>APENDIKS C</w:t>
              <w:tab/>
              <w:t>306</w:t>
            </w:r>
          </w:hyperlink>
        </w:p>
        <w:p>
          <w:pPr>
            <w:pStyle w:val="Contents2"/>
            <w:tabs>
              <w:tab w:val="clear" w:pos="8743"/>
              <w:tab w:val="right" w:pos="9026" w:leader="dot"/>
            </w:tabs>
            <w:bidi w:val="0"/>
            <w:rPr/>
          </w:pPr>
          <w:hyperlink w:anchor="__RefHeading___Toc924736_653776707">
            <w:r>
              <w:rPr>
                <w:webHidden/>
                <w:rStyle w:val="IndexLink"/>
              </w:rPr>
              <w:t>SENARAI RUJUKAN</w:t>
              <w:tab/>
              <w:t>310</w:t>
            </w:r>
          </w:hyperlink>
        </w:p>
        <w:p>
          <w:pPr>
            <w:pStyle w:val="Contents2"/>
            <w:tabs>
              <w:tab w:val="clear" w:pos="8743"/>
              <w:tab w:val="right" w:pos="9026" w:leader="dot"/>
            </w:tabs>
            <w:bidi w:val="0"/>
            <w:rPr/>
          </w:pPr>
          <w:hyperlink w:anchor="__RefHeading___Toc924738_653776707">
            <w:r>
              <w:rPr>
                <w:webHidden/>
                <w:rStyle w:val="IndexLink"/>
              </w:rPr>
              <w:t>Indeks</w:t>
              <w:tab/>
              <w:t>318</w:t>
            </w:r>
          </w:hyperlink>
        </w:p>
        <w:p>
          <w:pPr>
            <w:pStyle w:val="Contents2"/>
            <w:tabs>
              <w:tab w:val="clear" w:pos="8743"/>
              <w:tab w:val="right" w:pos="9026" w:leader="dot"/>
            </w:tabs>
            <w:bidi w:val="0"/>
            <w:rPr/>
          </w:pPr>
          <w:hyperlink w:anchor="__RefHeading___Toc924740_653776707">
            <w:r>
              <w:rPr>
                <w:webHidden/>
                <w:rStyle w:val="IndexLink"/>
              </w:rPr>
              <w:t>Biografi Penulis</w:t>
              <w:tab/>
              <w:t>334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440_57239"/>
      <w:bookmarkStart w:id="1" w:name="pg6440_57239"/>
      <w:bookmarkEnd w:id="1"/>
    </w:p>
    <w:p>
      <w:pPr>
        <w:pStyle w:val="Heading2"/>
        <w:numPr>
          <w:ilvl w:val="1"/>
          <w:numId w:val="1"/>
        </w:numPr>
        <w:bidi w:val="0"/>
        <w:jc w:val="left"/>
        <w:rPr/>
      </w:pPr>
      <w:bookmarkStart w:id="2" w:name="pg6440_57239"/>
      <w:bookmarkStart w:id="3" w:name="__RefHeading___Toc924576_653776707"/>
      <w:bookmarkStart w:id="4" w:name="_Toc1"/>
      <w:bookmarkEnd w:id="2"/>
      <w:bookmarkEnd w:id="3"/>
      <w:r>
        <w:rPr/>
        <w:t>BOOK ID</w:t>
      </w:r>
      <w:bookmarkEnd w:id="4"/>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ض‍ی‍ائ‍ی‌،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Ziai, Hossein</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و اش‍راق‌ در ان‍دی‍ش‍ه‌ 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Sang pencerah pengetahuan dari timur suhrawardi dan filsafat Iluminasi[Book]‏</w:t>
      </w:r>
      <w:r>
        <w:rPr>
          <w:rFonts w:eastAsia="Times New Roman" w:cs="Times New Roman" w:ascii="Times New Roman" w:hAnsi="Times New Roman"/>
          <w:color w:val="111111"/>
          <w:sz w:val="28"/>
          <w:szCs w:val="28"/>
          <w:lang w:val="en-US"/>
        </w:rPr>
        <w:t>‫‫‭/ Hossein Ziai</w:t>
      </w:r>
      <w:r>
        <w:rPr>
          <w:rFonts w:eastAsia="Times New Roman" w:cs="Times New Roman" w:ascii="Times New Roman" w:hAnsi="Times New Roman"/>
          <w:color w:val="111111"/>
          <w:sz w:val="28"/>
          <w:szCs w:val="28"/>
          <w:lang w:val="en-US"/>
        </w:rPr>
        <w:t>‫‭; penterjemah : Afif Muhammad, Munir A. Muin.</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w:t>
      </w:r>
      <w:r>
        <w:rPr>
          <w:rFonts w:eastAsia="Times New Roman" w:cs="Times New Roman" w:ascii="Times New Roman" w:hAnsi="Times New Roman"/>
          <w:color w:val="111111"/>
          <w:sz w:val="28"/>
          <w:szCs w:val="28"/>
          <w:lang w:val="en-US"/>
        </w:rPr>
        <w:t>‫‭: pusat penerbitan danpenterjemahan internasional al Musthafa ‏</w:t>
      </w:r>
      <w:r>
        <w:rPr>
          <w:rFonts w:eastAsia="Times New Roman" w:cs="Times New Roman" w:ascii="Times New Roman" w:hAnsi="Times New Roman"/>
          <w:color w:val="111111"/>
          <w:sz w:val="28"/>
          <w:szCs w:val="28"/>
          <w:lang w:val="en-US"/>
        </w:rPr>
        <w:t>‫‭, 2014 ‏</w:t>
      </w:r>
      <w:r>
        <w:rPr>
          <w:rFonts w:eastAsia="Times New Roman" w:cs="Times New Roman" w:ascii="Times New Roman" w:hAnsi="Times New Roman"/>
          <w:color w:val="111111"/>
          <w:sz w:val="28"/>
          <w:szCs w:val="28"/>
          <w:lang w:val="en-US"/>
        </w:rPr>
        <w:t>‫‭= 1393.</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ab/>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مرکز بین المللی ترجمه و نشر المصطفی صلی الله علیه و آله؛ ‏‫؛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۲۷۵</w:t>
      </w:r>
      <w:r>
        <w:rPr>
          <w:rFonts w:eastAsia="IRNazanin" w:cs="IRNazanin"/>
          <w:color w:val="111111"/>
          <w:sz w:val="28"/>
          <w:szCs w:val="28"/>
          <w:lang w:bidi="fa-IR"/>
        </w:rPr>
        <w:t>/</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نمایندگی المصطفی در اندونزی؛ ‏‫؛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ab/>
      </w:r>
      <w:r>
        <w:rPr>
          <w:rFonts w:eastAsia="IRNazanin" w:cs="IRNazanin"/>
          <w:color w:val="111111"/>
          <w:sz w:val="28"/>
          <w:szCs w:val="28"/>
          <w:rtl w:val="true"/>
          <w:lang w:bidi="fa-IR"/>
        </w:rPr>
        <w:t>‏</w:t>
      </w:r>
      <w:r>
        <w:rPr>
          <w:rFonts w:eastAsia="IRNazanin" w:cs="IRNazanin"/>
          <w:color w:val="111111"/>
          <w:sz w:val="28"/>
          <w:szCs w:val="28"/>
          <w:lang w:bidi="fa-IR"/>
        </w:rPr>
        <w:t>‫‫‭978-964-195-053-0</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lang w:bidi="fa-IR"/>
        </w:rPr>
        <w:tab/>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knowledge and illumination: a study of Suhrawardi's Hekmat al -</w:t>
      </w:r>
      <w:r>
        <w:rPr>
          <w:rFonts w:eastAsia="Times New Roman" w:cs="Times New Roman" w:ascii="Times New Roman" w:hAnsi="Times New Roman"/>
          <w:color w:val="111111"/>
          <w:sz w:val="28"/>
          <w:szCs w:val="28"/>
          <w:lang w:val="en-US"/>
        </w:rPr>
        <w:t>‭ishraq c 1990</w:t>
      </w: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یحیی بن جبش،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افیف، محمد، مترجم</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Afif</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مونیر، المعین، مترجم</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Munir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 Muin</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یحیی بن جبش،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BBR</w:t>
      </w:r>
      <w:r>
        <w:rPr>
          <w:rFonts w:ascii="IRNazanin" w:hAnsi="IRNazanin" w:eastAsia="IRNazanin"/>
          <w:color w:val="111111"/>
          <w:sz w:val="28"/>
          <w:sz w:val="28"/>
          <w:szCs w:val="28"/>
          <w:lang w:bidi="fa-IR"/>
        </w:rPr>
        <w:t>۷۴۶‏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ض‌۹م۶۰۴۹۵۱۹ ۱۳۹۳</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۳۶۴۹۵۰۸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924578_653776707"/>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Sang Pencerah Pengetahuan dari Timur</w:t>
      </w:r>
    </w:p>
    <w:p>
      <w:pPr>
        <w:pStyle w:val="BookText"/>
        <w:bidi w:val="0"/>
        <w:jc w:val="both"/>
        <w:rPr/>
      </w:pPr>
      <w:r>
        <w:rPr>
          <w:rFonts w:eastAsia="Times New Roman" w:cs="Times New Roman" w:ascii="Times New Roman" w:hAnsi="Times New Roman"/>
          <w:color w:val="111111"/>
          <w:sz w:val="28"/>
          <w:szCs w:val="28"/>
          <w:lang w:val="en-US"/>
        </w:rPr>
        <w:t>Suhrawardi dan Filsafat Iluminasi</w:t>
      </w:r>
    </w:p>
    <w:p>
      <w:pPr>
        <w:pStyle w:val="BookText"/>
        <w:bidi w:val="0"/>
        <w:jc w:val="both"/>
        <w:rPr/>
      </w:pPr>
      <w:r>
        <w:rPr>
          <w:rFonts w:eastAsia="Times New Roman" w:cs="Times New Roman" w:ascii="Times New Roman" w:hAnsi="Times New Roman"/>
          <w:color w:val="111111"/>
          <w:sz w:val="28"/>
          <w:szCs w:val="28"/>
          <w:lang w:val="en-US"/>
        </w:rPr>
        <w:t>Hossein Ziai</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Prof. Dr. Afif Muhammad, M. A.</w:t>
      </w:r>
    </w:p>
    <w:p>
      <w:pPr>
        <w:pStyle w:val="BookText"/>
        <w:bidi w:val="0"/>
        <w:jc w:val="both"/>
        <w:rPr/>
      </w:pPr>
      <w:r>
        <w:rPr>
          <w:rFonts w:eastAsia="Times New Roman" w:cs="Times New Roman" w:ascii="Times New Roman" w:hAnsi="Times New Roman"/>
          <w:color w:val="111111"/>
          <w:sz w:val="28"/>
          <w:szCs w:val="28"/>
          <w:lang w:val="en-US"/>
        </w:rPr>
        <w:t>Dr. Munir A. Muin, M. A.</w:t>
      </w:r>
    </w:p>
    <w:p>
      <w:pPr>
        <w:pStyle w:val="BookText"/>
        <w:bidi w:val="0"/>
        <w:jc w:val="both"/>
        <w:rPr/>
      </w:pPr>
      <w:r>
        <w:rPr/>
        <mc:AlternateContent>
          <mc:Choice Requires="wps">
            <w:drawing>
              <wp:inline distT="0" distB="0" distL="0" distR="0">
                <wp:extent cx="673100" cy="711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673200" cy="711360"/>
                        </a:xfrm>
                        <a:prstGeom prst="rect">
                          <a:avLst/>
                        </a:prstGeom>
                        <a:ln w="0">
                          <a:noFill/>
                        </a:ln>
                      </pic:spPr>
                    </pic:pic>
                  </a:graphicData>
                </a:graphic>
              </wp:inline>
            </w:drawing>
          </mc:Choice>
          <mc:Fallback>
            <w:pict>
              <v:shape id="shape_0" stroked="f" o:allowincell="f" style="position:absolute;margin-left:0pt;margin-top:-56.05pt;width:52.95pt;height:55.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Sang Pencerah Pengetahuan dari Timur Suhrawardi dan Filsafat</w:t>
      </w:r>
    </w:p>
    <w:p>
      <w:pPr>
        <w:pStyle w:val="BookText"/>
        <w:bidi w:val="0"/>
        <w:jc w:val="both"/>
        <w:rPr/>
      </w:pPr>
      <w:r>
        <w:rPr>
          <w:rFonts w:eastAsia="Times New Roman" w:cs="Times New Roman" w:ascii="Times New Roman" w:hAnsi="Times New Roman"/>
          <w:color w:val="111111"/>
          <w:sz w:val="28"/>
          <w:szCs w:val="28"/>
          <w:lang w:val="en-US"/>
        </w:rPr>
        <w:t>Iluminasi</w:t>
      </w:r>
    </w:p>
    <w:p>
      <w:pPr>
        <w:pStyle w:val="BookText"/>
        <w:bidi w:val="0"/>
        <w:jc w:val="both"/>
        <w:rPr/>
      </w:pPr>
      <w:r>
        <w:rPr>
          <w:rFonts w:eastAsia="Times New Roman" w:cs="Times New Roman" w:ascii="Times New Roman" w:hAnsi="Times New Roman"/>
          <w:color w:val="111111"/>
          <w:sz w:val="28"/>
          <w:szCs w:val="28"/>
          <w:lang w:val="en-US"/>
        </w:rPr>
        <w:t>penulis: Hossein Ziai</w:t>
      </w:r>
    </w:p>
    <w:p>
      <w:pPr>
        <w:pStyle w:val="BookText"/>
        <w:bidi w:val="0"/>
        <w:jc w:val="both"/>
        <w:rPr/>
      </w:pPr>
      <w:r>
        <w:rPr>
          <w:rFonts w:eastAsia="Times New Roman" w:cs="Times New Roman" w:ascii="Times New Roman" w:hAnsi="Times New Roman"/>
          <w:color w:val="111111"/>
          <w:sz w:val="28"/>
          <w:szCs w:val="28"/>
          <w:lang w:val="en-US"/>
        </w:rPr>
        <w:t>penerjemah: Prof. Dr. Afif Muhammad, M. A., Dr. Munir A. Muin, M. A.</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978-964-195-053-0</w:t>
      </w:r>
    </w:p>
    <w:p>
      <w:pPr>
        <w:pStyle w:val="BookText"/>
        <w:bidi w:val="0"/>
        <w:jc w:val="both"/>
        <w:rPr/>
      </w:pPr>
      <w:r>
        <w:rPr>
          <w:rFonts w:ascii="IRNazanin" w:hAnsi="IRNazanin" w:eastAsia="IRNazanin"/>
          <w:color w:val="111111"/>
          <w:sz w:val="28"/>
          <w:sz w:val="28"/>
          <w:szCs w:val="28"/>
          <w:rtl w:val="true"/>
          <w:lang w:bidi="fa-IR"/>
        </w:rPr>
        <w:t>معرفت و اشراق در اندیشه سهروردی</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واله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ضیایی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افیف، المعین مونیر</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www.pub.miu.ac.ir miup@pub.miu.ac.ir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6440_57243"/>
    </w:p>
    <w:p>
      <w:pPr>
        <w:pStyle w:val="Heading2"/>
        <w:numPr>
          <w:ilvl w:val="1"/>
          <w:numId w:val="1"/>
        </w:numPr>
        <w:bidi w:val="0"/>
        <w:jc w:val="left"/>
        <w:rPr/>
      </w:pPr>
      <w:bookmarkStart w:id="8" w:name="__RefHeading___Toc924580_653776707"/>
      <w:bookmarkStart w:id="9" w:name="_Toc3"/>
      <w:bookmarkEnd w:id="7"/>
      <w:bookmarkEnd w:id="8"/>
      <w:r>
        <w:rPr/>
        <w:t>Pedoman Transliterasi Arab</w:t>
      </w:r>
      <w:bookmarkEnd w:id="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3733800" cy="3835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3733920" cy="3835440"/>
                        </a:xfrm>
                        <a:prstGeom prst="rect">
                          <a:avLst/>
                        </a:prstGeom>
                        <a:ln w="0">
                          <a:noFill/>
                        </a:ln>
                      </pic:spPr>
                    </pic:pic>
                  </a:graphicData>
                </a:graphic>
              </wp:inline>
            </w:drawing>
          </mc:Choice>
          <mc:Fallback>
            <w:pict>
              <v:shape id="shape_0" stroked="f" o:allowincell="f" style="position:absolute;margin-left:0pt;margin-top:-302.05pt;width:293.95pt;height:301.95pt;mso-wrap-style:none;v-text-anchor:middle;mso-position-horizontal:left;mso-position-vertical:top" type="_x0000_t75">
                <v:imagedata r:id="rId13" o:detectmouseclick="t"/>
                <v:stroke color="#3465a4" joinstyle="round" endcap="flat"/>
                <w10:wrap type="none"/>
              </v:shape>
            </w:pict>
          </mc:Fallback>
        </mc:AlternateContent>
      </w:r>
      <w:bookmarkStart w:id="10" w:name="pg6440_57244"/>
    </w:p>
    <w:p>
      <w:pPr>
        <w:pStyle w:val="Heading2"/>
        <w:numPr>
          <w:ilvl w:val="1"/>
          <w:numId w:val="1"/>
        </w:numPr>
        <w:bidi w:val="0"/>
        <w:jc w:val="left"/>
        <w:rPr/>
      </w:pPr>
      <w:bookmarkStart w:id="11" w:name="__RefHeading___Toc924582_653776707"/>
      <w:bookmarkStart w:id="12" w:name="_Toc4"/>
      <w:bookmarkEnd w:id="10"/>
      <w:bookmarkEnd w:id="11"/>
      <w:r>
        <w:rPr/>
        <w:t>Pedoman Transliterasi Persia</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229100" cy="4051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229280" cy="4051440"/>
                        </a:xfrm>
                        <a:prstGeom prst="rect">
                          <a:avLst/>
                        </a:prstGeom>
                        <a:ln w="0">
                          <a:noFill/>
                        </a:ln>
                      </pic:spPr>
                    </pic:pic>
                  </a:graphicData>
                </a:graphic>
              </wp:inline>
            </w:drawing>
          </mc:Choice>
          <mc:Fallback>
            <w:pict>
              <v:shape id="shape_0" stroked="f" o:allowincell="f" style="position:absolute;margin-left:0pt;margin-top:-319.05pt;width:332.95pt;height:318.95pt;mso-wrap-style:none;v-text-anchor:middle;mso-position-horizontal:left;mso-position-vertical:top" type="_x0000_t75">
                <v:imagedata r:id="rId16" o:detectmouseclick="t"/>
                <v:stroke color="#3465a4" joinstyle="round" endcap="flat"/>
                <w10:wrap type="none"/>
              </v:shape>
            </w:pict>
          </mc:Fallback>
        </mc:AlternateContent>
      </w:r>
      <w:bookmarkStart w:id="13" w:name="pg6440_57245"/>
    </w:p>
    <w:p>
      <w:pPr>
        <w:pStyle w:val="Heading2"/>
        <w:numPr>
          <w:ilvl w:val="1"/>
          <w:numId w:val="1"/>
        </w:numPr>
        <w:bidi w:val="0"/>
        <w:jc w:val="left"/>
        <w:rPr/>
      </w:pPr>
      <w:bookmarkStart w:id="14" w:name="__RefHeading___Toc924584_653776707"/>
      <w:bookmarkStart w:id="15" w:name="_Toc5"/>
      <w:bookmarkEnd w:id="13"/>
      <w:bookmarkEnd w:id="14"/>
      <w:r>
        <w:rPr/>
        <w:t>halam persembuhan pennlis</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dad ali dan mahasti  aku tak ada mendengar ada bahasa yang lebih indah selain bahasa cinta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 w:name="pg6440_57247"/>
      <w:bookmarkStart w:id="17" w:name="pg6440_57247"/>
      <w:bookmarkEnd w:id="17"/>
    </w:p>
    <w:p>
      <w:pPr>
        <w:pStyle w:val="Heading2"/>
        <w:numPr>
          <w:ilvl w:val="1"/>
          <w:numId w:val="1"/>
        </w:numPr>
        <w:bidi w:val="0"/>
        <w:jc w:val="left"/>
        <w:rPr/>
      </w:pPr>
      <w:bookmarkStart w:id="18" w:name="pg6440_57247"/>
      <w:bookmarkStart w:id="19" w:name="__RefHeading___Toc924586_653776707"/>
      <w:bookmarkStart w:id="20" w:name="_Toc6"/>
      <w:bookmarkEnd w:id="18"/>
      <w:bookmarkEnd w:id="19"/>
      <w:r>
        <w:rPr/>
        <w:t>Daftar Isi</w:t>
      </w:r>
      <w:bookmarkEnd w:id="20"/>
    </w:p>
    <w:p>
      <w:pPr>
        <w:pStyle w:val="BookText"/>
        <w:bidi w:val="0"/>
        <w:jc w:val="both"/>
        <w:rPr/>
      </w:pPr>
      <w:r>
        <w:rPr>
          <w:rFonts w:eastAsia="Times New Roman" w:cs="Times New Roman" w:ascii="Times New Roman" w:hAnsi="Times New Roman"/>
          <w:color w:val="111111"/>
          <w:sz w:val="28"/>
          <w:szCs w:val="28"/>
          <w:lang w:val="en-US"/>
        </w:rPr>
        <w:t>Pedoman Transliterasi Arab-vii</w:t>
      </w:r>
    </w:p>
    <w:p>
      <w:pPr>
        <w:pStyle w:val="BookText"/>
        <w:bidi w:val="0"/>
        <w:jc w:val="both"/>
        <w:rPr/>
      </w:pPr>
      <w:r>
        <w:rPr>
          <w:rFonts w:eastAsia="Times New Roman" w:cs="Times New Roman" w:ascii="Times New Roman" w:hAnsi="Times New Roman"/>
          <w:color w:val="111111"/>
          <w:sz w:val="28"/>
          <w:szCs w:val="28"/>
          <w:lang w:val="en-US"/>
        </w:rPr>
        <w:t>Pedoman Transliterasi Persia—viii</w:t>
      </w:r>
    </w:p>
    <w:p>
      <w:pPr>
        <w:pStyle w:val="BookText"/>
        <w:bidi w:val="0"/>
        <w:jc w:val="both"/>
        <w:rPr/>
      </w:pPr>
      <w:r>
        <w:rPr>
          <w:rFonts w:eastAsia="Times New Roman" w:cs="Times New Roman" w:ascii="Times New Roman" w:hAnsi="Times New Roman"/>
          <w:color w:val="111111"/>
          <w:sz w:val="28"/>
          <w:szCs w:val="28"/>
          <w:lang w:val="en-US"/>
        </w:rPr>
        <w:t>Halaman Persembahan Penulis—ix</w:t>
      </w:r>
    </w:p>
    <w:p>
      <w:pPr>
        <w:pStyle w:val="BookText"/>
        <w:bidi w:val="0"/>
        <w:jc w:val="both"/>
        <w:rPr/>
      </w:pPr>
      <w:r>
        <w:rPr>
          <w:rFonts w:eastAsia="Times New Roman" w:cs="Times New Roman" w:ascii="Times New Roman" w:hAnsi="Times New Roman"/>
          <w:color w:val="111111"/>
          <w:sz w:val="28"/>
          <w:szCs w:val="28"/>
          <w:lang w:val="en-US"/>
        </w:rPr>
        <w:t>Pengantar Redaksi—1</w:t>
      </w:r>
    </w:p>
    <w:p>
      <w:pPr>
        <w:pStyle w:val="BookText"/>
        <w:bidi w:val="0"/>
        <w:jc w:val="both"/>
        <w:rPr/>
      </w:pPr>
      <w:r>
        <w:rPr>
          <w:rFonts w:eastAsia="Times New Roman" w:cs="Times New Roman" w:ascii="Times New Roman" w:hAnsi="Times New Roman"/>
          <w:color w:val="111111"/>
          <w:sz w:val="28"/>
          <w:szCs w:val="28"/>
          <w:lang w:val="en-US"/>
        </w:rPr>
        <w:t>Ucapan Terima Kasih—7</w:t>
      </w:r>
    </w:p>
    <w:p>
      <w:pPr>
        <w:pStyle w:val="BookText"/>
        <w:bidi w:val="0"/>
        <w:jc w:val="both"/>
        <w:rPr/>
      </w:pPr>
      <w:r>
        <w:rPr>
          <w:rFonts w:eastAsia="Times New Roman" w:cs="Times New Roman" w:ascii="Times New Roman" w:hAnsi="Times New Roman"/>
          <w:color w:val="111111"/>
          <w:sz w:val="28"/>
          <w:szCs w:val="28"/>
          <w:lang w:val="en-US"/>
        </w:rPr>
        <w:t>PENDAHULUAN-9</w:t>
      </w:r>
    </w:p>
    <w:p>
      <w:pPr>
        <w:pStyle w:val="BookText"/>
        <w:bidi w:val="0"/>
        <w:jc w:val="both"/>
        <w:rPr/>
      </w:pPr>
      <w:r>
        <w:rPr>
          <w:rFonts w:eastAsia="Times New Roman" w:cs="Times New Roman" w:ascii="Times New Roman" w:hAnsi="Times New Roman"/>
          <w:color w:val="111111"/>
          <w:sz w:val="28"/>
          <w:szCs w:val="28"/>
          <w:lang w:val="en-US"/>
        </w:rPr>
        <w:t>Catatan—14</w:t>
      </w:r>
    </w:p>
    <w:p>
      <w:pPr>
        <w:pStyle w:val="BookText"/>
        <w:bidi w:val="0"/>
        <w:jc w:val="both"/>
        <w:rPr/>
      </w:pPr>
      <w:r>
        <w:rPr>
          <w:rFonts w:eastAsia="Times New Roman" w:cs="Times New Roman" w:ascii="Times New Roman" w:hAnsi="Times New Roman"/>
          <w:color w:val="111111"/>
          <w:sz w:val="28"/>
          <w:szCs w:val="28"/>
          <w:lang w:val="en-US"/>
        </w:rPr>
        <w:t>BAB 1</w:t>
      </w:r>
    </w:p>
    <w:p>
      <w:pPr>
        <w:pStyle w:val="BookText"/>
        <w:bidi w:val="0"/>
        <w:jc w:val="both"/>
        <w:rPr/>
      </w:pPr>
      <w:r>
        <w:rPr>
          <w:rFonts w:eastAsia="Times New Roman" w:cs="Times New Roman" w:ascii="Times New Roman" w:hAnsi="Times New Roman"/>
          <w:color w:val="111111"/>
          <w:sz w:val="28"/>
          <w:szCs w:val="28"/>
          <w:lang w:val="en-US"/>
        </w:rPr>
        <w:t>Filsafat Iluminasi-17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BAGAIMANA MENDEFINISIKAN FILSAFAT</w:t>
      </w:r>
    </w:p>
    <w:p>
      <w:pPr>
        <w:pStyle w:val="BookText"/>
        <w:bidi w:val="0"/>
        <w:jc w:val="both"/>
        <w:rPr/>
      </w:pPr>
      <w:r>
        <w:rPr>
          <w:rFonts w:eastAsia="Times New Roman" w:cs="Times New Roman" w:ascii="Times New Roman" w:hAnsi="Times New Roman"/>
          <w:color w:val="111111"/>
          <w:sz w:val="28"/>
          <w:szCs w:val="28"/>
          <w:lang w:val="en-US"/>
        </w:rPr>
        <w:t>ILUMINASI?–17</w:t>
      </w:r>
    </w:p>
    <w:p>
      <w:pPr>
        <w:pStyle w:val="BookText"/>
        <w:bidi w:val="0"/>
        <w:jc w:val="both"/>
        <w:rPr/>
      </w:pPr>
      <w:r>
        <w:rPr>
          <w:rFonts w:eastAsia="Times New Roman" w:cs="Times New Roman" w:ascii="Times New Roman" w:hAnsi="Times New Roman"/>
          <w:color w:val="111111"/>
          <w:sz w:val="28"/>
          <w:szCs w:val="28"/>
          <w:lang w:val="en-US"/>
        </w:rPr>
        <w:t>KARYA-KARYA SUHRAWARDI TENTANG FILSAFAT</w:t>
      </w:r>
    </w:p>
    <w:p>
      <w:pPr>
        <w:pStyle w:val="BookText"/>
        <w:bidi w:val="0"/>
        <w:jc w:val="both"/>
        <w:rPr/>
      </w:pPr>
      <w:r>
        <w:rPr>
          <w:rFonts w:eastAsia="Times New Roman" w:cs="Times New Roman" w:ascii="Times New Roman" w:hAnsi="Times New Roman"/>
          <w:color w:val="111111"/>
          <w:sz w:val="28"/>
          <w:szCs w:val="28"/>
          <w:lang w:val="en-US"/>
        </w:rPr>
        <w:t>ILUMINASI–19</w:t>
      </w:r>
    </w:p>
    <w:p>
      <w:pPr>
        <w:pStyle w:val="BookText"/>
        <w:bidi w:val="0"/>
        <w:jc w:val="both"/>
        <w:rPr/>
      </w:pPr>
      <w:r>
        <w:rPr>
          <w:rFonts w:eastAsia="Times New Roman" w:cs="Times New Roman" w:ascii="Times New Roman" w:hAnsi="Times New Roman"/>
          <w:color w:val="111111"/>
          <w:sz w:val="28"/>
          <w:szCs w:val="28"/>
          <w:lang w:val="en-US"/>
        </w:rPr>
        <w:t>2.1. Empat Karya Penting—19</w:t>
      </w:r>
    </w:p>
    <w:p>
      <w:pPr>
        <w:pStyle w:val="BookText"/>
        <w:bidi w:val="0"/>
        <w:jc w:val="both"/>
        <w:rPr/>
      </w:pPr>
      <w:r>
        <w:rPr>
          <w:rFonts w:eastAsia="Times New Roman" w:cs="Times New Roman" w:ascii="Times New Roman" w:hAnsi="Times New Roman"/>
          <w:color w:val="111111"/>
          <w:sz w:val="28"/>
          <w:szCs w:val="28"/>
          <w:lang w:val="en-US"/>
        </w:rPr>
        <w:t>2.2. Posisi Al-Lamahāt dan Karya-karya Lainnya-21</w:t>
      </w:r>
    </w:p>
    <w:p>
      <w:pPr>
        <w:pStyle w:val="BookText"/>
        <w:bidi w:val="0"/>
        <w:jc w:val="both"/>
        <w:rPr/>
      </w:pPr>
      <w:r>
        <w:rPr>
          <w:rFonts w:eastAsia="Times New Roman" w:cs="Times New Roman" w:ascii="Times New Roman" w:hAnsi="Times New Roman"/>
          <w:color w:val="111111"/>
          <w:sz w:val="28"/>
          <w:szCs w:val="28"/>
          <w:lang w:val="en-US"/>
        </w:rPr>
        <w:t>2.3. Karakter Keempat Karya Penting—24</w:t>
      </w:r>
    </w:p>
    <w:p>
      <w:pPr>
        <w:pStyle w:val="BookText"/>
        <w:bidi w:val="0"/>
        <w:jc w:val="both"/>
        <w:rPr/>
      </w:pPr>
      <w:r>
        <w:rPr>
          <w:rFonts w:eastAsia="Times New Roman" w:cs="Times New Roman" w:ascii="Times New Roman" w:hAnsi="Times New Roman"/>
          <w:color w:val="111111"/>
          <w:sz w:val="28"/>
          <w:szCs w:val="28"/>
          <w:lang w:val="en-US"/>
        </w:rPr>
        <w:t>2.4. Periode Penulisan Karya-karya Penting: Ihwal</w:t>
      </w:r>
    </w:p>
    <w:p>
      <w:pPr>
        <w:pStyle w:val="BookText"/>
        <w:bidi w:val="0"/>
        <w:jc w:val="both"/>
        <w:rPr/>
      </w:pPr>
      <w:r>
        <w:rPr>
          <w:rFonts w:eastAsia="Times New Roman" w:cs="Times New Roman" w:ascii="Times New Roman" w:hAnsi="Times New Roman"/>
          <w:color w:val="111111"/>
          <w:sz w:val="28"/>
          <w:szCs w:val="28"/>
          <w:lang w:val="en-US"/>
        </w:rPr>
        <w:t>Kehidupan Suhrawardi—25</w:t>
      </w:r>
    </w:p>
    <w:p>
      <w:pPr>
        <w:pStyle w:val="BookText"/>
        <w:bidi w:val="0"/>
        <w:jc w:val="both"/>
        <w:rPr/>
      </w:pPr>
      <w:r>
        <w:rPr>
          <w:rFonts w:eastAsia="Times New Roman" w:cs="Times New Roman" w:ascii="Times New Roman" w:hAnsi="Times New Roman"/>
          <w:color w:val="111111"/>
          <w:sz w:val="28"/>
          <w:szCs w:val="28"/>
          <w:lang w:val="en-US"/>
        </w:rPr>
        <w:t>2.5. Abu Al-Barakat Al-Baghdadi dan Filsafat</w:t>
      </w:r>
    </w:p>
    <w:p>
      <w:pPr>
        <w:pStyle w:val="BookText"/>
        <w:bidi w:val="0"/>
        <w:jc w:val="both"/>
        <w:rPr/>
      </w:pPr>
      <w:r>
        <w:rPr>
          <w:rFonts w:eastAsia="Times New Roman" w:cs="Times New Roman" w:ascii="Times New Roman" w:hAnsi="Times New Roman"/>
          <w:color w:val="111111"/>
          <w:sz w:val="28"/>
          <w:szCs w:val="28"/>
          <w:lang w:val="en-US"/>
        </w:rPr>
        <w:t>Iluminasi—29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KARYA-KARYA PENTING YANG DIKAJI—30</w:t>
      </w:r>
    </w:p>
    <w:p>
      <w:pPr>
        <w:pStyle w:val="BookText"/>
        <w:bidi w:val="0"/>
        <w:jc w:val="both"/>
        <w:rPr/>
      </w:pPr>
      <w:r>
        <w:rPr>
          <w:rFonts w:eastAsia="Times New Roman" w:cs="Times New Roman" w:ascii="Times New Roman" w:hAnsi="Times New Roman"/>
          <w:color w:val="111111"/>
          <w:sz w:val="28"/>
          <w:szCs w:val="28"/>
          <w:lang w:val="en-US"/>
        </w:rPr>
        <w:t>3.1. At-Talwīhāt-30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 Al-Muqāwamāt-34 </w:t>
      </w:r>
    </w:p>
    <w:p>
      <w:pPr>
        <w:pStyle w:val="BookText"/>
        <w:bidi w:val="0"/>
        <w:rPr/>
      </w:pPr>
      <w:r>
        <w:rPr>
          <w:rFonts w:eastAsia="Times New Roman" w:cs="Times New Roman" w:ascii="Times New Roman" w:hAnsi="Times New Roman"/>
          <w:color w:val="111111"/>
          <w:sz w:val="28"/>
          <w:szCs w:val="28"/>
          <w:lang w:val="en-US"/>
        </w:rPr>
        <w:t>3.3. Al-Masyāri' wa Al-Muthārahāt —35</w:t>
      </w:r>
    </w:p>
    <w:p>
      <w:pPr>
        <w:pStyle w:val="BookText"/>
        <w:bidi w:val="0"/>
        <w:jc w:val="both"/>
        <w:rPr/>
      </w:pPr>
      <w:r>
        <w:rPr>
          <w:rFonts w:eastAsia="Times New Roman" w:cs="Times New Roman" w:ascii="Times New Roman" w:hAnsi="Times New Roman"/>
          <w:color w:val="111111"/>
          <w:sz w:val="28"/>
          <w:szCs w:val="28"/>
          <w:lang w:val="en-US"/>
        </w:rPr>
        <w:t>3.4. Hikmah Al-Isyrāq —42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KESIMPULAN-53</w:t>
      </w:r>
    </w:p>
    <w:p>
      <w:pPr>
        <w:pStyle w:val="BookText"/>
        <w:bidi w:val="0"/>
        <w:jc w:val="both"/>
        <w:rPr/>
      </w:pPr>
      <w:r>
        <w:rPr>
          <w:rFonts w:eastAsia="Times New Roman" w:cs="Times New Roman" w:ascii="Times New Roman" w:hAnsi="Times New Roman"/>
          <w:color w:val="111111"/>
          <w:sz w:val="28"/>
          <w:szCs w:val="28"/>
          <w:lang w:val="en-US"/>
        </w:rPr>
        <w:t>Catatan-56</w:t>
      </w:r>
    </w:p>
    <w:p>
      <w:pPr>
        <w:pStyle w:val="BookText"/>
        <w:bidi w:val="0"/>
        <w:jc w:val="both"/>
        <w:rPr/>
      </w:pPr>
      <w:r>
        <w:rPr>
          <w:rFonts w:eastAsia="Times New Roman" w:cs="Times New Roman" w:ascii="Times New Roman" w:hAnsi="Times New Roman"/>
          <w:color w:val="111111"/>
          <w:sz w:val="28"/>
          <w:szCs w:val="28"/>
          <w:lang w:val="en-US"/>
        </w:rPr>
        <w:t>BAB 2</w:t>
      </w:r>
    </w:p>
    <w:p>
      <w:pPr>
        <w:pStyle w:val="BookText"/>
        <w:bidi w:val="0"/>
        <w:jc w:val="both"/>
        <w:rPr/>
      </w:pPr>
      <w:r>
        <w:rPr>
          <w:rFonts w:eastAsia="Times New Roman" w:cs="Times New Roman" w:ascii="Times New Roman" w:hAnsi="Times New Roman"/>
          <w:color w:val="111111"/>
          <w:sz w:val="28"/>
          <w:szCs w:val="28"/>
          <w:lang w:val="en-US"/>
        </w:rPr>
        <w:t>LOGIKA DALAM Filsafat Iluminasi-67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PENDAHULUAN-67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PANDANGAN SUHRAWARDI TENTANG LOGIKA-68</w:t>
      </w:r>
    </w:p>
    <w:p>
      <w:pPr>
        <w:pStyle w:val="BookText"/>
        <w:bidi w:val="0"/>
        <w:jc w:val="both"/>
        <w:rPr/>
      </w:pPr>
      <w:r>
        <w:rPr>
          <w:rFonts w:eastAsia="Times New Roman" w:cs="Times New Roman" w:ascii="Times New Roman" w:hAnsi="Times New Roman"/>
          <w:color w:val="111111"/>
          <w:sz w:val="28"/>
          <w:szCs w:val="28"/>
          <w:lang w:val="en-US"/>
        </w:rPr>
        <w:t>2.1. Bahasan Logika dalam At-Talwīhāt—68</w:t>
      </w:r>
    </w:p>
    <w:p>
      <w:pPr>
        <w:pStyle w:val="BookText"/>
        <w:bidi w:val="0"/>
        <w:jc w:val="both"/>
        <w:rPr/>
      </w:pPr>
      <w:r>
        <w:rPr>
          <w:rFonts w:eastAsia="Times New Roman" w:cs="Times New Roman" w:ascii="Times New Roman" w:hAnsi="Times New Roman"/>
          <w:color w:val="111111"/>
          <w:sz w:val="28"/>
          <w:szCs w:val="28"/>
          <w:lang w:val="en-US"/>
        </w:rPr>
        <w:t>2.2. Logika dalam Al-Masyāri' wa Al-Muthārahāt—71</w:t>
      </w:r>
    </w:p>
    <w:p>
      <w:pPr>
        <w:pStyle w:val="BookText"/>
        <w:bidi w:val="0"/>
        <w:jc w:val="both"/>
        <w:rPr/>
      </w:pPr>
      <w:r>
        <w:rPr>
          <w:rFonts w:eastAsia="Times New Roman" w:cs="Times New Roman" w:ascii="Times New Roman" w:hAnsi="Times New Roman"/>
          <w:color w:val="111111"/>
          <w:sz w:val="28"/>
          <w:szCs w:val="28"/>
          <w:lang w:val="en-US"/>
        </w:rPr>
        <w:t>2.3. Posisi Logika dalam Hikmah Al-Isyrāg—75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SINOPSIS STRUKTUR LOGIKA SUHRAWARD-79</w:t>
      </w:r>
    </w:p>
    <w:p>
      <w:pPr>
        <w:pStyle w:val="BookText"/>
        <w:bidi w:val="0"/>
        <w:jc w:val="both"/>
        <w:rPr/>
      </w:pPr>
      <w:r>
        <w:rPr>
          <w:rFonts w:eastAsia="Times New Roman" w:cs="Times New Roman" w:ascii="Times New Roman" w:hAnsi="Times New Roman"/>
          <w:color w:val="111111"/>
          <w:sz w:val="28"/>
          <w:szCs w:val="28"/>
          <w:lang w:val="en-US"/>
        </w:rPr>
        <w:t>3.1. Struktur Logika dalam At-Talwīhāt—80</w:t>
      </w:r>
    </w:p>
    <w:p>
      <w:pPr>
        <w:pStyle w:val="BookText"/>
        <w:bidi w:val="0"/>
        <w:jc w:val="both"/>
        <w:rPr/>
      </w:pPr>
      <w:r>
        <w:rPr>
          <w:rFonts w:eastAsia="Times New Roman" w:cs="Times New Roman" w:ascii="Times New Roman" w:hAnsi="Times New Roman"/>
          <w:color w:val="111111"/>
          <w:sz w:val="28"/>
          <w:szCs w:val="28"/>
          <w:lang w:val="en-US"/>
        </w:rPr>
        <w:t>3.2. Struktur Logika dalam Al-Masyāri' wa Al-</w:t>
      </w:r>
    </w:p>
    <w:p>
      <w:pPr>
        <w:pStyle w:val="BookText"/>
        <w:bidi w:val="0"/>
        <w:jc w:val="both"/>
        <w:rPr/>
      </w:pPr>
      <w:r>
        <w:rPr>
          <w:rFonts w:eastAsia="Times New Roman" w:cs="Times New Roman" w:ascii="Times New Roman" w:hAnsi="Times New Roman"/>
          <w:color w:val="111111"/>
          <w:sz w:val="28"/>
          <w:szCs w:val="28"/>
          <w:lang w:val="en-US"/>
        </w:rPr>
        <w:t>Muthārahāt—85</w:t>
      </w:r>
    </w:p>
    <w:p>
      <w:pPr>
        <w:pStyle w:val="BookText"/>
        <w:bidi w:val="0"/>
        <w:jc w:val="both"/>
        <w:rPr/>
      </w:pPr>
      <w:r>
        <w:rPr>
          <w:rFonts w:eastAsia="Times New Roman" w:cs="Times New Roman" w:ascii="Times New Roman" w:hAnsi="Times New Roman"/>
          <w:color w:val="111111"/>
          <w:sz w:val="28"/>
          <w:szCs w:val="28"/>
          <w:lang w:val="en-US"/>
        </w:rPr>
        <w:t>3.3. Struktur dan Lingkup Logika dalam Hikmah Al-</w:t>
      </w:r>
    </w:p>
    <w:p>
      <w:pPr>
        <w:pStyle w:val="BookText"/>
        <w:bidi w:val="0"/>
        <w:jc w:val="both"/>
        <w:rPr/>
      </w:pPr>
      <w:r>
        <w:rPr>
          <w:rFonts w:eastAsia="Times New Roman" w:cs="Times New Roman" w:ascii="Times New Roman" w:hAnsi="Times New Roman"/>
          <w:color w:val="111111"/>
          <w:sz w:val="28"/>
          <w:szCs w:val="28"/>
          <w:lang w:val="en-US"/>
        </w:rPr>
        <w:t>Isyrāq-87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PENILAIAN—103</w:t>
      </w:r>
    </w:p>
    <w:p>
      <w:pPr>
        <w:pStyle w:val="BookText"/>
        <w:bidi w:val="0"/>
        <w:jc w:val="both"/>
        <w:rPr/>
      </w:pPr>
      <w:r>
        <w:rPr>
          <w:rFonts w:eastAsia="Times New Roman" w:cs="Times New Roman" w:ascii="Times New Roman" w:hAnsi="Times New Roman"/>
          <w:color w:val="111111"/>
          <w:sz w:val="28"/>
          <w:szCs w:val="28"/>
          <w:lang w:val="en-US"/>
        </w:rPr>
        <w:t>Catatan—106</w:t>
      </w:r>
    </w:p>
    <w:p>
      <w:pPr>
        <w:pStyle w:val="BookText"/>
        <w:bidi w:val="0"/>
        <w:jc w:val="both"/>
        <w:rPr/>
      </w:pPr>
      <w:r>
        <w:rPr>
          <w:rFonts w:eastAsia="Times New Roman" w:cs="Times New Roman" w:ascii="Times New Roman" w:hAnsi="Times New Roman"/>
          <w:color w:val="111111"/>
          <w:sz w:val="28"/>
          <w:szCs w:val="28"/>
          <w:lang w:val="en-US"/>
        </w:rPr>
        <w:t>BAB 3</w:t>
      </w:r>
    </w:p>
    <w:p>
      <w:pPr>
        <w:pStyle w:val="BookText"/>
        <w:bidi w:val="0"/>
        <w:jc w:val="both"/>
        <w:rPr/>
      </w:pPr>
      <w:r>
        <w:rPr>
          <w:rFonts w:eastAsia="Times New Roman" w:cs="Times New Roman" w:ascii="Times New Roman" w:hAnsi="Times New Roman"/>
          <w:color w:val="111111"/>
          <w:sz w:val="28"/>
          <w:szCs w:val="28"/>
          <w:lang w:val="en-US"/>
        </w:rPr>
        <w:t>TEORI DEFINISI ILUMINASI:</w:t>
      </w:r>
    </w:p>
    <w:p>
      <w:pPr>
        <w:pStyle w:val="BookText"/>
        <w:bidi w:val="0"/>
        <w:jc w:val="both"/>
        <w:rPr/>
      </w:pPr>
      <w:r>
        <w:rPr>
          <w:rFonts w:eastAsia="Times New Roman" w:cs="Times New Roman" w:ascii="Times New Roman" w:hAnsi="Times New Roman"/>
          <w:color w:val="111111"/>
          <w:sz w:val="28"/>
          <w:szCs w:val="28"/>
          <w:lang w:val="en-US"/>
        </w:rPr>
        <w:t>METODE DAN PENGETAHUAN FORMAL—119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ISTILAH DEFINISI—119</w:t>
      </w:r>
    </w:p>
    <w:p>
      <w:pPr>
        <w:pStyle w:val="BookText"/>
        <w:bidi w:val="0"/>
        <w:jc w:val="both"/>
        <w:rPr/>
      </w:pPr>
      <w:r>
        <w:rPr>
          <w:rFonts w:eastAsia="Times New Roman" w:cs="Times New Roman" w:ascii="Times New Roman" w:hAnsi="Times New Roman"/>
          <w:color w:val="111111"/>
          <w:sz w:val="28"/>
          <w:szCs w:val="28"/>
          <w:lang w:val="en-US"/>
        </w:rPr>
        <w:t>1.1. Pembagian Logika dan Definisi Iluminasi—120</w:t>
      </w:r>
    </w:p>
    <w:p>
      <w:pPr>
        <w:pStyle w:val="BookText"/>
        <w:bidi w:val="0"/>
        <w:jc w:val="both"/>
        <w:rPr/>
      </w:pPr>
      <w:r>
        <w:rPr>
          <w:rFonts w:eastAsia="Times New Roman" w:cs="Times New Roman" w:ascii="Times New Roman" w:hAnsi="Times New Roman"/>
          <w:color w:val="111111"/>
          <w:sz w:val="28"/>
          <w:szCs w:val="28"/>
          <w:lang w:val="en-US"/>
        </w:rPr>
        <w:t>1.2. Tipologi Definisi—123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DEFINISI DAN METODOLOGI FILSAFAT—124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2.1. Metodologi Definisi dan Posisinya dalam </w:t>
      </w:r>
    </w:p>
    <w:p>
      <w:pPr>
        <w:pStyle w:val="BookText"/>
        <w:bidi w:val="0"/>
        <w:rPr/>
      </w:pPr>
      <w:r>
        <w:rPr>
          <w:rFonts w:eastAsia="Times New Roman" w:cs="Times New Roman" w:ascii="Times New Roman" w:hAnsi="Times New Roman"/>
          <w:color w:val="111111"/>
          <w:sz w:val="28"/>
          <w:szCs w:val="28"/>
          <w:lang w:val="en-US"/>
        </w:rPr>
        <w:t>Metafisika—126</w:t>
      </w:r>
    </w:p>
    <w:p>
      <w:pPr>
        <w:pStyle w:val="BookText"/>
        <w:bidi w:val="0"/>
        <w:jc w:val="both"/>
        <w:rPr/>
      </w:pPr>
      <w:r>
        <w:rPr>
          <w:rFonts w:eastAsia="Times New Roman" w:cs="Times New Roman" w:ascii="Times New Roman" w:hAnsi="Times New Roman"/>
          <w:color w:val="111111"/>
          <w:sz w:val="28"/>
          <w:szCs w:val="28"/>
          <w:lang w:val="en-US"/>
        </w:rPr>
        <w:t>2.2. Dua Pendekatan dalam Menghampiri Definisi: Plato</w:t>
      </w:r>
    </w:p>
    <w:p>
      <w:pPr>
        <w:pStyle w:val="BookText"/>
        <w:bidi w:val="0"/>
        <w:jc w:val="both"/>
        <w:rPr/>
      </w:pPr>
      <w:r>
        <w:rPr>
          <w:rFonts w:eastAsia="Times New Roman" w:cs="Times New Roman" w:ascii="Times New Roman" w:hAnsi="Times New Roman"/>
          <w:color w:val="111111"/>
          <w:sz w:val="28"/>
          <w:szCs w:val="28"/>
          <w:lang w:val="en-US"/>
        </w:rPr>
        <w:t>dan Aristoteles —129</w:t>
      </w:r>
    </w:p>
    <w:p>
      <w:pPr>
        <w:pStyle w:val="BookText"/>
        <w:bidi w:val="0"/>
        <w:jc w:val="both"/>
        <w:rPr/>
      </w:pPr>
      <w:r>
        <w:rPr>
          <w:rFonts w:eastAsia="Times New Roman" w:cs="Times New Roman" w:ascii="Times New Roman" w:hAnsi="Times New Roman"/>
          <w:color w:val="111111"/>
          <w:sz w:val="28"/>
          <w:szCs w:val="28"/>
          <w:lang w:val="en-US"/>
        </w:rPr>
        <w:t>2.3. Metode Definisi Plato—131</w:t>
      </w:r>
    </w:p>
    <w:p>
      <w:pPr>
        <w:pStyle w:val="BookText"/>
        <w:bidi w:val="0"/>
        <w:jc w:val="both"/>
        <w:rPr/>
      </w:pPr>
      <w:r>
        <w:rPr>
          <w:rFonts w:eastAsia="Times New Roman" w:cs="Times New Roman" w:ascii="Times New Roman" w:hAnsi="Times New Roman"/>
          <w:color w:val="111111"/>
          <w:sz w:val="28"/>
          <w:szCs w:val="28"/>
          <w:lang w:val="en-US"/>
        </w:rPr>
        <w:t>2.4. Metode Definisi Aristoteles—135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TEORI DEFINISI SUHRAWARDI: BAGIAN PERTAMA</w:t>
      </w:r>
    </w:p>
    <w:p>
      <w:pPr>
        <w:pStyle w:val="BookText"/>
        <w:bidi w:val="0"/>
        <w:jc w:val="both"/>
        <w:rPr/>
      </w:pPr>
      <w:r>
        <w:rPr>
          <w:rFonts w:eastAsia="Times New Roman" w:cs="Times New Roman" w:ascii="Times New Roman" w:hAnsi="Times New Roman"/>
          <w:color w:val="111111"/>
          <w:sz w:val="28"/>
          <w:szCs w:val="28"/>
          <w:lang w:val="en-US"/>
        </w:rPr>
        <w:t>SIKLUS-140</w:t>
      </w:r>
    </w:p>
    <w:p>
      <w:pPr>
        <w:pStyle w:val="BookText"/>
        <w:bidi w:val="0"/>
        <w:jc w:val="both"/>
        <w:rPr/>
      </w:pPr>
      <w:r>
        <w:rPr>
          <w:rFonts w:eastAsia="Times New Roman" w:cs="Times New Roman" w:ascii="Times New Roman" w:hAnsi="Times New Roman"/>
          <w:color w:val="111111"/>
          <w:sz w:val="28"/>
          <w:szCs w:val="28"/>
          <w:lang w:val="en-US"/>
        </w:rPr>
        <w:t>3.1. At-Talwīhāt-143</w:t>
      </w:r>
    </w:p>
    <w:p>
      <w:pPr>
        <w:pStyle w:val="BookText"/>
        <w:bidi w:val="0"/>
        <w:jc w:val="both"/>
        <w:rPr/>
      </w:pPr>
      <w:r>
        <w:rPr>
          <w:rFonts w:eastAsia="Times New Roman" w:cs="Times New Roman" w:ascii="Times New Roman" w:hAnsi="Times New Roman"/>
          <w:color w:val="111111"/>
          <w:sz w:val="28"/>
          <w:szCs w:val="28"/>
          <w:lang w:val="en-US"/>
        </w:rPr>
        <w:t>3.2. Al-Masyāri' wa Al-Muthārahāt—149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TEORI DEFINISI ILUMINASI—162</w:t>
      </w:r>
    </w:p>
    <w:p>
      <w:pPr>
        <w:pStyle w:val="BookText"/>
        <w:bidi w:val="0"/>
        <w:jc w:val="both"/>
        <w:rPr/>
      </w:pPr>
      <w:r>
        <w:rPr>
          <w:rFonts w:eastAsia="Times New Roman" w:cs="Times New Roman" w:ascii="Times New Roman" w:hAnsi="Times New Roman"/>
          <w:color w:val="111111"/>
          <w:sz w:val="28"/>
          <w:szCs w:val="28"/>
          <w:lang w:val="en-US"/>
        </w:rPr>
        <w:t>4.1. Rumusan Teori Definisi Iluminasi—171</w:t>
      </w:r>
    </w:p>
    <w:p>
      <w:pPr>
        <w:pStyle w:val="BookText"/>
        <w:bidi w:val="0"/>
        <w:jc w:val="both"/>
        <w:rPr/>
      </w:pPr>
      <w:r>
        <w:rPr>
          <w:rFonts w:eastAsia="Times New Roman" w:cs="Times New Roman" w:ascii="Times New Roman" w:hAnsi="Times New Roman"/>
          <w:color w:val="111111"/>
          <w:sz w:val="28"/>
          <w:szCs w:val="28"/>
          <w:lang w:val="en-US"/>
        </w:rPr>
        <w:t>Catatan-178</w:t>
      </w:r>
    </w:p>
    <w:p>
      <w:pPr>
        <w:pStyle w:val="BookText"/>
        <w:bidi w:val="0"/>
        <w:jc w:val="both"/>
        <w:rPr/>
      </w:pPr>
      <w:r>
        <w:rPr>
          <w:rFonts w:eastAsia="Times New Roman" w:cs="Times New Roman" w:ascii="Times New Roman" w:hAnsi="Times New Roman"/>
          <w:color w:val="111111"/>
          <w:sz w:val="28"/>
          <w:szCs w:val="28"/>
          <w:lang w:val="en-US"/>
        </w:rPr>
        <w:t>BAB 4</w:t>
      </w:r>
    </w:p>
    <w:p>
      <w:pPr>
        <w:pStyle w:val="BookText"/>
        <w:bidi w:val="0"/>
        <w:jc w:val="both"/>
        <w:rPr/>
      </w:pPr>
      <w:r>
        <w:rPr>
          <w:rFonts w:eastAsia="Times New Roman" w:cs="Times New Roman" w:ascii="Times New Roman" w:hAnsi="Times New Roman"/>
          <w:color w:val="111111"/>
          <w:sz w:val="28"/>
          <w:szCs w:val="28"/>
          <w:lang w:val="en-US"/>
        </w:rPr>
        <w:t>PENGETAHUAN, ILUMINASI, DAN KOSMOLOGI—197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MUNGKINKAH MENGETAHUI? PENILAIAN SUHRAWARDI</w:t>
      </w:r>
    </w:p>
    <w:p>
      <w:pPr>
        <w:pStyle w:val="BookText"/>
        <w:bidi w:val="0"/>
        <w:jc w:val="both"/>
        <w:rPr/>
      </w:pPr>
      <w:r>
        <w:rPr>
          <w:rFonts w:eastAsia="Times New Roman" w:cs="Times New Roman" w:ascii="Times New Roman" w:hAnsi="Times New Roman"/>
          <w:color w:val="111111"/>
          <w:sz w:val="28"/>
          <w:szCs w:val="28"/>
          <w:lang w:val="en-US"/>
        </w:rPr>
        <w:t>ATAS PANDANGAN PERIPATETIK—197</w:t>
      </w:r>
    </w:p>
    <w:p>
      <w:pPr>
        <w:pStyle w:val="BookText"/>
        <w:bidi w:val="0"/>
        <w:jc w:val="both"/>
        <w:rPr/>
      </w:pPr>
      <w:r>
        <w:rPr>
          <w:rFonts w:eastAsia="Times New Roman" w:cs="Times New Roman" w:ascii="Times New Roman" w:hAnsi="Times New Roman"/>
          <w:color w:val="111111"/>
          <w:sz w:val="28"/>
          <w:szCs w:val="28"/>
          <w:lang w:val="en-US"/>
        </w:rPr>
        <w:t>1.1. Dasar Ontologis Ketidakpastian Epistemologi</w:t>
      </w:r>
    </w:p>
    <w:p>
      <w:pPr>
        <w:pStyle w:val="BookText"/>
        <w:bidi w:val="0"/>
        <w:jc w:val="both"/>
        <w:rPr/>
      </w:pPr>
      <w:r>
        <w:rPr>
          <w:rFonts w:eastAsia="Times New Roman" w:cs="Times New Roman" w:ascii="Times New Roman" w:hAnsi="Times New Roman"/>
          <w:color w:val="111111"/>
          <w:sz w:val="28"/>
          <w:szCs w:val="28"/>
          <w:lang w:val="en-US"/>
        </w:rPr>
        <w:t>Peripatetik—199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KONSEPSI (TASHAWWUR] DAN PENILAIAN (TASHDĪQ]:</w:t>
      </w:r>
    </w:p>
    <w:p>
      <w:pPr>
        <w:pStyle w:val="BookText"/>
        <w:bidi w:val="0"/>
        <w:jc w:val="both"/>
        <w:rPr/>
      </w:pPr>
      <w:r>
        <w:rPr>
          <w:rFonts w:eastAsia="Times New Roman" w:cs="Times New Roman" w:ascii="Times New Roman" w:hAnsi="Times New Roman"/>
          <w:color w:val="111111"/>
          <w:sz w:val="28"/>
          <w:szCs w:val="28"/>
          <w:lang w:val="en-US"/>
        </w:rPr>
        <w:t>PEMBAGIAN EPISTEMOLOGI PERTAMA—205</w:t>
      </w:r>
    </w:p>
    <w:p>
      <w:pPr>
        <w:pStyle w:val="BookText"/>
        <w:bidi w:val="0"/>
        <w:jc w:val="both"/>
        <w:rPr/>
      </w:pPr>
      <w:r>
        <w:rPr>
          <w:rFonts w:eastAsia="Times New Roman" w:cs="Times New Roman" w:ascii="Times New Roman" w:hAnsi="Times New Roman"/>
          <w:color w:val="111111"/>
          <w:sz w:val="28"/>
          <w:szCs w:val="28"/>
          <w:lang w:val="en-US"/>
        </w:rPr>
        <w:t>2.1. Keberatan-keberatan Suhrawardi Atas Kaum</w:t>
      </w:r>
    </w:p>
    <w:p>
      <w:pPr>
        <w:pStyle w:val="BookText"/>
        <w:bidi w:val="0"/>
        <w:jc w:val="both"/>
        <w:rPr/>
      </w:pPr>
      <w:r>
        <w:rPr>
          <w:rFonts w:eastAsia="Times New Roman" w:cs="Times New Roman" w:ascii="Times New Roman" w:hAnsi="Times New Roman"/>
          <w:color w:val="111111"/>
          <w:sz w:val="28"/>
          <w:szCs w:val="28"/>
          <w:lang w:val="en-US"/>
        </w:rPr>
        <w:t>Peripatetik—205</w:t>
      </w:r>
    </w:p>
    <w:p>
      <w:pPr>
        <w:pStyle w:val="BookText"/>
        <w:bidi w:val="0"/>
        <w:jc w:val="both"/>
        <w:rPr/>
      </w:pPr>
      <w:r>
        <w:rPr>
          <w:rFonts w:eastAsia="Times New Roman" w:cs="Times New Roman" w:ascii="Times New Roman" w:hAnsi="Times New Roman"/>
          <w:color w:val="111111"/>
          <w:sz w:val="28"/>
          <w:szCs w:val="28"/>
          <w:lang w:val="en-US"/>
        </w:rPr>
        <w:t>2.2 Pembagian Pengetahuan Menurut Kaum</w:t>
      </w:r>
    </w:p>
    <w:p>
      <w:pPr>
        <w:pStyle w:val="BookText"/>
        <w:bidi w:val="0"/>
        <w:jc w:val="both"/>
        <w:rPr/>
      </w:pPr>
      <w:r>
        <w:rPr>
          <w:rFonts w:eastAsia="Times New Roman" w:cs="Times New Roman" w:ascii="Times New Roman" w:hAnsi="Times New Roman"/>
          <w:color w:val="111111"/>
          <w:sz w:val="28"/>
          <w:szCs w:val="28"/>
          <w:lang w:val="en-US"/>
        </w:rPr>
        <w:t>Iluminasionis—208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PENGETAHUAN MELALUI ILUMINASI—213</w:t>
      </w:r>
    </w:p>
    <w:p>
      <w:pPr>
        <w:pStyle w:val="BookText"/>
        <w:bidi w:val="0"/>
        <w:jc w:val="both"/>
        <w:rPr/>
      </w:pPr>
      <w:r>
        <w:rPr>
          <w:rFonts w:eastAsia="Times New Roman" w:cs="Times New Roman" w:ascii="Times New Roman" w:hAnsi="Times New Roman"/>
          <w:color w:val="111111"/>
          <w:sz w:val="28"/>
          <w:szCs w:val="28"/>
          <w:lang w:val="en-US"/>
        </w:rPr>
        <w:t>3.1. Kritik Suhrawardi Atas Pandangan Peripatetik</w:t>
      </w:r>
    </w:p>
    <w:p>
      <w:pPr>
        <w:pStyle w:val="BookText"/>
        <w:bidi w:val="0"/>
        <w:jc w:val="both"/>
        <w:rPr/>
      </w:pPr>
      <w:r>
        <w:rPr>
          <w:rFonts w:eastAsia="Times New Roman" w:cs="Times New Roman" w:ascii="Times New Roman" w:hAnsi="Times New Roman"/>
          <w:color w:val="111111"/>
          <w:sz w:val="28"/>
          <w:szCs w:val="28"/>
          <w:lang w:val="en-US"/>
        </w:rPr>
        <w:t>Ihwal Pengetahuan sebagai Kesatuan dengan Akal</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aktif-213 </w:t>
      </w:r>
    </w:p>
    <w:p>
      <w:pPr>
        <w:pStyle w:val="BookText"/>
        <w:bidi w:val="0"/>
        <w:rPr/>
      </w:pPr>
      <w:r>
        <w:rPr>
          <w:rFonts w:eastAsia="Times New Roman" w:cs="Times New Roman" w:ascii="Times New Roman" w:hAnsi="Times New Roman"/>
          <w:color w:val="111111"/>
          <w:sz w:val="28"/>
          <w:szCs w:val="28"/>
          <w:lang w:val="en-US"/>
        </w:rPr>
        <w:t>3.2. Visi Mimpi Suhrawardi Berjumpa Aristoteles—215</w:t>
      </w:r>
    </w:p>
    <w:p>
      <w:pPr>
        <w:pStyle w:val="BookText"/>
        <w:bidi w:val="0"/>
        <w:jc w:val="both"/>
        <w:rPr/>
      </w:pPr>
      <w:r>
        <w:rPr>
          <w:rFonts w:eastAsia="Times New Roman" w:cs="Times New Roman" w:ascii="Times New Roman" w:hAnsi="Times New Roman"/>
          <w:color w:val="111111"/>
          <w:sz w:val="28"/>
          <w:szCs w:val="28"/>
          <w:lang w:val="en-US"/>
        </w:rPr>
        <w:t>3.3. Pandangan Iluminasi Tentang Pengetahuan Diri—217</w:t>
      </w:r>
    </w:p>
    <w:p>
      <w:pPr>
        <w:pStyle w:val="BookText"/>
        <w:bidi w:val="0"/>
        <w:jc w:val="both"/>
        <w:rPr/>
      </w:pPr>
      <w:r>
        <w:rPr>
          <w:rFonts w:eastAsia="Times New Roman" w:cs="Times New Roman" w:ascii="Times New Roman" w:hAnsi="Times New Roman"/>
          <w:color w:val="111111"/>
          <w:sz w:val="28"/>
          <w:szCs w:val="28"/>
          <w:lang w:val="en-US"/>
        </w:rPr>
        <w:t>3.4. Kesadaran Diri dan Iluminasi-220</w:t>
      </w:r>
    </w:p>
    <w:p>
      <w:pPr>
        <w:pStyle w:val="BookText"/>
        <w:bidi w:val="0"/>
        <w:jc w:val="both"/>
        <w:rPr/>
      </w:pPr>
      <w:r>
        <w:rPr>
          <w:rFonts w:eastAsia="Times New Roman" w:cs="Times New Roman" w:ascii="Times New Roman" w:hAnsi="Times New Roman"/>
          <w:color w:val="111111"/>
          <w:sz w:val="28"/>
          <w:szCs w:val="28"/>
          <w:lang w:val="en-US"/>
        </w:rPr>
        <w:t>3.5. Epistemologi Iluminasi: Proses Intuisi dan Iluminasi</w:t>
      </w:r>
    </w:p>
    <w:p>
      <w:pPr>
        <w:pStyle w:val="BookText"/>
        <w:bidi w:val="0"/>
        <w:jc w:val="both"/>
        <w:rPr/>
      </w:pPr>
      <w:r>
        <w:rPr>
          <w:rFonts w:eastAsia="Times New Roman" w:cs="Times New Roman" w:ascii="Times New Roman" w:hAnsi="Times New Roman"/>
          <w:color w:val="111111"/>
          <w:sz w:val="28"/>
          <w:szCs w:val="28"/>
          <w:lang w:val="en-US"/>
        </w:rPr>
        <w:t>Visi—224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ILUMINASI DAN EMANASI—231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WUJUD DAN CAHAYA—237</w:t>
      </w:r>
    </w:p>
    <w:p>
      <w:pPr>
        <w:pStyle w:val="BookText"/>
        <w:bidi w:val="0"/>
        <w:jc w:val="both"/>
        <w:rPr/>
      </w:pPr>
      <w:r>
        <w:rPr>
          <w:rFonts w:eastAsia="Times New Roman" w:cs="Times New Roman" w:ascii="Times New Roman" w:hAnsi="Times New Roman"/>
          <w:color w:val="111111"/>
          <w:sz w:val="28"/>
          <w:szCs w:val="28"/>
          <w:lang w:val="en-US"/>
        </w:rPr>
        <w:t>5.1. Wujud dan Berbagai Determinan Utamanya—237</w:t>
      </w:r>
    </w:p>
    <w:p>
      <w:pPr>
        <w:pStyle w:val="BookText"/>
        <w:bidi w:val="0"/>
        <w:jc w:val="both"/>
        <w:rPr/>
      </w:pPr>
      <w:r>
        <w:rPr>
          <w:rFonts w:eastAsia="Times New Roman" w:cs="Times New Roman" w:ascii="Times New Roman" w:hAnsi="Times New Roman"/>
          <w:color w:val="111111"/>
          <w:sz w:val="28"/>
          <w:szCs w:val="28"/>
          <w:lang w:val="en-US"/>
        </w:rPr>
        <w:t>5.2. Wujud dan Kosmologi—239</w:t>
      </w:r>
    </w:p>
    <w:p>
      <w:pPr>
        <w:pStyle w:val="BookText"/>
        <w:bidi w:val="0"/>
        <w:jc w:val="both"/>
        <w:rPr/>
      </w:pPr>
      <w:r>
        <w:rPr>
          <w:rFonts w:eastAsia="Times New Roman" w:cs="Times New Roman" w:ascii="Times New Roman" w:hAnsi="Times New Roman"/>
          <w:color w:val="111111"/>
          <w:sz w:val="28"/>
          <w:szCs w:val="28"/>
          <w:lang w:val="en-US"/>
        </w:rPr>
        <w:t>Catatan-243</w:t>
      </w:r>
    </w:p>
    <w:p>
      <w:pPr>
        <w:pStyle w:val="BookText"/>
        <w:bidi w:val="0"/>
        <w:jc w:val="both"/>
        <w:rPr/>
      </w:pPr>
      <w:r>
        <w:rPr>
          <w:rFonts w:eastAsia="Times New Roman" w:cs="Times New Roman" w:ascii="Times New Roman" w:hAnsi="Times New Roman"/>
          <w:color w:val="111111"/>
          <w:sz w:val="28"/>
          <w:szCs w:val="28"/>
          <w:lang w:val="en-US"/>
        </w:rPr>
        <w:t>APENDIKS A-261</w:t>
      </w:r>
    </w:p>
    <w:p>
      <w:pPr>
        <w:pStyle w:val="BookText"/>
        <w:bidi w:val="0"/>
        <w:jc w:val="both"/>
        <w:rPr/>
      </w:pPr>
      <w:r>
        <w:rPr>
          <w:rFonts w:eastAsia="Times New Roman" w:cs="Times New Roman" w:ascii="Times New Roman" w:hAnsi="Times New Roman"/>
          <w:color w:val="111111"/>
          <w:sz w:val="28"/>
          <w:szCs w:val="28"/>
          <w:lang w:val="en-US"/>
        </w:rPr>
        <w:t>Catatan—267</w:t>
      </w:r>
    </w:p>
    <w:p>
      <w:pPr>
        <w:pStyle w:val="BookText"/>
        <w:bidi w:val="0"/>
        <w:jc w:val="both"/>
        <w:rPr/>
      </w:pPr>
      <w:r>
        <w:rPr>
          <w:rFonts w:eastAsia="Times New Roman" w:cs="Times New Roman" w:ascii="Times New Roman" w:hAnsi="Times New Roman"/>
          <w:color w:val="111111"/>
          <w:sz w:val="28"/>
          <w:szCs w:val="28"/>
          <w:lang w:val="en-US"/>
        </w:rPr>
        <w:t>APENDIKS B-269</w:t>
      </w:r>
    </w:p>
    <w:p>
      <w:pPr>
        <w:pStyle w:val="BookText"/>
        <w:bidi w:val="0"/>
        <w:jc w:val="both"/>
        <w:rPr/>
      </w:pPr>
      <w:r>
        <w:rPr>
          <w:rFonts w:eastAsia="Times New Roman" w:cs="Times New Roman" w:ascii="Times New Roman" w:hAnsi="Times New Roman"/>
          <w:color w:val="111111"/>
          <w:sz w:val="28"/>
          <w:szCs w:val="28"/>
          <w:lang w:val="en-US"/>
        </w:rPr>
        <w:t>APENDIKS C—275</w:t>
      </w:r>
    </w:p>
    <w:p>
      <w:pPr>
        <w:pStyle w:val="BookText"/>
        <w:bidi w:val="0"/>
        <w:jc w:val="both"/>
        <w:rPr/>
      </w:pPr>
      <w:r>
        <w:rPr>
          <w:rFonts w:eastAsia="Times New Roman" w:cs="Times New Roman" w:ascii="Times New Roman" w:hAnsi="Times New Roman"/>
          <w:color w:val="111111"/>
          <w:sz w:val="28"/>
          <w:szCs w:val="28"/>
          <w:lang w:val="en-US"/>
        </w:rPr>
        <w:t>SENARAI RUJUKAN—279</w:t>
      </w:r>
    </w:p>
    <w:p>
      <w:pPr>
        <w:pStyle w:val="BookText"/>
        <w:bidi w:val="0"/>
        <w:jc w:val="both"/>
        <w:rPr/>
      </w:pPr>
      <w:r>
        <w:rPr>
          <w:rFonts w:eastAsia="Times New Roman" w:cs="Times New Roman" w:ascii="Times New Roman" w:hAnsi="Times New Roman"/>
          <w:color w:val="111111"/>
          <w:sz w:val="28"/>
          <w:szCs w:val="28"/>
          <w:lang w:val="en-US"/>
        </w:rPr>
        <w:t>INDEKS—287</w:t>
      </w:r>
    </w:p>
    <w:p>
      <w:pPr>
        <w:pStyle w:val="BookText"/>
        <w:bidi w:val="0"/>
        <w:jc w:val="both"/>
        <w:rPr/>
      </w:pPr>
      <w:r>
        <w:rPr>
          <w:rFonts w:eastAsia="Times New Roman" w:cs="Times New Roman" w:ascii="Times New Roman" w:hAnsi="Times New Roman"/>
          <w:color w:val="111111"/>
          <w:sz w:val="28"/>
          <w:szCs w:val="28"/>
          <w:lang w:val="en-US"/>
        </w:rPr>
        <w:t>Biografi Penulis— 295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Buku-Buku Sadra Press yang Telah Terbit </w:t>
      </w:r>
      <w:bookmarkStart w:id="21" w:name="pg6442_57251"/>
    </w:p>
    <w:p>
      <w:pPr>
        <w:pStyle w:val="Heading2"/>
        <w:numPr>
          <w:ilvl w:val="1"/>
          <w:numId w:val="1"/>
        </w:numPr>
        <w:bidi w:val="0"/>
        <w:jc w:val="left"/>
        <w:rPr/>
      </w:pPr>
      <w:bookmarkStart w:id="22" w:name="__RefHeading___Toc924588_653776707"/>
      <w:bookmarkStart w:id="23" w:name="_Toc7"/>
      <w:bookmarkEnd w:id="21"/>
      <w:bookmarkEnd w:id="22"/>
      <w:r>
        <w:rPr/>
        <w:t>Pengantar Redaksi</w:t>
      </w:r>
      <w:bookmarkEnd w:id="23"/>
    </w:p>
    <w:p>
      <w:pPr>
        <w:pStyle w:val="BookText"/>
        <w:bidi w:val="0"/>
        <w:jc w:val="both"/>
        <w:rPr/>
      </w:pPr>
      <w:r>
        <w:rPr>
          <w:rFonts w:eastAsia="Times New Roman" w:cs="Times New Roman" w:ascii="Times New Roman" w:hAnsi="Times New Roman"/>
          <w:color w:val="111111"/>
          <w:sz w:val="28"/>
          <w:szCs w:val="28"/>
          <w:lang w:val="en-US"/>
        </w:rPr>
        <w:t>Syaikh al-Isyraq (Sang Guru Filsafat Iluminasi), begitu  filsuf bernama lengkap Syihab al-Din Ibn Habasy Ibn Amirak Ibn  Abu al-Futuh al-Suhrawardi ini biasa dikenal. Pendiri salah satu  aliran filsafat Islam, madzhab Iluminasi, sebagai penyempurna  aliran filsafat yang berkembang sebelumnya, Peripatetik.</w:t>
      </w:r>
    </w:p>
    <w:p>
      <w:pPr>
        <w:pStyle w:val="BookText"/>
        <w:bidi w:val="0"/>
        <w:jc w:val="both"/>
        <w:rPr/>
      </w:pPr>
      <w:r>
        <w:rPr>
          <w:rFonts w:eastAsia="Times New Roman" w:cs="Times New Roman" w:ascii="Times New Roman" w:hAnsi="Times New Roman"/>
          <w:color w:val="111111"/>
          <w:sz w:val="28"/>
          <w:szCs w:val="28"/>
          <w:lang w:val="en-US"/>
        </w:rPr>
        <w:t>Perjalanan hidup Suhrawardi terbilang singkat, tetapi padat. la  terbunuh di usia yang ke-36 lantaran dihukum pancung oleh  otoritas yang berkuasa saat itu, Shalah al-Din al-Ayyubi, yang  termakan “bisikan" ulama (baca: otoritas oksoteris keagamaan)  Suriah bahwa ia telah menyelewengkan ajaran agama. Kendati  demikian, ia telah menelurkan banyak karya dan berhasil  mengenalkan metode pencapaian kebenaran yang “baru”  sebagaimana terlihat dalam karya-karyanya, terutama dalam  magnum opusnya “Hikmah al-Isyraq”.</w:t>
      </w:r>
    </w:p>
    <w:p>
      <w:pPr>
        <w:pStyle w:val="BookText"/>
        <w:bidi w:val="0"/>
        <w:jc w:val="both"/>
        <w:rPr/>
      </w:pPr>
      <w:r>
        <w:rPr>
          <w:rFonts w:eastAsia="Times New Roman" w:cs="Times New Roman" w:ascii="Times New Roman" w:hAnsi="Times New Roman"/>
          <w:color w:val="111111"/>
          <w:sz w:val="28"/>
          <w:szCs w:val="28"/>
          <w:lang w:val="en-US"/>
        </w:rPr>
        <w:t>Suhrawardi menjadikan usaha pembersihan hati sebagai  pendukung-atau malah fondasi-bagi penalaran diskursif  dalam usaha mendapat kebenaran. Dalam pengertian lain,  Filsafat Iluminasi yang dibangunnya merupakan perkawinan  antara nalar diskursif dan intuisi sehingga dalam pemikiran  Suhrawardi, seorang filsuf tidak hanya seorang yang memiliki  pengetahuan rasional, tetapi sekaligus menjadi orang suci,  orang yang “tercerahkan” dalam sinaran pengetahuan Ilahi.</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Sejatinya, istilah isyraq merujuk pada hal ini, pada dunia cahaya  (Iluminasi) selain juga pada Timur. Dalam Filsafat Isyraqiyyah  (Iluminasi), Timur tidak dipandang selalu secara geografis, </w:t>
      </w:r>
    </w:p>
    <w:p>
      <w:pPr>
        <w:pStyle w:val="BookText"/>
        <w:bidi w:val="0"/>
        <w:rPr/>
      </w:pPr>
      <w:r>
        <w:rPr>
          <w:rFonts w:eastAsia="Times New Roman" w:cs="Times New Roman" w:ascii="Times New Roman" w:hAnsi="Times New Roman"/>
          <w:color w:val="111111"/>
          <w:sz w:val="28"/>
          <w:szCs w:val="28"/>
          <w:lang w:val="en-US"/>
        </w:rPr>
        <w:t>tetapi sebagai sumber dan awal cahaya, di mana keduanya erat  kaitannya dengan Tuhan, atau Nur al-Anwar (Cahaya Segala  Cahaya) dalam istilah Suhrawardi.</w:t>
      </w:r>
    </w:p>
    <w:p>
      <w:pPr>
        <w:pStyle w:val="BookText"/>
        <w:bidi w:val="0"/>
        <w:jc w:val="both"/>
        <w:rPr/>
      </w:pPr>
      <w:r>
        <w:rPr>
          <w:rFonts w:eastAsia="Times New Roman" w:cs="Times New Roman" w:ascii="Times New Roman" w:hAnsi="Times New Roman"/>
          <w:color w:val="111111"/>
          <w:sz w:val="28"/>
          <w:szCs w:val="28"/>
          <w:lang w:val="en-US"/>
        </w:rPr>
        <w:t>Suhrawardi menjadikan pengalaman mistis (yang  dihasilkan dari usaha pembersihan hati) sebagai pendukung.</w:t>
      </w:r>
    </w:p>
    <w:p>
      <w:pPr>
        <w:pStyle w:val="BookText"/>
        <w:bidi w:val="0"/>
        <w:jc w:val="both"/>
        <w:rPr/>
      </w:pPr>
      <w:r>
        <w:rPr>
          <w:rFonts w:eastAsia="Times New Roman" w:cs="Times New Roman" w:ascii="Times New Roman" w:hAnsi="Times New Roman"/>
          <w:color w:val="111111"/>
          <w:sz w:val="28"/>
          <w:szCs w:val="28"/>
          <w:lang w:val="en-US"/>
        </w:rPr>
        <w:t>Nilai penting kehidupan Suhrawardi dan pemikirannya telah  dikaji oleh beberapa pengkaji, dan di antara yang kompeten  dan terkenal dalam hal ini adalah Hossein Ziai. Pemikir yang  wafat 24 Agustus 2011 lalu ini dikenal aktif menulis beberapa  tema filsafat Islam, terutama tentang Filsafat Iluminasi. Berikut  beberapa buku yang sudah ia tulis: Anvāriyyeh (The Realm of  Lights); Knowledge and Illumination: A Study of Suhrawardi's  Hikmah al-Ishrāq; Shahrazūri's Sharh Hikmat al-Ishrāq, on  Illuminationist Philosophy; The Book of Radiance; The Philosophy  of illumination; The Ball and Polo Stick; Ibn Kammūna's Sharh  al-Talwihāt, on Natural Philosophy and Psychology. Nah, buku  di tangan Anda sekarang ini adalah salah satu karya terbaik  profesor filsafat Islam jebolan Harvard University ini.</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buku ini Anda akan melihat bagaimana Ziai  menjelaskan ajaran-ajaran Filsafat Iluminasi terutama dasar-  dasar logika dan epistemologinya secara gamblang, tetapi  jelas. Agaknya, tanpa sedikitpun menafikan peran intuisi,  Ziai ingin lebih menekankan aspek filosofis dari Hikmah al-  Isyraq ketimbang aspek mistisnya. Merujuk pada jawaban  Suhrawardi ketika ditanya oleh salah satu muridnya tentang  karyanya Hikmah al-Isyraq adalah karya filsafat atau mistis,  Suhrawardi menjawab bahwa Hikmah al-Isyraq adalah karya  filsafat yang didasarkan atas pengalaman mistis. Ya, Hikmah  al-Isyraq sebagai sebuah karya filsafat, dan bukan sebagai </w:t>
      </w:r>
    </w:p>
    <w:p>
      <w:pPr>
        <w:pStyle w:val="BookText"/>
        <w:bidi w:val="0"/>
        <w:rPr/>
      </w:pPr>
      <w:r>
        <w:rPr>
          <w:rFonts w:eastAsia="Times New Roman" w:cs="Times New Roman" w:ascii="Times New Roman" w:hAnsi="Times New Roman"/>
          <w:color w:val="111111"/>
          <w:sz w:val="28"/>
          <w:szCs w:val="28"/>
          <w:lang w:val="en-US"/>
        </w:rPr>
        <w:t>usaha penemuan Kebenaran yang hendak dikaji oleh Ziai.</w:t>
      </w:r>
    </w:p>
    <w:p>
      <w:pPr>
        <w:pStyle w:val="BookText"/>
        <w:bidi w:val="0"/>
        <w:jc w:val="both"/>
        <w:rPr/>
      </w:pPr>
      <w:r>
        <w:rPr>
          <w:rFonts w:eastAsia="Times New Roman" w:cs="Times New Roman" w:ascii="Times New Roman" w:hAnsi="Times New Roman"/>
          <w:color w:val="111111"/>
          <w:sz w:val="28"/>
          <w:szCs w:val="28"/>
          <w:lang w:val="en-US"/>
        </w:rPr>
        <w:t>Karena sebagaimana nanti dibuktikan oleh penulis, unsur-unsur  logika dan epistemologi begitu kental dalam bangunan Filsafat  Iluminasi, maka, sebagaimana Ziai tekankan, mengabaikan  sepenuhnya hal ini menjamin ketidaksempurnaan analisis dan  akan menghasilkan hasil yang tidak memuaskan. Karena itu,  boleh dikatakan, karya Ziai ini melengkapi kajian-kajian serius  dari peneliti lainnya, seperti Nasr dan Corbin yang banyak  mengeksplorasi sisi spiritual-mistis pemikiran Suhrawardi.</w:t>
      </w:r>
    </w:p>
    <w:p>
      <w:pPr>
        <w:pStyle w:val="BookText"/>
        <w:bidi w:val="0"/>
        <w:jc w:val="both"/>
        <w:rPr/>
      </w:pPr>
      <w:r>
        <w:rPr>
          <w:rFonts w:eastAsia="Times New Roman" w:cs="Times New Roman" w:ascii="Times New Roman" w:hAnsi="Times New Roman"/>
          <w:color w:val="111111"/>
          <w:sz w:val="28"/>
          <w:szCs w:val="28"/>
          <w:lang w:val="en-US"/>
        </w:rPr>
        <w:t>Eksplorasi Ziai terhadap aspek filosofis pemikiran  Suhrawardi itu dapat dilihat dari tema-tema yang dibahas  dalam buku ini. Penulisan buku ini dikelompokkan ke dalam  empat bagian utama, yaitu: (1) Filsafat Iluminasi; (2) Logika  Dalam Filsafat Iluminasi; (3) Teori Definisi Iluminasi: Metode  dan Pengetahuan Formal; (4) Pengetahuan, lluminasi dan  Kosmologi.</w:t>
      </w:r>
    </w:p>
    <w:p>
      <w:pPr>
        <w:pStyle w:val="BookText"/>
        <w:bidi w:val="0"/>
        <w:jc w:val="both"/>
        <w:rPr/>
      </w:pPr>
      <w:r>
        <w:rPr>
          <w:rFonts w:eastAsia="Times New Roman" w:cs="Times New Roman" w:ascii="Times New Roman" w:hAnsi="Times New Roman"/>
          <w:color w:val="111111"/>
          <w:sz w:val="28"/>
          <w:szCs w:val="28"/>
          <w:lang w:val="en-US"/>
        </w:rPr>
        <w:t>Bagian pertama menjelaskan tentang bagaimana  mengetahui Filsafat Iluminasi Suhrawardi. Dalam bagian ini akan  terlihat bagaimana Ziai mencoba memahami Filsafat Iluminasi.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Menurutnya, untuk memahami aliran filsafat ini tidak bisa hanya  berpatokan pada salah satu karya Suhrawardi saja, misalnya  Hikmah al-Isyraq, sebaliknya perlu melihat beberapa karya  Suhrawardi secara utuh. Untuk memperkuat pendapatnya, Ziai  mengutip pernyataan Suhrawardi bahwa terdapat kaitan antara  empat karyanya: At-Talwīhāt, Al-Muqāwamāt, Al-Masyāri' wa al-  Muthārahāt, serta Hikmah al-Isyrāq, di mana setiap karya dari  empat karya ini – yang diawali dari At-Talwihāt dan diakhiri oleh  Hikmah al-Isyrāq-membimbing pada karya yang lainnya dan  membentuk satu kesatuan yang utuh. Karena itu, mesti dibaca </w:t>
      </w:r>
    </w:p>
    <w:p>
      <w:pPr>
        <w:pStyle w:val="BookText"/>
        <w:bidi w:val="0"/>
        <w:rPr/>
      </w:pPr>
      <w:r>
        <w:rPr>
          <w:rFonts w:eastAsia="Times New Roman" w:cs="Times New Roman" w:ascii="Times New Roman" w:hAnsi="Times New Roman"/>
          <w:color w:val="111111"/>
          <w:sz w:val="28"/>
          <w:szCs w:val="28"/>
          <w:lang w:val="en-US"/>
        </w:rPr>
        <w:t>dalam suatu urutan tertentu.</w:t>
      </w:r>
    </w:p>
    <w:p>
      <w:pPr>
        <w:pStyle w:val="BookText"/>
        <w:bidi w:val="0"/>
        <w:jc w:val="both"/>
        <w:rPr/>
      </w:pPr>
      <w:r>
        <w:rPr>
          <w:rFonts w:eastAsia="Times New Roman" w:cs="Times New Roman" w:ascii="Times New Roman" w:hAnsi="Times New Roman"/>
          <w:color w:val="111111"/>
          <w:sz w:val="28"/>
          <w:szCs w:val="28"/>
          <w:lang w:val="en-US"/>
        </w:rPr>
        <w:t>Mungkin pembaca akan bertanya, “Mengapa mesti  empat karya ini yang dijadikan pijakan dalam upaya memahami  Filsafat iluminasi?” “Bukankah Suhrawardi hanya menjelaskan  tentang keterkaitan empat karyanya dan bukan tentang Filsafat  Iluminasinya secara keseluruhan terdokumentasikan dalam  empat karya di atas?" Ziai tentunya memiliki alasan, tetapi tidak  seperti pernyataan eksplisit Suhrawardi tentang keterkaitan  empat karyanya, alasan yang diungkapkan di sini cenderung  berasal dari hasil analisis Ziai dengan mempertimbangkan  berbagai aspek dan didukung pernyataan implisit Suhrawardi.</w:t>
      </w:r>
    </w:p>
    <w:p>
      <w:pPr>
        <w:pStyle w:val="BookText"/>
        <w:bidi w:val="0"/>
        <w:jc w:val="both"/>
        <w:rPr/>
      </w:pPr>
      <w:r>
        <w:rPr>
          <w:rFonts w:eastAsia="Times New Roman" w:cs="Times New Roman" w:ascii="Times New Roman" w:hAnsi="Times New Roman"/>
          <w:color w:val="111111"/>
          <w:sz w:val="28"/>
          <w:szCs w:val="28"/>
          <w:lang w:val="en-US"/>
        </w:rPr>
        <w:t>Ala kulli hal, Ziai banyak menemukan hal-hal baru dalam kajian  ini, termasuk proses dan metode khusus guna memahami  empat karya Suhrawardi tersebut.</w:t>
      </w:r>
    </w:p>
    <w:p>
      <w:pPr>
        <w:pStyle w:val="BookText"/>
        <w:bidi w:val="0"/>
        <w:jc w:val="both"/>
        <w:rPr/>
      </w:pPr>
      <w:r>
        <w:rPr>
          <w:rFonts w:eastAsia="Times New Roman" w:cs="Times New Roman" w:ascii="Times New Roman" w:hAnsi="Times New Roman"/>
          <w:color w:val="111111"/>
          <w:sz w:val="28"/>
          <w:szCs w:val="28"/>
          <w:lang w:val="en-US"/>
        </w:rPr>
        <w:t>Bagian kedua menjelaskan tentang Logika Filsafat  lluminasi. Dalam pembahasan ini, Ziai memulai dengan  menelaah pembahasan logika dalam empat karya tersebut, lalu  membandingkannya dengan logika Filsafat Peripatetik, khususnya  Logika Peripatetik Ibn Sina dalam karya monumentalnya, Asy-  Syifa, kitab yang Ziai anggap paling representatif berkaitan  dengan Logika Peripatetik. Ziai boleh dikatakan berhasil dalam  menguak poin-poin pembeda antara Logika Peripatetik dan  Logika Iluminasi, sekaligus menghadirkan karakteristik struktur  logis dari keempat karya penting Suhrawardi.</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Bagian ketiga menjelaskan tentang teori Definisi  Iluminasi. Tema ini dipilih Ziai mengingat dalam pandangan  Suhrawardi, mengetahui definisi termasuk salah satu cara dalam  memahami epistemologilluminasi. Sejatinya pembahasan  definisi sudah ditelaah sejak masa Socrates, Plato, Aristoteles, </w:t>
      </w:r>
    </w:p>
    <w:p>
      <w:pPr>
        <w:pStyle w:val="BookText"/>
        <w:bidi w:val="0"/>
        <w:rPr/>
      </w:pPr>
      <w:r>
        <w:rPr>
          <w:rFonts w:eastAsia="Times New Roman" w:cs="Times New Roman" w:ascii="Times New Roman" w:hAnsi="Times New Roman"/>
          <w:color w:val="111111"/>
          <w:sz w:val="28"/>
          <w:szCs w:val="28"/>
          <w:lang w:val="en-US"/>
        </w:rPr>
        <w:t>serta dilanjutkan oleh filsuf-filsuf Islam. Sampai saat ini  pembahasan ini masih dinilai penting, mengingat definisi adalah  kerangka konseptual utama dalam ilmu. Ziai pun meyakini hal  yang sama. Menurutnya karena problem definisi adalah problem  utama dalam pengetahuan, tentu memahami teori definisi  Suhrawardi menjadi langkah penting pertama dalam menjawab  pertanyaan, “Apakah Filsafat Iluminasi itu?" Pada akhirnya,  tulisan dalam bagian ini berusaha menganalisis, apakah teori  definisi Suhrawardi benar-benar baru? Atau hanya melengkapi  teori definisi dari filsuf-filsuf sebelumnya?  Bagian keempat menjelaskan tiga obyek penting dalam  Filsafat Iluminasi: pengetahuan, Iluminasi, dan kosmologi.</w:t>
      </w:r>
    </w:p>
    <w:p>
      <w:pPr>
        <w:pStyle w:val="BookText"/>
        <w:bidi w:val="0"/>
        <w:jc w:val="both"/>
        <w:rPr/>
      </w:pPr>
      <w:r>
        <w:rPr>
          <w:rFonts w:eastAsia="Times New Roman" w:cs="Times New Roman" w:ascii="Times New Roman" w:hAnsi="Times New Roman"/>
          <w:color w:val="111111"/>
          <w:sz w:val="28"/>
          <w:szCs w:val="28"/>
          <w:lang w:val="en-US"/>
        </w:rPr>
        <w:t>Secara umum, tulisan dalam bagian ini mengeksplorasi lebih  detail bangunan epistemologi Iluminasi, termasuk bagaimana  kaitan epistemologi dengan ontologi, pengetahuan diri, emanasi,  serta kosmologi.</w:t>
      </w:r>
    </w:p>
    <w:p>
      <w:pPr>
        <w:pStyle w:val="BookText"/>
        <w:bidi w:val="0"/>
        <w:jc w:val="both"/>
        <w:rPr/>
      </w:pPr>
      <w:r>
        <w:rPr>
          <w:rFonts w:eastAsia="Times New Roman" w:cs="Times New Roman" w:ascii="Times New Roman" w:hAnsi="Times New Roman"/>
          <w:color w:val="111111"/>
          <w:sz w:val="28"/>
          <w:szCs w:val="28"/>
          <w:lang w:val="en-US"/>
        </w:rPr>
        <w:t>Pembahasan dalam keseluruhan bukuini menjadi menarik  karena penulis berhasil mendialektikakan pemikiran Iluminasi  Suhrawardi dengan pemikiran Peripatetik. Mungkin karena sulit  untuk berbicara sekaligus memahami Filsafat Iluminasi tanpa  menyinggung filsafat Peripatetik. Pasalnya, Filsafat Iluminasi  meski dibangun di atas serangan dan kritikan pada Peripatetik,  sejatinya juga melengkapi sekaligus memodifikasi Filsafat  Peripatetik. Jadi, pembaca juga diuntungkan dengan dapat  mengetahui beberapa prinsip-prinsip dan pemikiran Peripatetik.</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sayangnya, beberapa penjelasan dalam buku ini ternilai  singkat. Hal ini bisa dimafhumi mengingat di awal, penulis  sudah menyatakan untuk menjelaskan uraian-uraiannya dengan  tidak bertele-tele.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Terakhir, sejauh ini karya tentang pemikiran Suhrawardi  masih terbilang minim. Mungkin lantaran kompleksitas dan  kesulitan dari pemikiran seorang tokoh yang konon telah  mengubah hidup seorang Henry Corbin secara intelektual  dan spiritual ini. Di Barat, beberapa pengkaji Suhrawardi baru  muncul sejak sekitar 1 abad yang lalu, di antaranya Otto Spies,  Helmut Ritten, Luis Massignon, serta Henry Corbin yang sangat  berjasa dalam mengenalkan Suhrawardi dan pemikirannya pada  dunia Barat. Sejalan dengan hal ini, di Indonesia, karya dengan  tema yang sama juga masih terhitung sedikit. Atas dasar hal  ini, Sadra Press memandang penting untuk menghadirkan suatu  karya tentang Suhrawardi dan Filsafat Iluminasi sebagai bagian  dalam khazanah Islam dengan harapan dapat lebih mewarnai  kajian filsafat Islam di Indonesia. Selamat membaca! </w:t>
      </w:r>
      <w:bookmarkStart w:id="24" w:name="pg6442_57257"/>
    </w:p>
    <w:p>
      <w:pPr>
        <w:pStyle w:val="Heading2"/>
        <w:numPr>
          <w:ilvl w:val="1"/>
          <w:numId w:val="1"/>
        </w:numPr>
        <w:bidi w:val="0"/>
        <w:jc w:val="left"/>
        <w:rPr/>
      </w:pPr>
      <w:bookmarkStart w:id="25" w:name="__RefHeading___Toc924590_653776707"/>
      <w:bookmarkStart w:id="26" w:name="_Toc8"/>
      <w:bookmarkEnd w:id="24"/>
      <w:bookmarkEnd w:id="25"/>
      <w:r>
        <w:rPr/>
        <w:t>Ucapan Terima Kasih</w:t>
      </w:r>
      <w:bookmarkEnd w:id="26"/>
    </w:p>
    <w:p>
      <w:pPr>
        <w:pStyle w:val="BookText"/>
        <w:bidi w:val="0"/>
        <w:jc w:val="both"/>
        <w:rPr/>
      </w:pPr>
      <w:r>
        <w:rPr>
          <w:rFonts w:eastAsia="Times New Roman" w:cs="Times New Roman" w:ascii="Times New Roman" w:hAnsi="Times New Roman"/>
          <w:color w:val="111111"/>
          <w:sz w:val="28"/>
          <w:szCs w:val="28"/>
          <w:lang w:val="en-US"/>
        </w:rPr>
        <w:t>Saya ingin menyampaikan terima kasih kepada Muhsin S.</w:t>
      </w:r>
    </w:p>
    <w:p>
      <w:pPr>
        <w:pStyle w:val="BookText"/>
        <w:bidi w:val="0"/>
        <w:jc w:val="both"/>
        <w:rPr/>
      </w:pPr>
      <w:r>
        <w:rPr>
          <w:rFonts w:eastAsia="Times New Roman" w:cs="Times New Roman" w:ascii="Times New Roman" w:hAnsi="Times New Roman"/>
          <w:color w:val="111111"/>
          <w:sz w:val="28"/>
          <w:szCs w:val="28"/>
          <w:lang w:val="en-US"/>
        </w:rPr>
        <w:t>Mahdi atas bimbingannya yang tulus dan sungguh-sungguh, dan  saya berutang budi kepada Wheeler Mc Intosh Thackston, Jr.</w:t>
      </w:r>
    </w:p>
    <w:p>
      <w:pPr>
        <w:pStyle w:val="BookText"/>
        <w:bidi w:val="0"/>
        <w:jc w:val="both"/>
        <w:rPr/>
      </w:pPr>
      <w:r>
        <w:rPr>
          <w:rFonts w:eastAsia="Times New Roman" w:cs="Times New Roman" w:ascii="Times New Roman" w:hAnsi="Times New Roman"/>
          <w:color w:val="111111"/>
          <w:sz w:val="28"/>
          <w:szCs w:val="28"/>
          <w:lang w:val="en-US"/>
        </w:rPr>
        <w:t>atas berbagai sarannya yang sangat berharga. Saya juga ingin  menyampaikan ucapan terima kasih kepada Divisi Timur Tengah,  Perpustakaan Widener Universitas Harvard, dan penghargaan  saya kepada Dr. David Partington. Saya juga menyampaikan  terima kasih kepada Ms. Chrisine Desjarlis Leuth dan Ms.</w:t>
      </w:r>
    </w:p>
    <w:p>
      <w:pPr>
        <w:pStyle w:val="BookText"/>
        <w:bidi w:val="0"/>
        <w:jc w:val="both"/>
        <w:rPr/>
      </w:pPr>
      <w:r>
        <w:rPr>
          <w:rFonts w:eastAsia="Times New Roman" w:cs="Times New Roman" w:ascii="Times New Roman" w:hAnsi="Times New Roman"/>
          <w:color w:val="111111"/>
          <w:sz w:val="28"/>
          <w:szCs w:val="28"/>
          <w:lang w:val="en-US"/>
        </w:rPr>
        <w:t>Corrie V. Marsh dari Perpustakaan Universitas Brown yang telah  menunjukkan kepada saya microfilm sebuah manuskrip yang  telah saya coba cari selama beberapa tahun. Saya berterima  kasih kepada dua orang mantan mahasiswa saya: Messers Chase  Robinson dan Anselm Snodgrass, yang telah membaca bagian-  bagian naskah buku ini dan memberikan berbagai komentar  yang bermanfaat. Saya ingin berterima kasih kepada Oberlin  College atas dukungannya yang saya terima dalam waktu singkat,  tetapi menjadi tahun sangat berharga, yang saya habiskan dan  lewatkan di sana. Selama tahap-tahap akhir penyelesaian buku  ini, saya menerima dukungan dari Senat Akademik Universitas  California di Los Angeles, yang kepadanya saya sangat berterima  kasih. Saya ingin berterima kasih secara khusus kepada Mr.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Dunning Wilson dari Perpustakaan University Research yang  telah mencarikan berbagai microfilm manuskrip yang-  tanpanya, Bab 2 dan Bab 3 dari buku ini tidak mungkin bisa  diselesaikan. Akhirnya, saya ingin mengambil kesempatan ini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untuk berterima kasih kepada Jacob Neusner atas dorongannya  yang hangat dan tawarannya untuk menerbitkan karya ini dalam  Seri Kajian-kajian Yahudi di Universitas Brown. </w:t>
      </w:r>
      <w:bookmarkStart w:id="27" w:name="pg6442_57259"/>
    </w:p>
    <w:p>
      <w:pPr>
        <w:pStyle w:val="Heading2"/>
        <w:numPr>
          <w:ilvl w:val="1"/>
          <w:numId w:val="1"/>
        </w:numPr>
        <w:bidi w:val="0"/>
        <w:jc w:val="left"/>
        <w:rPr/>
      </w:pPr>
      <w:bookmarkStart w:id="28" w:name="__RefHeading___Toc924592_653776707"/>
      <w:bookmarkStart w:id="29" w:name="_Toc9"/>
      <w:bookmarkEnd w:id="27"/>
      <w:bookmarkEnd w:id="28"/>
      <w:r>
        <w:rPr/>
        <w:t>PENDAHULUAN</w:t>
      </w:r>
      <w:bookmarkEnd w:id="29"/>
    </w:p>
    <w:p>
      <w:pPr>
        <w:pStyle w:val="BookText"/>
        <w:bidi w:val="0"/>
        <w:jc w:val="both"/>
        <w:rPr/>
      </w:pPr>
      <w:r>
        <w:rPr>
          <w:rFonts w:eastAsia="Times New Roman" w:cs="Times New Roman" w:ascii="Times New Roman" w:hAnsi="Times New Roman"/>
          <w:color w:val="111111"/>
          <w:sz w:val="28"/>
          <w:szCs w:val="28"/>
          <w:lang w:val="en-US"/>
        </w:rPr>
        <w:t>Tidak ada lagi tabir di antara Pecinta dan Kekasih.</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engkau, wahai diri, menjadi hijab antara  Hāfizh dan Yang Mahatinggi!  (Hafizh dalam Diwan)  Pemikiran Filsafat Syihabuddin Suhrawardi belum  pernah dikaji secara sistematis. Buku ini adalah sebuah upaya  untuk mengisi kekosongan itu. Diharapkan buku ini akan  menjadi langkah awal atau pendahuluan untuk suatu kajian dan  telaah komprehensif atas berbagai gagasan seorang manusia  yang mempunyai pengaruh monumental pada pemikiran filsafat  dalam Islam pada umumnya, dan Mistisisme Spekulatif Iran pada  khususnya. Di masa ketika Zeitgeist (semangat zaman) sejarah  Islam sudah menjadi lebih dari sekadar manifestasi hilangnya  spiritualitas ketimbang proses penemuannya kembali, warisan  Suhrawardi justru memberikan sebuah metode kajian dan telaah  alternatif atas hakikat segala sesuatu. Dari formulasi awalnya di  akhir abad ke-12 M, Filsafat Iluminasi telah diadopsi oleh para  pemikir yang mempertanyakan atau menggugat Peripatetisme  Sinkretis sebagai Filsafat Islam yang asli. Ini menandai babak  baru sebuah Filsafat Keagamaan dan mistis dalam Islam yang  diformulasikan dengan baik dan melampaui Filsafat Peripatetik  dengan memijakkan posisi epistemologi fundamental pada  wahyu, inspirasi personal, dan visi mistis. Bahasa kiasan dan  simbolisnya pun tampak dan terbukti dalam sekian banyak  karya mistis berbahasa Persia dan Arab dalam bentuk prosa dan  puisi. </w:t>
      </w:r>
    </w:p>
    <w:p>
      <w:pPr>
        <w:pStyle w:val="BookText"/>
        <w:bidi w:val="0"/>
        <w:rPr/>
      </w:pPr>
      <w:r>
        <w:rPr>
          <w:rFonts w:eastAsia="Times New Roman" w:cs="Times New Roman" w:ascii="Times New Roman" w:hAnsi="Times New Roman"/>
          <w:color w:val="111111"/>
          <w:sz w:val="28"/>
          <w:szCs w:val="28"/>
          <w:lang w:val="en-US"/>
        </w:rPr>
        <w:t>Dampak atau pengaruh metodologi baru Suhrawardi,  berikut rekonstruksinya atas filsafat yang lebih sejalan dengan  corak Platonisme, sangatlah monumental. Dampak atau  pengaruh ini, umpamanya, bisa dilihat dari sedikitnya kajian  yang menelaah karya filosofis seorang filsuf Yahudi abad ke-  13 M dan ahli logika, Sa'd bin Manshur bin Kammunah, salah  seorang komentator besar atas karya-karya logika Suhrawardi,  yang diberi judul Al-Jadid fi Al-Hikmah (Filsafat Baru, atau boleh  dikata, Novum Organum).</w:t>
      </w:r>
    </w:p>
    <w:p>
      <w:pPr>
        <w:pStyle w:val="BookText"/>
        <w:bidi w:val="0"/>
        <w:jc w:val="both"/>
        <w:rPr/>
      </w:pPr>
      <w:r>
        <w:rPr>
          <w:rFonts w:eastAsia="Times New Roman" w:cs="Times New Roman" w:ascii="Times New Roman" w:hAnsi="Times New Roman"/>
          <w:color w:val="111111"/>
          <w:sz w:val="28"/>
          <w:szCs w:val="28"/>
          <w:lang w:val="en-US"/>
        </w:rPr>
        <w:t>Pemikiran Suhrawardi bukan sebuah teologi, atau teosofi,  dan juga bukan sejenis sagesse orientale (hikmah dari Timur),  sebagaimana disebut demikian oleh sebuah karya ilmiah  kontemporer. Alih-alih, ia justru menggambarkan Filsafat Mistis  yang sistematis. Mengabaikan sepenuhnya komponen logika  dan epistemologi dalam berbagai karyanya pasti menimbulkan  ketidaksempurnaan analisis dan juga tidak memuaskan. Pemikiran  Suhrawardi ditandai oleh tidak adanya dogmatisme dengan  disposisi dinamis yang memungkinkan adanya perubahan  karena subjek berubah. Meskipun mengandung kebijaksanaan,  oópia, dalam pengertiannya yang kaku, pada dasarnya ia adalah  sebuah filsafat yang bertujuan mengkaji dan menelaah segala  sesuatu berikut juga respon-respon yang ditimbulkannya pada  diri manusia serta berusaha mengekspresikan secara runtut dan  sistematis hasil-hasil dari kajian dan telaahnya.</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Kajian dan telaah atas asal-usul dan perkembangan  Filsafat Keagamaan dan mistis dalam Islam, dan juga logika  dan epistemologi non-Aristotelian, tidak termasuk dalam – dan  berada di luar – lingkup bahasan karya ini. Akan tetapi, karya  filsuf abad ke-12 M, Hibatullah Abu Al-Barakat Al-Baghdadi </w:t>
      </w:r>
    </w:p>
    <w:p>
      <w:pPr>
        <w:pStyle w:val="BookText"/>
        <w:bidi w:val="0"/>
        <w:rPr/>
      </w:pPr>
      <w:r>
        <w:rPr>
          <w:rFonts w:eastAsia="Times New Roman" w:cs="Times New Roman" w:ascii="Times New Roman" w:hAnsi="Times New Roman"/>
          <w:color w:val="111111"/>
          <w:sz w:val="28"/>
          <w:szCs w:val="28"/>
          <w:lang w:val="en-US"/>
        </w:rPr>
        <w:t>yang berjudul Al-Mu'tabar, sebuah ensiklopedi Filsafat Anti-  Aristotelian yang penting, akan dikaji dan ditelaah, mengingat  dampak atau pengaruh, khususnya pada Suhrawardi dalam  rekonstruksi Filsafat Iluminasinya.</w:t>
      </w:r>
      <w:r>
        <w:rPr>
          <w:rStyle w:val="FootnoteAnchor"/>
        </w:rPr>
        <w:footnoteReference w:id="2"/>
      </w:r>
      <w:r>
        <w:rPr>
          <w:rFonts w:eastAsia="Times New Roman" w:cs="Times New Roman" w:ascii="Times New Roman" w:hAnsi="Times New Roman"/>
          <w:color w:val="111111"/>
          <w:sz w:val="28"/>
          <w:szCs w:val="28"/>
          <w:lang w:val="en-US"/>
        </w:rPr>
        <w:t>Baik Al-Baghdadi maupun  Suhrawardi sama-sama menegaskan bahwa metodologi  konstruktivisme mereka dibangun di atas intuisi primer dari  suatu subjek yang mengetahui, yang menangkap langsung  seluruh eksistensi, ruang, dan waktu secara keseluruhan sebagai  objek tampak yang terbentuk dengan sendirinya secara inheren  dan bisa diketahui, membatasi ihwal apa yang disebut sebagai  ada dan apa yang disebut sebagai pengetahuan itu. Dampak  atau pengaruh konsep-konsep dan metodologi Iluminasi pada  filsafat akan ditunjukkan melalui sebuah kajian dan telaah atas  sejumlah komentar penting atas karya-karya Suhrawardi yang  meliputi berbagai komentar dari Syamsuddin Muhammad Asy-  Syahrazuri pada abad ke-13 M,</w:t>
      </w:r>
      <w:r>
        <w:rPr>
          <w:rStyle w:val="FootnoteAnchor"/>
        </w:rPr>
        <w:footnoteReference w:id="3"/>
      </w:r>
      <w:r>
        <w:rPr>
          <w:rFonts w:eastAsia="Times New Roman" w:cs="Times New Roman" w:ascii="Times New Roman" w:hAnsi="Times New Roman"/>
          <w:color w:val="111111"/>
          <w:sz w:val="28"/>
          <w:szCs w:val="28"/>
          <w:lang w:val="en-US"/>
        </w:rPr>
        <w:t>seorang filsuf Iluminasionis,  komentar Sa'd bin Manshur bin Kammunah;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Tehran University Press, 1955), tetapi editornya tidak pernah  menyebutkan nama Ibn Kammunah dan menyebutnya hanya  sebagai “Komentator" (asy-Syārih). Saya menggunakan, baik  cetakan catatan-pinggir tersebut maupun manuskrip At-  Talwihāt Berlin, (Berlin, 5062). Ibn Kammunah adalah juga  seorang ahli logika penting dalam periode pasca-Ibn Sina.</w:t>
      </w:r>
    </w:p>
    <w:p>
      <w:pPr>
        <w:pStyle w:val="BookText"/>
        <w:bidi w:val="0"/>
        <w:jc w:val="both"/>
        <w:rPr/>
      </w:pPr>
      <w:r>
        <w:rPr>
          <w:rFonts w:eastAsia="Times New Roman" w:cs="Times New Roman" w:ascii="Times New Roman" w:hAnsi="Times New Roman"/>
          <w:color w:val="111111"/>
          <w:sz w:val="28"/>
          <w:szCs w:val="28"/>
          <w:lang w:val="en-US"/>
        </w:rPr>
        <w:t>Karyanya berjudul Al-Hikmah Al-Jadidah fi Al-Manthiq-  yang mungkin adalah bab logika dari karyanya Al-Jadid fi Al-  Hikmah – dan komentarnya atas karya Ibn Sina, Al-Isyārāt wa  At-Tanbihāt, yang diberi judul Syarh Al-Ushul wa Al-Jumal  min Muhimmah Al-'Ilm wa Al-'Amal, layak dikaji dan ditelaah  secara khusus; lihat, monografi singkat Leo Hirschfeld, Sa'd  b. Manshur Ibn Kammunah. (Berlin, 1893), hlm. 11-13.</w:t>
      </w:r>
    </w:p>
    <w:p>
      <w:pPr>
        <w:pStyle w:val="BookText"/>
        <w:bidi w:val="0"/>
        <w:jc w:val="both"/>
        <w:rPr/>
      </w:pPr>
      <w:r>
        <w:rPr>
          <w:rFonts w:eastAsia="Times New Roman" w:cs="Times New Roman" w:ascii="Times New Roman" w:hAnsi="Times New Roman"/>
          <w:color w:val="111111"/>
          <w:sz w:val="28"/>
          <w:szCs w:val="28"/>
          <w:lang w:val="en-US"/>
        </w:rPr>
        <w:t>pada abad ke-  14 M, komentar Quthbuddin Asy-Syirazi;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pada abad ke-16  M, komentar Jalaluddin ad-Dawwani;</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pada abad ke-17 M,  komentar Muhammad Syarif Nizhamuddin Al-Harawi;</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Ini adalah satu-satunya komentar atas karya Suhrawardi  dalam bahasa Persia yang diketahui masih ada hingga kini. Al-  Harawi, mungkin seorang Sufi dari Tarekat Chistiyyah, dalam  komentarnya atas karya Suhrawardi, juga membandingkan  prinsip-prinsip epistemologi dan kosmologi Filsafat Iluminasi  dengan sistem Filsafat Mistis Avaita India.</w:t>
      </w:r>
    </w:p>
    <w:p>
      <w:pPr>
        <w:pStyle w:val="BookText"/>
        <w:bidi w:val="0"/>
        <w:jc w:val="both"/>
        <w:rPr/>
      </w:pPr>
      <w:r>
        <w:rPr>
          <w:rFonts w:eastAsia="Times New Roman" w:cs="Times New Roman" w:ascii="Times New Roman" w:hAnsi="Times New Roman"/>
          <w:color w:val="111111"/>
          <w:sz w:val="28"/>
          <w:szCs w:val="28"/>
          <w:lang w:val="en-US"/>
        </w:rPr>
        <w:t>serta  komentar filsuf mazhab Isfahan, Shadruddin Asy-Syirazi, yang  lebih dikenal dengan nama Mulla Sadra.</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Sementara itu, dampak  atau pengaruh pemikiran Suhrawardi di Barat, terutama pada  perkembangan Mistisisme Yahudi di abad ke-14 M, yang sedang  mulai mendapat perhatian,</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Octogan Press, 1983).</w:t>
      </w:r>
    </w:p>
    <w:p>
      <w:pPr>
        <w:pStyle w:val="BookText"/>
        <w:bidi w:val="0"/>
        <w:jc w:val="both"/>
        <w:rPr/>
      </w:pPr>
      <w:r>
        <w:rPr>
          <w:rFonts w:eastAsia="Times New Roman" w:cs="Times New Roman" w:ascii="Times New Roman" w:hAnsi="Times New Roman"/>
          <w:color w:val="111111"/>
          <w:sz w:val="28"/>
          <w:szCs w:val="28"/>
          <w:lang w:val="en-US"/>
        </w:rPr>
        <w:t>tidak akan dikaji dan ditelaah dalam  buku ini.</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Fase awal karya ini penuh dengan kesulitan, yang sebagian  darinya tampak tidak bisa diatasi. Kerangka rujukan yang  mengkaji, menelaah, dan menyajikan pemikiran Suhrawardi </w:t>
      </w:r>
    </w:p>
    <w:p>
      <w:pPr>
        <w:pStyle w:val="BookText"/>
        <w:bidi w:val="0"/>
        <w:rPr/>
      </w:pPr>
      <w:r>
        <w:rPr>
          <w:rFonts w:eastAsia="Times New Roman" w:cs="Times New Roman" w:ascii="Times New Roman" w:hAnsi="Times New Roman"/>
          <w:color w:val="111111"/>
          <w:sz w:val="28"/>
          <w:szCs w:val="28"/>
          <w:lang w:val="en-US"/>
        </w:rPr>
        <w:t>sudah dipilih dengan hati-hati untuk menghindari pendekatan  historis, yang tidak menjadi perhatian utama saya, dan juga  pendekatan Quasi Filosofis. Terminologi yang digunakan  dalam menyuguhkan pemikiran Suhrawardi pun melahirkan  tipe atau jenis kesulitan-kesulitan yang ada dalam setiap upaya  menemukan berbagai padanan yang tepat untuk terminologi  dari satu konteks konseptual, linguistik, dan historis ke konteks  lainnya. Dalam hal ini, pemilihan terminologi makin bertambah  sulit karena adanya batasan-batasan dari tradisi Filologis  Orientalis Lama, dan pada saat yang sama harus dilakukan usaha  untuk menghindari berbagai implikasi analitis dari terminologi  Filsafat Modern. Saya berusaha agar uraian saya bisa dipahami  dengan jelas, tidak syok ilmiah, dan juga tidak bertele-tele.</w:t>
      </w:r>
    </w:p>
    <w:p>
      <w:pPr>
        <w:pStyle w:val="BookText"/>
        <w:bidi w:val="0"/>
        <w:jc w:val="both"/>
        <w:rPr/>
      </w:pPr>
      <w:r>
        <w:rPr>
          <w:rFonts w:eastAsia="Times New Roman" w:cs="Times New Roman" w:ascii="Times New Roman" w:hAnsi="Times New Roman"/>
          <w:color w:val="111111"/>
          <w:sz w:val="28"/>
          <w:szCs w:val="28"/>
          <w:lang w:val="en-US"/>
        </w:rPr>
        <w:t>Terminologi yang saya gunakan, meskipun lemah di beberapa  tempat dan bahkan membingungkan, mencerminkan suatu  usaha untuk menggambarkan pemikiran dari seorang pemikir  abad ke-12 M dalam kerangka acuan yang bisa dipahami dalam  konteks pemikiran dan ekspresi filsafat dewasa ini.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Kajian dan telaah ini diawali dengan menunjukkan bahwa  Filsafat Iluminasi Suhrawardi tidak hanya terkandung dalam  karyanya yang berjudul Hikmah Al-Isyrāq (Filsafat Iluminasi)  saja. Sebaliknya, dijumpai ada empat karya penting lainnya  yang membentuk sebuah siklus atau gugus tempat filsafat  ini diajarkan dan dikembangkan. Kemudian, saya mencoba  menunjukkan bahwa Filsafat Iluminasi berangkat dari suatu  serangan dan gempuran atas pandangan Filsafat Peripatetik  tentang definisi, yang dimodifikasi dan diperluas oleh  Suhrawardi menjadi sebuah teori yang lebih komprehensif  pengetahuan, yang menekankan pada pengetahuan diri dan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kesadaran diri sebagai dasar bagi semua jenis pengetahuan. Lalu,  pandangan pengetahuan seperti ini menjadi dasar bagi suatu  kosmologi, yang di dalamnya, esensi-esensi sejati atau wujud  hakiki dari segala sesuatu ditampilkan dalam suatu rangkaian  monad berkesinambungan yang sadar diri dan kekal diri, yang  digambarkan sebagai “cahaya-cahaya", yang bersama-sama  membentuk keseluruhan kosmos. Tuhan dari kosmos ini adalah  Cahaya dari Segala Cahaya, dari-Nya wujud yang memancarkan  cahaya ini pun juga memancarkan cahaya yang menyingkap  seluruh eksistensi, dan ketika cahaya tidak ada lagi, yang ada  hanyalah dunia privasi atau kesendirian, dunia ketiadaan, dan  dunia kegelapan yang di dalamnya bersemayam keburukan  atau kejahatan. Menurut epistemologi Iluminasi, pengetahuan  diperoleh ketika subjek dan objek hadir dan memanifestasikan  diri, yakni saat tidak ada lagi rintangan di antara keduanya. Hanya  dengan demikian, subjek yang mengetahui bisa menangkap  esensi objek. </w:t>
      </w:r>
      <w:bookmarkStart w:id="30" w:name="pg6442_57264"/>
    </w:p>
    <w:p>
      <w:pPr>
        <w:pStyle w:val="Heading2"/>
        <w:numPr>
          <w:ilvl w:val="1"/>
          <w:numId w:val="1"/>
        </w:numPr>
        <w:bidi w:val="0"/>
        <w:jc w:val="left"/>
        <w:rPr/>
      </w:pPr>
      <w:bookmarkStart w:id="31" w:name="__RefHeading___Toc924594_653776707"/>
      <w:bookmarkStart w:id="32" w:name="_Toc10"/>
      <w:bookmarkEnd w:id="30"/>
      <w:bookmarkEnd w:id="31"/>
      <w:r>
        <w:rPr/>
        <w:t>Catatan:</w:t>
      </w:r>
      <w:bookmarkEnd w:id="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Lihat Bab 1, sub 2.5 dan seterusnya.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Syarh Hikmah Al-Isyrāq (Komentar atas Filsafat Iluminasi) karya  Asy-Syahrazuri belum diterbitkan. Saya telah mempersiapkan  edisi kritis naskah tulisan pendahuluan. Namun, sebelum  diterbitkan, saya akan merujuk dahulu pada catatan folio  Istanbul, Saray Ahmad III, MS 3230.</w:t>
      </w:r>
    </w:p>
    <w:p>
      <w:pPr>
        <w:pStyle w:val="BookText"/>
        <w:bidi w:val="0"/>
        <w:jc w:val="both"/>
        <w:rPr/>
      </w:pPr>
      <w:r>
        <w:rPr>
          <w:rFonts w:eastAsia="Times New Roman" w:cs="Times New Roman" w:ascii="Times New Roman" w:hAnsi="Times New Roman"/>
          <w:color w:val="111111"/>
          <w:sz w:val="28"/>
          <w:szCs w:val="28"/>
          <w:lang w:val="en-US"/>
        </w:rPr>
        <w:t>Edisi teks dan terjemahan Moshe Perlman atas karya polemik  Ibn Kammunah, Tanqih Al-Abhāts li Al-Milal Al-Tsalāts, adalah  satu-satunya kajian atas Ibn Kammunah. Lihat, Moshe Perlman,  Sa'd b. Manshur Ibn Kammunah's Examination of The  Inquiries Into The Three Faiths: A Thirteenth Century Essay in  Comparative Religion. (Berkeley and Los Angeles: University  of California Press, teks 1967 dan terjemahan 1971). Ibn  Kammunah adalah seorang tokoh penting dalam sejarah filsafat  pasca-Ibn Sina. Bab Logika dari karyanya, Syarh At-Talwīhāt  (Komentar atas At-Talwihāt Suhrawardi) dicetak di catatan-  pinggir karya Suhrawardi, Manthiq At-Talwībāt (Logika dalam  At-Talwihāt), yang disunting oleh Ali Akbar Fayyaz, (Tehran:</w:t>
      </w:r>
    </w:p>
    <w:p>
      <w:pPr>
        <w:pStyle w:val="BookText"/>
        <w:bidi w:val="0"/>
        <w:jc w:val="both"/>
        <w:rPr/>
      </w:pPr>
      <w:r>
        <w:rPr>
          <w:rFonts w:eastAsia="Times New Roman" w:cs="Times New Roman" w:ascii="Times New Roman" w:hAnsi="Times New Roman"/>
          <w:color w:val="111111"/>
          <w:sz w:val="28"/>
          <w:szCs w:val="28"/>
          <w:lang w:val="en-US"/>
        </w:rPr>
        <w:t>Tehran University Press, 1955), tetapi editornya tidak pernah  menyebutkan nama Ibn Kammunah dan menyebutnya hanya  sebagai “Komentator" (asy-Syārih). Saya menggunakan, baik  cetakan catatan-pinggir tersebut maupun manuskrip At-  Talwihāt Berlin, (Berlin, 5062). Ibn Kammunah adalah juga  seorang ahli logika penting dalam periode pasca-Ibn Sina.</w:t>
      </w:r>
    </w:p>
    <w:p>
      <w:pPr>
        <w:pStyle w:val="BookText"/>
        <w:bidi w:val="0"/>
        <w:jc w:val="both"/>
        <w:rPr/>
      </w:pPr>
      <w:r>
        <w:rPr>
          <w:rFonts w:eastAsia="Times New Roman" w:cs="Times New Roman" w:ascii="Times New Roman" w:hAnsi="Times New Roman"/>
          <w:color w:val="111111"/>
          <w:sz w:val="28"/>
          <w:szCs w:val="28"/>
          <w:lang w:val="en-US"/>
        </w:rPr>
        <w:t>Karyanya berjudul Al-Hikmah Al-Jadidah fi Al-Manthiq-  yang mungkin adalah bab logika dari karyanya Al-Jadid fi Al-  Hikmah – dan komentarnya atas karya Ibn Sina, Al-Isyārāt wa  At-Tanbihāt, yang diberi judul Syarh Al-Ushul wa Al-Jumal  min Muhimmah Al-'Ilm wa Al-'Amal, layak dikaji dan ditelaah  secara khusus; lihat, monografi singkat Leo Hirschfeld, Sa'd  b. Manshur Ibn Kammunah. (Berlin, 1893), hlm. 11-13.</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Asy-Syirazi, Syarh Hikmah Al-Isyrāq (Komentar atas Filsafat</w:t>
      </w:r>
    </w:p>
    <w:p>
      <w:pPr>
        <w:pStyle w:val="BookText"/>
        <w:bidi w:val="0"/>
        <w:rPr/>
      </w:pPr>
      <w:r>
        <w:rPr>
          <w:rFonts w:eastAsia="Times New Roman" w:cs="Times New Roman" w:ascii="Times New Roman" w:hAnsi="Times New Roman"/>
          <w:color w:val="111111"/>
          <w:sz w:val="28"/>
          <w:szCs w:val="28"/>
          <w:lang w:val="en-US"/>
        </w:rPr>
        <w:t>Iluminasi), edisi litografi oleh Ibrahim Thabathaba'i, (Tehran,  1313 H).</w:t>
      </w:r>
    </w:p>
    <w:p>
      <w:pPr>
        <w:pStyle w:val="BookText"/>
        <w:bidi w:val="0"/>
        <w:jc w:val="both"/>
        <w:rPr/>
      </w:pPr>
      <w:r>
        <w:rPr>
          <w:rFonts w:eastAsia="Times New Roman" w:cs="Times New Roman" w:ascii="Times New Roman" w:hAnsi="Times New Roman"/>
          <w:color w:val="111111"/>
          <w:sz w:val="28"/>
          <w:szCs w:val="28"/>
          <w:lang w:val="en-US"/>
        </w:rPr>
        <w:t>5.Ad-Dawwani, Syarh Hayākil An-Nür [Komentar atas Kuil-Kuil  Cahaya], (Tehran: Majlis Library, MS  1412).</w:t>
      </w:r>
    </w:p>
    <w:p>
      <w:pPr>
        <w:pStyle w:val="BookText"/>
        <w:bidi w:val="0"/>
        <w:jc w:val="both"/>
        <w:rPr/>
      </w:pPr>
      <w:r>
        <w:rPr>
          <w:rFonts w:eastAsia="Times New Roman" w:cs="Times New Roman" w:ascii="Times New Roman" w:hAnsi="Times New Roman"/>
          <w:color w:val="111111"/>
          <w:sz w:val="28"/>
          <w:szCs w:val="28"/>
          <w:lang w:val="en-US"/>
        </w:rPr>
        <w:t>6.Al-Harawi, Anwāriyyah, disunting dan diberi kata pengantar  dan catatan oleh Hossein Ziai, (Tehran: Amir Kabir, 1980).</w:t>
      </w:r>
    </w:p>
    <w:p>
      <w:pPr>
        <w:pStyle w:val="BookText"/>
        <w:bidi w:val="0"/>
        <w:jc w:val="both"/>
        <w:rPr/>
      </w:pPr>
      <w:r>
        <w:rPr>
          <w:rFonts w:eastAsia="Times New Roman" w:cs="Times New Roman" w:ascii="Times New Roman" w:hAnsi="Times New Roman"/>
          <w:color w:val="111111"/>
          <w:sz w:val="28"/>
          <w:szCs w:val="28"/>
          <w:lang w:val="en-US"/>
        </w:rPr>
        <w:t>Ini adalah satu-satunya komentar atas karya Suhrawardi  dalam bahasa Persia yang diketahui masih ada hingga kini. Al-  Harawi, mungkin seorang Sufi dari Tarekat Chistiyyah, dalam  komentarnya atas karya Suhrawardi, juga membandingkan  prinsip-prinsip epistemologi dan kosmologi Filsafat Iluminasi  dengan sistem Filsafat Mistis Avaita India.</w:t>
      </w:r>
    </w:p>
    <w:p>
      <w:pPr>
        <w:pStyle w:val="BookText"/>
        <w:bidi w:val="0"/>
        <w:jc w:val="both"/>
        <w:rPr/>
      </w:pPr>
      <w:r>
        <w:rPr>
          <w:rFonts w:eastAsia="Times New Roman" w:cs="Times New Roman" w:ascii="Times New Roman" w:hAnsi="Times New Roman"/>
          <w:color w:val="111111"/>
          <w:sz w:val="28"/>
          <w:szCs w:val="28"/>
          <w:lang w:val="en-US"/>
        </w:rPr>
        <w:t>7.Ta‘liqāt (Catatan Tambahan atas Hikmah Al-Isyrāq) karya  Mulla Sadra dicetak di catatan pinggir karya Asy-Syirazi, Syarh  Hikmah Al-Isyrāq.</w:t>
      </w:r>
    </w:p>
    <w:p>
      <w:pPr>
        <w:pStyle w:val="BookText"/>
        <w:bidi w:val="0"/>
        <w:jc w:val="both"/>
        <w:rPr/>
      </w:pPr>
      <w:r>
        <w:rPr>
          <w:rFonts w:eastAsia="Times New Roman" w:cs="Times New Roman" w:ascii="Times New Roman" w:hAnsi="Times New Roman"/>
          <w:color w:val="111111"/>
          <w:sz w:val="28"/>
          <w:szCs w:val="28"/>
          <w:lang w:val="en-US"/>
        </w:rPr>
        <w:t>8.Christian Jambet dalam “Pendahuluan" Shihaboddin Yahya  Sohravardi, Le Livre de la Sagesse Orientale, Traduction et  Notes par Henry Corbin. (Paris: Veridier, 1986), menegaskan,  “Peut-être verrons-nous un signe de la grandeur universelle  de Sohravardi en ce que nous apprend M. Paul Fenton,  dans de livre quil fait paraitre au moment précis ou cette  traduction voit enfin le jour. Rabbi David Maimonide, chef de  la communauté juive d'Egypte au XIVe siècle, ecrit “Guide du  détachement". Ce livre, écrit P. Fenton, “est tout entire imbibé  par la terminologie illuminste de l'école sohravardienne."  Que ce descendent direct du grand Maumonide ait choisi  la structure même du système du mystique iranien, et voice  que l'image que nous devons former des spiritualités et de  leur histoire échappe aux lieux communs des orthodoxies,"  hlm. 74. Lihat juga, Ibid., hlm. 75, Catatan Nomor 85, tempat  catatan karya Paul Fenton berikutnya, Deux Traits de Mystique  Juive. Lihat juga Paul Fenton, Treatise of The Pool. (London: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Octogan Press, 1983).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3" w:name="pg6442_57267"/>
      <w:bookmarkStart w:id="34" w:name="pg6442_57267"/>
      <w:bookmarkEnd w:id="34"/>
    </w:p>
    <w:p>
      <w:pPr>
        <w:pStyle w:val="Heading2"/>
        <w:numPr>
          <w:ilvl w:val="1"/>
          <w:numId w:val="1"/>
        </w:numPr>
        <w:bidi w:val="0"/>
        <w:jc w:val="left"/>
        <w:rPr/>
      </w:pPr>
      <w:bookmarkStart w:id="35" w:name="pg6442_57267"/>
      <w:bookmarkStart w:id="36" w:name="__RefHeading___Toc924596_653776707"/>
      <w:bookmarkStart w:id="37" w:name="_Toc11"/>
      <w:bookmarkEnd w:id="35"/>
      <w:bookmarkEnd w:id="36"/>
      <w:r>
        <w:rPr/>
        <w:t>BAB 1: Filsafat Iluminasi</w:t>
      </w:r>
      <w:bookmarkEnd w:id="37"/>
    </w:p>
    <w:p>
      <w:pPr>
        <w:pStyle w:val="Heading3"/>
        <w:numPr>
          <w:ilvl w:val="2"/>
          <w:numId w:val="1"/>
        </w:numPr>
        <w:bidi w:val="0"/>
        <w:jc w:val="left"/>
        <w:rPr/>
      </w:pPr>
      <w:bookmarkStart w:id="38" w:name="__RefHeading___Toc924598_653776707"/>
      <w:bookmarkStart w:id="39" w:name="_Toc12"/>
      <w:bookmarkEnd w:id="38"/>
      <w:r>
        <w:rPr/>
        <w:t>1. BAGAIMANA MENDEFINISIKAN FILSAFAT ILUMINASI?</w:t>
      </w:r>
      <w:bookmarkEnd w:id="39"/>
    </w:p>
    <w:p>
      <w:pPr>
        <w:pStyle w:val="BookText"/>
        <w:bidi w:val="0"/>
        <w:jc w:val="both"/>
        <w:rPr/>
      </w:pPr>
      <w:r>
        <w:rPr>
          <w:rFonts w:eastAsia="Times New Roman" w:cs="Times New Roman" w:ascii="Times New Roman" w:hAnsi="Times New Roman"/>
          <w:color w:val="111111"/>
          <w:sz w:val="28"/>
          <w:szCs w:val="28"/>
          <w:lang w:val="en-US"/>
        </w:rPr>
        <w:t>Sejak kurun awal abad ini, para orientalis dan sejarawan  filsafat mencatat bahwa Suhrawardi adalah seorang tokoh  penting dalam membangun pemikiran filsafat pasca-Ibn Sina.</w:t>
      </w:r>
    </w:p>
    <w:p>
      <w:pPr>
        <w:pStyle w:val="BookText"/>
        <w:bidi w:val="0"/>
        <w:jc w:val="both"/>
        <w:rPr/>
      </w:pPr>
      <w:r>
        <w:rPr>
          <w:rFonts w:eastAsia="Times New Roman" w:cs="Times New Roman" w:ascii="Times New Roman" w:hAnsi="Times New Roman"/>
          <w:color w:val="111111"/>
          <w:sz w:val="28"/>
          <w:szCs w:val="28"/>
          <w:lang w:val="en-US"/>
        </w:rPr>
        <w:t>Sarjana-sarjana terkemuka seperti Carra de Vaux</w:t>
      </w:r>
      <w:r>
        <w:rPr>
          <w:rStyle w:val="FootnoteAnchor"/>
        </w:rPr>
        <w:footnoteReference w:id="5"/>
      </w:r>
      <w:r>
        <w:rPr>
          <w:rFonts w:eastAsia="Times New Roman" w:cs="Times New Roman" w:ascii="Times New Roman" w:hAnsi="Times New Roman"/>
          <w:color w:val="111111"/>
          <w:sz w:val="28"/>
          <w:szCs w:val="28"/>
          <w:lang w:val="en-US"/>
        </w:rPr>
        <w:t>dan Max  Horten</w:t>
      </w:r>
      <w:r>
        <w:rPr>
          <w:rStyle w:val="FootnoteAnchor"/>
        </w:rPr>
        <w:footnoteReference w:id="6"/>
      </w:r>
      <w:r>
        <w:rPr>
          <w:rFonts w:eastAsia="Times New Roman" w:cs="Times New Roman" w:ascii="Times New Roman" w:hAnsi="Times New Roman"/>
          <w:color w:val="111111"/>
          <w:sz w:val="28"/>
          <w:szCs w:val="28"/>
          <w:lang w:val="en-US"/>
        </w:rPr>
        <w:t>telah menulis esai-esai pendek tentang Suhrawardi.</w:t>
      </w:r>
    </w:p>
    <w:p>
      <w:pPr>
        <w:pStyle w:val="BookText"/>
        <w:bidi w:val="0"/>
        <w:jc w:val="both"/>
        <w:rPr/>
      </w:pPr>
      <w:r>
        <w:rPr>
          <w:rFonts w:eastAsia="Times New Roman" w:cs="Times New Roman" w:ascii="Times New Roman" w:hAnsi="Times New Roman"/>
          <w:color w:val="111111"/>
          <w:sz w:val="28"/>
          <w:szCs w:val="28"/>
          <w:lang w:val="en-US"/>
        </w:rPr>
        <w:t>Pada akhir 1920-an, Louis Massignon telah membuat suatu  klasifikasi atas karya-karya Suhrawardi.</w:t>
      </w:r>
      <w:r>
        <w:rPr>
          <w:rStyle w:val="FootnoteAnchor"/>
        </w:rPr>
        <w:footnoteReference w:id="7"/>
      </w:r>
      <w:r>
        <w:rPr>
          <w:rFonts w:eastAsia="Times New Roman" w:cs="Times New Roman" w:ascii="Times New Roman" w:hAnsi="Times New Roman"/>
          <w:color w:val="111111"/>
          <w:sz w:val="28"/>
          <w:szCs w:val="28"/>
          <w:lang w:val="en-US"/>
        </w:rPr>
        <w:t>Pada akhir 1930-an,  Otto Spies menyunting dan menerjemahkan sejumlah alegori  atau tamsil filosofisnya;</w:t>
      </w:r>
      <w:r>
        <w:rPr>
          <w:rStyle w:val="FootnoteAnchor"/>
        </w:rPr>
        <w:footnoteReference w:id="8"/>
      </w:r>
      <w:r>
        <w:rPr>
          <w:rFonts w:eastAsia="Times New Roman" w:cs="Times New Roman" w:ascii="Times New Roman" w:hAnsi="Times New Roman"/>
          <w:color w:val="111111"/>
          <w:sz w:val="28"/>
          <w:szCs w:val="28"/>
          <w:lang w:val="en-US"/>
        </w:rPr>
        <w:t>dan Helmut Ritter membahas aspek-  aspek kehidupannya dan membedakannya dari tiga mistikus  Muslim atau Sufi yang mempunyai nama yang sama.</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:t.p, 1938), hlm. 35-86.</w:t>
      </w:r>
    </w:p>
    <w:p>
      <w:pPr>
        <w:pStyle w:val="BookText"/>
        <w:bidi w:val="0"/>
        <w:jc w:val="both"/>
        <w:rPr/>
      </w:pPr>
      <w:r>
        <w:rPr>
          <w:rFonts w:eastAsia="Times New Roman" w:cs="Times New Roman" w:ascii="Times New Roman" w:hAnsi="Times New Roman"/>
          <w:color w:val="111111"/>
          <w:sz w:val="28"/>
          <w:szCs w:val="28"/>
          <w:lang w:val="en-US"/>
        </w:rPr>
        <w:t>Memasuki  pertengahan 1940-an, edisi teks Henry Corbin atas karya-karya  Filsafat Suhrawardi mengobarkan perhatian khusus dalam  pemikiran seorang manusia yang secara tradisional dikenal  dengan “Guru Filsafat Iluminasi” (Syaikh Al-Isyrāq).</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Sisteron, 1971). Lihat khususnya, Prolégomènes Corbin untuk  setiap edisi kritis karya-karya Suhrawardi berikut: Opera  Metaphysica et Mystica I. (Istanbul: Maarif Matbaasi, 1945);  Opera Metaphysica et Mystica II. (Tehran: Institut Franco-  Iranien, 1954); Opera Metaphysica et Mystica III. (Tehran:</w:t>
      </w:r>
    </w:p>
    <w:p>
      <w:pPr>
        <w:pStyle w:val="BookText"/>
        <w:bidi w:val="0"/>
        <w:jc w:val="both"/>
        <w:rPr/>
      </w:pPr>
      <w:r>
        <w:rPr>
          <w:rFonts w:eastAsia="Times New Roman" w:cs="Times New Roman" w:ascii="Times New Roman" w:hAnsi="Times New Roman"/>
          <w:color w:val="111111"/>
          <w:sz w:val="28"/>
          <w:szCs w:val="28"/>
          <w:lang w:val="en-US"/>
        </w:rPr>
        <w:t>Franco-Iranien, 1970). Lihat juga terjemahan Corbin atas  karya-karya Suhrawardi, Archange Eem pourpré, Quinze traités  et récits Mystique Traduits du persan et de l'arabe, présentés et  annotés par Henry Corbin. (Paris: Fayard, 1976); dan Le Livre  de la Sagesse Orientale, Kitab Hikmah Al-Ishrāq, traduction  et notes par Henry Corbin, établies et introduit par Christian  Jambet. (Paris: Verdier, 1986).</w:t>
      </w:r>
    </w:p>
    <w:p>
      <w:pPr>
        <w:pStyle w:val="BookText"/>
        <w:bidi w:val="0"/>
        <w:jc w:val="both"/>
        <w:rPr/>
      </w:pPr>
      <w:r>
        <w:rPr>
          <w:rFonts w:eastAsia="Times New Roman" w:cs="Times New Roman" w:ascii="Times New Roman" w:hAnsi="Times New Roman"/>
          <w:color w:val="111111"/>
          <w:sz w:val="28"/>
          <w:szCs w:val="28"/>
          <w:lang w:val="en-US"/>
        </w:rPr>
        <w:t>Pada tahun-  tahun belakangan ini, Seyyed Hossein Nasr telah melakukan  sejumlah kajian dan telaah atas dimensi spiritual dan keagamaan  dalam ajaran-ajaran Suhrawardi.</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Otto Harrassowitz, 1963), Vol. I, hlm. 372-398. Dalam karya          rintisannya, Nasr menunjukkan signifikansi religius dari  kehidupan dan ajaran-ajaran Suhrawardi, dan juga dimensi  religius dalam kosmologinya. Dalam hal ini, lihat, idem., An  Introduction to Islamic Cosmological Doctrines. (London, 1978), Bab XII.</w:t>
      </w:r>
    </w:p>
    <w:p>
      <w:pPr>
        <w:pStyle w:val="BookText"/>
        <w:bidi w:val="0"/>
        <w:jc w:val="both"/>
        <w:rPr/>
      </w:pPr>
      <w:r>
        <w:rPr>
          <w:rFonts w:eastAsia="Times New Roman" w:cs="Times New Roman" w:ascii="Times New Roman" w:hAnsi="Times New Roman"/>
          <w:color w:val="111111"/>
          <w:sz w:val="28"/>
          <w:szCs w:val="28"/>
          <w:lang w:val="en-US"/>
        </w:rPr>
        <w:t>Akan tetapi, belum ada sebuah  usaha serius untuk mengkaji dasar-dasar logika dan epistemologi  Filsafat Iluminasi dari sudut pandang filsafat, dan penyebutannya  dalam sejumlah halaman Tesis Doktoral Muhammad Iqbal, The  Development of Metaphysics in Persia, masih tetap menjadi  paparan umum terbaik tentang pemikiran Filsafat Suhrawardi.</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Persian Translation and Commentary on Suhrawardi's Hikmat  Al-Ishrāq, yang disunting, diberi kata pengantar, dan catatan  oleh Hossein Ziai, (Tehran: Amir Kabir, 1980, edisi kedua 1984).</w:t>
      </w:r>
    </w:p>
    <w:p>
      <w:pPr>
        <w:pStyle w:val="BookText"/>
        <w:bidi w:val="0"/>
        <w:rPr/>
      </w:pPr>
      <w:r>
        <w:rPr>
          <w:rFonts w:eastAsia="Times New Roman" w:cs="Times New Roman" w:ascii="Times New Roman" w:hAnsi="Times New Roman"/>
          <w:color w:val="111111"/>
          <w:sz w:val="28"/>
          <w:szCs w:val="28"/>
          <w:lang w:val="en-US"/>
        </w:rPr>
        <w:t>1.Beberapa sarjana, belakangan ini, terutama Corbin dan  Nasr, telah menekankan signifikansi peran Suhrawardi sebagai  seorang pembangkit pemikiran Iran Kuno. Kedua penulis ini  berkali-kali menunjukkan apa yang mereka anggap sebagai  kualitas pemikiran Suhrawardi yang sangat mistis, tetapi tanpa  melakukan kajian dan telaah sistematis atas dasar-dasar Filsafat  Iluminasi. Karakterisasi umum semacam itu, meskipun berguna,  tidak memberi kita suatu pandangan komprehensif tentang  Filsafat Iluminasi.</w:t>
      </w:r>
    </w:p>
    <w:p>
      <w:pPr>
        <w:pStyle w:val="BookText"/>
        <w:bidi w:val="0"/>
        <w:jc w:val="both"/>
        <w:rPr/>
      </w:pPr>
      <w:r>
        <w:rPr>
          <w:rFonts w:eastAsia="Times New Roman" w:cs="Times New Roman" w:ascii="Times New Roman" w:hAnsi="Times New Roman"/>
          <w:color w:val="111111"/>
          <w:sz w:val="28"/>
          <w:szCs w:val="28"/>
          <w:lang w:val="en-US"/>
        </w:rPr>
        <w:t>Untuk menilai secara agak rinci peran Suhrawardi dalam  perkembangan pemikiran filsafat pasca-Ibn Sina, seseorang harus  memaparkan dan menguraikan karakter pemikirannya. Peran  Suhrawardi sebagai pemadu “kearifan" Yunani dan Iran dengan  prinsip-prinsip, tujuan-tujuan keagamaan, dan mistis tidak bisa  ditentukan atau ditetapkan sebelum kita melihat bagaimana ia  menangani problem logika, fisika, matematika, serta metafisika?  Sekadar mengatakan bahwa Suhrawardi adalah seorang mistikus  yang telah ditakdirkan untuk mengagungkan, menghidupkan  filsafat dan kearifan Iran Kuno, serta menggambarkannya  sebagai seorang arif “perenial”, “bijak", dan “mendalam", tidak  berarti sudah menentukan atau menetapkan corak pemikirannya  yang sebenarnya, apalagi sekiranya, ia bukan seorang mistikus,  teolog, filsuf Sistematis, atau ideolog sejenis Nasionalisme Iran  abad pertengahan.</w:t>
      </w:r>
    </w:p>
    <w:p>
      <w:pPr>
        <w:pStyle w:val="BookText"/>
        <w:bidi w:val="0"/>
        <w:jc w:val="both"/>
        <w:rPr/>
      </w:pPr>
      <w:r>
        <w:rPr>
          <w:rFonts w:eastAsia="Times New Roman" w:cs="Times New Roman" w:ascii="Times New Roman" w:hAnsi="Times New Roman"/>
          <w:color w:val="111111"/>
          <w:sz w:val="28"/>
          <w:szCs w:val="28"/>
          <w:lang w:val="en-US"/>
        </w:rPr>
        <w:t>Untuk membicarakan sesuatu yang penting tentang  pemikiran Suhrawardi, kita harus menentukan lebih dahulu sifat  hakiki dasar-dasar logika dan epistemologi Filsafat Iluminasi.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Hanya dengan berpijak pada analisis sistematis seperti ini, kita bisa  menujukkan apakah Suhrawardi adalah seorang mistikus atau </w:t>
      </w:r>
      <w:bookmarkStart w:id="40" w:name="pg6442_57269"/>
    </w:p>
    <w:p>
      <w:pPr>
        <w:pStyle w:val="BookText"/>
        <w:bidi w:val="0"/>
        <w:rPr/>
      </w:pPr>
      <w:bookmarkEnd w:id="40"/>
      <w:r>
        <w:rPr>
          <w:rFonts w:eastAsia="Times New Roman" w:cs="Times New Roman" w:ascii="Times New Roman" w:hAnsi="Times New Roman"/>
          <w:color w:val="111111"/>
          <w:sz w:val="28"/>
          <w:szCs w:val="28"/>
          <w:lang w:val="en-US"/>
        </w:rPr>
        <w:t>filsuf, atau apakah, dan bagian mana dari Filsafat Sistematisnya  itu yang berupa pembelaan, penjelasan, atau sistematisasi  atas pengalaman-pengalaman mistis sebagai sebuah metode  untuk menyingkap realitas? Agar bisa menempuh pendekatan  sistematis seperti itu, kita harus menentukan terlebih dahulu  karya-karya Suhrawardi yang membahas secara spesifik apa  yang disebutnya sebagai Filsafat Iluminasi (Hikmah Al-Isyrāq).</w:t>
      </w:r>
    </w:p>
    <w:p>
      <w:pPr>
        <w:pStyle w:val="Heading3"/>
        <w:numPr>
          <w:ilvl w:val="2"/>
          <w:numId w:val="1"/>
        </w:numPr>
        <w:bidi w:val="0"/>
        <w:jc w:val="left"/>
        <w:rPr/>
      </w:pPr>
      <w:bookmarkStart w:id="41" w:name="__RefHeading___Toc924600_653776707"/>
      <w:bookmarkStart w:id="42" w:name="_Toc13"/>
      <w:bookmarkEnd w:id="41"/>
      <w:r>
        <w:rPr/>
        <w:t>2. KARYA-KARYA SUHRAWARDI TENTANG FILSAFAT ILUMINASI</w:t>
      </w:r>
      <w:bookmarkEnd w:id="42"/>
    </w:p>
    <w:p>
      <w:pPr>
        <w:pStyle w:val="Heading4"/>
        <w:numPr>
          <w:ilvl w:val="3"/>
          <w:numId w:val="1"/>
        </w:numPr>
        <w:bidi w:val="0"/>
        <w:jc w:val="left"/>
        <w:rPr/>
      </w:pPr>
      <w:bookmarkStart w:id="43" w:name="__RefHeading___Toc924602_653776707"/>
      <w:bookmarkStart w:id="44" w:name="_Toc14"/>
      <w:bookmarkEnd w:id="43"/>
      <w:r>
        <w:rPr/>
        <w:t>2.1. Empat Karya Penting</w:t>
      </w:r>
      <w:bookmarkEnd w:id="44"/>
    </w:p>
    <w:p>
      <w:pPr>
        <w:pStyle w:val="BookText"/>
        <w:bidi w:val="0"/>
        <w:jc w:val="both"/>
        <w:rPr/>
      </w:pPr>
      <w:r>
        <w:rPr>
          <w:rFonts w:eastAsia="Times New Roman" w:cs="Times New Roman" w:ascii="Times New Roman" w:hAnsi="Times New Roman"/>
          <w:color w:val="111111"/>
          <w:sz w:val="28"/>
          <w:szCs w:val="28"/>
          <w:lang w:val="en-US"/>
        </w:rPr>
        <w:t>Kita akan mulai dengan mengkaji dan menelaah empat  karya utama Filsafat Suhrawardi yang berbahasa Arab: At-  Talwībāt, Al-Muqāwamāt, Al-Masyāri' wa Al-Muthārahāt,</w:t>
      </w:r>
      <w:r>
        <w:rPr>
          <w:rStyle w:val="FootnoteAnchor"/>
        </w:rPr>
        <w:footnoteReference w:id="10"/>
      </w:r>
      <w:r>
        <w:rPr>
          <w:rFonts w:eastAsia="Times New Roman" w:cs="Times New Roman" w:ascii="Times New Roman" w:hAnsi="Times New Roman"/>
          <w:color w:val="111111"/>
          <w:sz w:val="28"/>
          <w:szCs w:val="28"/>
          <w:lang w:val="en-US"/>
        </w:rPr>
        <w:t>serta  Hikmah Al-Isyrāq,</w:t>
      </w:r>
      <w:r>
        <w:rPr>
          <w:rStyle w:val="FootnoteAnchor"/>
        </w:rPr>
        <w:footnoteReference w:id="11"/>
      </w:r>
      <w:r>
        <w:rPr>
          <w:rFonts w:eastAsia="Times New Roman" w:cs="Times New Roman" w:ascii="Times New Roman" w:hAnsi="Times New Roman"/>
          <w:color w:val="111111"/>
          <w:sz w:val="28"/>
          <w:szCs w:val="28"/>
          <w:lang w:val="en-US"/>
        </w:rPr>
        <w:t>untuk menunjukkan bahwa berdasarkan  berbagai pernyataan eksplisit Suhrawardi, karya-karya ini adalah  sehimpunan karya integral atau utuh, yang di dalamnya ia  mengemukakan dalam menulis asal-usul dan perkembangan  Filsafat Iluminasi, dari asal-usul analitis dan diskursifnya hingga  tujuan pengalaman dan pencerahannya yang digambarkan  melalui kiasan dan simbol. Untuk menjawab pertanyaan,  “Apakah Filsafat Iluminasi itu?" secara memuaskan, kita tidak  bisa membatasi diri dengan hanya mengkaji dan menelaah  salah satu dari empat karya ini. Sebaliknya, kita harus mengkaji  dan menelaah semuanya sebagai keseluruhan yang koheren.</w:t>
      </w:r>
    </w:p>
    <w:p>
      <w:pPr>
        <w:pStyle w:val="BookText"/>
        <w:bidi w:val="0"/>
        <w:jc w:val="both"/>
        <w:rPr/>
      </w:pPr>
      <w:r>
        <w:rPr>
          <w:rFonts w:eastAsia="Times New Roman" w:cs="Times New Roman" w:ascii="Times New Roman" w:hAnsi="Times New Roman"/>
          <w:color w:val="111111"/>
          <w:sz w:val="28"/>
          <w:szCs w:val="28"/>
          <w:lang w:val="en-US"/>
        </w:rPr>
        <w:t>Hanya kajian dan telaah seperti ini yang memungkinkan kita  memaparkan dan menguraikan secara komprehensif Filsafat  Iluminasi itu.</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Khususnya, yang demikian ini disebabkan oleh gaya eliptis  eksplisit dari teks-teks semacam itu.</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Berikut ini adalah pernyataan Suhrawardi yang paling</w:t>
      </w:r>
    </w:p>
    <w:p>
      <w:pPr>
        <w:pStyle w:val="BookText"/>
        <w:bidi w:val="0"/>
        <w:rPr/>
      </w:pPr>
      <w:r>
        <w:rPr>
          <w:rFonts w:eastAsia="Times New Roman" w:cs="Times New Roman" w:ascii="Times New Roman" w:hAnsi="Times New Roman"/>
          <w:color w:val="111111"/>
          <w:sz w:val="28"/>
          <w:szCs w:val="28"/>
          <w:lang w:val="en-US"/>
        </w:rPr>
        <w:t>eksplisit tentang keterkaitan keempat karya tersebut, “Buku  Al-Masyāri' wa Al-Muthārahāt harus dibaca terlebih dahulu  sebelum membaca Hikmah Al-Isyrāq, dan sesudah kajian dan  telaah singkat yang disebut At-Talwibāt. "</w:t>
      </w:r>
      <w:r>
        <w:rPr>
          <w:rStyle w:val="FootnoteAnchor"/>
        </w:rPr>
        <w:footnoteReference w:id="13"/>
      </w:r>
      <w:r>
        <w:rPr>
          <w:rFonts w:eastAsia="Times New Roman" w:cs="Times New Roman" w:ascii="Times New Roman" w:hAnsi="Times New Roman"/>
          <w:color w:val="111111"/>
          <w:sz w:val="28"/>
          <w:szCs w:val="28"/>
          <w:lang w:val="en-US"/>
        </w:rPr>
        <w:t>Karena Al-Muqāwamāt  dinyatakan sebagai penjelasan tambahan atas At-Talwīhāt,</w:t>
      </w:r>
      <w:r>
        <w:rPr>
          <w:rStyle w:val="FootnoteAnchor"/>
        </w:rPr>
        <w:footnoteReference w:id="14"/>
      </w:r>
      <w:r>
        <w:rPr>
          <w:rFonts w:eastAsia="Times New Roman" w:cs="Times New Roman" w:ascii="Times New Roman" w:hAnsi="Times New Roman"/>
          <w:color w:val="111111"/>
          <w:sz w:val="28"/>
          <w:szCs w:val="28"/>
          <w:lang w:val="en-US"/>
        </w:rPr>
        <w:t xml:space="preserve"> maka siklus atau rangkaian pembacaan dan pengajaran Filsafat  Iluminasi yang dianjurkan adalah sebagai berikut: [1] At-  Talwībāt; [2] Al-Muqawamāt; [3] Al-Masyāri' wa Al-Muthārahāt;  [4] Hikmah Al-Isyrāq. Karenanya, jelas bahwa karya-karya ini  harus dibaca bersama-sama dan dalam urutan tertentu, serta  hanya dengan demikian, karya-karya itu membentuk Filsafat  Iluminasi. Nah, dengan mengingat berbagai fakta tertentu yang  akan segera kita telaah dan kaji, jelas juga bahwa karya-karya  utama itu ditulis, diajarkan, dan direvisi dalam kurun waktu  tidak lebih dari sepuluh tahun. Ini menunjukkan bahwa gagasan  Filsafat Iluminasi, entah secara parsial atau seluruhnya, sudah  ada dalam pikiran Suhrawardi ketika menyusun masing-masing  karya ini. Sebenarnya, saya ingin menunjukkan bahwa tujuan  di balik penyusunan masing-masing karya ini, tak lain dan tak  bukan, adalah menyuguhkan Filsafat Iluminasi secara sistematis.</w:t>
      </w:r>
    </w:p>
    <w:p>
      <w:pPr>
        <w:pStyle w:val="BookText"/>
        <w:bidi w:val="0"/>
        <w:jc w:val="both"/>
        <w:rPr/>
      </w:pPr>
      <w:r>
        <w:rPr>
          <w:rFonts w:eastAsia="Times New Roman" w:cs="Times New Roman" w:ascii="Times New Roman" w:hAnsi="Times New Roman"/>
          <w:color w:val="111111"/>
          <w:sz w:val="28"/>
          <w:szCs w:val="28"/>
          <w:lang w:val="en-US"/>
        </w:rPr>
        <w:t xml:space="preserve">Ini berarti bahwa ketika Suhrawardi menegaskan bahwa At-  Talwībāt misalnya, ditulis sesuai dengan "metode Peripatetik",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Ibid., hlm. 10-11.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ia bukan karya mandiri atau berdiri sendiri yang ditulis semata-  mata sebagai latihan dan penerapan dalam Filsafat Peripatetik,  dan juga bukan menggambarkan suatu periode “Peripatetik”  dalam kehidupan dan karya-karya Suhrawardi. Alih-alih, ia  menunjuk pada kenyataan bahwa bagian-bagian atau dimensi-  dimensi tertentu dari Filsafat Iluminasi sejalan dan selaras  dengan ajaran-ajaran Peripatetik, terutama ajaran-ajaran Ibn</w:t>
      </w:r>
      <w:bookmarkStart w:id="45" w:name="pg6442_57271"/>
    </w:p>
    <w:p>
      <w:pPr>
        <w:pStyle w:val="BookText"/>
        <w:bidi w:val="0"/>
        <w:rPr/>
      </w:pPr>
      <w:bookmarkEnd w:id="45"/>
      <w:r>
        <w:rPr>
          <w:rFonts w:eastAsia="Times New Roman" w:cs="Times New Roman" w:ascii="Times New Roman" w:hAnsi="Times New Roman"/>
          <w:color w:val="111111"/>
          <w:sz w:val="28"/>
          <w:szCs w:val="28"/>
          <w:lang w:val="en-US"/>
        </w:rPr>
        <w:t>Sina yang dijumpai dalam dua karya terkenalnya, yakni Asy-  Syifā' dan Al-Isyārāt wa At-Tanbihāt. Menyusun suatu filsafat  dalam suatu karya yang meliputi dan mencakup logika, fisika,  dan metafisika (dan Filsafat Iluminasi adalah suatu sistem filsafat  yang lengkap dalam pengertian ini) berarti bahwa secara umum,  Suhrawardi harus bekerja dalam kerangka kerja metodologis  dan konseptual tradisi ilmiah dan filosofis yang sudah mapan,  yang dalam hal ini dinyatakan secara eksplisit sebagai tradisi  Peripatetik, terutama tradisi yang dibangun oleh Ibn Sina (yang  sering disebut Suhrawardi di sejumlah tempat dalam teks-  teksnya) dan bukan oleh Al-Farabi atau Al-Kindi (yang bahkan  tidak pernah disebut-sebut sama sekali).</w:t>
      </w:r>
    </w:p>
    <w:p>
      <w:pPr>
        <w:pStyle w:val="BookText"/>
        <w:bidi w:val="0"/>
        <w:jc w:val="both"/>
        <w:rPr/>
      </w:pPr>
      <w:r>
        <w:rPr>
          <w:rFonts w:eastAsia="Times New Roman" w:cs="Times New Roman" w:ascii="Times New Roman" w:hAnsi="Times New Roman"/>
          <w:color w:val="111111"/>
          <w:sz w:val="28"/>
          <w:szCs w:val="28"/>
          <w:lang w:val="en-US"/>
        </w:rPr>
        <w:t>Filsafat Iluminasi memang menekankan unsur-unsur intuitif  tertentu yang melampaui pemikiran diskursif, tetapi ia bukan  suatu sistem yang sepenuhnya bertolak belakang dengan, atau  berbeda sama sekali dari – Filsafat Peripatetik. Sesungguhnya,  Filsafat Peripatetik sebagaimana dikaji dan dipahami Suhrawardi,  adalah titik-tolak dan juga komponen yang tak terpisahkan  dari metodologi Iluminasi. Hanya dengan membandingkan  Filsafat Peripatetik saja seseorang bisa menyadari bagaimana  Filsafat Iluminasi bertujuan mengembangkan, dan memperluas  pandangan manusia tentang segala sesuatu; kemudian, dalam  kerangka itu keberhasilannya dalam mencapai tujuan itu bisa  ditentukan.</w:t>
      </w:r>
    </w:p>
    <w:p>
      <w:pPr>
        <w:pStyle w:val="Heading4"/>
        <w:numPr>
          <w:ilvl w:val="3"/>
          <w:numId w:val="1"/>
        </w:numPr>
        <w:bidi w:val="0"/>
        <w:jc w:val="left"/>
        <w:rPr/>
      </w:pPr>
      <w:bookmarkStart w:id="46" w:name="__RefHeading___Toc924604_653776707"/>
      <w:bookmarkStart w:id="47" w:name="_Toc15"/>
      <w:bookmarkEnd w:id="46"/>
      <w:r>
        <w:rPr/>
        <w:t>2.2. Posisi Al-Lamaḥāt dan Karya-karya Lainnya</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beberapa alasan, karya Suhrawardi yang berjudul  Al-Lamahāt tidak dimasukkan dalam lingkup kajian dan telaah kali  ini. Sejak awal, Suhrawardi hanya menyebut Al-Lamahāt satu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kali dalam empat karya yang telah disebutkan terdahulu, sementara  ada sejumlah penyebutan atau rujuk silang di antara empat karya  yang disebut terakhir. Ia juga tidak pernah menyebut-nyebut  bahwa Al-Lamahāt adalah bagian dari himpunan karyanya  yang mesti dibaca oleh murid Filsafat Iluminasi. Satu-satunya  tempat Suhrawardi menyebut Al-Lamahāt ada di dalam bagian  “Pendahuluan" Hikmah Al-Isyrāq, tempat ia menunjukkan bahwa  di antara karya-karyanya, Al-Lamahāt menempati posisi “di  bawah" At-Talwihāt, yang termasuk dalam kelompok karya yang  membentuk Filsafat Iluminasi. </w:t>
      </w:r>
      <w:r>
        <w:rPr>
          <w:rStyle w:val="FootnoteAnchor"/>
        </w:rPr>
        <w:footnoteReference w:id="16"/>
      </w:r>
      <w:r>
        <w:rPr>
          <w:rFonts w:eastAsia="Times New Roman" w:cs="Times New Roman" w:ascii="Times New Roman" w:hAnsi="Times New Roman"/>
          <w:color w:val="111111"/>
          <w:sz w:val="28"/>
          <w:szCs w:val="28"/>
          <w:lang w:val="en-US"/>
        </w:rPr>
        <w:t xml:space="preserve">Dalam bagian “Pendahuluan"  Al-Lamahāt, Suhrawardi menyebutnya sebagai suatu karya "yang  sangat singkat dan memuat hanya elemen-elemen terpenting  dari tiga ilmu (logika, fisika, dan metafisika)". </w:t>
      </w:r>
      <w:r>
        <w:rPr>
          <w:rStyle w:val="FootnoteAnchor"/>
        </w:rPr>
        <w:footnoteReference w:id="17"/>
      </w:r>
      <w:r>
        <w:rPr>
          <w:rFonts w:eastAsia="Times New Roman" w:cs="Times New Roman" w:ascii="Times New Roman" w:hAnsi="Times New Roman"/>
          <w:color w:val="111111"/>
          <w:sz w:val="28"/>
          <w:szCs w:val="28"/>
          <w:lang w:val="en-US"/>
        </w:rPr>
        <w:t>Ternyata,  "elemen-elemen terpenting" itu hanya sebuah garis besar  atau silabus singkat ihwal topik-topik penting dalam Filsafat  Peripatetik, sebagaimana dikemukakan, misalnya dalam karya  penting Filsafat Ibn Sina, Asy-Syifā'. Al-Lamahāt menyuguhkan  secara sederhana dan tanpa argumentasi prinsip-prinsip dan  kaidah-kaidah utama Filsafat Peripatetik tentang logika, fisika  dan metafisika.</w:t>
      </w:r>
      <w:r>
        <w:rPr>
          <w:rStyle w:val="FootnoteAnchor"/>
        </w:rPr>
        <w:footnoteReference w:id="18"/>
      </w:r>
      <w:r>
        <w:rPr>
          <w:rFonts w:eastAsia="Times New Roman" w:cs="Times New Roman" w:ascii="Times New Roman" w:hAnsi="Times New Roman"/>
          <w:color w:val="111111"/>
          <w:sz w:val="28"/>
          <w:szCs w:val="28"/>
          <w:lang w:val="en-US"/>
        </w:rPr>
        <w:t>Sebaliknya, dalam keempat karyanya yang  penting, Suhrawardi membicarakan dan membahas – dalam  berbagai kadar yang berbeda-prinsip-prinsip dan kaidah-  kaidah Peripatetik tertentu yang dipilih dengan hati-hati, baik  yang ditolak, atau direvisi, atau akhirnya dirumuskan kembali  dalam suatu kerangka Iluminasi baru, dan diungkapkan dengan  menggunakan bahasa teknis yang dimodifikasi sesuai dengan  uraian tentang Filsafat Iluminasi yang kohesif. Al-Lamahāt tidak  mengandung karakteristik-karakteritik seperti itu.</w:t>
      </w:r>
      <w:r>
        <w:rPr>
          <w:rStyle w:val="FootnoteAnchor"/>
        </w:rPr>
        <w:footnoteReference w:id="19"/>
      </w:r>
      <w:r>
        <w:rPr>
          <w:rFonts w:eastAsia="Times New Roman" w:cs="Times New Roman" w:ascii="Times New Roman" w:hAnsi="Times New Roman"/>
          <w:color w:val="111111"/>
          <w:sz w:val="28"/>
          <w:szCs w:val="28"/>
          <w:lang w:val="en-US"/>
        </w:rPr>
        <w:t xml:space="preserve"> Di antara karya-karya lain Suhrawardi, yang di bawah ini - </w:t>
      </w:r>
    </w:p>
    <w:p>
      <w:pPr>
        <w:pStyle w:val="BookText"/>
        <w:bidi w:val="0"/>
        <w:rPr/>
      </w:pPr>
      <w:r>
        <w:rPr>
          <w:rFonts w:eastAsia="Times New Roman" w:cs="Times New Roman" w:ascii="Times New Roman" w:hAnsi="Times New Roman"/>
          <w:color w:val="111111"/>
          <w:sz w:val="28"/>
          <w:szCs w:val="28"/>
          <w:lang w:val="en-US"/>
        </w:rPr>
        <w:t>karena berbagai alasan yang akan disebutkan di bawah ini -  tidak akan menjadi bagian dari kajian dan telaah atas Filsafat  Iluminasi kali ini, tetapi akan dikaji dan ditelaah dalam karya  yang akan datang tentang penggunaan kiasan dalam Filsafat  Iluminasi.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Partawnāmah (Sinar Matahari)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adalah sebuah karya  berbahasa Persia dan termasuk salah satu karya Suhrawardi  yang mandiri. Karya ini dipandang sebagai tonggak Filsafat  Iluminasi dalam bahasa Persia. Sengaja tidak saya masukkan  karya ini dalam kajian dan telaah sekarang karena analisis  atasnya mengandaikan adanya pemahaman tentang apa  Filsafat Iluminasi, yang juga menjadi tujuan saya di sini.</w:t>
      </w:r>
    </w:p>
    <w:p>
      <w:pPr>
        <w:pStyle w:val="BookText"/>
        <w:bidi w:val="0"/>
        <w:jc w:val="both"/>
        <w:rPr/>
      </w:pPr>
      <w:r>
        <w:rPr>
          <w:rFonts w:eastAsia="Times New Roman" w:cs="Times New Roman" w:ascii="Times New Roman" w:hAnsi="Times New Roman"/>
          <w:color w:val="111111"/>
          <w:sz w:val="28"/>
          <w:szCs w:val="28"/>
          <w:lang w:val="en-US"/>
        </w:rPr>
        <w:t>Harus disebutkan bahwa Suhrawardi membahas secara  rinci subjek fundamental yang mengetahui dan sadar dalam  epistemologi. Konsepnya tentang “keakuan” (I-ness, manī)  diperluas hingga meliputi dan mencakup “keengkauan"  (thou-ness, tū’ī) dan “kediaan" (she/he/it-ness, ū’i).</w:t>
      </w:r>
      <w:r>
        <w:rPr>
          <w:rStyle w:val="FootnoteAnchor"/>
        </w:rPr>
        <w:footnoteReference w:id="20"/>
      </w:r>
      <w:r>
        <w:rPr>
          <w:rFonts w:eastAsia="Times New Roman" w:cs="Times New Roman" w:ascii="Times New Roman" w:hAnsi="Times New Roman"/>
          <w:color w:val="111111"/>
          <w:sz w:val="28"/>
          <w:szCs w:val="28"/>
          <w:lang w:val="en-US"/>
        </w:rPr>
        <w:t>Istilah-  istilah yang digeneralisasi ini menunjukkan kesadaran dalam  subjek yang mengetahui dan nyata (zhāhir).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Hayākil an-Nür (Kuil-Kuil Cahaya), baik yang berbahasa Arab</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maupun yang berbahasa Persia.</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Karya ini juga termasuk  dalam kategori tonggak Filsafat Iluminasi. Dalam karya ini,  Suhrawardi menggunakan penafsiran Al-Qur'an (taʼwil)  lebih banyak dibanding dalam karya-karya didaktik penting  lainnya. Karena saya berencana mengkaji dan menelaah  persoalan penafsiran (ta'wil) dalam metodologi Suhrawardi  dengan menggunakan Syarh Hayākil an-Nür karya Jalaluddin  Ad-Dawwani pada kesempatan terpisah, maka saya tidak  menguraikannya dalam karya ini.</w:t>
      </w:r>
      <w:bookmarkStart w:id="48" w:name="pg6442_57274"/>
    </w:p>
    <w:p>
      <w:pPr>
        <w:pStyle w:val="BookText"/>
        <w:bidi w:val="0"/>
        <w:rPr/>
      </w:pPr>
      <w:bookmarkEnd w:id="48"/>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Kisah-Kisah alegoris Arab dan Persia.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Sebelas kisah ini  menggambarkan ekspresi “puitis" akhir tentang hasil-hasil  pengalaman lluminasi (isyrāq). Karya-karya Suhrawardi  berjudul Kalimāt at-Tashawwuf (Pepatah Tentang Tasawuf)  dan Al-Alwāh Al-Imādi (Lembaran-Lembaran Imādī),</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meskipun tidak bersifat kiasan, dalam pengertiannya yang  kaku harus dimasukkan dalam kategori karya "puitis" dan  kiasan, dan tidak termasuk dalam karya-karya sistematis  “teoretis" tentang Filsafat Iluminasi.</w:t>
      </w:r>
    </w:p>
    <w:p>
      <w:pPr>
        <w:pStyle w:val="Heading4"/>
        <w:numPr>
          <w:ilvl w:val="3"/>
          <w:numId w:val="1"/>
        </w:numPr>
        <w:bidi w:val="0"/>
        <w:jc w:val="left"/>
        <w:rPr/>
      </w:pPr>
      <w:bookmarkStart w:id="49" w:name="__RefHeading___Toc924606_653776707"/>
      <w:bookmarkStart w:id="50" w:name="_Toc16"/>
      <w:bookmarkEnd w:id="49"/>
      <w:r>
        <w:rPr/>
        <w:t>2.3. Karakter Keempat Karya Penting</w:t>
      </w:r>
      <w:bookmarkEnd w:id="50"/>
    </w:p>
    <w:p>
      <w:pPr>
        <w:pStyle w:val="BookText"/>
        <w:bidi w:val="0"/>
        <w:jc w:val="both"/>
        <w:rPr/>
      </w:pPr>
      <w:r>
        <w:rPr>
          <w:rFonts w:eastAsia="Times New Roman" w:cs="Times New Roman" w:ascii="Times New Roman" w:hAnsi="Times New Roman"/>
          <w:color w:val="111111"/>
          <w:sz w:val="28"/>
          <w:szCs w:val="28"/>
          <w:lang w:val="en-US"/>
        </w:rPr>
        <w:t>Pengelompokan atas empat karya tersebut yang  dilakukan di sini, berbeda dari skema Corbin tentang grands  traités dogmatiques.</w:t>
      </w:r>
      <w:r>
        <w:rPr>
          <w:rStyle w:val="FootnoteAnchor"/>
        </w:rPr>
        <w:footnoteReference w:id="21"/>
      </w:r>
      <w:r>
        <w:rPr>
          <w:rFonts w:eastAsia="Times New Roman" w:cs="Times New Roman" w:ascii="Times New Roman" w:hAnsi="Times New Roman"/>
          <w:color w:val="111111"/>
          <w:sz w:val="28"/>
          <w:szCs w:val="28"/>
          <w:lang w:val="en-US"/>
        </w:rPr>
        <w:t>Namun, saya ingin melampaui apa  yang telah ditegaskan oleh Corbin dan mengemukakan bahwa  keempat karya tersebut, ketika dipertimbangkan bersama  membentuk sebuah kesatuan utuh berupa usaha yang dilakukan  oleh Suhrawardi untuk mengemukakan formulasi baru filsafat  secara sistematis. Formulasi baru ini menggunakan suatu  bahasa teknis khas, mengaksentuasikan tindakan kreatif intuisi,  dan berperan sebagai aksioma utama, tempat pengetahuan  jiwa tentang dirinya menjadi dasar dan titik-tolak pengetahuan.</w:t>
      </w:r>
    </w:p>
    <w:p>
      <w:pPr>
        <w:pStyle w:val="BookText"/>
        <w:bidi w:val="0"/>
        <w:jc w:val="both"/>
        <w:rPr/>
      </w:pPr>
      <w:r>
        <w:rPr>
          <w:rFonts w:eastAsia="Times New Roman" w:cs="Times New Roman" w:ascii="Times New Roman" w:hAnsi="Times New Roman"/>
          <w:color w:val="111111"/>
          <w:sz w:val="28"/>
          <w:szCs w:val="28"/>
          <w:lang w:val="en-US"/>
        </w:rPr>
        <w:t>Tujuan Suhrawardi membangun suatu dasar intuisi bagi  pembangunan kembali Filsafat Peripatetik adalah tujuan dari  masing-masing empat karya tersebut.</w:t>
      </w:r>
    </w:p>
    <w:p>
      <w:pPr>
        <w:pStyle w:val="BookText"/>
        <w:bidi w:val="0"/>
        <w:jc w:val="both"/>
        <w:rPr/>
      </w:pPr>
      <w:r>
        <w:rPr>
          <w:rFonts w:eastAsia="Times New Roman" w:cs="Times New Roman" w:ascii="Times New Roman" w:hAnsi="Times New Roman"/>
          <w:color w:val="111111"/>
          <w:sz w:val="28"/>
          <w:szCs w:val="28"/>
          <w:lang w:val="en-US"/>
        </w:rPr>
        <w:t>Keempat karya itu saling berkaitan satu sama lain dan  membentuk keseluruhan yang meliputi siklus yang dimulai dari  filsafat diskursif (hikmah Bahtsiyyah)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Istilah-istilah yang digunakan, seperti bahts, al-hikmah al-  bahtsiyyah, thariq al-masysyā'īn, dan madzhab Al-masysyā’in,  semuanya menunjuk pada filsafat ini dengan prinsip-  prinsip tertentu yang tidak disetujuinya. Akan tetapi, yang  signifikan bagi Suhrawardi bukan penolakan bahts, melainkan  penggabungan bahts yang dirumukan kembali dalam Filsafat  lluminasi yang direkonstruksi.</w:t>
      </w:r>
    </w:p>
    <w:p>
      <w:pPr>
        <w:pStyle w:val="BookText"/>
        <w:bidi w:val="0"/>
        <w:jc w:val="both"/>
        <w:rPr/>
      </w:pPr>
      <w:r>
        <w:rPr>
          <w:rFonts w:eastAsia="Times New Roman" w:cs="Times New Roman" w:ascii="Times New Roman" w:hAnsi="Times New Roman"/>
          <w:color w:val="111111"/>
          <w:sz w:val="28"/>
          <w:szCs w:val="28"/>
          <w:lang w:val="en-US"/>
        </w:rPr>
        <w:t>dan berakhir dengan  filsafat intuitif (hikmah Dzauqiyyah).</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Pandangan dasar filsafat ini</w:t>
      </w:r>
      <w:bookmarkStart w:id="51" w:name="pg6442_57275"/>
    </w:p>
    <w:p>
      <w:pPr>
        <w:pStyle w:val="BookText"/>
        <w:bidi w:val="0"/>
        <w:rPr/>
      </w:pPr>
      <w:bookmarkEnd w:id="51"/>
      <w:r>
        <w:rPr>
          <w:rFonts w:eastAsia="Times New Roman" w:cs="Times New Roman" w:ascii="Times New Roman" w:hAnsi="Times New Roman"/>
          <w:color w:val="111111"/>
          <w:sz w:val="28"/>
          <w:szCs w:val="28"/>
          <w:lang w:val="en-US"/>
        </w:rPr>
        <w:t>berusaha memadukan yang diskursif dan yang intuitif, dijumpai  ada dalam masing-masing empat karya ini dalam bentuk yang  berbeda, yakni setiap karya ini menyatukan prinsip-prinsip, kaidah-  kaidah, metode, serta istilah-istilah teknis filsafat diskursif dengan  filsafat intuitif. Akan tetapi, karya pertama dalam lingkup ini,  At-Talwihāt, menekankan filsafat diskursif, sementara karya  terakhir dalam lingkup ini, Hikmah Al-Isyrāq, menekankan filsafat  intuitif. Paduan seperti ini ditemukan hanya dalam empat karya  Suhrawardi, kecuali Partawnāmah, Al-Alwāh Al-Imādi, dan  Hayākil an-Nür.</w:t>
      </w:r>
      <w:r>
        <w:rPr>
          <w:rStyle w:val="FootnoteAnchor"/>
        </w:rPr>
        <w:footnoteReference w:id="23"/>
      </w:r>
    </w:p>
    <w:p>
      <w:pPr>
        <w:pStyle w:val="Heading4"/>
        <w:numPr>
          <w:ilvl w:val="3"/>
          <w:numId w:val="1"/>
        </w:numPr>
        <w:bidi w:val="0"/>
        <w:jc w:val="left"/>
        <w:rPr/>
      </w:pPr>
      <w:bookmarkStart w:id="52" w:name="__RefHeading___Toc924608_653776707"/>
      <w:bookmarkStart w:id="53" w:name="_Toc17"/>
      <w:bookmarkEnd w:id="52"/>
      <w:r>
        <w:rPr/>
        <w:t>2.4. Periode Penulisan Karya-karya Penting: Ihwal Kehidupan Suhrawardi</w:t>
      </w:r>
      <w:bookmarkEnd w:id="53"/>
    </w:p>
    <w:p>
      <w:pPr>
        <w:pStyle w:val="BookText"/>
        <w:bidi w:val="0"/>
        <w:jc w:val="both"/>
        <w:rPr/>
      </w:pPr>
      <w:r>
        <w:rPr>
          <w:rFonts w:eastAsia="Times New Roman" w:cs="Times New Roman" w:ascii="Times New Roman" w:hAnsi="Times New Roman"/>
          <w:color w:val="111111"/>
          <w:sz w:val="28"/>
          <w:szCs w:val="28"/>
          <w:lang w:val="en-US"/>
        </w:rPr>
        <w:t>Sekarang, mari kita kaji dan telaah fakta-fakta historis yang  relevan dalam kehidupan Suhrawardi, bukan untuk memberikan  biografi kepada pembaca, melainkan untuk menegaskan rentang  waktu Suhrawardi menulis karya-karyanya yang penting dan  tempat-tempat di mana mengajarkan Filsafat Iluminasi.</w:t>
      </w:r>
    </w:p>
    <w:p>
      <w:pPr>
        <w:pStyle w:val="BookText"/>
        <w:bidi w:val="0"/>
        <w:jc w:val="both"/>
        <w:rPr/>
      </w:pPr>
      <w:r>
        <w:rPr>
          <w:rFonts w:eastAsia="Times New Roman" w:cs="Times New Roman" w:ascii="Times New Roman" w:hAnsi="Times New Roman"/>
          <w:color w:val="111111"/>
          <w:sz w:val="28"/>
          <w:szCs w:val="28"/>
          <w:lang w:val="en-US"/>
        </w:rPr>
        <w:t>Kita hanya mengetahui beberapa tanggal dan rincian  peristiwa tertentu dalam kehidupan Suhrawardi. Kita tahu  bahwa Suhrawardi dilahirkan di Desa Suhraward di Iran Timur  Laut pada 549 H/1155 M, dan dieksekusi atau dihukum mati di  Aleppo pada 587 H/1191 M, ini berarti bahwa ia hidup selama  38 tahun Qamariah dan 36 tahun Syamsiah.</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Lihat Asy-Syahrazuri, Nuzhah Al-Arwāh wa Raudhah Al-Afrah  fi Tārīkh al-Hukamā' wa Al-Falāsifah, disunting dan diberi  pendahuluan tentang sejarah Filsafat Islam oleh M.T. Danesh-  Pajouh dan M.S. Maula'i, (Tehran: t.p, 1986).</w:t>
      </w:r>
    </w:p>
    <w:p>
      <w:pPr>
        <w:pStyle w:val="BookText"/>
        <w:bidi w:val="0"/>
        <w:jc w:val="both"/>
        <w:rPr/>
      </w:pPr>
      <w:r>
        <w:rPr>
          <w:rFonts w:eastAsia="Times New Roman" w:cs="Times New Roman" w:ascii="Times New Roman" w:hAnsi="Times New Roman"/>
          <w:color w:val="111111"/>
          <w:sz w:val="28"/>
          <w:szCs w:val="28"/>
          <w:lang w:val="en-US"/>
        </w:rPr>
        <w:t>Kita memperoleh  informasi bahwa Suhrawardi datang ke Aleppo pada 579  H/1183 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 Margoliouth, hlm. vi dan 269.</w:t>
      </w:r>
    </w:p>
    <w:p>
      <w:pPr>
        <w:pStyle w:val="BookText"/>
        <w:bidi w:val="0"/>
        <w:jc w:val="both"/>
        <w:rPr/>
      </w:pPr>
      <w:r>
        <w:rPr>
          <w:rFonts w:eastAsia="Times New Roman" w:cs="Times New Roman" w:ascii="Times New Roman" w:hAnsi="Times New Roman"/>
          <w:color w:val="111111"/>
          <w:sz w:val="28"/>
          <w:szCs w:val="28"/>
          <w:lang w:val="en-US"/>
        </w:rPr>
        <w:t>Suhrawardi menegaskan bahwa ia merampungkan  Hikmah Al-Isyrāq pada 582 H/1186 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Sementara itu,  Syamsuddin Muhammad Asy-Syahrazuri menyatakan dalam  Nuzhah Al-Arwāh-nya, bahwa Suhrawardi berumur kira-kira</w:t>
      </w:r>
    </w:p>
    <w:p>
      <w:pPr>
        <w:pStyle w:val="BookText"/>
        <w:bidi w:val="0"/>
        <w:rPr/>
      </w:pPr>
      <w:r>
        <w:rPr>
          <w:rFonts w:eastAsia="Times New Roman" w:cs="Times New Roman" w:ascii="Times New Roman" w:hAnsi="Times New Roman"/>
          <w:color w:val="111111"/>
          <w:sz w:val="28"/>
          <w:szCs w:val="28"/>
          <w:lang w:val="en-US"/>
        </w:rPr>
        <w:t>30 tahun sewaktu menyelesaikan atau mendekati penyelesaian  karyanya yang berjudul Al-Masyāri' wa Al-Muthārahāt (yakni,  karya ini diselesaikan pada sekitar 579 H/1183 M).</w:t>
      </w:r>
      <w:r>
        <w:rPr>
          <w:rStyle w:val="FootnoteAnchor"/>
        </w:rPr>
        <w:footnoteReference w:id="25"/>
      </w:r>
      <w:r>
        <w:rPr>
          <w:rFonts w:eastAsia="Times New Roman" w:cs="Times New Roman" w:ascii="Times New Roman" w:hAnsi="Times New Roman"/>
          <w:color w:val="111111"/>
          <w:sz w:val="28"/>
          <w:szCs w:val="28"/>
          <w:lang w:val="en-US"/>
        </w:rPr>
        <w:t xml:space="preserve"> Kita bisa berasumsi bahwa Suhrawardi telah menyelesaikan  semua studinya sebelum berangkat ke Aleppo dan mungkin  sudah menyelesaikan semua tulisannya sebelum masa itu.</w:t>
      </w:r>
    </w:p>
    <w:p>
      <w:pPr>
        <w:pStyle w:val="BookText"/>
        <w:bidi w:val="0"/>
        <w:jc w:val="both"/>
        <w:rPr/>
      </w:pPr>
      <w:r>
        <w:rPr>
          <w:rFonts w:eastAsia="Times New Roman" w:cs="Times New Roman" w:ascii="Times New Roman" w:hAnsi="Times New Roman"/>
          <w:color w:val="111111"/>
          <w:sz w:val="28"/>
          <w:szCs w:val="28"/>
          <w:lang w:val="en-US"/>
        </w:rPr>
        <w:t>Kita mengenal nama-nama gurunya, tetapi tidak mempunyai  informasi yang pasti kapan, atau teks-teks apa, atau bentuk-  bentuk karya yang ia pelajari bersama mereka. Sejauh yang kita  tahu, guru pertama Suhrawardi adalah Majduddin Al-Jili, yang  mengajarinya filsafat dan teologi di Marāgha. Guru Suhrawardi  berikutnya adalah Fakhruddin Al-Mardini (w. 594 H/1198 M),  yang mengajarinya filsafat di Isfahan atau Mardin,</w:t>
      </w:r>
      <w:r>
        <w:rPr>
          <w:rStyle w:val="FootnoteAnchor"/>
        </w:rPr>
        <w:footnoteReference w:id="26"/>
      </w:r>
      <w:r>
        <w:rPr>
          <w:rFonts w:eastAsia="Times New Roman" w:cs="Times New Roman" w:ascii="Times New Roman" w:hAnsi="Times New Roman"/>
          <w:color w:val="111111"/>
          <w:sz w:val="28"/>
          <w:szCs w:val="28"/>
          <w:lang w:val="en-US"/>
        </w:rPr>
        <w:t xml:space="preserve">dan mungkin  ia adalah gurunya terpenting. Kita tahu bahwa Mardin berada  di suatu tempat di Aleppo pada tahun Suhrawardi dieksekusi,  yang konon sudah ia ramalkan sebelumnya, </w:t>
      </w:r>
      <w:r>
        <w:rPr>
          <w:rStyle w:val="FootnoteAnchor"/>
        </w:rPr>
        <w:footnoteReference w:id="27"/>
      </w:r>
      <w:r>
        <w:rPr>
          <w:rFonts w:eastAsia="Times New Roman" w:cs="Times New Roman" w:ascii="Times New Roman" w:hAnsi="Times New Roman"/>
          <w:color w:val="111111"/>
          <w:sz w:val="28"/>
          <w:szCs w:val="28"/>
          <w:lang w:val="en-US"/>
        </w:rPr>
        <w:t>tetapi kita tidak  tahu apakah ia memainkan peran positif atau negatif dalam intrik  yang menjurus pada fitnah dan eksekusi atas Suhrawardi.</w:t>
      </w:r>
      <w:r>
        <w:rPr>
          <w:rStyle w:val="FootnoteAnchor"/>
        </w:rPr>
        <w:footnoteReference w:id="28"/>
      </w:r>
      <w:r>
        <w:rPr>
          <w:rFonts w:eastAsia="Times New Roman" w:cs="Times New Roman" w:ascii="Times New Roman" w:hAnsi="Times New Roman"/>
          <w:color w:val="111111"/>
          <w:sz w:val="28"/>
          <w:szCs w:val="28"/>
          <w:lang w:val="en-US"/>
        </w:rPr>
        <w:t>Penting  dicatat bahwa Al-Mardini hidup sezaman dengan sorang anti-  Aristotelian, Abu Al-Barakat Al-Baghdadi (w. sesudah 560 H/1164  M), dan murid yang bernama sama Al-Baghdadi, serta musuhnya  di Baghdad;</w:t>
      </w:r>
      <w:r>
        <w:rPr>
          <w:rStyle w:val="FootnoteAnchor"/>
        </w:rPr>
        <w:footnoteReference w:id="29"/>
      </w:r>
      <w:r>
        <w:rPr>
          <w:rFonts w:eastAsia="Times New Roman" w:cs="Times New Roman" w:ascii="Times New Roman" w:hAnsi="Times New Roman"/>
          <w:color w:val="111111"/>
          <w:sz w:val="28"/>
          <w:szCs w:val="28"/>
          <w:lang w:val="en-US"/>
        </w:rPr>
        <w:t>berikut ini alasan-alasan lainnya (yang akan kami  bahas dalam bagian 2.5 bab ini) yang mungkin menjelaskan  mengapa Al-Baghdadi adalah salah seorang dari sejumlah filsuf  “sezaman" yang sering disebut-sebut namanya oleh Suhrawardi.</w:t>
      </w:r>
    </w:p>
    <w:p>
      <w:pPr>
        <w:pStyle w:val="BookText"/>
        <w:bidi w:val="0"/>
        <w:jc w:val="both"/>
        <w:rPr/>
      </w:pPr>
      <w:r>
        <w:rPr>
          <w:rFonts w:eastAsia="Times New Roman" w:cs="Times New Roman" w:ascii="Times New Roman" w:hAnsi="Times New Roman"/>
          <w:color w:val="111111"/>
          <w:sz w:val="28"/>
          <w:szCs w:val="28"/>
          <w:lang w:val="en-US"/>
        </w:rPr>
        <w:t xml:space="preserve">Al-Baghdadi, seperti juga Suhrawardi yang mengikutinya,  mengaku bahwa karya utamanya, Al-Mu'tabar, disusun atas  dasar "refleksi personal".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t.p, 1357 H.), hlm. I dan 7. Untuk diskusi ihwal posisi “refleksi  personal" dan intuisi dalam segenap pandangan Abu Al-  Barakat ihwal kedudukan epistemologi pengetahuan personal  dan intuitif dalam filsafat. Lihat S. Pines, Nouvelles études sur  Awhad az-Zamān Abu Al-Barakat Al-Baghdadi. (Paris: Libraire  Durlaches, 1958), hlm. 8,17. Lihat juga bagian 2.5. berikut  ini.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 filsuf itu mengakui bahwa  kepastian-kepastian intuisi sama sahihnya dengan kepastian-</w:t>
      </w:r>
    </w:p>
    <w:p>
      <w:pPr>
        <w:pStyle w:val="BookText"/>
        <w:bidi w:val="0"/>
        <w:rPr/>
      </w:pPr>
      <w:r>
        <w:rPr>
          <w:rFonts w:eastAsia="Times New Roman" w:cs="Times New Roman" w:ascii="Times New Roman" w:hAnsi="Times New Roman"/>
          <w:color w:val="111111"/>
          <w:sz w:val="28"/>
          <w:szCs w:val="28"/>
          <w:lang w:val="en-US"/>
        </w:rPr>
        <w:t>kepastian akal dan persepsi indrawi, dan menegaskan bahwa  hanya bentuk kepastian terakhir saja yang diterima oleh Filsafat  Peripatetik. Akhirnya, kita mengetahui nama guru Suhrawardi  yang lain, Zhahir Al-Farsi, yang kepadanya ia belajar Al-Bashā'ir,  karya seorang ahli logika terkenal, “Umar bin Sahlan As-Sawi(w.</w:t>
      </w:r>
    </w:p>
    <w:p>
      <w:pPr>
        <w:pStyle w:val="BookText"/>
        <w:bidi w:val="0"/>
        <w:jc w:val="both"/>
        <w:rPr/>
      </w:pPr>
      <w:r>
        <w:rPr>
          <w:rFonts w:eastAsia="Times New Roman" w:cs="Times New Roman" w:ascii="Times New Roman" w:hAnsi="Times New Roman"/>
          <w:color w:val="111111"/>
          <w:sz w:val="28"/>
          <w:szCs w:val="28"/>
          <w:lang w:val="en-US"/>
        </w:rPr>
        <w:t>kira-kira 540 H/1145 M)', yang di kalangan sejumlah kecil filsuf  namanya disebut oleh Suhrawardi, terutama berkaitan dengan  persoalan-persoalan rumit tertentu dalam logika.</w:t>
      </w:r>
      <w:r>
        <w:rPr>
          <w:rStyle w:val="FootnoteAnchor"/>
        </w:rPr>
        <w:footnoteReference w:id="31"/>
      </w:r>
      <w:r>
        <w:rPr>
          <w:rFonts w:eastAsia="Times New Roman" w:cs="Times New Roman" w:ascii="Times New Roman" w:hAnsi="Times New Roman"/>
          <w:color w:val="111111"/>
          <w:sz w:val="28"/>
          <w:szCs w:val="28"/>
          <w:lang w:val="en-US"/>
        </w:rPr>
        <w:t>Suhrawardi  adalah seorang filsuf muda yang meninggalkan tanah airnya  dan pergi ke Suriah pada masa kekacauan dan intrik politik,  kemudian masuk ke Aleppo pada 579 H/1183 M, tempat ia  mengajar dan bersahabat dengan Pangeran Malik Zhahir Syah,  putra Shalahuddin Al-Ayyubi. Lebih jauh, kita tahu tanggal  penyusunan dua dari karya-karyanya yang penting. Berdasarkan  informasi langka ini, kita berusaha memastikan kemungkinan  rentang waktu penulisan karya-karya Suhrawardi yang penting.</w:t>
      </w:r>
    </w:p>
    <w:p>
      <w:pPr>
        <w:pStyle w:val="BookText"/>
        <w:bidi w:val="0"/>
        <w:jc w:val="both"/>
        <w:rPr/>
      </w:pPr>
      <w:r>
        <w:rPr>
          <w:rFonts w:eastAsia="Times New Roman" w:cs="Times New Roman" w:ascii="Times New Roman" w:hAnsi="Times New Roman"/>
          <w:color w:val="111111"/>
          <w:sz w:val="28"/>
          <w:szCs w:val="28"/>
          <w:lang w:val="en-US"/>
        </w:rPr>
        <w:t>Kita tidak tahu dengan pasti kapan Suhrawardi  menyelesaikan studi, atau kapan ia mulai mengajar dan menulis,  tetapi asumsi-asumsi berikut beralasan untuk dikemukakan.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mungkin menyelesaikan studinya dengan Al-Jili  pada awal umur dua puluh tahunan, dan dengan Al-Mardini  pada pertengahan umur dua puluhan. Mari kita asumsikan  bahwa sesudah menyelesaikan studinya, ada sebuah periode  antara tiga hingga lima tahun, sebelum masa ketika sekelompok  murid atau siswa yang sering ia sebut sebagai “saudara" atau  “sahabat" mendekat kepadanya. Untuk mereka, yang terus-  menerus mendesak dan menuntutnya, ia menulis sebagian besar  karyanya. Ini juga berarti bahwa Suhrawardi telah menyampaikan  ajaran-ajarannya secara lisan sebelum diwujudkan dalam bentuk </w:t>
      </w:r>
    </w:p>
    <w:p>
      <w:pPr>
        <w:pStyle w:val="BookText"/>
        <w:bidi w:val="0"/>
        <w:rPr/>
      </w:pPr>
      <w:r>
        <w:rPr>
          <w:rFonts w:eastAsia="Times New Roman" w:cs="Times New Roman" w:ascii="Times New Roman" w:hAnsi="Times New Roman"/>
          <w:color w:val="111111"/>
          <w:sz w:val="28"/>
          <w:szCs w:val="28"/>
          <w:lang w:val="en-US"/>
        </w:rPr>
        <w:t>tulisan. Tidak mungkin karya-karya Suhrawardi yang penting  itu ditulis sebelum akhir umur dua puluhan. Paling banter,  Suhrawardi punya waktu sepuluh tahun untuk menyusun semua  karyanya yang penting, dan mungkin juga, kebanyakan karya  lainnya, termasuk kisah-kisah alegoris. Sekarang, sepuluh tahun  bukan waktu yang cukup panjang bagi seorang pemikir untuk  punya dua masa yang sama sekali berbeda dalam pemikiran yang  dikembangkan sepenuhnya, yang satu bercorak Peripatetik  dan yang lain bercorak Iluminasi – seperti ditunjukkan oleh  beberapa sarjana.</w:t>
      </w:r>
      <w:r>
        <w:rPr>
          <w:rStyle w:val="FootnoteAnchor"/>
        </w:rPr>
        <w:footnoteReference w:id="32"/>
      </w:r>
      <w:r>
        <w:rPr>
          <w:rFonts w:eastAsia="Times New Roman" w:cs="Times New Roman" w:ascii="Times New Roman" w:hAnsi="Times New Roman"/>
          <w:color w:val="111111"/>
          <w:sz w:val="28"/>
          <w:szCs w:val="28"/>
          <w:lang w:val="en-US"/>
        </w:rPr>
        <w:t>Saya sulit mempercayai hipotesis ini, dan  kenyataan bahwa Suhrawardi menulis sejumlah sinopsis ajaran-  ajaran Peripatetik (yang tanggal-tanggal penyusunannya tidak  pasti), tampaknya tidak mendukung hipotesis seperti ini.</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beberapa hal, keempat karya penting Suhrawardi  yang dikaji di sini saling merujuk satu sama lain; dan dengan  menilai berdasarkan luasnya rujukan silang, karya-karya itu pasti  disusun kira-kira pada waktu yang bersamaan, atau setidak-  tidaknya direvisi terus-menerus pada saat diajarkan, dengan  memperhatikan yang lainnya.</w:t>
      </w:r>
      <w:r>
        <w:rPr>
          <w:rStyle w:val="FootnoteAnchor"/>
        </w:rPr>
        <w:footnoteReference w:id="33"/>
      </w:r>
      <w:r>
        <w:rPr>
          <w:rFonts w:eastAsia="Times New Roman" w:cs="Times New Roman" w:ascii="Times New Roman" w:hAnsi="Times New Roman"/>
          <w:color w:val="111111"/>
          <w:sz w:val="28"/>
          <w:szCs w:val="28"/>
          <w:lang w:val="en-US"/>
        </w:rPr>
        <w:t>Barangkali tahun 582 H/1186  M, tahun yang dinyatakan sebagai masa dirampungkannya Hikmah  Al-Isyrāq, adalah tahun ketika sebuah versi sudah ada, tetapi  karya ini pasti direvisi menjelang akhir kehidupan Suhrawardi,  sebagaimana karya ini diajarkan. Pada 579 H/1183 M, tahun ketika  Suhrawardi sudah memasuki Aleppo dan telah menyelesaikan Al-  Masyāri' wa Al-Muthārahāt, bisa jadi ia sudah memiliki berbagai  “naskah mentah” (atau versi) dari keempat karyanya yang  penting, yang ia bahas dan diskusikan selama pertemuan-  pertemuan yang diselenggarakan oleh Malik Zhahir Syah.</w:t>
      </w:r>
      <w:r>
        <w:rPr>
          <w:rStyle w:val="FootnoteAnchor"/>
        </w:rPr>
        <w:footnoteReference w:id="34"/>
      </w:r>
      <w:bookmarkStart w:id="54" w:name="pg6442_57279"/>
    </w:p>
    <w:p>
      <w:pPr>
        <w:pStyle w:val="Heading4"/>
        <w:numPr>
          <w:ilvl w:val="3"/>
          <w:numId w:val="1"/>
        </w:numPr>
        <w:bidi w:val="0"/>
        <w:jc w:val="left"/>
        <w:rPr/>
      </w:pPr>
      <w:bookmarkStart w:id="55" w:name="__RefHeading___Toc924610_653776707"/>
      <w:bookmarkStart w:id="56" w:name="_Toc18"/>
      <w:bookmarkEnd w:id="54"/>
      <w:bookmarkEnd w:id="55"/>
      <w:r>
        <w:rPr/>
        <w:t>2.5. Abu Al-Barakat Al-Baghdadi dan Filsafat Iluminasi</w:t>
      </w:r>
      <w:bookmarkEnd w:id="56"/>
    </w:p>
    <w:p>
      <w:pPr>
        <w:pStyle w:val="BookText"/>
        <w:bidi w:val="0"/>
        <w:jc w:val="both"/>
        <w:rPr/>
      </w:pPr>
      <w:r>
        <w:rPr>
          <w:rFonts w:eastAsia="Times New Roman" w:cs="Times New Roman" w:ascii="Times New Roman" w:hAnsi="Times New Roman"/>
          <w:color w:val="111111"/>
          <w:sz w:val="28"/>
          <w:szCs w:val="28"/>
          <w:lang w:val="en-US"/>
        </w:rPr>
        <w:t>Abu Al-Barakat Al-Baghdadi, termasuk di antara sangat  sedikit filsuf yang namanya disebut oleh Suhrawardi ketika  membahas persoalan-persoalan filsafat tertentu. Di beberapa  tempat, ia diidentifikasikan dalam berbagai manuskrip karya-  karya Suhrawardi dalam catatan-catatan pinggir ketika menunjuk  subjek-subjek yang sedang dibahas dalam teks. Juga, Suhrawardi  secara jelas menempatkan posisi Platonis Al-Baghdadi dalam  beberapa kesempatan, posisi yang ia lebih menyukainya, dan  dalam kaitannya dengan isu-isu kunci filsafat, metodologi Al-  Baghdadi bergaung dalam reformulasi atau perumusan kembali  prinsip-prinsip filsafat Suhrawardi. Tentang persoalan terpenting  dasar filsafat Suhrawardi, dan Al-Baghdadi yang mendahuluinya  pun mengambil posisi intuisionis dengan memberikan kepada  intuisi utama yang berperan penting dalam bangunan filsafat.</w:t>
      </w:r>
    </w:p>
    <w:p>
      <w:pPr>
        <w:pStyle w:val="BookText"/>
        <w:bidi w:val="0"/>
        <w:jc w:val="both"/>
        <w:rPr/>
      </w:pPr>
      <w:r>
        <w:rPr>
          <w:rFonts w:eastAsia="Times New Roman" w:cs="Times New Roman" w:ascii="Times New Roman" w:hAnsi="Times New Roman"/>
          <w:color w:val="111111"/>
          <w:sz w:val="28"/>
          <w:szCs w:val="28"/>
          <w:lang w:val="en-US"/>
        </w:rPr>
        <w:t>Struktur karya filsafat Al-Baghdadi, Al-Mu'tabar, juga tercermin  dalam karya-karya filsafat Suhrawardi. Tampaknya terbukti  bagi saya, bahwa Al-Baghdadi harus dianggap sebagai seorang  sumber langsung yang penting bagi sejumlah pendekatan  non-Peripatetik yang ditempuh Suhrawardi dalam menghampiri  persoalan-persoalan filsafat. Metodologi filsafat Ibn Sina,  penggunaannya atas istilah teknis, dan tujuan filsafatnya menjadi  standar atau tolok ukur yang digunakan dalam mengkaji,  menelaah, dan menguraikan lebih jauh Filsafat Arab dan Persia.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Al-Baghdadi dan Suhrawardi melakukan upaya-upaya serius  dalam merumuskan kembali beberapa prinsip Filsafat Ibn Sina,  sesuatu yang tidak dilakukan oleh filsuf itu dalam bentuk yang  sistematis seperti itu. Dalam hal ini, bacaan Suhrawardi atas  karya filsafat Al-Baghdadi berjudul Al-Mu'tabar mesti akan dikaji </w:t>
      </w:r>
      <w:bookmarkStart w:id="57" w:name="pg6442_57280"/>
    </w:p>
    <w:p>
      <w:pPr>
        <w:pStyle w:val="BookText"/>
        <w:bidi w:val="0"/>
        <w:rPr/>
      </w:pPr>
      <w:bookmarkEnd w:id="57"/>
      <w:r>
        <w:rPr>
          <w:rFonts w:eastAsia="Times New Roman" w:cs="Times New Roman" w:ascii="Times New Roman" w:hAnsi="Times New Roman"/>
          <w:color w:val="111111"/>
          <w:sz w:val="28"/>
          <w:szCs w:val="28"/>
          <w:lang w:val="en-US"/>
        </w:rPr>
        <w:t>dan ditelaah, karena ia akan membantu menjelaskan bangunan  Filsafat Iluminasi.</w:t>
      </w:r>
    </w:p>
    <w:p>
      <w:pPr>
        <w:pStyle w:val="BookText"/>
        <w:bidi w:val="0"/>
        <w:jc w:val="both"/>
        <w:rPr/>
      </w:pPr>
      <w:r>
        <w:rPr>
          <w:rFonts w:eastAsia="Times New Roman" w:cs="Times New Roman" w:ascii="Times New Roman" w:hAnsi="Times New Roman"/>
          <w:color w:val="111111"/>
          <w:sz w:val="28"/>
          <w:szCs w:val="28"/>
          <w:lang w:val="en-US"/>
        </w:rPr>
        <w:t>Berikut ini, saya akan merujuk pada karya Al-Baghdadi,  Al-Mu'tabar, ketika menganalisis Filsafat Iluminasi Suhrawardi  untuk menunjukkan kaitan antara kedua metodologi itu dan  untuk mencatat tema-tema umum mereka yang anti-Ibn Sina.</w:t>
      </w:r>
    </w:p>
    <w:p>
      <w:pPr>
        <w:pStyle w:val="BookText"/>
        <w:bidi w:val="0"/>
        <w:jc w:val="both"/>
        <w:rPr/>
      </w:pPr>
      <w:r>
        <w:rPr>
          <w:rFonts w:eastAsia="Times New Roman" w:cs="Times New Roman" w:ascii="Times New Roman" w:hAnsi="Times New Roman"/>
          <w:color w:val="111111"/>
          <w:sz w:val="28"/>
          <w:szCs w:val="28"/>
          <w:lang w:val="en-US"/>
        </w:rPr>
        <w:t>Saya tidak bermaksud membuat suatu perbandingan yang  mendalam. Akan tetapi, Filsafat Iluminasi akhirnya dibedakan  dari karya filsafat Al-Baghdadi dalam penggunaan metafora  atau kiasannya atas “cahaya" dalam posisi ontologisnya, teori  Iluminasinya tentang emanasi, dan teori Epistemologinya  tentang pengetahuan dengan kehadiran dan dalam bentuknya  yang didefinisikan sebagai filsafat Sistematis non-Peripatetik  yang dirancang sebagai sistem lluminasionis yang terpisah. Hal  ini tampak jelas dan gamblang manakala Al-Mu'tabar dikaji dan  ditelaah dengan maksud untuk memahami karya-karya Filsafat  Suhrawardi.</w:t>
      </w:r>
    </w:p>
    <w:p>
      <w:pPr>
        <w:pStyle w:val="Heading3"/>
        <w:numPr>
          <w:ilvl w:val="2"/>
          <w:numId w:val="1"/>
        </w:numPr>
        <w:bidi w:val="0"/>
        <w:jc w:val="left"/>
        <w:rPr/>
      </w:pPr>
      <w:bookmarkStart w:id="58" w:name="__RefHeading___Toc924612_653776707"/>
      <w:bookmarkStart w:id="59" w:name="_Toc19"/>
      <w:bookmarkEnd w:id="58"/>
      <w:r>
        <w:rPr/>
        <w:t>3. KARYA-KARYA PENTING YANG DIKAJI</w:t>
      </w:r>
      <w:bookmarkEnd w:id="59"/>
    </w:p>
    <w:p>
      <w:pPr>
        <w:pStyle w:val="Heading4"/>
        <w:numPr>
          <w:ilvl w:val="3"/>
          <w:numId w:val="1"/>
        </w:numPr>
        <w:bidi w:val="0"/>
        <w:jc w:val="left"/>
        <w:rPr/>
      </w:pPr>
      <w:bookmarkStart w:id="60" w:name="__RefHeading___Toc924614_653776707"/>
      <w:bookmarkStart w:id="61" w:name="_Toc20"/>
      <w:bookmarkEnd w:id="60"/>
      <w:r>
        <w:rPr/>
        <w:t>3.1. At-Talwīhāt</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bagian "Pendahuluan” tentang bab “Ilmu Ketiga" (Al-  ‘ilm a-tsālits, yakni metafisika) dalam At-Talwīhāt, Suhrawardi  menegaskan,  “[Dalam buku ini) aku tidak menaruh perhatian pada  ajaran Peripatetik yang sudah terkenal itu; alih-alih, aku  akan meninjau dan merevisinya semampuku dan hanya  akan menyebutkan inti dalil-dalil (qawāʻid) dari 'Guru  Pertama'. </w:t>
      </w:r>
      <w:r>
        <w:rPr>
          <w:rStyle w:val="FootnoteAnchor"/>
        </w:rPr>
        <w:footnoteReference w:id="35"/>
      </w:r>
      <w:r>
        <w:rPr>
          <w:rFonts w:eastAsia="Times New Roman" w:cs="Times New Roman" w:ascii="Times New Roman" w:hAnsi="Times New Roman"/>
          <w:color w:val="111111"/>
          <w:sz w:val="28"/>
          <w:szCs w:val="28"/>
          <w:lang w:val="en-US"/>
        </w:rPr>
        <w:t xml:space="preserve"> Lebih jauh, dalam “Pendahuluan” Hikmah Al-Isyrāq,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ia menegaskan bahwa At-Talwihāt adalah suatu karya yang  disusun sesuai dengan “metode Peripatetik" ('Alā Thariq  Al-Masysyā'iyyīn),</w:t>
      </w:r>
      <w:r>
        <w:rPr>
          <w:rStyle w:val="FootnoteAnchor"/>
        </w:rPr>
        <w:footnoteReference w:id="36"/>
      </w:r>
      <w:r>
        <w:rPr>
          <w:rFonts w:eastAsia="Times New Roman" w:cs="Times New Roman" w:ascii="Times New Roman" w:hAnsi="Times New Roman"/>
          <w:color w:val="111111"/>
          <w:sz w:val="28"/>
          <w:szCs w:val="28"/>
          <w:lang w:val="en-US"/>
        </w:rPr>
        <w:t>sementara di akhir At-Talwihāt, ia  menegaskan,  “Dalam buku ini, aku telah memberikan apa  yang memungkinkan seseorang membuang [metode-  metode Peripatetik], plus hal-hal yang menakjubkan  dan unik. Buku ini memuat kaidah-kaidah ilmu yang  telah ditetapkan dengan sangat hati-hati. Di dalamnya,  tidak ada ketimpangan, atau ketidaksesuaian, dan juga  pikiran yang berserakan. Aku nasihatkan agar engkau  tidak mengikutiku secara membuta, dan juga orang  lain. Sebab, tolok-ukur sebenarnya dari segala sesuatu  adalah demonstrasi .... Beralihlah kepada 'ilmu-ilmu yang  dialami’</w:t>
      </w:r>
      <w:r>
        <w:rPr>
          <w:rStyle w:val="FootnoteAnchor"/>
        </w:rPr>
        <w:footnoteReference w:id="37"/>
      </w:r>
      <w:r>
        <w:rPr>
          <w:rFonts w:eastAsia="Times New Roman" w:cs="Times New Roman" w:ascii="Times New Roman" w:hAnsi="Times New Roman"/>
          <w:color w:val="111111"/>
          <w:sz w:val="28"/>
          <w:szCs w:val="28"/>
          <w:lang w:val="en-US"/>
        </w:rPr>
        <w:t>agar engkau menjadi seorang filsuf."</w:t>
      </w:r>
      <w:r>
        <w:rPr>
          <w:rStyle w:val="FootnoteAnchor"/>
        </w:rPr>
        <w:footnoteReference w:id="38"/>
      </w:r>
      <w:r>
        <w:rPr>
          <w:rFonts w:eastAsia="Times New Roman" w:cs="Times New Roman" w:ascii="Times New Roman" w:hAnsi="Times New Roman"/>
          <w:color w:val="111111"/>
          <w:sz w:val="28"/>
          <w:szCs w:val="28"/>
          <w:lang w:val="en-US"/>
        </w:rPr>
        <w:t xml:space="preserve"> Kita bisa menyimpulkan dari berbagai pernyataan, bahwa At-  Talwībāt adalah sebuah karya yang di dalamnya menggunakan  “metode Peripatetik", Suhrawardi menganalisis berbagai  persoalan penting filsafat diskursif dan juga mengemukakan  berbagai kesimpulan tertentu atau kebenaran dari sebuah hakikat  simbolis – semuanya ini, katanya adalah “rahasia-rahasia" – dan  menyuguhkan suatu pandangan filsafat yang menunjuk pada  "pengetahuan yang dialami” sebagai jenis pengetahuan tertinggi  yang juga menjadi dasar bagi epistemologi. Pengetahuan yang  dialami sebagai intuisi ruang dan waktu utama, perlu dijelaskan  atau didiskusikan oleh sebab itu, bahts atau filsafat diskursif  memang penting dan diperlukan, dan metodologi Peripatetik  harus digunakan dalam proses menjelaskan apa intuisi itu. Ini  ciri penting dari pandangan Suhrawardi tentang sejarah filsafat,  khususnya sejarah filsafat dalam Islam. Pandangan ini, yang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juga dibahas secara rinci dalam Al-Masyāri' wa Al-Muthārahāt  dan Hikmah Al-Isyrāq, dikemukakan dalam At-Talwihāt melalui  ingatan Suhrawardi tentang sebuah visi mimpi berjumpa  Aristoteles, yang memberitahunya dalam mimpi bahwa di antara  orang-orang “bijak" (hukamā”) dalam Islam, hanya mistikus atau  sufi seperti Abu Yazid Al-Basthami dan Al-Hallaj saja yang sudah  mencapai kebersatuan dengan akal aktif; mereka orang-orang  bijak sejati karena telah melampaui filsafat diskursif melalui  pengalaman pribadinya.</w:t>
      </w:r>
      <w:r>
        <w:rPr>
          <w:rStyle w:val="FootnoteAnchor"/>
        </w:rPr>
        <w:footnoteReference w:id="39"/>
      </w:r>
      <w:r>
        <w:rPr>
          <w:rFonts w:eastAsia="Times New Roman" w:cs="Times New Roman" w:ascii="Times New Roman" w:hAnsi="Times New Roman"/>
          <w:color w:val="111111"/>
          <w:sz w:val="28"/>
          <w:szCs w:val="28"/>
          <w:lang w:val="en-US"/>
        </w:rPr>
        <w:t>Dalam bagian sebelumnya, Suhrawardi  memberitahu kita bahwa tipe-tipe pengetahuan tertentu, yang  menempati peringkat sama dengan yang diperoleh melalui  kebersatuan dengan akal aktif, telah diperoleh oleh para filsuf  seperti Aristoteles, Plato, filsuf-filsuf lainnya di zaman kuno,  serta juga para mistikus dalam Islam,</w:t>
      </w:r>
      <w:r>
        <w:rPr>
          <w:rStyle w:val="FootnoteAnchor"/>
        </w:rPr>
        <w:footnoteReference w:id="40"/>
      </w:r>
      <w:r>
        <w:rPr>
          <w:rFonts w:eastAsia="Times New Roman" w:cs="Times New Roman" w:ascii="Times New Roman" w:hAnsi="Times New Roman"/>
          <w:color w:val="111111"/>
          <w:sz w:val="28"/>
          <w:szCs w:val="28"/>
          <w:lang w:val="en-US"/>
        </w:rPr>
        <w:t>dan “hakikat-hakikat"  (haqā'iq) yang diperoleh semacam itu dikatakan sebagai hasil  suatu bentuk pengetahuan intuitif dan dialami.</w:t>
      </w:r>
      <w:r>
        <w:rPr>
          <w:rStyle w:val="FootnoteAnchor"/>
        </w:rPr>
        <w:footnoteReference w:id="41"/>
      </w:r>
      <w:r>
        <w:rPr>
          <w:rFonts w:eastAsia="Times New Roman" w:cs="Times New Roman" w:ascii="Times New Roman" w:hAnsi="Times New Roman"/>
          <w:color w:val="111111"/>
          <w:sz w:val="28"/>
          <w:szCs w:val="28"/>
          <w:lang w:val="en-US"/>
        </w:rPr>
        <w:t xml:space="preserve">Berkenaan  dengan prinsip epistemologi yang sangat penting ini, Suhrawardi  mempersilahkan pembaca untuk merujuk pada Al-Masyāri' wa  Al-Muthārahāt, tempat ia membahas secara luas pengetahuan  jiwa tentang segala sesuatu dalam hubungannya dengan  pengetahuan diri dan juga berbagai problem epistemologi terkait  lainnya. Posisi Suhrawardi berkenaan dengan apakah filsafat  itu berikut pandangan-pandangannya, signifikansi epistemologi  dari tindakan-tindakan kreatif intuisi, persoalan pengalaman  pribadi, dan “rahasia-rahasia" (rumūz), sebagaimana dijelaskan  dalam At-Talwībāt, adalah rambu-rambu yang jelas dalam Filsafat  Iluminasinya. Di banyak tempat dalam At-Talwihāt, terutama  dalam bab tentang visi mimpi dengan Aristoteles, prinsip-prinsip  Iluminasi dibahas Suhrawardi dengan panjang lebar, meskipun </w:t>
      </w:r>
    </w:p>
    <w:p>
      <w:pPr>
        <w:pStyle w:val="BookText"/>
        <w:bidi w:val="0"/>
        <w:rPr/>
      </w:pPr>
      <w:r>
        <w:rPr>
          <w:rFonts w:eastAsia="Times New Roman" w:cs="Times New Roman" w:ascii="Times New Roman" w:hAnsi="Times New Roman"/>
          <w:color w:val="111111"/>
          <w:sz w:val="28"/>
          <w:szCs w:val="28"/>
          <w:lang w:val="en-US"/>
        </w:rPr>
        <w:t>dengan menggunakan bahasa teknis non-lluminasi, dan ini  adalah sebuah indikasi yang jelas dari tujuannya dalam buku ini:</w:t>
      </w:r>
    </w:p>
    <w:p>
      <w:pPr>
        <w:pStyle w:val="BookText"/>
        <w:bidi w:val="0"/>
        <w:jc w:val="both"/>
        <w:rPr/>
      </w:pPr>
      <w:r>
        <w:rPr>
          <w:rFonts w:eastAsia="Times New Roman" w:cs="Times New Roman" w:ascii="Times New Roman" w:hAnsi="Times New Roman"/>
          <w:color w:val="111111"/>
          <w:sz w:val="28"/>
          <w:szCs w:val="28"/>
          <w:lang w:val="en-US"/>
        </w:rPr>
        <w:t>meletakkan dasar Filsafat Iluminasi dengan mengemukakan “inti"  ajaran Filsafat Aristoteles. Ini menunjukkan bahwa karya tersebut  tidak bisa dipandang sebagai sebuah karya Peripatetik yang  terpisah dari – dan tidak berkaitan dengan – Filsafat Iluminasi.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bagian “Pendahuluan" Hikmah Al-Isyrāq,  Suhrawardi menegaskan dengan jelas bahwa “filsafat diskursiſ"  (hikmah Bahtsiyyah) adalah sebuah komponen penting "filsafat  intuitif" (hikmah Dzauqiyyah).</w:t>
      </w:r>
      <w:r>
        <w:rPr>
          <w:rStyle w:val="FootnoteAnchor"/>
        </w:rPr>
        <w:footnoteReference w:id="42"/>
      </w:r>
      <w:r>
        <w:rPr>
          <w:rFonts w:eastAsia="Times New Roman" w:cs="Times New Roman" w:ascii="Times New Roman" w:hAnsi="Times New Roman"/>
          <w:color w:val="111111"/>
          <w:sz w:val="28"/>
          <w:szCs w:val="28"/>
          <w:lang w:val="en-US"/>
        </w:rPr>
        <w:t xml:space="preserve">Lebih jauh, ia menegaskan  bahwa hanya kombinasi sempurna dari dua metodologi itu saja yang  akan mengarah dan bermuara pada kebijaksanaan atau kearifan  sejati (hikmah) – tujuan Filsafat Iluminasi — dan jika di sini, kita  membuat identifikasi antara "filsafat diskursif” dan “inti" ajaran  Aristoteles, kita menyadari mengapa At-Talwībāt sebagai karya  filsafat, dianggap sebagai langkah awal dalam membangun  kembali Filsafat Iluminasi. Pada dasarnya, At-Talwībāt adalah  bagian “diskursif" dari metodologi Filsafat Iluminasi. Suhrawardi  menguraikan bahwa ia memerlukan bagian metodologi  Peripatetik untuk digunakan dalam karyanya ini. Akan tetapi, ini  hanya satu komponen dari At-Talwībāt, komponen yang paling  jelas, dan komponen yang telah mengantarkan sarjana-sarjana  dan komentator-komentator berpikir, bahwa karya ini adalah  tonggak “baku" ajaran Peripatetik. Komponen At-Talwihāt yang  kurang jelas, yang nanti akan dikaji dan ditelaah dengan hati-  hati – bisa ditentukan atau ditetapkan dengan memperhatikan  bahwa karya ini bukan sekadar suatu paparan “inti" tentang  ajaran Aristoteles, tetapi lebih dari itu. Perhatikanlah bagian  dalam Al-Masyāri' wa Al-Muthārahāt berikut ini: </w:t>
      </w:r>
      <w:bookmarkStart w:id="62" w:name="pg6442_57284"/>
    </w:p>
    <w:p>
      <w:pPr>
        <w:pStyle w:val="BookText"/>
        <w:bidi w:val="0"/>
        <w:rPr/>
      </w:pPr>
      <w:bookmarkEnd w:id="6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seseorang ingin menemukan apa yang penting  untuk diketahui sebelum [mempelajari] Hikmah Al-  Isyrāq, maka itu ada di dalam buku At-Talwīhāt, tempat  aku menyatakan pendapat-pendapatku yang berbeda  dari 'guru filsafat diskursif', Aristoteles. "</w:t>
      </w:r>
      <w:r>
        <w:rPr>
          <w:rStyle w:val="FootnoteAnchor"/>
        </w:rPr>
        <w:footnoteReference w:id="43"/>
      </w:r>
      <w:r>
        <w:rPr>
          <w:rFonts w:eastAsia="Times New Roman" w:cs="Times New Roman" w:ascii="Times New Roman" w:hAnsi="Times New Roman"/>
          <w:color w:val="111111"/>
          <w:sz w:val="28"/>
          <w:szCs w:val="28"/>
          <w:lang w:val="en-US"/>
        </w:rPr>
        <w:t>"  Diskusi dan pembahasan Suhrawardi tentang "inti"  ajaran Aristoteles pun sejalan dan sesuai dengan apa yang telah  dirumuskannnya kembali, yakni menjadi ajaran, dan bukan suatu  ikhtisar sederhana darinya. Tujuan utama At-Talwihāt adalah  menerima suatu metodologi Peripatetik yang telah dirumuskan  kembali sebagai komponen penting dari metode Iluminasi, dan  mengajarkan hal ini kepada murid-murid Filsafat Iluminasi.</w:t>
      </w:r>
    </w:p>
    <w:p>
      <w:pPr>
        <w:pStyle w:val="Heading4"/>
        <w:numPr>
          <w:ilvl w:val="3"/>
          <w:numId w:val="1"/>
        </w:numPr>
        <w:bidi w:val="0"/>
        <w:jc w:val="left"/>
        <w:rPr/>
      </w:pPr>
      <w:bookmarkStart w:id="63" w:name="__RefHeading___Toc924616_653776707"/>
      <w:bookmarkStart w:id="64" w:name="_Toc21"/>
      <w:bookmarkEnd w:id="63"/>
      <w:r>
        <w:rPr/>
        <w:t>3.2. Al-Mugāwamāt</w:t>
      </w:r>
      <w:bookmarkEnd w:id="6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banyak hal, apa yang sejauh ini telah saya kemukakan  tentang At-Talwīhāt juga berkaitan dengan Al-Muqāwamāt  karena penulisnya menyebut karya ini sebagai penjelasan  tambahan (addendum, syarh) bagi At-Talwībāt dan secara  substansial tidak berbeda, tentu saja bukan dalam tujuan atau  struktur utamanya. Akan tetapi, Al-Muqāwamāt sudah selangkah  lebih maju dalam menjelaskan doktrin atau ajaran Iluminasi yang  lebih spesifik dan komprehensif, serta menggunakan istilah teknis  yang lebih tidak baku ketimbang At-Talwīhāt, dan memang,  At-Talwīhāt sering disebut-sebut dalam Al-Muqāwamāt,  terutama yang menunjukkan bahwa subjek yang sama diuraikan  dengan baik di situ.</w:t>
      </w:r>
      <w:r>
        <w:rPr>
          <w:rStyle w:val="FootnoteAnchor"/>
        </w:rPr>
        <w:footnoteReference w:id="44"/>
      </w:r>
      <w:r>
        <w:rPr>
          <w:rFonts w:eastAsia="Times New Roman" w:cs="Times New Roman" w:ascii="Times New Roman" w:hAnsi="Times New Roman"/>
          <w:color w:val="111111"/>
          <w:sz w:val="28"/>
          <w:szCs w:val="28"/>
          <w:lang w:val="en-US"/>
        </w:rPr>
        <w:t xml:space="preserve">Dalam satu kesempatan, Suhrawardi  menyatakan bahwa Al-Muqawamāt sudah sejalan dan sesuai  dengan “metode At-Talwīhāt", </w:t>
      </w:r>
      <w:r>
        <w:rPr>
          <w:rStyle w:val="FootnoteAnchor"/>
        </w:rPr>
        <w:footnoteReference w:id="45"/>
      </w:r>
      <w:r>
        <w:rPr>
          <w:rFonts w:eastAsia="Times New Roman" w:cs="Times New Roman" w:ascii="Times New Roman" w:hAnsi="Times New Roman"/>
          <w:color w:val="111111"/>
          <w:sz w:val="28"/>
          <w:szCs w:val="28"/>
          <w:lang w:val="en-US"/>
        </w:rPr>
        <w:t xml:space="preserve">sehingga Al-Muqāwamāt juga  dianggap sebagai sebuah komponen "diskursif" lebih jauh </w:t>
      </w:r>
      <w:bookmarkStart w:id="65" w:name="pg6442_57285"/>
    </w:p>
    <w:p>
      <w:pPr>
        <w:pStyle w:val="BookText"/>
        <w:bidi w:val="0"/>
        <w:rPr/>
      </w:pPr>
      <w:bookmarkEnd w:id="65"/>
      <w:r>
        <w:rPr>
          <w:rFonts w:eastAsia="Times New Roman" w:cs="Times New Roman" w:ascii="Times New Roman" w:hAnsi="Times New Roman"/>
          <w:color w:val="111111"/>
          <w:sz w:val="28"/>
          <w:szCs w:val="28"/>
          <w:lang w:val="en-US"/>
        </w:rPr>
        <w:t>dari metodologi Iluminasi. Di bagian akhir Al-Muqāwamāt,  Suhrawardi menunjukkan kaitannya dengan karya-karyanya  yang lain, ketika ia mengantisipasi Hikmah Al-Isyrāq dengan  menunjuk kepada Al-Masyāri' wa Al-Muthārahāt sebagai karya  yang menguraikan secara rinci ihwal Filsafat Iluminasi, dan  lebih jauh memberitahu pembaca bahwa Al-Muqawamāt adalah  sebuah karya yang membahas lebih dalam pokok persoalan yang  dibicarakan dalam At-Talwihāt.</w:t>
      </w:r>
      <w:r>
        <w:rPr>
          <w:rStyle w:val="FootnoteAnchor"/>
        </w:rPr>
        <w:footnoteReference w:id="46"/>
      </w:r>
      <w:r>
        <w:rPr>
          <w:rFonts w:eastAsia="Times New Roman" w:cs="Times New Roman" w:ascii="Times New Roman" w:hAnsi="Times New Roman"/>
          <w:color w:val="111111"/>
          <w:sz w:val="28"/>
          <w:szCs w:val="28"/>
          <w:lang w:val="en-US"/>
        </w:rPr>
        <w:t>“Memang, saya berpandangan  bahwa Al-Muqāwamāt adalah karya yang lebih argumentatif  dan lebih maju ketimbang At-Talwībāt."</w:t>
      </w:r>
    </w:p>
    <w:p>
      <w:pPr>
        <w:pStyle w:val="Heading4"/>
        <w:numPr>
          <w:ilvl w:val="3"/>
          <w:numId w:val="1"/>
        </w:numPr>
        <w:bidi w:val="0"/>
        <w:jc w:val="left"/>
        <w:rPr/>
      </w:pPr>
      <w:bookmarkStart w:id="66" w:name="__RefHeading___Toc924618_653776707"/>
      <w:bookmarkStart w:id="67" w:name="_Toc22"/>
      <w:bookmarkEnd w:id="66"/>
      <w:r>
        <w:rPr/>
        <w:t>3.3. Al-Masyāri' wa Al-Muthārahāt</w:t>
      </w:r>
      <w:bookmarkEnd w:id="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Al-Masyāri' wa Al-Muthārahāt adalah karya Suhrawardi  yang sangat terkenal sesudah Hikmah Al-Isyrāq. Jika kita  menyandingkan gaya yang lebih bagus dari karya yang disebut  terakhir ini, maka kita harus menjelaskan bahwa Al-Masyāri'  wa Al-Muthārahāt adalah karya Iluminasi terpenting yang  mengandung, sebagaimana kita diberitahu oleh Suhrawardi,  "analisis rinci" ajarannya. Ini adalah karya yang sengaja disusun  lebih panjang daripada Hikmah Al-Isyrāq.</w:t>
      </w:r>
      <w:r>
        <w:rPr>
          <w:rStyle w:val="FootnoteAnchor"/>
        </w:rPr>
        <w:footnoteReference w:id="47"/>
      </w:r>
      <w:r>
        <w:rPr>
          <w:rFonts w:eastAsia="Times New Roman" w:cs="Times New Roman" w:ascii="Times New Roman" w:hAnsi="Times New Roman"/>
          <w:color w:val="111111"/>
          <w:sz w:val="28"/>
          <w:szCs w:val="28"/>
          <w:lang w:val="en-US"/>
        </w:rPr>
        <w:t xml:space="preserve">Dalam karya ini,  Suhrawardi menyusun rincian prinsip-prinsip, kaidah-kaidah,  dan metodologi yang dibahasnya hanya secara singkat dalam  Hikmah Al-Isyrāq. Para komentator Hikmah Al-Isyrāq lebih  sering merujuk kepada Al-Masyāri' wa Al-Muthārahāt ketimbang  karya-karya Suhrawardi lainnya. Jika Hikmah Al-Isyrāq dirancang  sebagai suatu pernyataan yang lebih puitis tentang kesatuan  pengalaman Iluminasi, maka Al-Masyāri' wa Al-Muthārahāt  adalah sebuah analisis filosofis atas pengalaman tersebut yang  disusun dengan baik. </w:t>
      </w:r>
    </w:p>
    <w:p>
      <w:pPr>
        <w:pStyle w:val="BookText"/>
        <w:bidi w:val="0"/>
        <w:rPr/>
      </w:pPr>
      <w:r>
        <w:rPr>
          <w:rFonts w:eastAsia="Times New Roman" w:cs="Times New Roman" w:ascii="Times New Roman" w:hAnsi="Times New Roman"/>
          <w:color w:val="111111"/>
          <w:sz w:val="28"/>
          <w:szCs w:val="28"/>
          <w:lang w:val="en-US"/>
        </w:rPr>
        <w:t>Pernyataan paling eksplisit tentang sifat Al-Masyāri' wa  Al-Muthārahāt dikemukakan oleh Suhrawardi dalam bagian  "Pendahuluan  “Buku ini terdiri dari tiga ilmu [logika, fisika, metafisika).</w:t>
      </w:r>
    </w:p>
    <w:p>
      <w:pPr>
        <w:pStyle w:val="BookText"/>
        <w:bidi w:val="0"/>
        <w:jc w:val="both"/>
        <w:rPr/>
      </w:pPr>
      <w:r>
        <w:rPr>
          <w:rFonts w:eastAsia="Times New Roman" w:cs="Times New Roman" w:ascii="Times New Roman" w:hAnsi="Times New Roman"/>
          <w:color w:val="111111"/>
          <w:sz w:val="28"/>
          <w:szCs w:val="28"/>
          <w:lang w:val="en-US"/>
        </w:rPr>
        <w:t>Aku menyusunnya atas dorongan kalian, saudara-  saudaraku. Di dalamnya, aku menguraikan subjek-subjek  dan dalil-dalil yang tidak ditemukan dalam karya-karya lain  [tentang filsafat]. [Dalil-dalil ini] benar-benar bermanfaat,  dan telah diperoleh, dan diperbaiki melalui segenap  pengalaman personalku.</w:t>
      </w:r>
      <w:r>
        <w:rPr>
          <w:rStyle w:val="FootnoteAnchor"/>
        </w:rPr>
        <w:footnoteReference w:id="48"/>
      </w:r>
      <w:r>
        <w:rPr>
          <w:rFonts w:eastAsia="Times New Roman" w:cs="Times New Roman" w:ascii="Times New Roman" w:hAnsi="Times New Roman"/>
          <w:color w:val="111111"/>
          <w:sz w:val="28"/>
          <w:szCs w:val="28"/>
          <w:lang w:val="en-US"/>
        </w:rPr>
        <w:t>Namun, aku sama sekali  tidak berangkat dari jalan Peripatetik, meskipun dalam  karya ini, aku mengutarakan berbagai pendapat yang  mengisyaratkan prinsip-prinsip luhur [filsafat] di samping  apa yang telah diuraikan oleh para filsuf Peripatetik.</w:t>
      </w:r>
    </w:p>
    <w:p>
      <w:pPr>
        <w:pStyle w:val="BookText"/>
        <w:bidi w:val="0"/>
        <w:jc w:val="both"/>
        <w:rPr/>
      </w:pPr>
      <w:r>
        <w:rPr>
          <w:rFonts w:eastAsia="Times New Roman" w:cs="Times New Roman" w:ascii="Times New Roman" w:hAnsi="Times New Roman"/>
          <w:color w:val="111111"/>
          <w:sz w:val="28"/>
          <w:szCs w:val="28"/>
          <w:lang w:val="en-US"/>
        </w:rPr>
        <w:t>Orang yang tak berprasangka, yang dengan hati-hati telah  mempelajari karya-karya Peripatetik akan menemukan  bahwa karya ini lengkap, sementara karya-karya lainnya  masih mengandung kekurangan. Barang siapa belum  memahami ilmu-ilmu Diskursif maka ia tidak akan bisa  memahami karyaku yang berjudul Hikmah Al-Isyrāq.</w:t>
      </w:r>
    </w:p>
    <w:p>
      <w:pPr>
        <w:pStyle w:val="BookText"/>
        <w:bidi w:val="0"/>
        <w:jc w:val="both"/>
        <w:rPr/>
      </w:pPr>
      <w:r>
        <w:rPr>
          <w:rFonts w:eastAsia="Times New Roman" w:cs="Times New Roman" w:ascii="Times New Roman" w:hAnsi="Times New Roman"/>
          <w:color w:val="111111"/>
          <w:sz w:val="28"/>
          <w:szCs w:val="28"/>
          <w:lang w:val="en-US"/>
        </w:rPr>
        <w:t>Al-Masyāri' wa Al-Muthārahāt harus dibaca sebelum  mengkaji Hikmah Al-Isyrāq, dan sesudah menelaah  karya ringkas yang berjudul At-Talwihāt. Di sini, aku  tidak menyempurnakan struktur [karya-karya Peripatetik  tertentu), juga tidak mendukung dalam beberapa hal,  subiek ilmu yang sudah mapanl, tetapi tujuanku lebih  jauh dalam karya ini adalah filsafat diskursif, meskipun  yang demikian harus melibatkan [bahasan] kaidah-  kaidah berbagai ilmu lainnya. Karena itu, ketika murid  filsafat diskursif mempelajari metode ini dengan baik.</w:t>
      </w:r>
    </w:p>
    <w:p>
      <w:pPr>
        <w:pStyle w:val="BookText"/>
        <w:bidi w:val="0"/>
        <w:jc w:val="both"/>
        <w:rPr/>
      </w:pPr>
      <w:r>
        <w:rPr>
          <w:rFonts w:eastAsia="Times New Roman" w:cs="Times New Roman" w:ascii="Times New Roman" w:hAnsi="Times New Roman"/>
          <w:color w:val="111111"/>
          <w:sz w:val="28"/>
          <w:szCs w:val="28"/>
          <w:lang w:val="en-US"/>
        </w:rPr>
        <w:t>ja bisa memulainya dengan praktik-praktik asketik vang  mencerahkan dengan perintah seorang yang ahli dalam  lluminasi (Al-qayyim 'alā Al-Isvrāq),</w:t>
      </w:r>
      <w:r>
        <w:rPr>
          <w:rStyle w:val="FootnoteAnchor"/>
        </w:rPr>
        <w:footnoteReference w:id="49"/>
      </w:r>
      <w:r>
        <w:rPr>
          <w:rFonts w:eastAsia="Times New Roman" w:cs="Times New Roman" w:ascii="Times New Roman" w:hAnsi="Times New Roman"/>
          <w:color w:val="111111"/>
          <w:sz w:val="28"/>
          <w:szCs w:val="28"/>
          <w:lang w:val="en-US"/>
        </w:rPr>
        <w:t>agar sebagian dari  prinsip-prinsip dasar lluminasi tampil di hadapannya.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Sesudah [permulaan seperti ini], ia akan berada dalam  posisi untuk memahami prinsip-prinsip segala sesuatu  [al-asyyā']. Sementara itu, tiga bentuk [ash-shuwar ats-  tsalāts) yang disebutkan dalam Hikmah Al-Isyrāq adalah: </w:t>
      </w:r>
    </w:p>
    <w:p>
      <w:pPr>
        <w:pStyle w:val="BookText"/>
        <w:bidi w:val="0"/>
        <w:rPr/>
      </w:pPr>
      <w:r>
        <w:rPr>
          <w:rFonts w:eastAsia="Times New Roman" w:cs="Times New Roman" w:ascii="Times New Roman" w:hAnsi="Times New Roman"/>
          <w:color w:val="111111"/>
          <w:sz w:val="28"/>
          <w:szCs w:val="28"/>
          <w:lang w:val="en-US"/>
        </w:rPr>
        <w:t>[edisi Corbin memberikan tiga sandi]</w:t>
      </w:r>
      <w:r>
        <w:rPr>
          <w:rStyle w:val="FootnoteAnchor"/>
        </w:rPr>
        <w:footnoteReference w:id="50"/>
      </w:r>
      <w:r>
        <w:rPr>
          <w:rFonts w:eastAsia="Times New Roman" w:cs="Times New Roman" w:ascii="Times New Roman" w:hAnsi="Times New Roman"/>
          <w:color w:val="111111"/>
          <w:sz w:val="28"/>
          <w:szCs w:val="28"/>
          <w:lang w:val="en-US"/>
        </w:rPr>
        <w:t>titik-tolak filsafat  adalah meninggalkan dunia; pertengahannya [ditandai  dengan] melihat Cahaya Tuhan (al-anwār al-ilāhiyyah);  dan ujungnya tidak berbatas. Aku namakan buku ini Al-  Masyāri' wa Al-Muthārahāt."</w:t>
      </w:r>
      <w:r>
        <w:rPr>
          <w:rStyle w:val="FootnoteAnchor"/>
        </w:rPr>
        <w:footnoteReference w:id="51"/>
      </w:r>
      <w:r>
        <w:rPr>
          <w:rFonts w:eastAsia="Times New Roman" w:cs="Times New Roman" w:ascii="Times New Roman" w:hAnsi="Times New Roman"/>
          <w:color w:val="111111"/>
          <w:sz w:val="28"/>
          <w:szCs w:val="28"/>
          <w:lang w:val="en-US"/>
        </w:rPr>
        <w:t xml:space="preserve"> Kita mencatat dari “Pendahuluan" ini bahwa Al-Masyāri' wa  Al-Muthārahāt bukanlah satu-satunya karya yang disusun sesuai  dengan metodologi Peripatetik. Seperti Hikmah Al-Isyrāq, karya  ini juga berpijak pada “refleksi personal" Suhrawardi. Ia bukan  sekadar sebuah karya yang di dalamnya kelemahan-kelemahan  ajaran Peripatetik dikemukakan, melainkan juga sebuah karya  yang mengantarkan pembaca kepada suatu pembahasan yang  mendalam tentang apa Filsafat lluminasi itu. Sebagaimana  ditegaskan oleh Suhrawardi, struktur karya tersebut juga  berbeda dari karya-karya Peripatetik standar.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Al-Masyāri' wa Al-Muthārahāt memuat sejumlah rujukan  pada Hikmah Al-Isyrāq dan pada berbagai karakteristik yang  “menakjubkan", “simbolis”, “metaforis", serta “iluminasionis"  dari karya yang disebut terakhir ini. </w:t>
      </w:r>
      <w:r>
        <w:rPr>
          <w:rStyle w:val="FootnoteAnchor"/>
        </w:rPr>
        <w:footnoteReference w:id="52"/>
      </w:r>
      <w:r>
        <w:rPr>
          <w:rFonts w:eastAsia="Times New Roman" w:cs="Times New Roman" w:ascii="Times New Roman" w:hAnsi="Times New Roman"/>
          <w:color w:val="111111"/>
          <w:sz w:val="28"/>
          <w:szCs w:val="28"/>
          <w:lang w:val="en-US"/>
        </w:rPr>
        <w:t xml:space="preserve">Dalam beberapa hal,  dalam Al-Masyāri' wa Al-Muthārahāt, Suhrawardi menyebut  Hikmah Al-Isyrāq-nya sebagai karya di mana bisa ditemukan  “kunci” bagi “rahasia-rahasia" ajarannya. </w:t>
      </w:r>
      <w:r>
        <w:rPr>
          <w:rStyle w:val="FootnoteAnchor"/>
        </w:rPr>
        <w:footnoteReference w:id="53"/>
      </w:r>
      <w:r>
        <w:rPr>
          <w:rFonts w:eastAsia="Times New Roman" w:cs="Times New Roman" w:ascii="Times New Roman" w:hAnsi="Times New Roman"/>
          <w:color w:val="111111"/>
          <w:sz w:val="28"/>
          <w:szCs w:val="28"/>
          <w:lang w:val="en-US"/>
        </w:rPr>
        <w:t xml:space="preserve">Juga, ada berbagai  indikasi yang menunjukkan bahwa ketika menyusun Al-Masyāri'  wa Al-Muthārahāt, Suhrawardi telah menempatkan batasan-  batasan tertentu atas dirinya. Semua ini jelas menunjukkan bahwa  suatu versi yang sempurna dari kedua karya ini sudah ada secara  bersamaan,  “Sementara itu, apa yang kuyakini berkenaan dengan  persoalan ini sudah disebutkan dalam karyaku yang </w:t>
      </w:r>
    </w:p>
    <w:p>
      <w:pPr>
        <w:pStyle w:val="BookText"/>
        <w:bidi w:val="0"/>
        <w:rPr/>
      </w:pPr>
      <w:r>
        <w:rPr>
          <w:rFonts w:eastAsia="Times New Roman" w:cs="Times New Roman" w:ascii="Times New Roman" w:hAnsi="Times New Roman"/>
          <w:color w:val="111111"/>
          <w:sz w:val="28"/>
          <w:szCs w:val="28"/>
          <w:lang w:val="en-US"/>
        </w:rPr>
        <w:t>berjudul Hikmah Al-Isyrāq. Aku tidak dapat menyebutnya  secara eksplisit di sini [dalam Al-Masyāri' wa Al-  Muthārahāt] karena tujuanku dalam buku ini adalah  [membahas] analisis diskursif dengan cara sedemikian  rupa agar tidak terlalu jauh tersesat atau menyimpang  dari pendekatan Peripatetik."</w:t>
      </w:r>
      <w:r>
        <w:rPr>
          <w:rStyle w:val="FootnoteAnchor"/>
        </w:rPr>
        <w:footnoteReference w:id="54"/>
      </w:r>
      <w:r>
        <w:rPr>
          <w:rFonts w:eastAsia="Times New Roman" w:cs="Times New Roman" w:ascii="Times New Roman" w:hAnsi="Times New Roman"/>
          <w:color w:val="111111"/>
          <w:sz w:val="28"/>
          <w:szCs w:val="28"/>
          <w:lang w:val="en-US"/>
        </w:rPr>
        <w:t xml:space="preserve"> Ada sejumlah karakteristik dalam Al-Masyāri' wa Al-  Muthārahāt yang menunjukkan pentingnya karya ini sebagai  sebuah karya yang tak terpisahkan dalam mempelajari Filsafat  Iluminasi. Pertama, sebagaimana diketahui, ada sejumlah rujukan  dalam Hikmah Al-Isyrāq. Kedua, karya penting ini mengandung  kajian yang kaku dan rinci atas sistem Filsafat Suhrawardi yang  tidak ditemukan sedemikian rincinya dalam Hikmah Al-Isyrāq.</w:t>
      </w:r>
    </w:p>
    <w:p>
      <w:pPr>
        <w:pStyle w:val="BookText"/>
        <w:bidi w:val="0"/>
        <w:jc w:val="both"/>
        <w:rPr/>
      </w:pPr>
      <w:r>
        <w:rPr>
          <w:rFonts w:eastAsia="Times New Roman" w:cs="Times New Roman" w:ascii="Times New Roman" w:hAnsi="Times New Roman"/>
          <w:color w:val="111111"/>
          <w:sz w:val="28"/>
          <w:szCs w:val="28"/>
          <w:lang w:val="en-US"/>
        </w:rPr>
        <w:t>Contoh untuk itu, ketika Suhrawardi membahas konsep bahasa  dan komposisi simbolis sebagai satu-satunya sarana untuk  menuliskan pengetahuan yang dialami, dan ketika ia membahas  semantik “bahasa Iluminasi" (lisan Al-Isyrāq).</w:t>
      </w:r>
      <w:r>
        <w:rPr>
          <w:rStyle w:val="FootnoteAnchor"/>
        </w:rPr>
        <w:footnoteReference w:id="55"/>
      </w:r>
      <w:r>
        <w:rPr>
          <w:rFonts w:eastAsia="Times New Roman" w:cs="Times New Roman" w:ascii="Times New Roman" w:hAnsi="Times New Roman"/>
          <w:color w:val="111111"/>
          <w:sz w:val="28"/>
          <w:szCs w:val="28"/>
          <w:lang w:val="en-US"/>
        </w:rPr>
        <w:t>Suhrawardi sangat  menekankan pentingnya menggunakan bahasa dengan tepat  dan benar dalam filsafat, tetapi ia tidak pernah menguraikan  subjek "bahasa Iluminasi" dalam Hikmah Al-Isyrāq, seperti  dilakukannya dalam Al-Masyāri' wa Al-Muthārahāt. Pembaca  diharapkan sudah mengetahui karya yang disebut terakhir ini,  karena rincian-rincian tentang posisi bahasa dalam membangun  kembali metafisika benar-benar dikaji dan ditelaah.</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Filsafat Iluminasi menggunakan suatu bahasa khas,  seperangkat istilah teknis tertentu, dan menekankan penggunaan  bentuk ekspresi simbolis yang berpijak pada, dalam rentang  luas dan dalam prinsip- citra cahaya dan kegelapan. Simbolisme  cahaya digunakan untuk membatasi wujud dan batas-batas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wujud, bentuk dan materi Tuhan, hal-hal terpikirkan yang primer  maupun yang sekunder, intelek, jiwa, hakikat individu, serta  beragam tingkatan intensitas pengalaman mistis. Singkat kata,  penggunaan simbol-simbol adalah ciri integral dari bangunan  Filsafat Iluminasi, dan bentuk ekspresi simbolis ini juga menjadi  ciri utama Al-Masyāri' wa Al-Muthārahāt. Dalam karya ini,  bentuk simbolis selalu disuguhkan dalam suatu kerangka Filsafat  Peripatetik berikut terminologi teknisnya untuk mengajari  pembaca tentang bahasa baru yang digunakan. Sekarang, jelas  bahwa Filsafat Peripatetik Diskursif menggunakan sebuah  bahasa yang telah digunakan oleh Al-Farabi, Ibn Sina, dan  kira-kira sudah dibakukan di masa Suhrawardi. Akan tetapi,  dengan memperhatikan penggunaan "bahasa Iluminasi" oleh  Suhrawardi, mesti diajukan pertanyaan berikut ini, “Seberapa  jauh sistem Filsafat Baru Suhrawardi menjadi ekspresi simbolis  dan penggunaan khusus suatu bahasa?" Pertanyaan seperti ini  mengantarkan kita untuk mengkaji dan menelaah sistem Iluminasi  dalam kaitannya dengan Peripatetik guna melihat, bagaimana  dua bentuk itu berkaitan dan akhirnya menunjukkan berbagai  perbedaan esensial di antara keduanya? Begitu dua “bahasa"  itu sudah diidentifikasi, seperti pernah ditunjukkan oleh para  komentator Filsafat Iluminasi, kita menyadari bahwa: [1] hingga  saat ini ada suatu hubungan tak kasat mata di antara dua sistem  itu; [2] “bahasa Iluminasi" adalah sebuah mode yang penting  untuk membangun dan mengekspresikan Filsafat Iluminasi; dan  [3] diskusi atau pembahasan apa pun ihwal konsep “Iluminasi",  yang menegaskan pengalaman sebagai dasar epistemologi,  memerlukan bahasa untuk mengekspresikan “pengalaman"  dalam suatu cara analisis yang tidak menghilangkan ihwal </w:t>
      </w:r>
    </w:p>
    <w:p>
      <w:pPr>
        <w:pStyle w:val="BookText"/>
        <w:bidi w:val="0"/>
        <w:rPr/>
      </w:pPr>
      <w:r>
        <w:rPr>
          <w:rFonts w:eastAsia="Times New Roman" w:cs="Times New Roman" w:ascii="Times New Roman" w:hAnsi="Times New Roman"/>
          <w:color w:val="111111"/>
          <w:sz w:val="28"/>
          <w:szCs w:val="28"/>
          <w:lang w:val="en-US"/>
        </w:rPr>
        <w:t>makna pengalaman tersebut.</w:t>
      </w:r>
    </w:p>
    <w:p>
      <w:pPr>
        <w:pStyle w:val="BookText"/>
        <w:bidi w:val="0"/>
        <w:jc w:val="both"/>
        <w:rPr/>
      </w:pPr>
      <w:r>
        <w:rPr>
          <w:rFonts w:eastAsia="Times New Roman" w:cs="Times New Roman" w:ascii="Times New Roman" w:hAnsi="Times New Roman"/>
          <w:color w:val="111111"/>
          <w:sz w:val="28"/>
          <w:szCs w:val="28"/>
          <w:lang w:val="en-US"/>
        </w:rPr>
        <w:t>Sebagaimana akan kita lihat nanti, ini prinsip dasar  Iluminasi, yakni mengetahui sesuatu berarti memperoleh  “pengalaman" tentangnya, sama dengan intuisi primer tentang  batasan-batasan sesuatu. Pengetahuan tentang sesuatu  yang dialami dan dianalisis hanya menimbulkan akibat pada  penangkapan intuitif yang menyeluruh dan langsung tentang  apa sebenarnya sesuatu itu. Apakah ada sesuatu? Kita mungkin  bertanya pada titik ini, dalam “pengalaman" suatu subjek yang  mengharuskan, apa yang diperoleh oleh subjek itu melalui  suatu bahasa simbolis yang disusun secara khusus? Jawaban  atas pertanyaan ini akan dikaji dan ditelaah dari berbagai sudut  pandang, tetapi sudah jelas, bahkan pada titik awal ini, bahwa  “bahasa Iluminasi" Suhrawardi adalah upaya yang dilakukannya  untuk menggunakan suatu bahasa khusus yang digunakan  untuk menggambarkan “pengalaman" Iluminasi. Juga sama-  sama jelas dan gamblang bahwa penafsiran simbolisme Iluminasi  dan implikasi-implikasinya merupakan aspek-aspek utama  kontroversi seperti apa Filsafat Iluminasi itu. Harus dicamkan  dan diingat bahwa simbolisme bangunan Filsafat Iluminasi  dikembangkan secara rinci oleh Suhrawardi dalam Al-Masyāri'  wa Al-Muthārahāt, dan dengan demikian, karya ini tidak dapat  dilepaskan dari upaya kita dalam memahami Filsafat Iluminasi.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 sisi “lisan" yang sangat penting bagi ajaran-ajaran  Suhrawardi, suatu ajaran yang telah diuraikan secara lebih bebas,  tanpa terbatas, dan tidak terkendala oleh kata yang tertulis  dengan bahasa simbolis Filsafat Iluminasi. Ajaran-ajaran “lisan"  itu pasti terbatas pada lingkaran murid-murid atau sahabat-  sahabat dekat Suhrawardi.</w:t>
      </w:r>
      <w:r>
        <w:rPr>
          <w:rStyle w:val="FootnoteAnchor"/>
        </w:rPr>
        <w:footnoteReference w:id="56"/>
      </w:r>
      <w:r>
        <w:rPr>
          <w:rFonts w:eastAsia="Times New Roman" w:cs="Times New Roman" w:ascii="Times New Roman" w:hAnsi="Times New Roman"/>
          <w:color w:val="111111"/>
          <w:sz w:val="28"/>
          <w:szCs w:val="28"/>
          <w:lang w:val="en-US"/>
        </w:rPr>
        <w:t xml:space="preserve">Kesimpulan saya ini diperkuat oleh </w:t>
      </w:r>
    </w:p>
    <w:p>
      <w:pPr>
        <w:pStyle w:val="BookText"/>
        <w:bidi w:val="0"/>
        <w:rPr/>
      </w:pPr>
      <w:r>
        <w:rPr>
          <w:rFonts w:eastAsia="Times New Roman" w:cs="Times New Roman" w:ascii="Times New Roman" w:hAnsi="Times New Roman"/>
          <w:color w:val="111111"/>
          <w:sz w:val="28"/>
          <w:szCs w:val="28"/>
          <w:lang w:val="en-US"/>
        </w:rPr>
        <w:t>penyebutan Suhrawardi kepada seseorang yang “ahli dalam  Iluminasi", yang bisa disamakan dengan guru sufi atau mursyid,  berikut sejumlah pernyataannya yang kurang lebih mengatakan  bahwa Filsafat Iluminasi tidak bisa didiskusikan atau dibahas  dengan semua orang, dan tentu saja tidak juga dengan mereka  yang berada di luar lingkaran terbatas itu. Ajaran lisan Filsafat  Iluminasi yang ditujukan kepada sekelompok sahabat menjadi  sarana untuk menyelami simbol dan sekaligus mengungkap  makna yang dimaksudkannya. Diskusi atau pembahasan apa pun  tentang pengalaman Iluminasi itu, menurut Suhrawardi, tidak  bisa dibatasi pada bentuk ungkapan biasa dan analisis diskursif  murni. Simbol-simbol (tanda-tanda dan rahasia-rahasia) harus  digunakan. Simbol (termasuk metafora, dan alegori atau kiasan)  memiliki karakter sedemikian rupa sehingga akan mengundang  datangnya respons dalam jiwa dan dalam pikiran subjek, yang  mengungkapkan pengalaman yang - betapa pun juga, tetap  bersifat personal dan hanya bisa dikomunikasikan sepenuhnya  dalam lingkaran terbatas sahabat-sahabat dekat. Di dalam  Al-Masyāri' wa Al-Muthārahāt, kita menemukan pernyataan  eksplisit tentang hal ini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Misteri besar dan luhur yang dicakup oleh ungkapan  simbolis [dan metaforis] dari buku karyaku berjudul  Hikmah Al-Isyrāq hanya bisa kutujukan kepada sahabat-  sahabatku, kaum Iluminasionis (Ashhābunā Al-  Isyrāqiyyūn)."</w:t>
      </w:r>
      <w:r>
        <w:rPr>
          <w:rStyle w:val="FootnoteAnchor"/>
        </w:rPr>
        <w:footnoteReference w:id="57"/>
      </w:r>
      <w:r>
        <w:rPr>
          <w:rFonts w:eastAsia="Times New Roman" w:cs="Times New Roman" w:ascii="Times New Roman" w:hAnsi="Times New Roman"/>
          <w:color w:val="111111"/>
          <w:sz w:val="28"/>
          <w:szCs w:val="28"/>
          <w:lang w:val="en-US"/>
        </w:rPr>
        <w:t xml:space="preserve"> Kemudian, para “sahabat lluminasionis", yang juga  disebut oleh Suhrawardi sebagai “saudara", yang membentuk  lingkaran “persaudaraan abstraksi” (ikhwān at-tajrid),</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Inilah sebuah persaudaraan spiritual yang tidak terbatas  dalam ruang dan waktu. Lihat, Suhrawardi, Opera I, hlm. 74, 95, 103, serta 506.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sudah  punya akses pada tingkat pemahaman Filsafat Iluminasi yang</w:t>
      </w:r>
      <w:bookmarkStart w:id="68" w:name="pg6442_57292"/>
    </w:p>
    <w:p>
      <w:pPr>
        <w:pStyle w:val="BookText"/>
        <w:bidi w:val="0"/>
        <w:rPr/>
      </w:pPr>
      <w:bookmarkEnd w:id="68"/>
      <w:r>
        <w:rPr>
          <w:rFonts w:eastAsia="Times New Roman" w:cs="Times New Roman" w:ascii="Times New Roman" w:hAnsi="Times New Roman"/>
          <w:color w:val="111111"/>
          <w:sz w:val="28"/>
          <w:szCs w:val="28"/>
          <w:lang w:val="en-US"/>
        </w:rPr>
        <w:t>tidak terkandung dalam buku-buku ini. Tingkat iluminasi semacam  itu adalah tingkat di mana Suhrawardi telah menyampaikan wacana-  wacananya semasa ia masih hidup, dan mungkin dilanjutkan  oleh orang yang "ahli dalam Iluminasi" sesudah ia meninggal  dunia. Hanya pada titik ini kita menyadari bahwa karya-karya  Suhrawardi, seperti At-Talwihāt dan Al-Muqāwamāt (yang  sering disebut dalam Al-Masyāri' wa Al-Muthārahāt) – yang  mengandung “metode Peripatetik” – juga dimaksudkan untuk  menunjukkan kelemahan metode itu, sebagaimana kita ketahui  dalam Al-Masyāri' wa Al-Muthārahāt.</w:t>
      </w:r>
      <w:r>
        <w:rPr>
          <w:rStyle w:val="FootnoteAnchor"/>
        </w:rPr>
        <w:footnoteReference w:id="59"/>
      </w:r>
      <w:r>
        <w:rPr>
          <w:rFonts w:eastAsia="Times New Roman" w:cs="Times New Roman" w:ascii="Times New Roman" w:hAnsi="Times New Roman"/>
          <w:color w:val="111111"/>
          <w:sz w:val="28"/>
          <w:szCs w:val="28"/>
          <w:lang w:val="en-US"/>
        </w:rPr>
        <w:t>Kemudian, pesannya  menjadi jelas: metode "Peripatetik" dan bahasa biasa pun  gagal menyampaikan esensi “pengetahuan" yang menjadi dasar  epistemologi Iluminasi.</w:t>
      </w:r>
    </w:p>
    <w:p>
      <w:pPr>
        <w:pStyle w:val="Heading4"/>
        <w:numPr>
          <w:ilvl w:val="3"/>
          <w:numId w:val="1"/>
        </w:numPr>
        <w:bidi w:val="0"/>
        <w:jc w:val="left"/>
        <w:rPr/>
      </w:pPr>
      <w:bookmarkStart w:id="69" w:name="__RefHeading___Toc924620_653776707"/>
      <w:bookmarkStart w:id="70" w:name="_Toc23"/>
      <w:bookmarkEnd w:id="69"/>
      <w:r>
        <w:rPr/>
        <w:t>3.4. Hikmah Al-Isyrāq</w:t>
      </w:r>
      <w:bookmarkEnd w:id="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Karya Suhrawardi yang paling terkenal adalah Hikmah Al-  Isyrāq. Ini adalah karya terakhir dari empat karya yang dikaji dan  ditelaah di sini, karya yang di dalamnya, prinsip-prinsip Filsafat  Iluminasi disuguhkan secara sistematis, meskipun terkadang  sangat singkat dalam bentuk yang indah dan sempurna. Inilah  karya yang disebut-sebut oleh Suhrawardi sebagai pemuat  pengertian intuitifnya tentang dasar filsafat dan juga karya yang  secara sistematis merumuskan hasil-hasil yang diperoleh dari  segenap pengalaman mistis Suhrawardi dan menggabungkannya  dalam membangun kembali filsafat. Karya ini memuat formulasi  terakhir sistem baru Suhrawardi dengan jelas dan dalam suatu  bentuk simbolis, yang rincian-rinciannya sudah dikemukakan  dalam ketiga karya yang telah disebutkan. Malahan, karya ini juga  memuat metodologi, kaidah-kaidah, dan prinsip-prinsip filsafat </w:t>
      </w:r>
    </w:p>
    <w:p>
      <w:pPr>
        <w:pStyle w:val="BookText"/>
        <w:bidi w:val="0"/>
        <w:rPr/>
      </w:pPr>
      <w:r>
        <w:rPr>
          <w:rFonts w:eastAsia="Times New Roman" w:cs="Times New Roman" w:ascii="Times New Roman" w:hAnsi="Times New Roman"/>
          <w:color w:val="111111"/>
          <w:sz w:val="28"/>
          <w:szCs w:val="28"/>
          <w:lang w:val="en-US"/>
        </w:rPr>
        <w:t>diskursif dan Iluminasi. Paduan filsafat diskursiſ (Al-Hikmah  Al-Bahtsiyyah) dan filsafat intuitif (Al-Hikmah Adz-Dzauqiyyah)  yang harmonis dan sempurna adalah tujuan dan tanda khas  Filsafat Iluminasi.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Hanya At-Talwihāt dan Al-Lamahāt saja yang dirujuk oleh  Suhrawardi dalam Hikmah Al-Isyrāq. </w:t>
      </w:r>
      <w:r>
        <w:rPr>
          <w:rStyle w:val="FootnoteAnchor"/>
        </w:rPr>
        <w:footnoteReference w:id="60"/>
      </w:r>
      <w:r>
        <w:rPr>
          <w:rFonts w:eastAsia="Times New Roman" w:cs="Times New Roman" w:ascii="Times New Roman" w:hAnsi="Times New Roman"/>
          <w:color w:val="111111"/>
          <w:sz w:val="28"/>
          <w:szCs w:val="28"/>
          <w:lang w:val="en-US"/>
        </w:rPr>
        <w:t>Dalam karyanya berjudul  Syarh Hikmah Al-Isyrāq, Quthbuddin Asy-Syirazi menegaskan  bahwa ini menunjukkan bahwa Suhrawardi sudah mulai menulis,  tetapi belum merampungkan karya-karyanya yang lain sebelum  menyusun Hikmah Al-Isyrāq.</w:t>
      </w:r>
      <w:r>
        <w:rPr>
          <w:rStyle w:val="FootnoteAnchor"/>
        </w:rPr>
        <w:footnoteReference w:id="61"/>
      </w:r>
      <w:r>
        <w:rPr>
          <w:rFonts w:eastAsia="Times New Roman" w:cs="Times New Roman" w:ascii="Times New Roman" w:hAnsi="Times New Roman"/>
          <w:color w:val="111111"/>
          <w:sz w:val="28"/>
          <w:szCs w:val="28"/>
          <w:lang w:val="en-US"/>
        </w:rPr>
        <w:t>Seperti telah saya kemukakan  sebelumnya, Suhrawardi pasti sudah menulis atau merevisi karya-  karya pentingnya secara bersamaan. Dalam Hikmah Al-Isyrāq,  Suhrawardi tidak menyebut Al-Masyāri' wa Al-Muthārahāt  secara khusus, tetapi signifikansi karya ini sudah diketahui.</w:t>
      </w:r>
      <w:r>
        <w:rPr>
          <w:rStyle w:val="FootnoteAnchor"/>
        </w:rPr>
        <w:footnoteReference w:id="62"/>
      </w:r>
      <w:r>
        <w:rPr>
          <w:rFonts w:eastAsia="Times New Roman" w:cs="Times New Roman" w:ascii="Times New Roman" w:hAnsi="Times New Roman"/>
          <w:color w:val="111111"/>
          <w:sz w:val="28"/>
          <w:szCs w:val="28"/>
          <w:lang w:val="en-US"/>
        </w:rPr>
        <w:t xml:space="preserve"> Akan tetapi, Quthbuddin yakin dalam pernyataannya, “Aku telah  menyusun At-Talwīhāt dan kemudian Al-Lamahāt, dan yang lain-  lainnya dengan mengikuti metode Peripatetik,"</w:t>
      </w:r>
      <w:r>
        <w:rPr>
          <w:rStyle w:val="FootnoteAnchor"/>
        </w:rPr>
        <w:footnoteReference w:id="63"/>
      </w:r>
      <w:r>
        <w:rPr>
          <w:rFonts w:eastAsia="Times New Roman" w:cs="Times New Roman" w:ascii="Times New Roman" w:hAnsi="Times New Roman"/>
          <w:color w:val="111111"/>
          <w:sz w:val="28"/>
          <w:szCs w:val="28"/>
          <w:lang w:val="en-US"/>
        </w:rPr>
        <w:t>maka yang  dimaksud oleh Suhrawardi dengan "yang lain-lainnya" adalah  Al-Masyāri' wa Al-Muthārahāt dan Al-Muqāwamāt.</w:t>
      </w:r>
      <w:r>
        <w:rPr>
          <w:rStyle w:val="FootnoteAnchor"/>
        </w:rPr>
        <w:footnoteReference w:id="64"/>
      </w:r>
      <w:r>
        <w:rPr>
          <w:rFonts w:eastAsia="Times New Roman" w:cs="Times New Roman" w:ascii="Times New Roman" w:hAnsi="Times New Roman"/>
          <w:color w:val="111111"/>
          <w:sz w:val="28"/>
          <w:szCs w:val="28"/>
          <w:lang w:val="en-US"/>
        </w:rPr>
        <w:t xml:space="preserve">Dengan  memperhatikan apa yang telah saya kemukakan sebelumnya,  saya tidak sependapat dengan pandangan ini. Dengan  menyebut-nyebut At-Talwāhāt, pada dasarnya Suhrawardi telah  merujuk pada Al-Muqāwamāt karena kita tahu bahwa karya  yang disebut terakhir ini adalah penjelas bagi karya yang disebut  terdahulu. Seperti juga telah saya tunjukkan, Al-Masyāri' wa Al-  Muthārahāt bukan sebuah karya yang sengaja disusun hanya  menurut “metode Peripatetik”. Mengingat berbagai pernyataan  Suhrawardi yang berulang-ulang menjelaskan ihwal pentingnya  Al-Masyāri' wa Al-Muthārahāt bagi suatu pemahaman yang </w:t>
      </w:r>
    </w:p>
    <w:p>
      <w:pPr>
        <w:pStyle w:val="BookText"/>
        <w:bidi w:val="0"/>
        <w:rPr/>
      </w:pPr>
      <w:r>
        <w:rPr>
          <w:rFonts w:eastAsia="Times New Roman" w:cs="Times New Roman" w:ascii="Times New Roman" w:hAnsi="Times New Roman"/>
          <w:color w:val="111111"/>
          <w:sz w:val="28"/>
          <w:szCs w:val="28"/>
          <w:lang w:val="en-US"/>
        </w:rPr>
        <w:t>benar tentang Filsafat Iluminasi, kita tidak bisa menempatkan  karya tersebut dalam kategori yang sama dengan Al-Lamahāt,  dan dengan demikian, menyisihkannya, serta memandangnya  sebagai tidak relevan untuk mempelajari Filsafat Iluminasi. Dengan  tidak menyebut-nyebut Al-Masyāri' wa Al-Muthārahāt di dalam  bagian “Pendahuluan" Hikmah Al-Isyrāq, Suhrawardi barangkali  ingin menunjukkan apa yang sudah jelas bagi sahabat-  sahabatnya bahwa karya tersebut tidak harus dimasukkan ke  dalam karya-karya yang disusun sebagai ikhtisar atau ringkasan  didaktik Filsafat Iluminasi. Karya semisal Risalah fī I'tiqād Al-  Hukamā' (Ajaran-Ajaran Para Filsuf), lebih tepat untuk pernyataan  Suhrawardi “dan yang lain-lainnya” di dalam bagian itu, karena  dirancang secara lebih tepat sebagai ikhtisar ringkas doktrin  atau ajaran Peripatetik, dan secara sangat jelas berada dalam  bentuk ekspresi Peripatetik.</w:t>
      </w:r>
    </w:p>
    <w:p>
      <w:pPr>
        <w:pStyle w:val="BookText"/>
        <w:bidi w:val="0"/>
        <w:jc w:val="both"/>
        <w:rPr/>
      </w:pPr>
      <w:r>
        <w:rPr>
          <w:rFonts w:eastAsia="Times New Roman" w:cs="Times New Roman" w:ascii="Times New Roman" w:hAnsi="Times New Roman"/>
          <w:color w:val="111111"/>
          <w:sz w:val="28"/>
          <w:szCs w:val="28"/>
          <w:lang w:val="en-US"/>
        </w:rPr>
        <w:t>Bila kita kaji dan telaah Hikmah Al-Isyrāq, akan jelas  bahwa karya ini adalah puncak tujuan Filsafat Suhrawardi:</w:t>
      </w:r>
    </w:p>
    <w:p>
      <w:pPr>
        <w:pStyle w:val="BookText"/>
        <w:bidi w:val="0"/>
        <w:jc w:val="both"/>
        <w:rPr/>
      </w:pPr>
      <w:r>
        <w:rPr>
          <w:rFonts w:eastAsia="Times New Roman" w:cs="Times New Roman" w:ascii="Times New Roman" w:hAnsi="Times New Roman"/>
          <w:color w:val="111111"/>
          <w:sz w:val="28"/>
          <w:szCs w:val="28"/>
          <w:lang w:val="en-US"/>
        </w:rPr>
        <w:t>sebuah rekonstruksi filsafat yang sistematis. la memulainya  dengan At-Talwihāt, menyempurnakannya lebih jauh dalam  Al-Muqawamāt, dan merumuskannya secara menyeluruh dalam  Al-Masyāri' wa Al-Muthārahāt, serta Hikmah Al-Isyrāq hanya  bisa dipahami dengan memandangnya sebagai bagian dari  rangkaian rekonstruksi filsafat yang secara hati-hati disusun  oleh Suhrawardi dalam keempat karyanya yang penting,  meskipun ini adalah karya terpenting dalam rangkaian itu. Karya  tersebut dipandang oleh Suhrawardi sebagai yang terbaik dalam  “Pendahuluan"-nya, yang sekarang akan kita kaji dan telaah.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Pendahuluan" Hikmah Al-Isyrāq menguraikan tiga  subjek yang mendasari rekonstruksi Filsafat Iluminasi dan juga </w:t>
      </w:r>
    </w:p>
    <w:p>
      <w:pPr>
        <w:pStyle w:val="BookText"/>
        <w:bidi w:val="0"/>
        <w:rPr/>
      </w:pPr>
      <w:r>
        <w:rPr>
          <w:rFonts w:eastAsia="Times New Roman" w:cs="Times New Roman" w:ascii="Times New Roman" w:hAnsi="Times New Roman"/>
          <w:color w:val="111111"/>
          <w:sz w:val="28"/>
          <w:szCs w:val="28"/>
          <w:lang w:val="en-US"/>
        </w:rPr>
        <w:t>mengemukakan segenap tujuan penulisnya. Subjek pertama,  menguraikan dan memaparkan alasan-alasan Suhrawardi dalam  menyusun karya ini dan kelompok orang yang menjadi tujuan  buku ini. Subjek kedua, membahas persoalan metodologi.</w:t>
      </w:r>
    </w:p>
    <w:p>
      <w:pPr>
        <w:pStyle w:val="BookText"/>
        <w:bidi w:val="0"/>
        <w:jc w:val="both"/>
        <w:rPr/>
      </w:pPr>
      <w:r>
        <w:rPr>
          <w:rFonts w:eastAsia="Times New Roman" w:cs="Times New Roman" w:ascii="Times New Roman" w:hAnsi="Times New Roman"/>
          <w:color w:val="111111"/>
          <w:sz w:val="28"/>
          <w:szCs w:val="28"/>
          <w:lang w:val="en-US"/>
        </w:rPr>
        <w:t>Subjek ketiga, menguraikan sejarah filsafat dan juga tempat  Filsafat Iluminasi dan kedudukan para filsuf yang “bijak" dalam  sejarah ini. Mari kita selidiki ketiga subjek yang dipersoalkan  tersebut.</w:t>
      </w:r>
    </w:p>
    <w:p>
      <w:pPr>
        <w:pStyle w:val="BookText"/>
        <w:bidi w:val="0"/>
        <w:jc w:val="both"/>
        <w:rPr/>
      </w:pPr>
      <w:r>
        <w:rPr>
          <w:rFonts w:eastAsia="Times New Roman" w:cs="Times New Roman" w:ascii="Times New Roman" w:hAnsi="Times New Roman"/>
          <w:color w:val="111111"/>
          <w:sz w:val="28"/>
          <w:szCs w:val="28"/>
          <w:lang w:val="en-US"/>
        </w:rPr>
        <w:t>3.4.1. Alasan-Alasan Suhrawardi Menyusun Hikmah Al-Isyrāg  Seperti kebanyakan karya-karya Suhrawardi lainnya,  Hikmah Al-Isyrāq sebenarnya ditulis atas dasar permintaan  yang terus-menerus dari sejumlah sahabat dan muridnya.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Seperti telah kita ketahui, implikasi dari pernyataan seperti ini  adalah pokok bahasan karya-karya Suhrawardi, mungkin sudah  diajarkan secara lisan kepada kelompok sahabatnya sebelum  diwujudkan dalam bentuk tulisan. Pada gilirannya, hal ini  mengesankan bahwa dalam konteks wacana lisan yang telah  diberikan oleh Suhrawardi, para murid berkesempatan ikut  serta dalam pembahasan ajaran-ajaran utama Filsafat Iluminasi  dan tujuan terdalam simbolisme yang digunakan dalam karya-  karya tertulisnya. Penggambaran simbolis ajaran Iluminasi  adalah suatu komponen integral dari metode Suhrawardi,  seperti ia tunjukkan dalam berbagai kesempatan, yakni dalam  bagian keempat “Pendahuluan” Hikmah Al-Isyrāq. Menurut  Suhrawardi, kita juga harus mencamkan dan memperhatikan  "kesulitan-kesulitan" dalam menuliskan dasar-dasar Filsafat  Iluminasi. “Kesulitan-kesulitan" seperti ini barangkali disebabkan  oleh berbagai komplikasi inheren yang dijumpai dalam menulis </w:t>
      </w:r>
    </w:p>
    <w:p>
      <w:pPr>
        <w:pStyle w:val="BookText"/>
        <w:bidi w:val="0"/>
        <w:rPr/>
      </w:pPr>
      <w:r>
        <w:rPr>
          <w:rFonts w:eastAsia="Times New Roman" w:cs="Times New Roman" w:ascii="Times New Roman" w:hAnsi="Times New Roman"/>
          <w:color w:val="111111"/>
          <w:sz w:val="28"/>
          <w:szCs w:val="28"/>
          <w:lang w:val="en-US"/>
        </w:rPr>
        <w:t>ihwal unsur kualitatif dari pengalaman yang - dalam bentuk  ungkapan lisan, disaksikan oleh “kehadiran” (hudhūr) guru  yang sudah mengalaminya. Akan tetapi, memang ada cukup  banyak indikasi dalam berbagai tulisannya yang – bila dikaji  dan ditelaah dengan cermat, memungkinkan kita menyelami  makna simbol-simbol yang dimaksudkan. Maka, hal ini akan  mengantarkan kita dalam membangun pandangan tentang apa  Filsafat Iluminasi Suhrawardi itu. Di sana-sini, makna-makna  bahasa metafora yang dimaksudkan, dikaji, dan ditelaah terlebih  dahulu oleh Suhrawardi sebagai contoh, dan selanjutnya oleh  para komentatornya.</w:t>
      </w:r>
    </w:p>
    <w:p>
      <w:pPr>
        <w:pStyle w:val="BookText"/>
        <w:bidi w:val="0"/>
        <w:jc w:val="both"/>
        <w:rPr/>
      </w:pPr>
      <w:r>
        <w:rPr>
          <w:rFonts w:eastAsia="Times New Roman" w:cs="Times New Roman" w:ascii="Times New Roman" w:hAnsi="Times New Roman"/>
          <w:color w:val="111111"/>
          <w:sz w:val="28"/>
          <w:szCs w:val="28"/>
          <w:lang w:val="en-US"/>
        </w:rPr>
        <w:t>Ada sebuah pernyataan tidak lazim atau tidak biasa  dikemukakan oleh Suhrawardi di awal “Pendahuluan" Hikmah  Al-Isyrāq, dan pernyataan seperti ini tidak pernah diulangi oleh  Suhrawardi di tempat lain dalam berbagai karyanya. Pernyataan  ini bisa ditafsirkan dalam dua cara yang berbeda. Pernyataan  tersebut adalah: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bukan karena keharusan memenuhi kewajiban,  suatu pesan yang telah muncul, dan suatu kewajiban  yang sudah diberikan dari suatu tempat yang, bila tidak  ditaati – akan mengantarkan ke jalan yang sesat, maka  aku tidak akan pernah merasa berwajiban melangkah  maju lebih jauh dan secara terbuka mengungkap Filsafat  lluminasi."</w:t>
      </w:r>
      <w:r>
        <w:rPr>
          <w:rStyle w:val="FootnoteAnchor"/>
        </w:rPr>
        <w:footnoteReference w:id="65"/>
      </w:r>
      <w:r>
        <w:rPr>
          <w:rFonts w:eastAsia="Times New Roman" w:cs="Times New Roman" w:ascii="Times New Roman" w:hAnsi="Times New Roman"/>
          <w:color w:val="111111"/>
          <w:sz w:val="28"/>
          <w:szCs w:val="28"/>
          <w:lang w:val="en-US"/>
        </w:rPr>
        <w:t xml:space="preserve"> Penafsiran pertama atas pernyataan ini, salah satunya  dikemukakan oleh komentator Quthbuddin Asy-Syirazi, bahwa  "sumber" dari perintah yang diberikan itu adalah Tuhan.</w:t>
      </w:r>
      <w:r>
        <w:rPr>
          <w:rStyle w:val="FootnoteAnchor"/>
        </w:rPr>
        <w:footnoteReference w:id="66"/>
      </w:r>
      <w:r>
        <w:rPr>
          <w:rFonts w:eastAsia="Times New Roman" w:cs="Times New Roman" w:ascii="Times New Roman" w:hAnsi="Times New Roman"/>
          <w:color w:val="111111"/>
          <w:sz w:val="28"/>
          <w:szCs w:val="28"/>
          <w:lang w:val="en-US"/>
        </w:rPr>
        <w:t xml:space="preserve">Cara  kedua, menafsirkan pernyataan itu adalah menganggap sumber  perintah yang diberikan itu berasal dari bumi, yang bisa jadi </w:t>
      </w:r>
    </w:p>
    <w:p>
      <w:pPr>
        <w:pStyle w:val="BookText"/>
        <w:bidi w:val="0"/>
        <w:rPr/>
      </w:pPr>
      <w:r>
        <w:rPr>
          <w:rFonts w:eastAsia="Times New Roman" w:cs="Times New Roman" w:ascii="Times New Roman" w:hAnsi="Times New Roman"/>
          <w:color w:val="111111"/>
          <w:sz w:val="28"/>
          <w:szCs w:val="28"/>
          <w:lang w:val="en-US"/>
        </w:rPr>
        <w:t>ditetapkan seorang pangeran atau raja. Mungkin saja, ada motif  politik untuk menyusun sebuah karya. Kita tahu bahwa pada  579 H/1183 M, Suhrawardi pergi ke Aleppo, di mana Hikmah  Al-Isyrāq ditulis pada 582 H/1186 M, dan bahwa terjalin hubungan  baik antara Malik Zhahir Syah Al-Ayyubi dan Suhrawardi. Oleh  karenanya, mungkin saja bahwa perintah menulis Hikmah Al-  Isyrāq itu diberikan oleh Malik Zhahir Syah kepada Suhrawardi,  agaknya sesudah ia mendengar ceramah Suhrawardi tentang  Filsafat Iluminasi. Kita tahu bahwa Suhrawardi dibunuh atas  hasutan beberapa ulama di sekitar Malik Muda, yang meyakinkan  ayahnya, Sultan Shalahuddin Al-Ayyubi bahwa Suhrawardi sudah  merusak dan menyelewengkan syariat Islam.</w:t>
      </w:r>
      <w:r>
        <w:rPr>
          <w:rStyle w:val="FootnoteAnchor"/>
        </w:rPr>
        <w:footnoteReference w:id="67"/>
      </w:r>
      <w:r>
        <w:rPr>
          <w:rFonts w:eastAsia="Times New Roman" w:cs="Times New Roman" w:ascii="Times New Roman" w:hAnsi="Times New Roman"/>
          <w:color w:val="111111"/>
          <w:sz w:val="28"/>
          <w:szCs w:val="28"/>
          <w:lang w:val="en-US"/>
        </w:rPr>
        <w:t>Akan tetapi,  ada alasan-alasan politis yang lebih khusus dalam intrik itu.</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Adakah hubungan antara penyusunan terbuka dan penerbitan  Hikmah Al-Isyrāq, yang tampaknya Suhrawardi dengan berat  hati mengalah pada intrik politik yang mengantarkannya pada  kematian? Jika memang demikian, lantas apa? Bukan tidak  mungkin, dan juga bukan tanpa preseden bahwa seorang  filsuf ingin memengaruhi seorang penguasa yang sudah punya  hubungan baik dengan dirinya. Bagaimanapun juga abad ke-  11 M dan ke-12 M, telah menyaksikan sekian banyak intrik  politik dari kaum penganut aliran kebatinan, mistikus, dan lain  sebagainya yang punya kecenderungan filosofis dan motivasi  politik. Barangkali, Hikmah Al-Isyrāq sudah dipandang sebagai  “konstitusi” bagi “masyarakat” baru yang dipimpin oleh Malik  Zhahir Syah yang terdidik secara filosofis dengan bantuan filsuf  Suhrawardi, yang akan berperan sebagai kekuatan spiritual  di belakang istana. Melaluinya sang raja telah mengakses  “kearifan" tidak terhingga yang berpijak pada pengalaman dan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pengetahuan iluminasi filsuf bijak di istananya. Desain atau  rancangan semisal itu, seperti telah saya katakan, bukan tanpa  preseden. Barangkali ini agaknya yang menjadi alasan kuat intrik  istana sebenarnya yang akhirnya menyebabkan eksekusi atas  Suhrawardi. Alasan seperti ini akan melibatkan reaksi-reaksi atas  desain atau rancangan yang dilancarkan oleh Suhrawardi, yakni  membentuk tatanan baru (sekurang-kurangnya) di Aleppo, dan  mendapat sambutan, mengingat fakta bahwa tidak ada seorang  sejarawan filsafat pun bisa mengemukakan alasan yang kuat  ihwal kematian Suhrawardi, kecuali penjelasan yang samar-  samar bahwa para ulama fiqih di Aleppo menganggap ajaran-  ajaran Suhrawardi sebagai bid'ah.</w:t>
      </w:r>
      <w:r>
        <w:rPr>
          <w:rStyle w:val="FootnoteAnchor"/>
        </w:rPr>
        <w:footnoteReference w:id="68"/>
      </w:r>
      <w:r>
        <w:rPr>
          <w:rFonts w:eastAsia="Times New Roman" w:cs="Times New Roman" w:ascii="Times New Roman" w:hAnsi="Times New Roman"/>
          <w:color w:val="111111"/>
          <w:sz w:val="28"/>
          <w:szCs w:val="28"/>
          <w:lang w:val="en-US"/>
        </w:rPr>
        <w:t xml:space="preserve"> 3.4.2. Metodologi Hikmah Al-Isyrāg  Berbagai pernyatan pendek dan tepat yang dikemukakan  oleh Suhrawardi dalam “Pendahuluan" Hikmah Al-Isyrāq  menggambarkan teori umum Filsafat Iluminasi, khususnya posisi  intuisi dan pengalaman sebagai dasar epistemologi. Di antara  semua karya Suhrawardi, hanya "Pendahuluan" dari dua karyanya  saja, yakni, Al-Masyāri' wa Al-Muthārahāt dan Hikmah Al-  Isyrāq - yang memuat berbagai pernyataan khusus ihwal  metodologi Filsafat Iluminasi. Dalam “Pendahuluan" Al-Masyāri'  wa Al-Muthārahāt, Suhrawardi menunjukkan bahwa buku itu  mengandung paparan ihwal hasil-hasil pengalaman personal  dan intuisinya, serta lebih jauh menegaskan pandangannya  tentang bagaimana pengetahuan diperoleh?  Prinsip-prinsip ini dibentuk sebagai hasil dari suatu  proses yang terdiri dari tiga tahap. Tahap pertama, ditandai  oleh aktivitas yang mesti dilakukan sang filsuf: ia harus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meninggalkan dunia". Tahap kedua, ditandai oleh pengalaman-  pengalaman tertentu: sang filsuf mencapai visi “Cahaya Tuhan"  (An-Nur Al-Ilāhī). Tahap ketiga, ditandai dengan diperolehnya  pengetahuan yang tidak terbatas dan tidak terikat, yakni  pengetahuan lluminasi (al-'ilm Al-Isyrāqi). Uraian Suhrawardi  tentang persoalan metodologi yang sama dalam “Pendahuluan"  Hikmah Al-Isyrāq ini lebih jelas dan lebih rinci, tetapi pada  dasarnya sama dengan uraian yang dikemukakan dalam Al-  Masyāri' wa Al-Muthārahāt. Filsafat Iluminasi terdiri atas tiga  tahap berkenaan dengan persoalan pengetahuan, bagaimana  membuat persiapan untuk mengalaminya, menerimanya  melalui iluminasi, dan menyusunnya dalam suatu pandangan  yang sistematik tentangnya, seperti dalam karya sebelumnya,  plus tahap tambahan yang terdiri atas proses mengungkapkan  hasil-hasil pengalaman Iluminasi dan mencarinya dalam bentuk  tulisan. Karena kita mengkaji tahap-tahap yang disebutkan secara  lebih rinci, kita pun mengamati bahwa, tahap pertama adalah  aktivitas yang dengannya sang filsuf mempersiapkan dirinya bagi  pengetahuan Iluminasi, suatu jalan hidup tertentu yang harus ia  tempuh untuk sampai pada kesiapan menerima “pengalaman".</w:t>
      </w:r>
    </w:p>
    <w:p>
      <w:pPr>
        <w:pStyle w:val="BookText"/>
        <w:bidi w:val="0"/>
        <w:jc w:val="both"/>
        <w:rPr/>
      </w:pPr>
      <w:r>
        <w:rPr>
          <w:rFonts w:eastAsia="Times New Roman" w:cs="Times New Roman" w:ascii="Times New Roman" w:hAnsi="Times New Roman"/>
          <w:color w:val="111111"/>
          <w:sz w:val="28"/>
          <w:szCs w:val="28"/>
          <w:lang w:val="en-US"/>
        </w:rPr>
        <w:t>Tahap kedua, adalah tahap Iluminasi. Tahap ketiga, adalah tahap  konstruksi. Tahap terakhir ini menggambarkan, secara simbolis  setiap kali diperlukan, dalam bentuk tulisan struktur yang  telah dibangun selama tahap ketiga. Mari kita kaji dan telaah  tahap-tahap tersebut.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Awal tahap pertama, dimulai dengan aktivitas-aktivitas,  seperti mengasingkan diri selama empat puluh hari, berhenti  makan daging, dan mempersiapkan diri untuk menerima  inspirasi dan ilham.</w:t>
      </w:r>
      <w:r>
        <w:rPr>
          <w:rStyle w:val="FootnoteAnchor"/>
        </w:rPr>
        <w:footnoteReference w:id="69"/>
      </w:r>
      <w:r>
        <w:rPr>
          <w:rFonts w:eastAsia="Times New Roman" w:cs="Times New Roman" w:ascii="Times New Roman" w:hAnsi="Times New Roman"/>
          <w:color w:val="111111"/>
          <w:sz w:val="28"/>
          <w:szCs w:val="28"/>
          <w:lang w:val="en-US"/>
        </w:rPr>
        <w:t xml:space="preserve">Aktivitas-aktivitas seperti ini termasuk </w:t>
      </w:r>
    </w:p>
    <w:p>
      <w:pPr>
        <w:pStyle w:val="BookText"/>
        <w:bidi w:val="0"/>
        <w:rPr/>
      </w:pPr>
      <w:r>
        <w:rPr>
          <w:rFonts w:eastAsia="Times New Roman" w:cs="Times New Roman" w:ascii="Times New Roman" w:hAnsi="Times New Roman"/>
          <w:color w:val="111111"/>
          <w:sz w:val="28"/>
          <w:szCs w:val="28"/>
          <w:lang w:val="en-US"/>
        </w:rPr>
        <w:t>dalam kategori praktik-praktik asketisisme dan mistis, meskipun  tidak sama persis dengan segenap keadaan spiritual (ahwāl)  dan berbagai kedudukan spiritual (maqāmāt) yang ditetapkan  di jalan mistis, atau tarekat sufi, sebagaimana dikenal dalam  karya-karya mistis yang diketahui Suhrawardi. Melalui aktivitas-  aktivitas ini, sang filsuf, dengan kekuatan intuitifnya, yang di  dalam dirinya, seperti dikatakan oleh Suhrawardi kepada kita,  bersemayam seberkas “Cahaya Tuhan” (Al-Bāriq Al-llāhī) – bisa  menerima realitas keberadaannya dan mengakui kebenaran  intuisinya melalui "ilham" dan "penyingkapan spiritual"  (musyāhadah wa mukāsyafah). Karena itu, tahap pertama ini  terdiri atas: [1] suatu aktivitas; [2] suatu kondisi (yang ditemui  seseorang, karena kita tahu bahwa setiap orang punya intuisi  dan dalam diri setiap orang ada bagian tertentu cahaya Tuhan);  dan [3] ilham pribadi.</w:t>
      </w:r>
    </w:p>
    <w:p>
      <w:pPr>
        <w:pStyle w:val="BookText"/>
        <w:bidi w:val="0"/>
        <w:jc w:val="both"/>
        <w:rPr/>
      </w:pPr>
      <w:r>
        <w:rPr>
          <w:rFonts w:eastAsia="Times New Roman" w:cs="Times New Roman" w:ascii="Times New Roman" w:hAnsi="Times New Roman"/>
          <w:color w:val="111111"/>
          <w:sz w:val="28"/>
          <w:szCs w:val="28"/>
          <w:lang w:val="en-US"/>
        </w:rPr>
        <w:t>Tahap pertama, mengantarkan pada tahap kedua, dan  Cahaya Tuhan masuk ke dalam wujud manusia. Cahaya ini  berbentuk serangkaian "cahaya penyingkapan" (al-anwār as-  sānihah) dan melalui cahaya-cahaya ini diperoleh pengetahuan  yang berperan sebagai dasar dari pengetahuan hakiki (al-'ulūm  al-haqiqiyyah).</w:t>
      </w:r>
    </w:p>
    <w:p>
      <w:pPr>
        <w:pStyle w:val="BookText"/>
        <w:bidi w:val="0"/>
        <w:jc w:val="both"/>
        <w:rPr/>
      </w:pPr>
      <w:r>
        <w:rPr>
          <w:rFonts w:eastAsia="Times New Roman" w:cs="Times New Roman" w:ascii="Times New Roman" w:hAnsi="Times New Roman"/>
          <w:color w:val="111111"/>
          <w:sz w:val="28"/>
          <w:szCs w:val="28"/>
          <w:lang w:val="en-US"/>
        </w:rPr>
        <w:t>Tahap ketiga, adalah tahap pembangunan suatu ilmu  yang benar (al-'ilm ash-shahih). Selama tahap ini sang filsuf  menggunakan analisis diskursif. Pengalaman pun diuji, dan sistem  pembuktian yang digunakan adalah demonstrasi (burhān) atau  pembuktian Posterior Analytics Aristoteles.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Bandingkan Suhrawardi, Opera II, hlm. 4046.</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Kepastian serupa  yang diperoleh oleh gerakan dari data indrawi (observasi dan  formasi konsep) ke demonstrasi yang berpijak pada nalar, yang  juga menjadi dasar pengetahuan ilmiah diskursif, bisa diperoleh</w:t>
      </w:r>
    </w:p>
    <w:p>
      <w:pPr>
        <w:pStyle w:val="BookText"/>
        <w:bidi w:val="0"/>
        <w:rPr/>
      </w:pPr>
      <w:r>
        <w:rPr>
          <w:rFonts w:eastAsia="Times New Roman" w:cs="Times New Roman" w:ascii="Times New Roman" w:hAnsi="Times New Roman"/>
          <w:color w:val="111111"/>
          <w:sz w:val="28"/>
          <w:szCs w:val="28"/>
          <w:lang w:val="en-US"/>
        </w:rPr>
        <w:t>manakala data visioner yang mendasari Filsafat Iluminasi juga  “dibuktikan". Ini dilakukan lewat suatu analisis diskursif yang  ditujukan untuk membuktikan pengalaman dan membangun  suatu sistem di mana pengalaman itu bisa didudukkan dan  validitasnya siap dideduksi, meskipun pengalaman itu sudah  berakhir.</w:t>
      </w:r>
    </w:p>
    <w:p>
      <w:pPr>
        <w:pStyle w:val="BookText"/>
        <w:bidi w:val="0"/>
        <w:jc w:val="both"/>
        <w:rPr/>
      </w:pPr>
      <w:r>
        <w:rPr>
          <w:rFonts w:eastAsia="Times New Roman" w:cs="Times New Roman" w:ascii="Times New Roman" w:hAnsi="Times New Roman"/>
          <w:color w:val="111111"/>
          <w:sz w:val="28"/>
          <w:szCs w:val="28"/>
          <w:lang w:val="en-US"/>
        </w:rPr>
        <w:t>Tahap keempat, adalah menurunkan Filsafat Iluminasi  dalam bentuk tulisan. Tahap keempat dan tahap ketiga yang  telah disebutkan sebelumnya, adalah unsur-unsur Filsafat  lluminasi yang bisa kita akses. Sang pengamal, yakni murid  di jalan Iluminasi harus menempuh dua tahap pertama  melalui pengalaman. Murid-murid tersebut bergabung bersama  Suhrawardi dalam berbagai khalwat atau pengasingan dirinya  dan akan mengalami “kehadiran" pengalaman mereka, entah  secara individual atau sebagai bagian dari sebuah kelompok.</w:t>
      </w:r>
    </w:p>
    <w:p>
      <w:pPr>
        <w:pStyle w:val="BookText"/>
        <w:bidi w:val="0"/>
        <w:jc w:val="both"/>
        <w:rPr/>
      </w:pPr>
      <w:r>
        <w:rPr>
          <w:rFonts w:eastAsia="Times New Roman" w:cs="Times New Roman" w:ascii="Times New Roman" w:hAnsi="Times New Roman"/>
          <w:color w:val="111111"/>
          <w:sz w:val="28"/>
          <w:szCs w:val="28"/>
          <w:lang w:val="en-US"/>
        </w:rPr>
        <w:t>Mungkin, Suhrawardi sudah (kita berasumsi demikian berdasarkan  berbagai indikasi dalam teks-teks karyanya) mendiskusikan segenap  visinya dengan murid-muridnya;</w:t>
      </w:r>
      <w:r>
        <w:rPr>
          <w:rStyle w:val="FootnoteAnchor"/>
        </w:rPr>
        <w:footnoteReference w:id="71"/>
      </w:r>
      <w:r>
        <w:rPr>
          <w:rFonts w:eastAsia="Times New Roman" w:cs="Times New Roman" w:ascii="Times New Roman" w:hAnsi="Times New Roman"/>
          <w:color w:val="111111"/>
          <w:sz w:val="28"/>
          <w:szCs w:val="28"/>
          <w:lang w:val="en-US"/>
        </w:rPr>
        <w:t>jalan personal, “kehadiran"-nya,  akan berperan sebagai saksi atas visi-visi seperti itu, dan berbagai  manifestasi fisik, fenomena yang diamati, yang diasosiasikan  dengan pengalaman visioner dan digambarkan dalam Hikmah  Al-Isyrāq,</w:t>
      </w:r>
      <w:r>
        <w:rPr>
          <w:rStyle w:val="FootnoteAnchor"/>
        </w:rPr>
        <w:footnoteReference w:id="72"/>
      </w:r>
      <w:r>
        <w:rPr>
          <w:rFonts w:eastAsia="Times New Roman" w:cs="Times New Roman" w:ascii="Times New Roman" w:hAnsi="Times New Roman"/>
          <w:color w:val="111111"/>
          <w:sz w:val="28"/>
          <w:szCs w:val="28"/>
          <w:lang w:val="en-US"/>
        </w:rPr>
        <w:t>akan disaksikan oleh mereka yang hadir. Apa  yang harus kita akses adalah teks-teks yang dibilang sebagai  gambaran-gambaran simbolis ihwal fenomena pengalaman  visioner, dan kita harus menentukan apa yang disimbolkannya.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3.4.3. Pandangan Suhrawardi Ihwal Sejarah Filsafat  Dalam tahun-tahun belakangan ini, sudah banyak ditulis  ihwal pandangan Suhrawardi tentang filsafat, dan biasanya  penekanan diberikan pada perannya sebagai pembangkit bentuk </w:t>
      </w:r>
    </w:p>
    <w:p>
      <w:pPr>
        <w:pStyle w:val="BookText"/>
        <w:bidi w:val="0"/>
        <w:rPr/>
      </w:pPr>
      <w:r>
        <w:rPr>
          <w:rFonts w:eastAsia="Times New Roman" w:cs="Times New Roman" w:ascii="Times New Roman" w:hAnsi="Times New Roman"/>
          <w:color w:val="111111"/>
          <w:sz w:val="28"/>
          <w:szCs w:val="28"/>
          <w:lang w:val="en-US"/>
        </w:rPr>
        <w:t>tertentu "kearifan” Iran yang dirancang dengan simbol Pahlevi,  atau Fahlavānī, dan Kiyāni. Satu aspek penting pandangannya  tentang filsafat adalah sikapnya terhadap Aristoteles dan filsafat  diskursif. Dalam “Pendahuluan” Hikmah Al-Isyrāg, Suhrawardi  menegaskan secara tegas dan jelas bahwa filsuf yang sempurna  adalah memadukan kemampuan intuitif dengan metodologi  Diskursif. Suhrawardi meyakini bahwa Filsafat Iluminasinya  adalah suatu kombinasi yang sempurna seperti itu.</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Plato diakui sebagai guru filsafat intuitif, dan ia disebut-  sebut sebagai bagian dari tradisi panjang yang menggabungkan  cabang Yunani Mesir dengan cabang Iran, yang keduanya  bersumber dari Hermes, “Bapak para Filsuf". Sementara itu,  Aristoteles diakui sebagai bapak filsafat diskursif. Melalui  Filsafat lluminasinya, Suhrawardi menganggap dirinya sebagai  pemadu yang sempurna dari kedua bentuk filsafat itu. Dalam  pandangannya, peran filsuf dalam sejarah adalah sebagai orang  “bijak" yang memadukan pengetahuan intuitif dengan metodologi  Diskursifyang disebutnya sebagai filsuf Berketuhanan (Al-Hakim Al-  Muta'allih) yang memiliki “kearifan" khusus. Orang bijak seperti  ini harus dianggap sebagai pemimpin (imām) masyarakat, entah  itu kepemimpinan aktual dan temporal maupun kepemimpinan  esoteris dan spiritual. Kearifan atau kebijaksanaan, dalam  pengertian ini adalah apa yang membedakan pemerintah yang  baik dari pemerintah yang zalim dan korup. Dengan demikian,  ajaran Aristoteles dan Filsafat Peripatetik pada umumnya,  harus tidak dipandang sebagai suatu sistem filsafat yang jelas-  jelas terpisah dari Filsafat Iluminasi dan juga harus tidak dianggap  sebagai bentuk tertentu filsafat yang diyakini Suhrawardi di  masa mudanya, atau hanya dijumpai dalam sejumlah karyanya. </w:t>
      </w:r>
      <w:bookmarkStart w:id="71" w:name="pg6442_57303"/>
    </w:p>
    <w:p>
      <w:pPr>
        <w:pStyle w:val="BookText"/>
        <w:bidi w:val="0"/>
        <w:rPr/>
      </w:pPr>
      <w:bookmarkEnd w:id="71"/>
      <w:r>
        <w:rPr>
          <w:rFonts w:eastAsia="Times New Roman" w:cs="Times New Roman" w:ascii="Times New Roman" w:hAnsi="Times New Roman"/>
          <w:color w:val="111111"/>
          <w:sz w:val="28"/>
          <w:szCs w:val="28"/>
          <w:lang w:val="en-US"/>
        </w:rPr>
        <w:t>Kombinasi filsafat diskursif (hikmah Bahtsiyyah) dan filsafat  intuitif (hikmah Dzauqiyyah) – kombinasi yang disebut sebagai  filsafat Ilahiah (hikmah Muta'allihah) - adalah apa yang  membedakan Filsafat Iluminasi dari teosofi maupun Mistisisme  Quasi Filosofis.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Lihat, Al-Harawi, Anwāriyyah, hlm. 12-14.</w:t>
      </w:r>
    </w:p>
    <w:p>
      <w:pPr>
        <w:pStyle w:val="Heading3"/>
        <w:numPr>
          <w:ilvl w:val="2"/>
          <w:numId w:val="1"/>
        </w:numPr>
        <w:bidi w:val="0"/>
        <w:jc w:val="left"/>
        <w:rPr/>
      </w:pPr>
      <w:bookmarkStart w:id="72" w:name="__RefHeading___Toc924622_653776707"/>
      <w:bookmarkStart w:id="73" w:name="_Toc24"/>
      <w:bookmarkEnd w:id="72"/>
      <w:r>
        <w:rPr/>
        <w:t>4. KESIMPULAN</w:t>
      </w:r>
      <w:bookmarkEnd w:id="73"/>
    </w:p>
    <w:p>
      <w:pPr>
        <w:pStyle w:val="BookText"/>
        <w:bidi w:val="0"/>
        <w:jc w:val="both"/>
        <w:rPr/>
      </w:pPr>
      <w:r>
        <w:rPr>
          <w:rFonts w:eastAsia="Times New Roman" w:cs="Times New Roman" w:ascii="Times New Roman" w:hAnsi="Times New Roman"/>
          <w:color w:val="111111"/>
          <w:sz w:val="28"/>
          <w:szCs w:val="28"/>
          <w:lang w:val="en-US"/>
        </w:rPr>
        <w:t>Suhrawardi telah menulis empat karya filsafat yang  penting. Dalam setiap karya itu, ia menguraikan persoalan filsafat  dalam bentuk yang sempurna, dan setiap karya membimbing  pada karya yang lain. Dijumpai ada pernyataan-pernyataan  eksplisit yang diberikan Suhrawardi, bahwa keempat karya itu  saling berkaitan satu sama lain dan harus dibaca dalam suatu  urutan tertentu. Setiap karya itu punya penekanan khas pada  istilah, dan ada berbagai indikasi tertentu bahwa Suhrawardi  membuat tinjauan atas keempat karyanya ketika ia menulis  setiap karya itu, juga ada indikasi-indikasi lainnya bahwa tengah  dikembangkan seperangkat istilah yang melengkapi kerangka  konseptual karya-karyanya. Sudah kita tunjukkan bahwa  berdasarkan berbagai pernyataan eksplisit Suhrawardi, keempat  karya itu berkaitan satu sama lain dan membentuk sebuah  kesatuan yang utuh.</w:t>
      </w:r>
    </w:p>
    <w:p>
      <w:pPr>
        <w:pStyle w:val="BookText"/>
        <w:bidi w:val="0"/>
        <w:jc w:val="both"/>
        <w:rPr/>
      </w:pPr>
      <w:r>
        <w:rPr>
          <w:rFonts w:eastAsia="Times New Roman" w:cs="Times New Roman" w:ascii="Times New Roman" w:hAnsi="Times New Roman"/>
          <w:color w:val="111111"/>
          <w:sz w:val="28"/>
          <w:szCs w:val="28"/>
          <w:lang w:val="en-US"/>
        </w:rPr>
        <w:t>Corak atau sifat hubungan yang rumit di antara keempat  karya itu memerlukan suatu analisis atas proses pemikiran yang  diawali dengan At-Talwāhāt dan berpuncak pada Hikmah Al-Isyrāq.</w:t>
      </w:r>
    </w:p>
    <w:p>
      <w:pPr>
        <w:pStyle w:val="BookText"/>
        <w:bidi w:val="0"/>
        <w:jc w:val="both"/>
        <w:rPr/>
      </w:pPr>
      <w:r>
        <w:rPr>
          <w:rFonts w:eastAsia="Times New Roman" w:cs="Times New Roman" w:ascii="Times New Roman" w:hAnsi="Times New Roman"/>
          <w:color w:val="111111"/>
          <w:sz w:val="28"/>
          <w:szCs w:val="28"/>
          <w:lang w:val="en-US"/>
        </w:rPr>
        <w:t>Sejauh ini, kita sudah mengkaji dan menelaah hubungan antara  keempat karya itu berdasarkan berbagai pernyataan Suhrawardi.</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Tugas kita berikutnya adalah mengkaji dan menelaah kandungan  karya-karya itu. Tugas ini tidak mudah. Kita berhadapan </w:t>
      </w:r>
    </w:p>
    <w:p>
      <w:pPr>
        <w:pStyle w:val="BookText"/>
        <w:bidi w:val="0"/>
        <w:rPr/>
      </w:pPr>
      <w:r>
        <w:rPr>
          <w:rFonts w:eastAsia="Times New Roman" w:cs="Times New Roman" w:ascii="Times New Roman" w:hAnsi="Times New Roman"/>
          <w:color w:val="111111"/>
          <w:sz w:val="28"/>
          <w:szCs w:val="28"/>
          <w:lang w:val="en-US"/>
        </w:rPr>
        <w:t>dengan persoalan yang “proses"-nya tidak begitu mulus. Ini  bukan sebuah proses yang bisa dilihat untuk mengawali –  dengan paparan sederhana pandangan Aristoteles, doktrin atau  ajaran dalam At-Talwihāt, yang diikuti dengan menitikberatkan  beberapa persoalan yang belum diuraikan secara memadai oleh  Aristoteles atau diabaikannya, dan akhirnya berujung pada teori  baru, berbeda, lengkap, serta koheren yang dikemukakan di dalam  Hikmah Al-Isyrāq. Sesungguhnya, proses itu berliku-liku, terkadang  berbelit-belit, dan sangat sering mengandaikan bahwa beberapa  hasil penting yang dikemukakan dalam Hikmah Al-Isyrāq adalah  kesimpulan-kesimpulan dari karya “sebelumnya", atau bahwa  semuanya itu hanya bisa dipahami dalam hal perkembangan  mode pemikiran dari At-Talwīhāt melalui Al-Masyāri' wa Al-  Muthārahāt. Apa yang menimbulkan kesulitan ini adalah gaya  dan terminologi Suhrawardi, yang kadang-kadang dikhususkan  dalam buku tertentu, tetapi pada saat yang lain, berlaku bagi  keempat karya tersebut. Perubahan nyata dalam gaya seperti  itu disebabkan – sebagian- oleh eksperimen Suhrawardi dengan  gaya dan analisis filsafat. Ia mengkaji dan menelaah gagasan  dalam karya sebelumnya dalam suatu kerangka konseptual,  metodologi, dan metafisika Peripatetik yang sudah mapan  dengan menggunakan seperangkat terminologi teknis “baku",  tetapi dengan beberapa perubahan penting, dan kemudian  menelaah suatu gagasan, bahkan gagasan yang sama, dengan cara  lluminasionis, dengan mencoba menangkap esensi pengalaman,  “keakuan" eksistensi manusia, dalam segenap kata dan simbol.</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halnya dalam At-Talwihāt, yang dianggap sebagai  sebuah karya yang sepenuhnya bercorak Aristotelian. Sebab,  dalam karya ini pun tidak ditemukan metode yang jelas untuk </w:t>
      </w:r>
    </w:p>
    <w:p>
      <w:pPr>
        <w:pStyle w:val="BookText"/>
        <w:bidi w:val="0"/>
        <w:rPr/>
      </w:pPr>
      <w:r>
        <w:rPr>
          <w:rFonts w:eastAsia="Times New Roman" w:cs="Times New Roman" w:ascii="Times New Roman" w:hAnsi="Times New Roman"/>
          <w:color w:val="111111"/>
          <w:sz w:val="28"/>
          <w:szCs w:val="28"/>
          <w:lang w:val="en-US"/>
        </w:rPr>
        <w:t>mendekati persoalan-persoalan itu. Seringkali tanpa peringatan,  sebuah gagasan baru dilempar dan dikaji atau ditelaah dari tempat  yang menguntungkan ajaran Iluminasionis.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ini berarti, kita harus sering membaca kembali  keempat karya tersebut untuk memahami kesatuan pemikiran  yang mendasarinya. Kita harus mempunyai hasil akhir dari analisis  Suhrawardi seperti dikemukakan dalam Hikmah Al-Isyrāq yang  ada di depan kita untuk sepenuhnya memahami sebuah karya  “sebelumnya", yang pada gilirannya harus dikaji dan ditelaah  dengan cermat bila kita ingin memahami konstruksi akhirnya. Ini  menuntut kita untuk mengkaji dan menelaah karya-karya filsafat  penting dari dua sudut pandang. Kita harus mengkaji dan  menelaah setiap karyanya secara terpisah untuk menentukan  kesatuan pemikirannya dan cara menangani berbagai persoalan  filsafat, kemudian kita harus mengkaji dan menelaah karya-  karya itu secara keseluruhan dengan memandangnya sebagai sebuah  kesatuan yang sebenarnya untuk menemukan kembali pemikiran  Suhrawardi yang utuh. Sesudah melakukan kajian dan telaah ganda  seperti ini, baru kita bisa menyuguhkan paparan dan uraian yang  koheren tentang Filsafat Iluminasi. </w:t>
      </w:r>
      <w:bookmarkStart w:id="74" w:name="pg6442_57306"/>
    </w:p>
    <w:p>
      <w:pPr>
        <w:pStyle w:val="Heading3"/>
        <w:numPr>
          <w:ilvl w:val="2"/>
          <w:numId w:val="1"/>
        </w:numPr>
        <w:bidi w:val="0"/>
        <w:jc w:val="left"/>
        <w:rPr/>
      </w:pPr>
      <w:bookmarkStart w:id="75" w:name="__RefHeading___Toc924624_653776707"/>
      <w:bookmarkStart w:id="76" w:name="_Toc25"/>
      <w:bookmarkEnd w:id="74"/>
      <w:bookmarkEnd w:id="75"/>
      <w:r>
        <w:rPr/>
        <w:t>Catatan:</w:t>
      </w:r>
      <w:bookmarkEnd w:id="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Lihat Carra de Vaux, “La Philosophie Illuminative d'après  Suhrawerdi Meqtoul", Journal Asiatique, Vol. 19 (t.t. : t.p,  1902), hlm. 63-64.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Lihat Max Horten, Die Philosophies der Erleutung nach  Suhrawardi. (Halle, 1912).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Lihat Louis Massignon, Recuil de Textes Inédits. (Paris: Paul  Gauthner, 1929), hlm. 111-113.</w:t>
      </w:r>
    </w:p>
    <w:p>
      <w:pPr>
        <w:pStyle w:val="BookText"/>
        <w:bidi w:val="0"/>
        <w:jc w:val="both"/>
        <w:rPr/>
      </w:pPr>
      <w:r>
        <w:rPr>
          <w:rFonts w:eastAsia="Times New Roman" w:cs="Times New Roman" w:ascii="Times New Roman" w:hAnsi="Times New Roman"/>
          <w:color w:val="111111"/>
          <w:sz w:val="28"/>
          <w:szCs w:val="28"/>
          <w:lang w:val="en-US"/>
        </w:rPr>
        <w:t>Lihat Otto Spies, Three Treatise on Mysticism by Shihabuddin  Suhrawardi Maqtul. (Stuttgart: Kohlhammer, 1935).</w:t>
      </w:r>
    </w:p>
    <w:p>
      <w:pPr>
        <w:pStyle w:val="BookText"/>
        <w:bidi w:val="0"/>
        <w:jc w:val="both"/>
        <w:rPr/>
      </w:pPr>
      <w:r>
        <w:rPr>
          <w:rFonts w:eastAsia="Times New Roman" w:cs="Times New Roman" w:ascii="Times New Roman" w:hAnsi="Times New Roman"/>
          <w:color w:val="111111"/>
          <w:sz w:val="28"/>
          <w:szCs w:val="28"/>
          <w:lang w:val="en-US"/>
        </w:rPr>
        <w:t>Lihat Helmut Ritter, “Philologika IX: Die vier Suhrawardi", Der  Islam, Vol. 24 (t.t. : t.p, 1937), hlm. 270-286; dan Vol. 25 (t.t.</w:t>
      </w:r>
    </w:p>
    <w:p>
      <w:pPr>
        <w:pStyle w:val="BookText"/>
        <w:bidi w:val="0"/>
        <w:jc w:val="both"/>
        <w:rPr/>
      </w:pPr>
      <w:r>
        <w:rPr>
          <w:rFonts w:eastAsia="Times New Roman" w:cs="Times New Roman" w:ascii="Times New Roman" w:hAnsi="Times New Roman"/>
          <w:color w:val="111111"/>
          <w:sz w:val="28"/>
          <w:szCs w:val="28"/>
          <w:lang w:val="en-US"/>
        </w:rPr>
        <w:t>:t.p, 1938), hlm. 35-86.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Lihat H. Corbin, Suhrawardid'Alep, Fondateur de la Doctrine  illuminative. (Paris: t.p, 1939); idem., Les Motifs zoroastriens  dans la philosophie de Sohrawardi. (Tehran: t.p, 1946);  idem., L'Homme de Lumière dans le soufisme iranien. (Paris:</w:t>
      </w:r>
    </w:p>
    <w:p>
      <w:pPr>
        <w:pStyle w:val="BookText"/>
        <w:bidi w:val="0"/>
        <w:jc w:val="both"/>
        <w:rPr/>
      </w:pPr>
      <w:r>
        <w:rPr>
          <w:rFonts w:eastAsia="Times New Roman" w:cs="Times New Roman" w:ascii="Times New Roman" w:hAnsi="Times New Roman"/>
          <w:color w:val="111111"/>
          <w:sz w:val="28"/>
          <w:szCs w:val="28"/>
          <w:lang w:val="en-US"/>
        </w:rPr>
        <w:t>Sisteron, 1971). Lihat khususnya, Prolégomènes Corbin untuk  setiap edisi kritis karya-karya Suhrawardi berikut: Opera  Metaphysica et Mystica I. (Istanbul: Maarif Matbaasi, 1945);  Opera Metaphysica et Mystica II. (Tehran: Institut Franco-  Iranien, 1954); Opera Metaphysica et Mystica III. (Tehran:</w:t>
      </w:r>
    </w:p>
    <w:p>
      <w:pPr>
        <w:pStyle w:val="BookText"/>
        <w:bidi w:val="0"/>
        <w:jc w:val="both"/>
        <w:rPr/>
      </w:pPr>
      <w:r>
        <w:rPr>
          <w:rFonts w:eastAsia="Times New Roman" w:cs="Times New Roman" w:ascii="Times New Roman" w:hAnsi="Times New Roman"/>
          <w:color w:val="111111"/>
          <w:sz w:val="28"/>
          <w:szCs w:val="28"/>
          <w:lang w:val="en-US"/>
        </w:rPr>
        <w:t>Franco-Iranien, 1970). Lihat juga terjemahan Corbin atas  karya-karya Suhrawardi, Archange Eem pourpré, Quinze traités  et récits Mystique Traduits du persan et de l'arabe, présentés et  annotés par Henry Corbin. (Paris: Fayard, 1976); dan Le Livre  de la Sagesse Orientale, Kitab Hikmah Al-Ishrāq, traduction  et notes par Henry Corbin, établies et introduit par Christian  Jambet. (Paris: Verdier, 1986).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Lihat S. H. Nasr, Three Muslim Sages. (Cambridge: Harvard  University Press, 1964), Bab 11; idem., Suhrawardi, "A History  of Muslim Philosophy", editor M. M. Sharif, (Wisbaden: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Otto Harrassowitz, 1963), Vol. I, hlm. 372-398. Dalam karya  56 Hossein Ziai </w:t>
      </w:r>
    </w:p>
    <w:p>
      <w:pPr>
        <w:pStyle w:val="BookText"/>
        <w:bidi w:val="0"/>
        <w:rPr/>
      </w:pPr>
      <w:r>
        <w:rPr>
          <w:rFonts w:eastAsia="Times New Roman" w:cs="Times New Roman" w:ascii="Times New Roman" w:hAnsi="Times New Roman"/>
          <w:color w:val="111111"/>
          <w:sz w:val="28"/>
          <w:szCs w:val="28"/>
          <w:lang w:val="en-US"/>
        </w:rPr>
        <w:t>8.rintisannya, Nasr menunjukkan signifikansi religius dari  kehidupan dan ajaran-ajaran Suhrawardi, dan juga dimensi  religius dalam kosmologinya. Dalam hal ini, lihat, idem., An  Introduction to Islamic Cosmological Doctrines. (London,  1978), Bab XII.</w:t>
      </w:r>
    </w:p>
    <w:p>
      <w:pPr>
        <w:pStyle w:val="BookText"/>
        <w:bidi w:val="0"/>
        <w:jc w:val="both"/>
        <w:rPr/>
      </w:pPr>
      <w:r>
        <w:rPr>
          <w:rFonts w:eastAsia="Times New Roman" w:cs="Times New Roman" w:ascii="Times New Roman" w:hAnsi="Times New Roman"/>
          <w:color w:val="111111"/>
          <w:sz w:val="28"/>
          <w:szCs w:val="28"/>
          <w:lang w:val="en-US"/>
        </w:rPr>
        <w:t>Lihat Muhammad Iqbal, The Development of Metaphysics in  Persia. (London, 1908), hlm. 121-150. Dalam analisisnya atas  Hikmah Al-Isyrāq, Iqbal bersandar hampir seluruhnya pada  komentar berbahasa Persia Muhammad Syarif Al-Harawi yang  ditemukannya selama masa belajarnya di Berlin di Konigchen  Bibliotek (bagian dari Bibliotheca Orientalis Sprengeriana,  Spr. 766). Edisi kritis saya atas komentar Al-Harawi, yang  berdasarkan manuskrip unik serupa yang ada pada Iqbal,  kini sudah terbit. Lihat Anwāriyyah, An 11th-Century A. H.</w:t>
      </w:r>
    </w:p>
    <w:p>
      <w:pPr>
        <w:pStyle w:val="BookText"/>
        <w:bidi w:val="0"/>
        <w:jc w:val="both"/>
        <w:rPr/>
      </w:pPr>
      <w:r>
        <w:rPr>
          <w:rFonts w:eastAsia="Times New Roman" w:cs="Times New Roman" w:ascii="Times New Roman" w:hAnsi="Times New Roman"/>
          <w:color w:val="111111"/>
          <w:sz w:val="28"/>
          <w:szCs w:val="28"/>
          <w:lang w:val="en-US"/>
        </w:rPr>
        <w:t>Persian Translation and Commentary on Suhrawardi's Hikmat  Al-Ishrāq, yang disunting, diberi kata pengantar, dan catatan  oleh Hossein Ziai, (Tehran: Amir Kabir, 1980, edisi kedua  1984).</w:t>
      </w:r>
    </w:p>
    <w:p>
      <w:pPr>
        <w:pStyle w:val="BookText"/>
        <w:bidi w:val="0"/>
        <w:jc w:val="both"/>
        <w:rPr/>
      </w:pPr>
      <w:r>
        <w:rPr>
          <w:rFonts w:eastAsia="Times New Roman" w:cs="Times New Roman" w:ascii="Times New Roman" w:hAnsi="Times New Roman"/>
          <w:color w:val="111111"/>
          <w:sz w:val="28"/>
          <w:szCs w:val="28"/>
          <w:lang w:val="en-US"/>
        </w:rPr>
        <w:t>Hanya bagian-bagian ihwal metafisika dari tiga karya  Suhrawardi, yakni At-Talwīhāt, Al-Muqāwamāt, Al-Masyāri' wa  Al-Muthārahāt (yang masing-masing disebut oleh Suhrawardi  sebagai “Ilmu Ketiga Tentang Metafisika" [al-ʻIlm ats-Tsālits  fi al-Ilāhiyyāt]) yang sudah disunting dan diterbitkan dalam  “Opera Metaphysica et Mystica l", disunting oleh H. Corbin,  (Istanbul: Maarif Matbaasi, 1945), selanjutnya disebut Opera  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Diterbitkan dalam "Opera Metaphysica et Mystica II",  disunting oleh H. Corbin, (Tehran: Institut Franco-Iranien,  1952), selanjutnya disebut Opera II.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Persoalan ihwal maksud dan tujuan penulis dalam menelaah  teks-teks filsafat abad pertengahan adalah suatu hal yang krusial.</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Khususnya, yang demikian ini disebabkan oleh gaya eliptis  eksplisit dari teks-teks semacam itu. </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Suhrawardi, Opera I, hlm. 194.</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Suhrawardi, Opera I, hlm. 124. Struktur “penjelasan  tambahan" bagi At-Talwīhāt ini berkaitan dengan struktur  At-Talwīhāt, kita hanya akan menelaah struktur At-Talwāhāt,  kecuali dalam hal-hal tertentu, yang akan kita sebut dalam  catatan kaki.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Yakni, 'alā thariq masyā'in. Suhrawardi, Opera II, hlm. 10.</w:t>
      </w:r>
    </w:p>
    <w:p>
      <w:pPr>
        <w:pStyle w:val="BookText"/>
        <w:bidi w:val="0"/>
        <w:jc w:val="both"/>
        <w:rPr/>
      </w:pPr>
      <w:r>
        <w:rPr>
          <w:rFonts w:eastAsia="Times New Roman" w:cs="Times New Roman" w:ascii="Times New Roman" w:hAnsi="Times New Roman"/>
          <w:color w:val="111111"/>
          <w:sz w:val="28"/>
          <w:szCs w:val="28"/>
          <w:lang w:val="en-US"/>
        </w:rPr>
        <w:t>Ibid., hlm. 10-11.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Ibid., hlm. 10-11.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Suhrawardi, Kitāb Al-Lamahāt, disunting oleh Emile Maalouf,  (Beirut: Dar an-Nahar, 1969), hlm. 57. Selanjutnya disebut  Al-Lamahāt.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 Maalouf dalam “Pengantar” edisi Al-Lamahāt (hlm. vii)  menegaskan bahwa karya ini dianggap sebagai “tonggak dari  ikhtisar teori Peripatetik".</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Suhrawardi memutuskan keinginannya untuk menyusun karya  yang menjadi penjelasan topik-topik penting Filsafat Peripatetik,  (Al-Lamahāt, hlm. 57). Seperti biasa, dalam semua karyanya,  Suhrawardi jarang merujuk pandangan Peripatetik dengan  sebutan Al-Masyā'iyyūn, karena ini satu-satunya contoh  dalam Al-Lamahāt.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Diterbitkan dalam Suhrawardi, Opera Metaphysica et Mystica  III, disunting oleh H. Corbin dan S. H. Nasr, (Tehran: Institut  Franco-Iranien, 1970), selanjutnya disebut Opera III, hlm. 12-  34.</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Di sini, Suhrawardi menggeneralisasi konsep Huwiyyah (zat atau  hakikat) dengan menggunakan konsep istilah Persia ū’i dan  memberlakukannya untuk orang pertama dan juga orang  kedua. Dengan demikian, manī untuk “keakuan”, tū’i untuk  “keengkauan", dan ū'i untuk "kediaan".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Suhrawardi, Hayākil an-Nür, disunting oleh Abu Rayyan,  (Kairo, 1960).</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Versi bahasa Persia diterbitkan dalam Opera III, hlm. 54-67. </w:t>
      </w:r>
    </w:p>
    <w:p>
      <w:pPr>
        <w:pStyle w:val="BookText"/>
        <w:bidi w:val="0"/>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Lihat The Mystical and Visionary Treatise of Suhrawardi,  diterjemahkan oleh W. M. Thackston, Jr., (London: Octagon  Press, 1982). Terjemahan Thackston termasuk dalam salah  terjemahan terbaik atas karya-karya berbahasa Arab dan Persia.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Dua risalah itu diterbitkan dalam Si Risalah as Syaikh-i Isyrāq  (Tiga Risalah Guru Iluminasi), disunting oleh Najaf-Ali Habibi,  (Tehran: t.p, 1977), hlm. 1-121. Saya juga telah merujuk pada  kalimat at-Tashawwuf, MS, (Tehran, Majlis Library, Majmūʻah,  3071).</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Opera I, hlm. xvi.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Bagi Suhrawardi, “filsafat diskursif" adalah sikap, metodologi,  dan bahasa teknis filsafat, yang sebagian besar, (tetapi tidak  semua) diasosiasikan dengan karya-karya Peripatetik Ibn Sina.</w:t>
      </w:r>
    </w:p>
    <w:p>
      <w:pPr>
        <w:pStyle w:val="BookText"/>
        <w:bidi w:val="0"/>
        <w:jc w:val="both"/>
        <w:rPr/>
      </w:pPr>
      <w:r>
        <w:rPr>
          <w:rFonts w:eastAsia="Times New Roman" w:cs="Times New Roman" w:ascii="Times New Roman" w:hAnsi="Times New Roman"/>
          <w:color w:val="111111"/>
          <w:sz w:val="28"/>
          <w:szCs w:val="28"/>
          <w:lang w:val="en-US"/>
        </w:rPr>
        <w:t>Istilah-istilah yang digunakan, seperti bahts, al-hikmah al-  bahtsiyyah, thariq al-masysyā'īn, dan madzhab Al-masysyā’in,  semuanya menunjuk pada filsafat ini dengan prinsip-  prinsip tertentu yang tidak disetujuinya. Akan tetapi, yang  signifikan bagi Suhrawardi bukan penolakan bahts, melainkan  penggabungan bahts yang dirumukan kembali dalam Filsafat  lluminasi yang direkonstruksi.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Bagi Suhrawardi, "filsafat intuitif" adalah sebuah metode dan  titik-tolak untuk rekonstruksi filsafat, dan juga tujuan (yakni,  yang ingin dicapai oleh "praktisi") Hikmah Al-Isyrāq yang  dipandang sebagai sebuah sistem yang lengkap. Istilah-istilah  yang digunakan seperti dzauq, al-hikmah adz-dzauqiyyah,  al-'ilm al-hudhūrī, al-'ilm asy-syuhūdi, meski semuanya  menunjuk pada “filsafat intuitif," berbeda secara rinci, seperti  akan dijelaskan nanti.</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Ad-Dawwani menetapkan karya ini sebagai karya bercorak  alegoris (marmūzah), yang mengandung rahasia-rahasia  kearifan Iluminasi, bentuk kearifan yang dikaruniakan kepada  orang pilihan yang dekat dengan Tuhan (Al-Qqirābah Al-  Ilāhiyyah), fols. 2r-3v; 82v-84r. </w:t>
      </w:r>
    </w:p>
    <w:p>
      <w:pPr>
        <w:pStyle w:val="BookText"/>
        <w:bidi w:val="0"/>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Asy-Syahrazuri, Nuzhah al-Arwāh M.S., (Istanbul: Yeni Cami,  908), fols. 233v. Karya Asy-Syahrazuri tentang sejarah filsafat  adalah satu-satunya sumber ekstensif dalam uraiannya ihwal  riwayat hidup Suhrawardi. Asy-Syahrazuri mungkin memiliki  sumber-sumber lisan tentang masalah ini karena kita tidak  bisa menempatkan sumber-sumber tertulis lain untuk biografi  seperti dilakukan dalam Nuzhah al-Arwāh. Namun, terdapat  informasi tambahan tertentu tentang Suhrawardi yang meski  tidak ekstensif, bisa menambah pemahaman kita tentang  kehidupannya. Kita akan menunjukkan ini saat kita meneruskan  kajian ini. Versi terbaru karya Asy-Syahrazuri yang telah dicetak  juga ada. Lihat, Asy-Syahrazuri, Nuzhah Al-Arwāh wa Raudhah  Al-Afrah fī Tārīkh al-Hukamā' wa Al-Falāsifah, disunting oleh  Seyyed Khursid Ahmad, (Hayderabad: Osmania Oriental  Publication Bureau, 1976). Terjemahan karya abad ke-16 M  berbahasa Persia oleh Maqshud ‘Ali Tabrizi sudah diterbitkan.</w:t>
      </w:r>
    </w:p>
    <w:p>
      <w:pPr>
        <w:pStyle w:val="BookText"/>
        <w:bidi w:val="0"/>
        <w:jc w:val="both"/>
        <w:rPr/>
      </w:pPr>
      <w:r>
        <w:rPr>
          <w:rFonts w:eastAsia="Times New Roman" w:cs="Times New Roman" w:ascii="Times New Roman" w:hAnsi="Times New Roman"/>
          <w:color w:val="111111"/>
          <w:sz w:val="28"/>
          <w:szCs w:val="28"/>
          <w:lang w:val="en-US"/>
        </w:rPr>
        <w:t>Lihat Asy-Syahrazuri, Nuzhah Al-Arwāh wa Raudhah Al-Afrah  fi Tārīkh al-Hukamā' wa Al-Falāsifah, disunting dan diberi  pendahuluan tentang sejarah Filsafat Islam oleh M.T. Danesh-  Pajouh dan M.S. Maula'i, (Tehran: t.p, 1986).</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Fakta ini tidak diperhatikan oleh Corbin dan sarjana-sarjana  lainnya. Ini diberikan oleh Ibn Ushaibi'ah, Thabaqat Al-  Athibba', disunting oleh A. Muller (Koningsberg: Pr., 1884),  hlm. 1-168; dan oleh Yaqut, Irsyad Al-Arib, disunting oleh D.</w:t>
      </w:r>
    </w:p>
    <w:p>
      <w:pPr>
        <w:pStyle w:val="BookText"/>
        <w:bidi w:val="0"/>
        <w:jc w:val="both"/>
        <w:rPr/>
      </w:pPr>
      <w:r>
        <w:rPr>
          <w:rFonts w:eastAsia="Times New Roman" w:cs="Times New Roman" w:ascii="Times New Roman" w:hAnsi="Times New Roman"/>
          <w:color w:val="111111"/>
          <w:sz w:val="28"/>
          <w:szCs w:val="28"/>
          <w:lang w:val="en-US"/>
        </w:rPr>
        <w:t>S. Margoliouth, hlm. vi dan 269.</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Suhrawardi, Opera II, hlm. 258.</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Asy-Syahrazuri, Nuzhah al-Arwāh, fol. 231r.</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Yaqut, Irsyād, hlm. vii dan 269.</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Ibn Abi Ushaibi'ah, Thabaqāt I, hlm. 299-301.</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Tampaknya Mardini, yang pernah tinggal selama beberapa  tahun (587-589 H) di Damaskus, pergi ke Aleppo dan diterima  oleh Malik azh-Zhahir. Ibid., hlm. 289-290.</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Al-Qifthi, Tārīkh al-Hukamā' (terjemahan bahasa Persia abad </w:t>
      </w:r>
    </w:p>
    <w:p>
      <w:pPr>
        <w:pStyle w:val="BookText"/>
        <w:bidi w:val="0"/>
        <w:rPr/>
      </w:pPr>
      <w:r>
        <w:rPr>
          <w:rFonts w:eastAsia="Times New Roman" w:cs="Times New Roman" w:ascii="Times New Roman" w:hAnsi="Times New Roman"/>
          <w:color w:val="111111"/>
          <w:sz w:val="28"/>
          <w:szCs w:val="28"/>
          <w:lang w:val="en-US"/>
        </w:rPr>
        <w:t>ke-11 M), disunting oleh Bahman Dara'i, (Tehran: Tehran  University Press, 1347 H), hlm. 345.</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Abu Al-Barakat Al-Baghdadi, Kitāb Al-Mu'tabar. (Haydarabad:</w:t>
      </w:r>
    </w:p>
    <w:p>
      <w:pPr>
        <w:pStyle w:val="BookText"/>
        <w:bidi w:val="0"/>
        <w:jc w:val="both"/>
        <w:rPr/>
      </w:pPr>
      <w:r>
        <w:rPr>
          <w:rFonts w:eastAsia="Times New Roman" w:cs="Times New Roman" w:ascii="Times New Roman" w:hAnsi="Times New Roman"/>
          <w:color w:val="111111"/>
          <w:sz w:val="28"/>
          <w:szCs w:val="28"/>
          <w:lang w:val="en-US"/>
        </w:rPr>
        <w:t>t.p, 1357 H.), hlm. I dan 7. Untuk diskusi ihwal posisi “refleksi  personal" dan intuisi dalam segenap pandangan Abu Al-  Barakat ihwal kedudukan epistemologi pengetahuan personal  dan intuitif dalam filsafat. Lihat S. Pines, Nouvelles études sur  Awhad az-Zamān Abu Al-Barakat Al-Baghdadi. (Paris: Libraire  Durlaches, 1958), hlm. 8,17. Lihat juga bagian 2.5. berikut  ini.</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Suhrawardi, Opera I, hlm. 146, 278, dan 352. Menarik untuk  dicatat bahwa As-Sawi menulis sebuah komentar atas karya Ibn  Sina, Risalah Ath-Thair, dalam bahasa Persia (GAL I, 456. 44),  sebuah risalah alegoris yang disusun kembali oleh Suhrawardi,  (diterjemahkan dalam The Mystical and Visionary Treatise of  Suhrawardi, oleh Thackson, hlm. 21-25). As-Sawi adalah salah  seorang pemikir lluminasionis awal dalam Islam.</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Sarjana-sarjana mutakhir dewasa ini juga sudah menerima  karya-karya Suhrawardi seperti At-Talwībāt, Al-Muqāwamāt,  dan Al-Masyāri' wa Al-Muthārahāt sebagai karya-karya  Peripatetik, yang secara esensial tidak berkaitan dengan  Filsafat Iluminasi yang disusun dalam kurun waktu sebelum  Suhrawardi mengembangkan berbagai prinsip, kaidah, dan  metode lluminasi. Lihat Louis Massignon, Recueil de textes  inédits. (Paris: Paul Geuthner, 1929), hlm. 111-113; Carl  Brockelman, GAL I, hlm. 437-438, GAL SI, hlm. 481-483;  Henry Corbin, “Prolegomènes,” Opera II; Seyyed Hossein  Nasr, “Syihabuddin Suhrawardi Maqtul”, A History of Muslim  Philosophy, disunting oleh M. M. Syarif, (Weisbaden: Otto  Harrasowitz, 1963), hlm. 374; dan juga yang lain-lain  yang mengikuti klasifikasi tidak lengkap atas karya-karya  Suhrawardi seperti penulis-penulis ini.</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Lihat, misalnya Suhrawardi, Opera I, hlm. 59, 121, 128, 131, </w:t>
      </w:r>
    </w:p>
    <w:p>
      <w:pPr>
        <w:pStyle w:val="BookText"/>
        <w:bidi w:val="0"/>
        <w:rPr/>
      </w:pPr>
      <w:r>
        <w:rPr>
          <w:rFonts w:eastAsia="Times New Roman" w:cs="Times New Roman" w:ascii="Times New Roman" w:hAnsi="Times New Roman"/>
          <w:color w:val="111111"/>
          <w:sz w:val="28"/>
          <w:szCs w:val="28"/>
          <w:lang w:val="en-US"/>
        </w:rPr>
        <w:t>146, 183, 185, 192, 194, 195, 278, 340, 361, 371, 401, 484,  506. Suhrawardi memandang semua teks penting tersebut saling  berkaitan satu sama lain.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Yaqut, Irsyad, hlm. vii dan 269.</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Suhrawardi, Opera I, hlm. 2.</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Suhrawardi, Opera II, hlm. 10. Ada sejumlah contoh dalam  keempat karya Suhrawardi di mana ia membahas relevansi  “metode Peripatetik” (tharīq al-masysyā'īn) bagi murid  Filsafat lluminasi. Semua ini akan kita telaah dalam bab-  bab berikutnya. Kebanyakan sarjana gagal melihat bahwa  metodologi Iluminasionis tidak menegasikan metodologi  Peripatetik; sebaliknya, ia memadukannya sebagai piranti  dalam rekonstruksi metafisika. Segera bisa kita pastikan dalam  bagian pendahuluan ini, pentingnya metodologi Peripatetik  dari pernyataan Suhrawardi di bagian akhir Hikmah Al-Isyrāq,  “Sampaikanlah dan ajarkanlah Filsafat Iluminasi hanya kepada  mereka yang sudah memahami dan benar-benar kompeten  dalam metodologi Peripatetik.” (Opera II, hlm. 258).</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Yakni Al-'ilm At-Tajarrudi Al-Mitsāli Asy-syuhūdi. Bandingkan  R. Arnaldez, El?, s.v. "Ishraq."  45. Suhrawardi, Opera I, hlm. 120-121.</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Ibid., hlm. 70-74.</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dasarnya, ini pandangan tentang “sumber-sumber"  Suhrawardi, bukan dalam pengertian historis yang kaku,  melainkan dalam pengertian genealogi spiritual. Pandangan  ini mempertimbangkan adanya dua cabang dalam genealogi  spiritual, yang satu Barat yang meliputi Empedokles,  Phythagoras, Plato, dan dalam Islam (masih Barat) yang  meliputi Dzūn-Nun al-Mishri dan Sahl bin 'Abdullāh at-  Tustarī; dan cabang Timur lain yang meliputi Gayomarth,  Faridun, Kay Khusrau, serta dalam Islam (masih Timur) Abū  Yazid Basthami, Manshur Al-Hallaj dan al-Kharraqāni. Kedua  cabang ini diawali dari Hermes, “Bapak para Filsafat" (wālid al- </w:t>
      </w:r>
    </w:p>
    <w:p>
      <w:pPr>
        <w:pStyle w:val="BookText"/>
        <w:bidi w:val="0"/>
        <w:rPr/>
      </w:pPr>
      <w:r>
        <w:rPr>
          <w:rFonts w:eastAsia="Times New Roman" w:cs="Times New Roman" w:ascii="Times New Roman" w:hAnsi="Times New Roman"/>
          <w:color w:val="111111"/>
          <w:sz w:val="28"/>
          <w:szCs w:val="28"/>
          <w:lang w:val="en-US"/>
        </w:rPr>
        <w:t>hukamā') dan berakhir dengan Suhrawardi. Lihat R. Arnaldez,  EP, s.v. “Ishrākiyyūn." Harus diperhatikan bahwa setiap filsuf  Iluminasionis diberkati dengan suatu “tanda" khas atau kualitas,  yang mengingatkan Saipóviov dari Socrates, dan disamakan  dengan khvarnah Persia, yang disebut Suhrawardi dengan  kiyān kharra atau farra-yi izadi.</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Opera I, hlm. 58.</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Suhrawardi, Opera II, hlm. 12. Bandingkan Quthbuddin  Asy-Syirazi, Syarh Hikmah Al-Isyrāq Komentar atas Filsafat  Iluminasi], (Tehran, 1313 A.H.), hlm. 3-4, (selanjutnya disebut  Syarh II). Pendahuluan Suhrawardi untuk karya ini sangatlah  penting. Jadi, kami suguhkan kepada pembaca terjemahan  lengkapnya. Lihat Appendiks A di bagian belakang buku ini.</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Suhrawardi, Opera I, hlm. 484.</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Ibid., hlm. 128, 146, 183, 188.</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Yakni Thariq, At-Talwībāt. Ibid., hlm. 188. “Rahasia-Rahasia,"  atau “metafor-metafor” (ar-rum ūz) dalam Al-Talwāhāt dikatakan  harus dipahami hanya dalam kaitannya dengan pembahasan  dalam Al-Muqāwamāt.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Suhrawardi, Opera I, hlm. 192.</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Bagian Al-Masyāri' wa Al-Muthārahāt yang sudah diterbitkan  (dalam Corbin, Opera I), hanya memuat Al-Qism ats-Tsālits: Fi  al-'Ilm al-Ilāhi (Bagian Ketiga: Ihwal Metafisika), yang memuat  kurang dari sepertiga dari keseluruhannya dan bahkan lebih  banyak dibandingkan dengan keseluruhan Hikmah Al-Isyrāq.</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Yakni Mukharrajah Musyahadah min Tasharrufāt. Bandingkan  Al-Baghdadi, Al-Mu'tabar, hlm. 1-4.</w:t>
      </w:r>
    </w:p>
    <w:p>
      <w:pPr>
        <w:pStyle w:val="BookText"/>
        <w:bidi w:val="0"/>
        <w:jc w:val="both"/>
        <w:rPr/>
      </w:pPr>
      <w:r>
        <w:rPr>
          <w:rFonts w:eastAsia="Times New Roman" w:cs="Times New Roman" w:ascii="Times New Roman" w:hAnsi="Times New Roman"/>
          <w:color w:val="111111"/>
          <w:sz w:val="28"/>
          <w:szCs w:val="28"/>
          <w:lang w:val="en-US"/>
        </w:rPr>
        <w:t>56.</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sejumlah rujukan kepada orang yang disebut sebagai Al-  Qayyim 'alā Al-Isyrāq dalam karya-karya Suhrawardi. Dalam  Hikmah Al-Isyrāq, orang seperti ini disebut qayyim al-kitāb  (Opera II, hlm. 258). Suhrawardi menyebut orang itu sebagai  al-qayyim bi ‘ilm al-kitab fi ‘ahdinā (Opera II, hlm. 260). Fungsi  orang seperti itu, tidak seperti mursyid sufi, harus “menjaga" </w:t>
      </w:r>
    </w:p>
    <w:p>
      <w:pPr>
        <w:pStyle w:val="BookText"/>
        <w:bidi w:val="0"/>
        <w:rPr/>
      </w:pPr>
      <w:r>
        <w:rPr>
          <w:rFonts w:eastAsia="Times New Roman" w:cs="Times New Roman" w:ascii="Times New Roman" w:hAnsi="Times New Roman"/>
          <w:color w:val="111111"/>
          <w:sz w:val="28"/>
          <w:szCs w:val="28"/>
          <w:lang w:val="en-US"/>
        </w:rPr>
        <w:t>rahasia-rahasia Filsafat Iluminasi dan membahasnya hanya  bersama murid-murid, yang untuk mereka, ia bertindak  sebagai pembimbing dan mentor. Quthbuddin Asy-Syirazi  menyebut orang seperti ini sebagai “orang yang menyadari  rahasia-rahasia (asrār) Filsafat Iluminasi”, (Syarh II, hlm. 561).</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Sandi-sandi itu tidak digambarkan di sini. Lihat Opera I, hlm.</w:t>
      </w:r>
    </w:p>
    <w:p>
      <w:pPr>
        <w:pStyle w:val="BookText"/>
        <w:bidi w:val="0"/>
        <w:jc w:val="both"/>
        <w:rPr/>
      </w:pPr>
      <w:r>
        <w:rPr>
          <w:rFonts w:eastAsia="Times New Roman" w:cs="Times New Roman" w:ascii="Times New Roman" w:hAnsi="Times New Roman"/>
          <w:color w:val="111111"/>
          <w:sz w:val="28"/>
          <w:szCs w:val="28"/>
          <w:lang w:val="en-US"/>
        </w:rPr>
        <w:t>124 catatan pada baris  12.</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Suhrawardi, Opera I, hlm. 194-195.</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Lihat, misalnya, Ibid., hlm. 361, 401.</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Ibid., hlm. 505.</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Ibid., hlm.483.</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Ibid., hlm. 494.</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Kami simpulkan dari berbagai sebutan dalam semua karya  Suhrawardi dengan “saudara-saudaraku" (ikhwānī), “sahabat-  sahabat kami” (ashhābunā), dan sebagainya. Lihat, misalnya  Suhrawardi, Opera II, hlm. 10, 257-260.</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Suhrawardi, Opera I, hlm. 334.</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Ikhwān at-Tajrid adalah kelompok yang meliputi Suhrawardi dan  murid-muridnya langsung, tetapi juga melampaui mereka  sehingga mencakup para filsuf dan mistikus sebelumnya.</w:t>
      </w:r>
    </w:p>
    <w:p>
      <w:pPr>
        <w:pStyle w:val="BookText"/>
        <w:bidi w:val="0"/>
        <w:jc w:val="both"/>
        <w:rPr/>
      </w:pPr>
      <w:r>
        <w:rPr>
          <w:rFonts w:eastAsia="Times New Roman" w:cs="Times New Roman" w:ascii="Times New Roman" w:hAnsi="Times New Roman"/>
          <w:color w:val="111111"/>
          <w:sz w:val="28"/>
          <w:szCs w:val="28"/>
          <w:lang w:val="en-US"/>
        </w:rPr>
        <w:t>Inilah sebuah persaudaraan spiritual yang tidak terbatas  dalam ruang dan waktu. Lihat, Suhrawardi, Opera I, hlm. 74,  95, 103, serta 506.</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Suhrawardi, Opera I, hlm. 334.</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Suhrawardi, Opera II, hlm. 11.</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Asy-Syirazi, Syarh II, hlm. 15.</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Suhrawardi, Opera I, hlm. 361, 401, 484, serta 488.</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Suhrawardi, Opera II, hlm. 11.</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Asy-Syirazi, Syarh II, hlm. 15.</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Suhrawardi, Opera II, hlm. 10.</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Asy-Syirazi, Syarh II, hlm. 13. Lihat juga, Asy-Syahrazuri, Syarh,  fol. 19 r.</w:t>
      </w:r>
    </w:p>
    <w:p>
      <w:pPr>
        <w:pStyle w:val="BookText"/>
        <w:bidi w:val="0"/>
        <w:jc w:val="both"/>
        <w:rPr/>
      </w:pPr>
      <w:r>
        <w:rPr>
          <w:rFonts w:eastAsia="Times New Roman" w:cs="Times New Roman" w:ascii="Times New Roman" w:hAnsi="Times New Roman"/>
          <w:color w:val="111111"/>
          <w:sz w:val="28"/>
          <w:szCs w:val="28"/>
          <w:lang w:val="en-US"/>
        </w:rPr>
        <w:t>74.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Syaddad dalam Biografi Shalāhuddin menyebut Suhrawardi </w:t>
      </w:r>
    </w:p>
    <w:p>
      <w:pPr>
        <w:pStyle w:val="BookText"/>
        <w:bidi w:val="0"/>
        <w:rPr/>
      </w:pPr>
      <w:r>
        <w:rPr>
          <w:rFonts w:eastAsia="Times New Roman" w:cs="Times New Roman" w:ascii="Times New Roman" w:hAnsi="Times New Roman"/>
          <w:color w:val="111111"/>
          <w:sz w:val="28"/>
          <w:szCs w:val="28"/>
          <w:lang w:val="en-US"/>
        </w:rPr>
        <w:t>sebagai “Suhrawardi Muda" dan juga “sufi". Ia menegaskan bahwa  raja sudah diperingatkan tentang pengaruh penyelewengan filsuf  atas Hukum Tuhan (syari'ah). Lihat Ibn Syaddad, An-Nawādir as-  Sulthāniyyah, hlm. 10 dan 59.</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Asy-Syahrazuri menuturkan bahwa para Ulama fiqih menuduh  Suhrawardi mengaku sebagai seorang nabi. Asy-Syahrazuri,  Nuzhah al-Arwāh, fol. 232v.</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Suhrawardi, Opera II, hlm. 248.</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Yakni, al-'ulüm al-haqiqiyyah la yusta'mal fiha illā al-burhān.</w:t>
      </w:r>
    </w:p>
    <w:p>
      <w:pPr>
        <w:pStyle w:val="BookText"/>
        <w:bidi w:val="0"/>
        <w:jc w:val="both"/>
        <w:rPr/>
      </w:pPr>
      <w:r>
        <w:rPr>
          <w:rFonts w:eastAsia="Times New Roman" w:cs="Times New Roman" w:ascii="Times New Roman" w:hAnsi="Times New Roman"/>
          <w:color w:val="111111"/>
          <w:sz w:val="28"/>
          <w:szCs w:val="28"/>
          <w:lang w:val="en-US"/>
        </w:rPr>
        <w:t>Bandingkan Suhrawardi, Opera II, hlm. 4046.</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Suhrawardi telah menyusun sejumlah kisah mistis, visioner,  dan alegoris. Setiap kisah ditujukan kepada murid-murid dan  sahabat-sahabatnya. Belakangan ini terbit sebuah terjemahan  bahasa Inggris dari kisah-kisah tersebut, yang sebagian besar  darinya berbahasa Persia (tidak seperti karya-karyanya yang  lebih teoretis, yang kebanyakan ditulis dalam bahasa Arab) –  oleh W. M. Thackston, Jr., Mystical and Visionary Treatise of  Suhrawardi. (London: Octagon Press, 1984).</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Ada lima belas tahap visioner yang digambarkan oleh  Suhrawardi, dan setiap tahap digambarkan sebagai “cahaya"  yang berhubungan dengan pengalaman yang diawali dengan  “seberkas cahaya" bagi para pemula (ahl al-bidāyah), dan  makin meningkat intensitasnya saat pengalaman visioner sang  murid mengalami kemajuan. Tahap kelima belas, digambarkan  sebagai seberkas cahaya kuat yang bisa merobek bagian badan  yang berkaitan. Lihat Opera II, hlm. 252-254.</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Sejumlah kategori orang bijak dijelaskan, ini dilakukan dengan  meningkatkan kemahiran dalam filsafat Ilahi (Tawaghghul fi  At-Ta'alluh) dan kemahiran dalam filsafat diskursif (Tawaghghul  fi Al-Bahts) sebagai kualitas-kualitas yang dipadukan dalam diri  seseorang (atau tidak) hingga mencapai tingkatan sempurna atau  kurang sempurna (kategori-kategori aktual berjumlah sepuluh).</w:t>
      </w:r>
    </w:p>
    <w:p>
      <w:pPr>
        <w:pStyle w:val="BookText"/>
        <w:bidi w:val="0"/>
        <w:jc w:val="both"/>
        <w:rPr/>
      </w:pPr>
      <w:r>
        <w:rPr>
          <w:rFonts w:eastAsia="Times New Roman" w:cs="Times New Roman" w:ascii="Times New Roman" w:hAnsi="Times New Roman"/>
          <w:color w:val="111111"/>
          <w:sz w:val="28"/>
          <w:szCs w:val="28"/>
          <w:lang w:val="en-US"/>
        </w:rPr>
        <w:t>Lihat, Al-Harawi, Anwāriyyah, hlm. 12-14.</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Hossein Ziai 65 )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7" w:name="pg6442_57317"/>
      <w:bookmarkStart w:id="78" w:name="pg6442_57317"/>
      <w:bookmarkEnd w:id="78"/>
    </w:p>
    <w:p>
      <w:pPr>
        <w:pStyle w:val="Heading2"/>
        <w:numPr>
          <w:ilvl w:val="1"/>
          <w:numId w:val="1"/>
        </w:numPr>
        <w:bidi w:val="0"/>
        <w:jc w:val="left"/>
        <w:rPr/>
      </w:pPr>
      <w:bookmarkStart w:id="79" w:name="pg6442_57317"/>
      <w:bookmarkStart w:id="80" w:name="__RefHeading___Toc924626_653776707"/>
      <w:bookmarkStart w:id="81" w:name="_Toc26"/>
      <w:bookmarkEnd w:id="79"/>
      <w:bookmarkEnd w:id="80"/>
      <w:r>
        <w:rPr/>
        <w:t>BAB 2: LOGIKA DALAM FILSAFAT ILUMINASI</w:t>
      </w:r>
      <w:bookmarkEnd w:id="81"/>
    </w:p>
    <w:p>
      <w:pPr>
        <w:pStyle w:val="Heading3"/>
        <w:numPr>
          <w:ilvl w:val="2"/>
          <w:numId w:val="1"/>
        </w:numPr>
        <w:bidi w:val="0"/>
        <w:jc w:val="left"/>
        <w:rPr/>
      </w:pPr>
      <w:bookmarkStart w:id="82" w:name="__RefHeading___Toc924628_653776707"/>
      <w:bookmarkStart w:id="83" w:name="_Toc27"/>
      <w:bookmarkEnd w:id="82"/>
      <w:r>
        <w:rPr/>
        <w:t>1. PENDAHULUAN</w:t>
      </w:r>
      <w:bookmarkEnd w:id="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Tujuan kami dalam bab ini adalah mengkaji dan menelaah,  perlunya logika Suhrawardi dan bagaimana hubungan logika itu  dengan Filsafat Iluminasi? Untuk melakukan hal ini, kami akan  memetakan wilayah-wilayah dan persoalan-persoalan logika  yang, menurut Suhrawardi – punya hubungan erat dengan  perumusannya kembali atas prinsip-prinsip dan kaidah-kaidah  filsafat. Terlebih dahulu, kami akan mengkaji dan menelaah  uraian eksplisit Suhrawardi tentang hakikat dan cakupan logika  dalam At-Talwihāt,</w:t>
      </w:r>
      <w:r>
        <w:rPr>
          <w:rStyle w:val="FootnoteAnchor"/>
        </w:rPr>
        <w:footnoteReference w:id="74"/>
      </w:r>
      <w:r>
        <w:rPr>
          <w:rFonts w:eastAsia="Times New Roman" w:cs="Times New Roman" w:ascii="Times New Roman" w:hAnsi="Times New Roman"/>
          <w:color w:val="111111"/>
          <w:sz w:val="28"/>
          <w:szCs w:val="28"/>
          <w:lang w:val="en-US"/>
        </w:rPr>
        <w:t>Al-Masyāri' wa Al-Muthārahāt,</w:t>
      </w:r>
      <w:r>
        <w:rPr>
          <w:rStyle w:val="FootnoteAnchor"/>
        </w:rPr>
        <w:footnoteReference w:id="75"/>
      </w:r>
      <w:r>
        <w:rPr>
          <w:rFonts w:eastAsia="Times New Roman" w:cs="Times New Roman" w:ascii="Times New Roman" w:hAnsi="Times New Roman"/>
          <w:color w:val="111111"/>
          <w:sz w:val="28"/>
          <w:szCs w:val="28"/>
          <w:lang w:val="en-US"/>
        </w:rPr>
        <w:t xml:space="preserve">dan Hikmah  Al-Isyrāq. Kemudian, kami akan menyajikan kepada pembaca  sinopsis logika Suhrawardi dan membandingkannya dengan  logika Peripatetik. </w:t>
      </w:r>
      <w:r>
        <w:rPr>
          <w:rStyle w:val="FootnoteAnchor"/>
        </w:rPr>
        <w:footnoteReference w:id="76"/>
      </w:r>
      <w:r>
        <w:rPr>
          <w:rFonts w:eastAsia="Times New Roman" w:cs="Times New Roman" w:ascii="Times New Roman" w:hAnsi="Times New Roman"/>
          <w:color w:val="111111"/>
          <w:sz w:val="28"/>
          <w:szCs w:val="28"/>
          <w:lang w:val="en-US"/>
        </w:rPr>
        <w:t xml:space="preserve">Dengan membandingkan struktur logika  Suhrawardi yang menyeluruh seperti itu, diharapkan pembaca  memperoleh sebuah pemahaman yang luas dan mendalam  tentang karya-karyanya. Karena itu, uraian paling sistematis  tentang Logika Sinkretisme Peripatetik yang ada pada Suhrawardi  adalah Logika Ibn Sina dalam karya filosofis utamanya, Asy-  Syifā', yang disebut-sebut dalam banyak kesempatan, maka  karya ini, sebagian besar – akan berperan sebagai basis  perbandingan kita dalam hal ini. Inilah problem-problem  logika yang telah dikaji, ditelaah, dan dirumuskan kembali oleh </w:t>
      </w:r>
      <w:bookmarkStart w:id="84" w:name="pg6442_57318"/>
    </w:p>
    <w:p>
      <w:pPr>
        <w:pStyle w:val="BookText"/>
        <w:bidi w:val="0"/>
        <w:rPr/>
      </w:pPr>
      <w:bookmarkEnd w:id="84"/>
      <w:r>
        <w:rPr>
          <w:rFonts w:eastAsia="Times New Roman" w:cs="Times New Roman" w:ascii="Times New Roman" w:hAnsi="Times New Roman"/>
          <w:color w:val="111111"/>
          <w:sz w:val="28"/>
          <w:szCs w:val="28"/>
          <w:lang w:val="en-US"/>
        </w:rPr>
        <w:t>Suhrawardi dalam skema logika dan epistemologi Iluminasi yang  didefinisikan dengan baik. Pembaca yang menganggap bab ini  terlalu teknis atau kering bisa dengan aman beranjak ke bagian  penilaian menyeluruh atas logika Suhrawardi di akhir Bab ini,  dan melanjutkan ke Bab berikutnya, di mana posisi definisi  epistemologi di dalam Filsafat Iluminasi dibahas secara rinci.</w:t>
      </w:r>
    </w:p>
    <w:p>
      <w:pPr>
        <w:pStyle w:val="Heading3"/>
        <w:numPr>
          <w:ilvl w:val="2"/>
          <w:numId w:val="1"/>
        </w:numPr>
        <w:bidi w:val="0"/>
        <w:jc w:val="left"/>
        <w:rPr/>
      </w:pPr>
      <w:bookmarkStart w:id="85" w:name="__RefHeading___Toc924630_653776707"/>
      <w:bookmarkStart w:id="86" w:name="_Toc28"/>
      <w:bookmarkEnd w:id="85"/>
      <w:r>
        <w:rPr/>
        <w:t>2. PANDANGAN SURAHWARDI TENTANG LOGIKA</w:t>
      </w:r>
      <w:bookmarkEnd w:id="86"/>
    </w:p>
    <w:p>
      <w:pPr>
        <w:pStyle w:val="Heading4"/>
        <w:numPr>
          <w:ilvl w:val="3"/>
          <w:numId w:val="1"/>
        </w:numPr>
        <w:bidi w:val="0"/>
        <w:jc w:val="left"/>
        <w:rPr/>
      </w:pPr>
      <w:bookmarkStart w:id="87" w:name="__RefHeading___Toc924632_653776707"/>
      <w:bookmarkStart w:id="88" w:name="_Toc29"/>
      <w:bookmarkEnd w:id="87"/>
      <w:r>
        <w:rPr/>
        <w:t>2.1. Bahasan Logika dalam At-Talwīhāt</w:t>
      </w:r>
      <w:bookmarkEnd w:id="88"/>
    </w:p>
    <w:p>
      <w:pPr>
        <w:pStyle w:val="BookText"/>
        <w:bidi w:val="0"/>
        <w:jc w:val="both"/>
        <w:rPr/>
      </w:pPr>
      <w:r>
        <w:rPr>
          <w:rFonts w:eastAsia="Times New Roman" w:cs="Times New Roman" w:ascii="Times New Roman" w:hAnsi="Times New Roman"/>
          <w:color w:val="111111"/>
          <w:sz w:val="28"/>
          <w:szCs w:val="28"/>
          <w:lang w:val="en-US"/>
        </w:rPr>
        <w:t>Di bagian pendahuluan At-Talwāhāt yang berjudul Talwāhāt  Pertama: Tentang Tujuan Logika</w:t>
      </w:r>
      <w:r>
        <w:rPr>
          <w:rStyle w:val="FootnoteAnchor"/>
        </w:rPr>
        <w:footnoteReference w:id="77"/>
      </w:r>
      <w:r>
        <w:rPr>
          <w:rFonts w:eastAsia="Times New Roman" w:cs="Times New Roman" w:ascii="Times New Roman" w:hAnsi="Times New Roman"/>
          <w:color w:val="111111"/>
          <w:sz w:val="28"/>
          <w:szCs w:val="28"/>
          <w:lang w:val="en-US"/>
        </w:rPr>
        <w:t>, Suhrawardi mengemukakan  suatu pandangan logika yang mirip dengan pandangan yang  dikemukakan Ibn Sina dalam Asy-Syifā': Al-Madkhal, 1, 4.</w:t>
      </w:r>
    </w:p>
    <w:p>
      <w:pPr>
        <w:pStyle w:val="BookText"/>
        <w:bidi w:val="0"/>
        <w:jc w:val="both"/>
        <w:rPr/>
      </w:pPr>
      <w:r>
        <w:rPr>
          <w:rFonts w:eastAsia="Times New Roman" w:cs="Times New Roman" w:ascii="Times New Roman" w:hAnsi="Times New Roman"/>
          <w:color w:val="111111"/>
          <w:sz w:val="28"/>
          <w:szCs w:val="28"/>
          <w:lang w:val="en-US"/>
        </w:rPr>
        <w:t>Dalam paragraf pertama bagian ini, Suhrawardi memulai  kajian logikanya dengan membagi pengetahuan yang terkenal  ke dalam konsepsi (tashawwur), dan penilaian (tashdiq), serta  menyatakan bahwa: [1] konsepsi adalah penangkapan bentuk  sesuatu (shūrah asy-syai') dalam pikiran; dan [2] penilaian  adalah penetapan hukum (hukm) – positif (pengukuhan) atau  negatif (penafian) – atas suatu konsepsi.</w:t>
      </w:r>
      <w:r>
        <w:rPr>
          <w:rStyle w:val="FootnoteAnchor"/>
        </w:rPr>
        <w:footnoteReference w:id="78"/>
      </w:r>
      <w:r>
        <w:rPr>
          <w:rFonts w:eastAsia="Times New Roman" w:cs="Times New Roman" w:ascii="Times New Roman" w:hAnsi="Times New Roman"/>
          <w:color w:val="111111"/>
          <w:sz w:val="28"/>
          <w:szCs w:val="28"/>
          <w:lang w:val="en-US"/>
        </w:rPr>
        <w:t>Masing-masing jenis  pengetahuan ini dibagi lagi menjadi pengetahuan bawaan (fithri)  dan pengetahuan perolehan (ghair fithrī). Ini berarti ada empat  bagian epistemologi: konsepsi bawaan, konsepsi perolehan,  penilaian bawaan, serta penilaian perolehan. Pembagian ini  sesuai dengan yang dikemukakan oleh Ibn Sina dalam Asy-Syifā':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Al-Madkhal, 1, 3; Namun, Suhrawardi menekankan pembedaan  antara pengetahuan bawaan dengan pengetahuan perolehan,  dan menggunakan istilah fithri untuk bawaan. </w:t>
      </w:r>
      <w:r>
        <w:rPr>
          <w:rStyle w:val="FootnoteAnchor"/>
        </w:rPr>
        <w:footnoteReference w:id="79"/>
      </w:r>
      <w:r>
        <w:rPr>
          <w:rFonts w:eastAsia="Times New Roman" w:cs="Times New Roman" w:ascii="Times New Roman" w:hAnsi="Times New Roman"/>
          <w:color w:val="111111"/>
          <w:sz w:val="28"/>
          <w:szCs w:val="28"/>
          <w:lang w:val="en-US"/>
        </w:rPr>
        <w:t xml:space="preserve">Pembagian  ini perlu dicamkan dan diperhatikan karena kita nanti akan </w:t>
      </w:r>
    </w:p>
    <w:p>
      <w:pPr>
        <w:pStyle w:val="BookText"/>
        <w:bidi w:val="0"/>
        <w:rPr/>
      </w:pPr>
      <w:r>
        <w:rPr>
          <w:rFonts w:eastAsia="Times New Roman" w:cs="Times New Roman" w:ascii="Times New Roman" w:hAnsi="Times New Roman"/>
          <w:color w:val="111111"/>
          <w:sz w:val="28"/>
          <w:szCs w:val="28"/>
          <w:lang w:val="en-US"/>
        </w:rPr>
        <w:t>berhadapan dengan signifikansi yang ditekankan Suhrawardi  pada pengetahuan bawaan, ketika ia membangun pembagian  itu dalam epistemologi Iluminasi dalam jawaban sistematisnya  atas pertanyaan, “Bagaimana ilmu dibangun?" dan "Apakah  langkah pertama dalam proses memperoleh pengetahuan?"  Sesudah melihat perbedaan antara pengetahuan bawaan  dan pengetahuan perolehan, Suhrawardi membahas proses untuk  memperoleh pengetahuan dalam pikiran. Ia menyebut proses  ini “kognitasi" atau "pemikiran" (fikr). Perbedaan pengetahuan  yang diperoleh melalui proses yang disebut “pemikiran" dengan  pengetahuan yang diperoleh melalui perangkat lain ('amr ākhar)  adalah salah satu persoalan metodologis terpenting dalam  Filsafat Iluminasi, seperti terbukti dalam pernyataan Suhrawardi,  "Pertama kali, aku tidak memperoleh (Filsafat  Iluminasi) ini dengan pemikiran (fikr), tetapi melalui  sesuatu yang lain."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Magness Press, The Hebrew University, 1960), hlm. 120-198.</w:t>
      </w:r>
    </w:p>
    <w:p>
      <w:pPr>
        <w:pStyle w:val="BookText"/>
        <w:bidi w:val="0"/>
        <w:jc w:val="both"/>
        <w:rPr/>
      </w:pPr>
      <w:r>
        <w:rPr>
          <w:rFonts w:eastAsia="Times New Roman" w:cs="Times New Roman" w:ascii="Times New Roman" w:hAnsi="Times New Roman"/>
          <w:color w:val="111111"/>
          <w:sz w:val="28"/>
          <w:szCs w:val="28"/>
          <w:lang w:val="en-US"/>
        </w:rPr>
        <w:t>(Pernyataan Pines yang dikutip tadi ada di hlm. 123).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Pemikiran atau kognitasi adalah sebagai proses yang  didefinisikan di bagian At-Talwīhāt, hanya diterapkan pada  aktivitas pikiran saat mengabstraksi pengetahuan yang  berdasarkan data tertentu, dari konsepsi ſtashawwur] ke  penilaian [tashdiq). Jenis pengetahuan ini mesti dibuktikan,  sementara pengetahuan bawaan diberi status apriori (dianggap  sebagai bagian dari pikiran atau mental yang mendahului  setiap aktivitas abstraksi atau proses pemikiran dan tanpa  ekstensi temporal), dianggap independen dari data indrawi  ataupun data lainnya, serta terbukti dengan sendirinya,  yakni keapaannya itulah buktinya. Ketika proses “pemikiran"  digunakan untuk memperoleh sesuatu yang tidak diketahui</w:t>
      </w:r>
    </w:p>
    <w:p>
      <w:pPr>
        <w:pStyle w:val="BookText"/>
        <w:bidi w:val="0"/>
        <w:rPr/>
      </w:pPr>
      <w:r>
        <w:rPr>
          <w:rFonts w:eastAsia="Times New Roman" w:cs="Times New Roman" w:ascii="Times New Roman" w:hAnsi="Times New Roman"/>
          <w:color w:val="111111"/>
          <w:sz w:val="28"/>
          <w:szCs w:val="28"/>
          <w:lang w:val="en-US"/>
        </w:rPr>
        <w:t>sebelum proses ini terjadi, maka sesuatu lain yang diketahui  sebelum pengetahuan itu diperoleh pasti dihasilkan untuk  menentukan validitasnya. Menentukan validitas kesimpulan  akan bisa mengawal masyarakat dari kekacauan (harj), demikian  kata Suhrawardi kepada kita. Yang mengawal proses pemikiran  melawan kesalahan adalah “alat" (ālah) yang digunakan pikiran  untuk membuat keputusan-keputusan. Dalam berbagai karya-  tulis logika Peripatetik, seperti Asy-Syifā', alat ini disebut  “ilmu logika" ('Ilm Al-Manthiq). Suhrawardi juga mengakui  pentingnya alat ini dalam rekonstruksi Iluminasionisnya atas  filsafat. Akan tetapi, yang khas dari pandangan Filsafat Iluminasi  tentang posisi logika adalah logika dianggap subordinat dari  kemampuan potensial jiwa untuk diberi inspirasi oleh roh Ilahi,  yang melahirkan “konfirmasi" (al-aid) dalam wujud individu,  yang betul-betul mengawal manusia dari berbagai penilaian dan  kesimpulan palsu. Pada dasarnya, kearifan ini diperoleh melalui  iluminasi atau pencerahan (isyrāq) dan dikawal sebagian dengan  menggunakan logika. Karenanya dalam pandangan ini, intuisi,  inspirasi, dan wahyu adalah alat-alat yang diketahui sebelum  adanya penelitian logis dan berperan sebagai dasar elaborasi  penelitian lebih jauh, dan selanjutnya berperan sebagai langkah-  langkah pertama dalam membangun ilmu yang sahih atau benar  (al-'ilm ash-shahih).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Suhrawardi mengakhiri bagian pendahuluannya tentang  logika At-Talwībāt dengan menyatakan bahwa alat yang  digunakan dalam metodologi ilmu (thariq al-'ulūm), tersusun  dari proposisi penjelas (al-qaul ash-sharih) dan bukti (al-hujjah).</w:t>
      </w:r>
      <w:r>
        <w:rPr>
          <w:rStyle w:val="FootnoteAnchor"/>
        </w:rPr>
        <w:footnoteReference w:id="81"/>
      </w:r>
      <w:r>
        <w:rPr>
          <w:rFonts w:eastAsia="Times New Roman" w:cs="Times New Roman" w:ascii="Times New Roman" w:hAnsi="Times New Roman"/>
          <w:color w:val="111111"/>
          <w:sz w:val="28"/>
          <w:szCs w:val="28"/>
          <w:lang w:val="en-US"/>
        </w:rPr>
        <w:t xml:space="preserve"> Yang ia maksudkan dengan “proposisi penjelas” adalah apa saja  yang menghubungkan konsepsi tentang sesuatu dengan idea </w:t>
      </w:r>
      <w:bookmarkStart w:id="89" w:name="pg6442_57321"/>
    </w:p>
    <w:p>
      <w:pPr>
        <w:pStyle w:val="BookText"/>
        <w:bidi w:val="0"/>
        <w:rPr/>
      </w:pPr>
      <w:bookmarkEnd w:id="89"/>
      <w:r>
        <w:rPr>
          <w:rFonts w:eastAsia="Times New Roman" w:cs="Times New Roman" w:ascii="Times New Roman" w:hAnsi="Times New Roman"/>
          <w:color w:val="111111"/>
          <w:sz w:val="28"/>
          <w:szCs w:val="28"/>
          <w:lang w:val="en-US"/>
        </w:rPr>
        <w:t>(mitsāl) tentang sesuatu itu dalam pikiran. Inilah proses yang  berperan menjelaskan sesuatu itu, entah berupa hasil akhir dari  sebuah definisi (al-hadd) sesuatu itu, atau pernyataan lain, atau  juga proposisi yang berperan menjelaskan sesuatu itu. Lalu,  yang dimaksudkan oleh Suhrawardi dengan “bukti", adalah apa  saja yang menghubungkan penilaian (tashdiq) yang diberikan  pikiran ihwal apa sesuatu itu dengan bukti yang dibangun  tentang sesuatu itu, entah berdasarkan demonstrasi (burhan)  maupun jenis “bukti" lainnya apa pun, semisal visi atau intuisi.</w:t>
      </w:r>
    </w:p>
    <w:p>
      <w:pPr>
        <w:pStyle w:val="BookText"/>
        <w:bidi w:val="0"/>
        <w:jc w:val="both"/>
        <w:rPr/>
      </w:pPr>
      <w:r>
        <w:rPr>
          <w:rFonts w:eastAsia="Times New Roman" w:cs="Times New Roman" w:ascii="Times New Roman" w:hAnsi="Times New Roman"/>
          <w:color w:val="111111"/>
          <w:sz w:val="28"/>
          <w:szCs w:val="28"/>
          <w:lang w:val="en-US"/>
        </w:rPr>
        <w:t>Bagi Suhrawardi, perangkat logika yang paling penting adalah  berbagai bukti dan proposisi penjelas, seperti akan kita lihat  nanti, pembagian ini meliputi logika.</w:t>
      </w:r>
      <w:r>
        <w:rPr>
          <w:rStyle w:val="FootnoteAnchor"/>
        </w:rPr>
        <w:footnoteReference w:id="82"/>
      </w:r>
      <w:r>
        <w:rPr>
          <w:rFonts w:eastAsia="Times New Roman" w:cs="Times New Roman" w:ascii="Times New Roman" w:hAnsi="Times New Roman"/>
          <w:color w:val="111111"/>
          <w:sz w:val="28"/>
          <w:szCs w:val="28"/>
          <w:lang w:val="en-US"/>
        </w:rPr>
        <w:t xml:space="preserve"> Bila dibandingkan dengan karya Ibn Sina (Asy-Syifā':</w:t>
      </w:r>
    </w:p>
    <w:p>
      <w:pPr>
        <w:pStyle w:val="BookText"/>
        <w:bidi w:val="0"/>
        <w:jc w:val="both"/>
        <w:rPr/>
      </w:pPr>
      <w:r>
        <w:rPr>
          <w:rFonts w:eastAsia="Times New Roman" w:cs="Times New Roman" w:ascii="Times New Roman" w:hAnsi="Times New Roman"/>
          <w:color w:val="111111"/>
          <w:sz w:val="28"/>
          <w:szCs w:val="28"/>
          <w:lang w:val="en-US"/>
        </w:rPr>
        <w:t>Al-Madkhal, 1-4), pandangan Suhrawardi tentang logika: [1]  menekankan pembagian pengetahuan ke dalam pengetahuan  bawaan dan pengetahuan perolehan, dengan logika dipandang  sebagai alat yang hanya bisa diterapkan pada pengetahuan jenis  kedua; [2] menegaskan bahwa intuisi, ilham personal, dan  inspirasi pada dasarnya ada sebelum bukti-bukti yang dibangun  dengan metode-metode formal; dan [3] membagi logika menjadi  berbagai proposisi penjelas dan bukti-bukti. Pembagian ini  merefleksikan struktur logika “baru" Suhrawardi yang berbeda  dari struktur tradisional Organon Ibn Sina.</w:t>
      </w:r>
    </w:p>
    <w:p>
      <w:pPr>
        <w:pStyle w:val="Heading4"/>
        <w:numPr>
          <w:ilvl w:val="3"/>
          <w:numId w:val="1"/>
        </w:numPr>
        <w:bidi w:val="0"/>
        <w:jc w:val="left"/>
        <w:rPr/>
      </w:pPr>
      <w:bookmarkStart w:id="90" w:name="__RefHeading___Toc924634_653776707"/>
      <w:bookmarkStart w:id="91" w:name="_Toc30"/>
      <w:bookmarkEnd w:id="90"/>
      <w:r>
        <w:rPr/>
        <w:t>2.2. Logika dalam Al-Masyāri' wa Al-Muthārahāt</w:t>
      </w:r>
      <w:bookmarkEnd w:id="91"/>
    </w:p>
    <w:p>
      <w:pPr>
        <w:pStyle w:val="BookText"/>
        <w:bidi w:val="0"/>
        <w:jc w:val="both"/>
        <w:rPr/>
      </w:pPr>
      <w:r>
        <w:rPr>
          <w:rFonts w:eastAsia="Times New Roman" w:cs="Times New Roman" w:ascii="Times New Roman" w:hAnsi="Times New Roman"/>
          <w:color w:val="111111"/>
          <w:sz w:val="28"/>
          <w:szCs w:val="28"/>
          <w:lang w:val="en-US"/>
        </w:rPr>
        <w:t>Dalam dua bagian pertama Bab Satu tentang logika dalam  Al-Masyāri' wa Al-Muthārahāt yang berjudul Jalan Pertama:</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Tentang Al-Madkhal,</w:t>
      </w:r>
      <w:r>
        <w:rPr>
          <w:rStyle w:val="FootnoteAnchor"/>
        </w:rPr>
        <w:footnoteReference w:id="83"/>
      </w:r>
      <w:r>
        <w:rPr>
          <w:rFonts w:eastAsia="Times New Roman" w:cs="Times New Roman" w:ascii="Times New Roman" w:hAnsi="Times New Roman"/>
          <w:color w:val="111111"/>
          <w:sz w:val="28"/>
          <w:szCs w:val="28"/>
          <w:lang w:val="en-US"/>
        </w:rPr>
        <w:t xml:space="preserve">Suhrawardi menyuguhi pembaca dengan  suatu pandangan umum tentang logika, yang dalam kajian dan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telaah pertama, tidak tampak berbeda dari pandangan yang  dikemukakan dalam At-Talwihāt. Akan tetapi, bila kita mengkaji  dan menelaah karya ini secara lebih teliti, kita akan menyadari  bahwa Suhrawardi di sini berasumsi, bahwa pembaca sudah  akrab dengan logika (yang tidak dilakukannya dalam At-  Talwihāt); kemudian, ia menyanggah Filsafat Peripatetik  dalam hal prinsip-prinsip logika yang sangat mendasar, sambil  menawarkan alternatif-alternatif Iluminasi pada sejumlah  persoalan yang betul-betul formal. Ia juga membahas secara  rinci persoalan ihwal, apakah logika adalah bagian dari filsafat  atau hanya bagian dari pengetahuan saja, atau sebuah disiplin  yang berdiri sendiri? Berbagai analisis atas problem-problem  logika dalam dua bagian ini lebih canggih ketimbang yang ada  dalam At-Talwīhāt. Tidak seperti logika dalam At-Talwihāt,  tempat Suhrawardi memperkenalkan subjek itu, logika dalam  Al-Masyāri' wa Al-Muthārahāt, ia mengasumsikan adanya  keakraban dengannya dan sudah mendalami persoalan itu,  "Sejauh ini engkau telah belajar dari buku-buku  bahwa apa pun yang dikaji dan ditelaah, entah konsepsi  (tashawwur) maupun penilaian (tashdiq), dan bahwa  proposisi-proposisi penjelas berhubungan dengan  keduanya. (Engkau telah mempelajari) bahwa bukti  adalah sebuah deduksi logis (nazhar manthiqi) yang  didasarkan pada dua (atau lebih) penghubung (yakni,  proposisi-proposis penjelas); juga istilah-istilah tunggal  yang membentuk proposisi-proposisi penjelas itu, dan  kerangka silogisme."</w:t>
      </w:r>
      <w:r>
        <w:rPr>
          <w:rStyle w:val="FootnoteAnchor"/>
        </w:rPr>
        <w:footnoteReference w:id="84"/>
      </w:r>
      <w:r>
        <w:rPr>
          <w:rFonts w:eastAsia="Times New Roman" w:cs="Times New Roman" w:ascii="Times New Roman" w:hAnsi="Times New Roman"/>
          <w:color w:val="111111"/>
          <w:sz w:val="28"/>
          <w:szCs w:val="28"/>
          <w:lang w:val="en-US"/>
        </w:rPr>
        <w:t xml:space="preserve"> Selanjutnya Suhrawardi menyatakan bahwa logika  adalah spekulasi yang berpijak pada materi (māddah) dan bentuk  (shūrah) dari dua hal yang berhubungan. Lalu, ia melangkah lebih </w:t>
      </w:r>
    </w:p>
    <w:p>
      <w:pPr>
        <w:pStyle w:val="BookText"/>
        <w:bidi w:val="0"/>
        <w:rPr/>
      </w:pPr>
      <w:r>
        <w:rPr>
          <w:rFonts w:eastAsia="Times New Roman" w:cs="Times New Roman" w:ascii="Times New Roman" w:hAnsi="Times New Roman"/>
          <w:color w:val="111111"/>
          <w:sz w:val="28"/>
          <w:szCs w:val="28"/>
          <w:lang w:val="en-US"/>
        </w:rPr>
        <w:t>jauh dari yang sudah dilakukannya dalam At-Talwihāt dengan  menolak berbagai definisi Peripatetik tentang gagasan-gagasan  logis ihwal konsepsi (tashawwur) dan penilaian (tashdiq),  "Ketahuilah bahwa pernyataan orang (Ibn Sina) bahwa  'konsepsi (tashawwur] terjadi ketika pikiran memperoleh  bentuk dari hal-hal yang ditunjukkan oleh ujaran tunggal"  adalah keliru'. "</w:t>
      </w:r>
      <w:r>
        <w:rPr>
          <w:rStyle w:val="FootnoteAnchor"/>
        </w:rPr>
        <w:footnoteReference w:id="85"/>
      </w:r>
      <w:r>
        <w:rPr>
          <w:rFonts w:eastAsia="Times New Roman" w:cs="Times New Roman" w:ascii="Times New Roman" w:hAnsi="Times New Roman"/>
          <w:color w:val="111111"/>
          <w:sz w:val="28"/>
          <w:szCs w:val="28"/>
          <w:lang w:val="en-US"/>
        </w:rPr>
        <w:t xml:space="preserve"> Dengan tidak menyetujui pandangan Filsafat Peripatetik  ihwal pembagian mendasar dalam logika secara demikian,  Suhrawardi pun menentukan pendiriannya dalam karya utama  logikanya, Al-Masyāri' wa Al-Muthārahāt, yang tidak sejalan  dengan Filsafat Peripatetik dalam berbagai problem dasar logika.</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titik ini, alasan-alasan yang dikemukakan Suhrawardi untuk  tidak menyetujui pendapat Filsafat Peripatetik perihal konsepsi  (tashawwur) berpijak pada pandangan semantik yang tidak  mengakui kemungkinan korespondensi satu persatu antara  makna (al-ma'nā) sesuatu, sesuatu itu, dan ujaran (al-lafzh)  yang menunjukkannya, baik ujaran tunggal (basith) maupun  ujaran majemuk (murakkab).</w:t>
      </w:r>
      <w:r>
        <w:rPr>
          <w:rStyle w:val="FootnoteAnchor"/>
        </w:rPr>
        <w:footnoteReference w:id="86"/>
      </w:r>
      <w:r>
        <w:rPr>
          <w:rFonts w:eastAsia="Times New Roman" w:cs="Times New Roman" w:ascii="Times New Roman" w:hAnsi="Times New Roman"/>
          <w:color w:val="111111"/>
          <w:sz w:val="28"/>
          <w:szCs w:val="28"/>
          <w:lang w:val="en-US"/>
        </w:rPr>
        <w:t xml:space="preserve"> Lalu, Suhrawardi menyanggah pandangan Peripatetik  tentang penilaian (tashdiq),  "Tidak benar mendefinisikan penilaian (tashdiq)  sebagai penilaian berkenaan dengan dua hal, dengan  menilai bahwa sesuatu itu adalah yang lain atau bukan  yang lain karena bentuk penilaian [tashdiq] ini hanya bisa  diterapkan pada proposisi predikatif (al-qadhiyyah al-  hamliyyah), dan tidak pada proposisi-proposisi bersyarat  (al-qadhiyyah asy-syarthiyyah). "'</w:t>
      </w:r>
      <w:r>
        <w:rPr>
          <w:rStyle w:val="FootnoteAnchor"/>
        </w:rPr>
        <w:footnoteReference w:id="87"/>
      </w:r>
      <w:r>
        <w:rPr>
          <w:rFonts w:eastAsia="Times New Roman" w:cs="Times New Roman" w:ascii="Times New Roman" w:hAnsi="Times New Roman"/>
          <w:color w:val="111111"/>
          <w:sz w:val="28"/>
          <w:szCs w:val="28"/>
          <w:lang w:val="en-US"/>
        </w:rPr>
        <w:t xml:space="preserve"> Sesudah menentukan pendiriannya tentang logika dalam </w:t>
      </w:r>
    </w:p>
    <w:p>
      <w:pPr>
        <w:pStyle w:val="BookText"/>
        <w:bidi w:val="0"/>
        <w:rPr/>
      </w:pPr>
      <w:r>
        <w:rPr>
          <w:rFonts w:eastAsia="Times New Roman" w:cs="Times New Roman" w:ascii="Times New Roman" w:hAnsi="Times New Roman"/>
          <w:color w:val="111111"/>
          <w:sz w:val="28"/>
          <w:szCs w:val="28"/>
          <w:lang w:val="en-US"/>
        </w:rPr>
        <w:t xml:space="preserve">Al-Masyāri' wa Al-Muthārahāt, Suhrawardi mulai membahas  ihwal, apakah logika adalah “bagian" dari ilmu atau langkah  persiapan menuju kajian ilmu? Pertama, ia membedakan  gagasan tentang ilmu sebagai keseluruhan” (majma' al-'ulūm)  dan “ilmu mutlak" (al-'ilm al-muthlaq), serta berpendapat  bahwa logika mesti dipandang sebagai bagian dari seluruh  pengetahuan, sebuah perangkat yang harus dan mesti digunakan  dalam berpikir, tetapi bukan bagian dari ilmu mutlak. Argumen-  argumen Suhrawardi lalu terpusat pada diskusi atau bahasan  ihwal, apakah logika dapat dianggap bagian dari filsafat atau  tidak? Sejak awal, ia menegaskan bahwa perbedaan pendapat  mengenai persoalan ini disebabkan oleh berbagai implikasi  yang berbeda dari istilah teknis yang digunakan. Namun, bagi  Suhrawardi yang penting adalah logika tidak boleh dianggap  sebagai bagian dari filsafat, karena tidak mengurusi hal-hal yang  berada di luar (fī al-a'yān). Dalam pengertian ini, logika tidak  dapat diterapkan pada hal-hal yang berada di luar pikiran, yakni  materi logika dianggap sebagai entitas maya atau tak nyata. </w:t>
      </w:r>
      <w:r>
        <w:rPr>
          <w:rStyle w:val="FootnoteAnchor"/>
        </w:rPr>
        <w:footnoteReference w:id="88"/>
      </w:r>
      <w:r>
        <w:rPr>
          <w:rFonts w:eastAsia="Times New Roman" w:cs="Times New Roman" w:ascii="Times New Roman" w:hAnsi="Times New Roman"/>
          <w:color w:val="111111"/>
          <w:sz w:val="28"/>
          <w:szCs w:val="28"/>
          <w:lang w:val="en-US"/>
        </w:rPr>
        <w:t xml:space="preserve"> Argumen-argumen Suhrawardi di sini mengingatkan pada  pendiriannya yang tidak mau memasukkan matematika ke dalam  filsafat karena dalam pandangannya, matematika juga berurusan  dengan subjek-subjek tak nyata (mauhūm). Posisi filosofis ini  adalah sebuah komponen penting dalam Filsafat Iluminasi.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Bandingkan Asy-Syirazi, Syarh II, hlm. 35:8, dan 36: 9. Lihat,  Shadruddin Asy-Syirazi “Mulla Sadra,” Ta‘liqāt, Ibid., catatan  pinggir.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Akan tetapi, sementara Suhrawardi tidak dapat melepaskan  bahasan matematika dalam filsafatnya secara terpisah, ia tidak  bisa melepaskan logika karena signifikansinya sebagai alat yang  bisa mengawal agar terhindar dari kesalahan. Hanya saja, meski  Suhrawardi tidak memiliki “buku" khusus tentang matematika,  ia betul-betul memanfaatkan kaidah-kaidah matematika formal</w:t>
      </w:r>
      <w:bookmarkStart w:id="92" w:name="pg6442_57325"/>
    </w:p>
    <w:p>
      <w:pPr>
        <w:pStyle w:val="BookText"/>
        <w:bidi w:val="0"/>
        <w:rPr/>
      </w:pPr>
      <w:bookmarkEnd w:id="92"/>
      <w:r>
        <w:rPr>
          <w:rFonts w:eastAsia="Times New Roman" w:cs="Times New Roman" w:ascii="Times New Roman" w:hAnsi="Times New Roman"/>
          <w:color w:val="111111"/>
          <w:sz w:val="28"/>
          <w:szCs w:val="28"/>
          <w:lang w:val="en-US"/>
        </w:rPr>
        <w:t>secara luas yang berperan sebagai tujuan-tujuan konstruktivis  yang dilakukannya.</w:t>
      </w:r>
    </w:p>
    <w:p>
      <w:pPr>
        <w:pStyle w:val="BookText"/>
        <w:bidi w:val="0"/>
        <w:jc w:val="both"/>
        <w:rPr/>
      </w:pPr>
      <w:r>
        <w:rPr>
          <w:rFonts w:eastAsia="Times New Roman" w:cs="Times New Roman" w:ascii="Times New Roman" w:hAnsi="Times New Roman"/>
          <w:color w:val="111111"/>
          <w:sz w:val="28"/>
          <w:szCs w:val="28"/>
          <w:lang w:val="en-US"/>
        </w:rPr>
        <w:t>Suhrawardi mengakhiri bagian pendahuluannya ihwal  logika dengan mengulas lagi pandangannya tentang definisi  logika. Ia menyatakan bahwa logika adalah tindak spekulatif  (shināʻah nazhariyyah) yang berurusan dengan konsepsi  (tashawwur), penilaian (tashdiq), kerangka silogisme, serta  berbagai pemahaman yang bersifat sekunder; bahwa logika  adalah disiplin aksiomatik (shinā'ah qānūniyyah) yang mengawal  pikiran manusia agar terhindar dari kesalahan dalam berpikir.</w:t>
      </w:r>
    </w:p>
    <w:p>
      <w:pPr>
        <w:pStyle w:val="BookText"/>
        <w:bidi w:val="0"/>
        <w:jc w:val="both"/>
        <w:rPr/>
      </w:pPr>
      <w:r>
        <w:rPr>
          <w:rFonts w:eastAsia="Times New Roman" w:cs="Times New Roman" w:ascii="Times New Roman" w:hAnsi="Times New Roman"/>
          <w:color w:val="111111"/>
          <w:sz w:val="28"/>
          <w:szCs w:val="28"/>
          <w:lang w:val="en-US"/>
        </w:rPr>
        <w:t>Caranya membahas logika adalah membekali pembaca dengan  seperangkat kaidah formal. Suhrawardi adalah seorang pengguna  pragmatis logika dan bukan seorang ahli logika teoretis. Meski,  ia menunjukkan pemahamannya yang luar biasa mendalam  tentang seluk-beluk persoalan logika formal, tujuannya dalam  menggunakan logika sebagai alat dalam filsafat tidak sama  dengan tujuan ahli logika formal. Ia berargumen bahwa kaum  Peripatetik terjatuh dalam kesalahan dengan terlalu banyak  mencurahkan perhatian pada rincian-rincian formal dan tambah  berlipat lagi kesalahan mereka. Lanjutnya, karena pada akhirnya  ketika mereka tiba pada isu-isu penting filsafat, mereka pun  tidak membahasnya dengan cukup rinci.</w:t>
      </w:r>
      <w:r>
        <w:rPr>
          <w:rStyle w:val="FootnoteAnchor"/>
        </w:rPr>
        <w:footnoteReference w:id="90"/>
      </w:r>
    </w:p>
    <w:p>
      <w:pPr>
        <w:pStyle w:val="Heading4"/>
        <w:numPr>
          <w:ilvl w:val="3"/>
          <w:numId w:val="1"/>
        </w:numPr>
        <w:bidi w:val="0"/>
        <w:jc w:val="left"/>
        <w:rPr/>
      </w:pPr>
      <w:bookmarkStart w:id="93" w:name="__RefHeading___Toc924636_653776707"/>
      <w:bookmarkStart w:id="94" w:name="_Toc31"/>
      <w:bookmarkEnd w:id="93"/>
      <w:r>
        <w:rPr/>
        <w:t>2.3. Posisi Logika dalam Hikmah Al-Isyrāg</w:t>
      </w:r>
      <w:bookmarkEnd w:id="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seperti bagian-bagian dalam logika At-Talwihāt  dan Al-Masyāri' wa Al-Muthārahāt, Suhrawardi tidak mengawali  Hikmah Al-Isyrāq dengan menyuguhi pembaca suatu pengantar  logika (sebagaimana biasa dilakukan dalam karya-karya  Peripatetik) dan juga tidak membahas logika dengan cara yang </w:t>
      </w:r>
    </w:p>
    <w:p>
      <w:pPr>
        <w:pStyle w:val="BookText"/>
        <w:bidi w:val="0"/>
        <w:rPr/>
      </w:pPr>
      <w:r>
        <w:rPr>
          <w:rFonts w:eastAsia="Times New Roman" w:cs="Times New Roman" w:ascii="Times New Roman" w:hAnsi="Times New Roman"/>
          <w:color w:val="111111"/>
          <w:sz w:val="28"/>
          <w:szCs w:val="28"/>
          <w:lang w:val="en-US"/>
        </w:rPr>
        <w:t>biasa. Uraian dan paparannya tentang logika dalam buku ini  agaknya khas dan baru. Tujuannya di sini adalah membekali  pembaca dengan sejumlah kaidah logika yang dianggapnya  cukup untuk memahami Filsafat Iluminasi. Ia tidak bermaksud  berperan sebagai guru logika di sini. Karenanya, bahasan  logika dalam Hikmah Al-Isyrāq sangat singkat dan dirumuskan  dalam seperangkat kaidah (dhawābith) yang disajikan di bagian  pertama (al-qism al-awwal) buku ini dengan judul Tentang  Kaidah-Kaidah Berpikir.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Lihat, As-Sawi, At-Tabshirah, hlm. 129-131; dan Ibn Sina,  Al-Isyārāt wa Al-Tanbihāt, disunting oleh Mahmud Syahabi,  (Tehran: Tehran University Press, 1339/1960), hlm. 1,  "Tentang Kaidah-kaidah Berpikir", Suhrawardi yang termuat  dalam bagian pertama Hikmah Al-Isyrāq, meliputi kaidah-  kaidah yang menyingkap tidak hanya logika formal, melainkan    Logika dalam Filsafat Iluminasi  juga sanggahan-sanggahan sofistik, psikologi, dan fisika.</w:t>
      </w:r>
    </w:p>
    <w:p>
      <w:pPr>
        <w:pStyle w:val="BookText"/>
        <w:bidi w:val="0"/>
        <w:jc w:val="both"/>
        <w:rPr/>
      </w:pPr>
      <w:r>
        <w:rPr>
          <w:rFonts w:eastAsia="Times New Roman" w:cs="Times New Roman" w:ascii="Times New Roman" w:hAnsi="Times New Roman"/>
          <w:color w:val="111111"/>
          <w:sz w:val="28"/>
          <w:szCs w:val="28"/>
          <w:lang w:val="en-US"/>
        </w:rPr>
        <w:t>Pandangan “yang diperluas” tentang kaidah-kaidah berpikir  penting ini termasuk di antara sifat-sifat khas metodologi dan  struktur Filsafat Iluminasi.</w:t>
      </w:r>
    </w:p>
    <w:p>
      <w:pPr>
        <w:pStyle w:val="BookText"/>
        <w:bidi w:val="0"/>
        <w:jc w:val="both"/>
        <w:rPr/>
      </w:pPr>
      <w:r>
        <w:rPr>
          <w:rFonts w:eastAsia="Times New Roman" w:cs="Times New Roman" w:ascii="Times New Roman" w:hAnsi="Times New Roman"/>
          <w:color w:val="111111"/>
          <w:sz w:val="28"/>
          <w:szCs w:val="28"/>
          <w:lang w:val="en-US"/>
        </w:rPr>
        <w:t>Hakikat logika yang dirumuskan dalam  Hikmah Al-Isyrāq ditunjukkan Suhrawardi,  “Berkenaan dengan alat yang terkenal untuk mengawal  dan melindungi pemikiran dari kesalahan. Di sini,  kami sajikan sekadar uraian ringkas dengan meletakkan  seperangkat kaidah yang berjumlah sedikit, tetapi  amat bermanfaat bagi pengkaji Iluminasi. Barang siapa  membutuhkan kajian secara rinci ilmu ini sebagai alat,  hendaklah ia merujuk karya-karya yang lengkap tentang  subjek ini."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Suhrawardi tidak puas dengan hanya menyatakan  pandangannya kepada pembaca bahwa bahasan logika mestinya  singkat dan berguna bagi filsafat, tetapi lagi-lagi ia menyerang  kaum Peripatetik karena terlibat terlalu jauh dalam logika,  “Kaum Peripatetik tidak perlu merambah terlalu jauh  ke dalam logika; orang bisa melepaskan bahasannya yang  panjang dengan mempelajari apa yang telah kulakukan."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Bahkan dalam bidang logika yang betul-betul dihadapi  Suhrawardi sekalipun, ada beberapa topik yang dianggapnya  tidak relevan dan tidak berhubungan dengan Filsafat Iluminasi.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itu, Suhrawardi seakan-akan ragu untuk melepaskan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logika formal secara keseluruhan dan ingin meyakinkan tidak  perlunya terlibat dalam seluk-beluk persoalan logika formal,  maka pembacanya pun sadar ihwal penguasaan Suhrawardi  dalam subjek ini,  “Kami menyebut konversi silogisme (al-‘aks), negasi  (at-tanāqudh), dan lain-lain hanya untuk memperkenalkan  apa semuanya itu, karena kami tidak membutuhkannya  dalam kajian selanjutnya."</w:t>
      </w:r>
      <w:r>
        <w:rPr>
          <w:rStyle w:val="FootnoteAnchor"/>
        </w:rPr>
        <w:footnoteReference w:id="92"/>
      </w:r>
      <w:r>
        <w:rPr>
          <w:rFonts w:eastAsia="Times New Roman" w:cs="Times New Roman" w:ascii="Times New Roman" w:hAnsi="Times New Roman"/>
          <w:color w:val="111111"/>
          <w:sz w:val="28"/>
          <w:szCs w:val="28"/>
          <w:lang w:val="en-US"/>
        </w:rPr>
        <w:t xml:space="preserve"> Memang benar bahwa Suhrawardi punya pandangan  pragmatis tentang logika dan hanya tertarik menyuguhi  pembacanya dengan seperangkat kaidah sesingkat mungkin,  yang dapat menunjukkan kegunaannya. Meskipun begitu,  terlepas dari yang dikatakannya, ada beberapa bidang  tertentu logika di mana Suhrawardi secara saksama dan rinci  berseberangan dengan kaum Peripatetik. Suhrawardi berusaha  membuktikan kekeliruan mereka dan merumuskan pandangan  alternatifnya. Pertama, Suhrawardi menekankan berbagai  problem berkenaan dengan “sanggahan-sanggahan Sofistik (al-  Mughālathah)". Ia menegaskan alasannya,  “Kami sudah mengemukakan sekadar ikhtisar  ringkas tentang logika dalam buku ini (Hikmah Al-  Isyrāq), dengan mengandalkan karya-karya yang disusun  dalam bidang logika ini. Kebanyakan karya yang kami  kaji berkaitan dengan 'sanggahan-sanggahan sufistik'  untuk memberikan peringatan kepada murid karena  ia cenderung akan lebih banyak menemukan sekian  kekeliruan dan kesalahan ketimbang kebenaran dalam  bukti-bukti dari berbagai macam orang."</w:t>
      </w:r>
      <w:r>
        <w:rPr>
          <w:rStyle w:val="FootnoteAnchor"/>
        </w:rPr>
        <w:footnoteReference w:id="93"/>
      </w:r>
      <w:r>
        <w:rPr>
          <w:rFonts w:eastAsia="Times New Roman" w:cs="Times New Roman" w:ascii="Times New Roman" w:hAnsi="Times New Roman"/>
          <w:color w:val="111111"/>
          <w:sz w:val="28"/>
          <w:szCs w:val="28"/>
          <w:lang w:val="en-US"/>
        </w:rPr>
        <w:t xml:space="preserve"> Topik-topik khusus logika yang membuat Suhrawardi </w:t>
      </w:r>
    </w:p>
    <w:p>
      <w:pPr>
        <w:pStyle w:val="BookText"/>
        <w:bidi w:val="0"/>
        <w:rPr/>
      </w:pPr>
      <w:r>
        <w:rPr>
          <w:rFonts w:eastAsia="Times New Roman" w:cs="Times New Roman" w:ascii="Times New Roman" w:hAnsi="Times New Roman"/>
          <w:color w:val="111111"/>
          <w:sz w:val="28"/>
          <w:szCs w:val="28"/>
          <w:lang w:val="en-US"/>
        </w:rPr>
        <w:t>berseberangan dengan kaum Peripatetik diberi judul-judul khas,  seperti Dalil Iluminasi (Qāʻidah Isyrāqiyyah), Kearifan Iluminasi  (Hikmah Isyrāqiyyah), dan Klarifikasi Iluminasi (Daqiqah  Isyrāqiyyah). Topik-topik ini meliputi: problem definisi, reduksi  semua proposisi menjadi satu bentuk khusus proposisi modal  yang berulang-ulang, teori andaian atau anggapan, negasi dan  kuantifikasi dalam negasi, serta reduksi kerangka silogisme  kedua dan ketiga menjadi kerangka pertama. Topik-topik ini juga  memuat problem-problem logika paling penting, sebagaimana  dikembangkan oleh Suhrawardi dalam Filsafat Iluminasinya.</w:t>
      </w:r>
    </w:p>
    <w:p>
      <w:pPr>
        <w:pStyle w:val="BookText"/>
        <w:bidi w:val="0"/>
        <w:jc w:val="both"/>
        <w:rPr/>
      </w:pPr>
      <w:r>
        <w:rPr>
          <w:rFonts w:eastAsia="Times New Roman" w:cs="Times New Roman" w:ascii="Times New Roman" w:hAnsi="Times New Roman"/>
          <w:color w:val="111111"/>
          <w:sz w:val="28"/>
          <w:szCs w:val="28"/>
          <w:lang w:val="en-US"/>
        </w:rPr>
        <w:t>Semuanya berpijak pada prinsip-prinsip yang berbeda dari  standar logika Aristoteles waktu itu, dan layak dikaji atau  ditelaah secara cermat bukan hanya dari perspektif Filsafat  Iluminasinya, melainkan juga dari sudut pandang luas sejarah  logika. Topik paling penting dari semuanya itu adalah definisi.</w:t>
      </w:r>
    </w:p>
    <w:p>
      <w:pPr>
        <w:pStyle w:val="BookText"/>
        <w:bidi w:val="0"/>
        <w:jc w:val="both"/>
        <w:rPr/>
      </w:pPr>
      <w:r>
        <w:rPr>
          <w:rFonts w:eastAsia="Times New Roman" w:cs="Times New Roman" w:ascii="Times New Roman" w:hAnsi="Times New Roman"/>
          <w:color w:val="111111"/>
          <w:sz w:val="28"/>
          <w:szCs w:val="28"/>
          <w:lang w:val="en-US"/>
        </w:rPr>
        <w:t>Suhrawardi tidak hanya berusaha memunculkan kaidah formal  yang mengatur definisi yang berbeda dari yang digunakan  kaum Peripatetik, tetapi bahasan definisinya juga merupakan  komponen dasar dari teori Iluminasinya tentang pengetahuan.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Kritik Suhrawardi atas kaidah-kaidah formal definisi Peripatetik  dan penggunaannya dalam ilmu adalah perbedaan paling  substansial di antara logikanya, logika mereka, dan menunjukkan  pandangan yang secara esensial berbeda tentang dasar-dasar  logika dan epistemologi filsafat. Kami akan membahas secara  ekstensif problem definisi ini dalam bab-bab mendatang. Topik-  topik lain yang disebutkan di atas lebih berkenaan dengan  modifikasi kaidah-kaidah formal logika dan kurang memberikan  signifikansi metodologis langsung kepada rekonstruksi Filsafat  Iluminasi. </w:t>
      </w:r>
      <w:bookmarkStart w:id="95" w:name="pg6442_57329"/>
    </w:p>
    <w:p>
      <w:pPr>
        <w:pStyle w:val="Heading3"/>
        <w:numPr>
          <w:ilvl w:val="2"/>
          <w:numId w:val="1"/>
        </w:numPr>
        <w:bidi w:val="0"/>
        <w:jc w:val="left"/>
        <w:rPr/>
      </w:pPr>
      <w:bookmarkStart w:id="96" w:name="__RefHeading___Toc924638_653776707"/>
      <w:bookmarkStart w:id="97" w:name="_Toc32"/>
      <w:bookmarkEnd w:id="95"/>
      <w:bookmarkEnd w:id="96"/>
      <w:r>
        <w:rPr/>
        <w:t>3. SINOPSIS STRUKTUR LOGIKA SUHRAWARDI</w:t>
      </w:r>
      <w:bookmarkEnd w:id="97"/>
    </w:p>
    <w:p>
      <w:pPr>
        <w:pStyle w:val="Heading4"/>
        <w:numPr>
          <w:ilvl w:val="3"/>
          <w:numId w:val="1"/>
        </w:numPr>
        <w:bidi w:val="0"/>
        <w:jc w:val="left"/>
        <w:rPr/>
      </w:pPr>
      <w:bookmarkStart w:id="98" w:name="__RefHeading___Toc924640_653776707"/>
      <w:bookmarkStart w:id="99" w:name="_Toc33"/>
      <w:bookmarkEnd w:id="98"/>
      <w:r>
        <w:rPr/>
        <w:t>Point</w:t>
      </w:r>
      <w:bookmarkEnd w:id="99"/>
    </w:p>
    <w:p>
      <w:pPr>
        <w:pStyle w:val="BookText"/>
        <w:bidi w:val="0"/>
        <w:jc w:val="both"/>
        <w:rPr/>
      </w:pPr>
      <w:r>
        <w:rPr>
          <w:rFonts w:eastAsia="Times New Roman" w:cs="Times New Roman" w:ascii="Times New Roman" w:hAnsi="Times New Roman"/>
          <w:color w:val="111111"/>
          <w:sz w:val="28"/>
          <w:szCs w:val="28"/>
          <w:lang w:val="en-US"/>
        </w:rPr>
        <w:t>Sejak awal kajian dan telaah kita atas logika Suhrawardi,  kita amati bahwa struktur logikanya berbeda dari struktur logika  Peripatetik yang diturunkan dari sembilan buku tradisional,  Organon. Tujuan kita di sini adalah menunjukkan perbedaan ini.</w:t>
      </w:r>
    </w:p>
    <w:p>
      <w:pPr>
        <w:pStyle w:val="BookText"/>
        <w:bidi w:val="0"/>
        <w:jc w:val="both"/>
        <w:rPr/>
      </w:pPr>
      <w:r>
        <w:rPr>
          <w:rFonts w:eastAsia="Times New Roman" w:cs="Times New Roman" w:ascii="Times New Roman" w:hAnsi="Times New Roman"/>
          <w:color w:val="111111"/>
          <w:sz w:val="28"/>
          <w:szCs w:val="28"/>
          <w:lang w:val="en-US"/>
        </w:rPr>
        <w:t>Diharapkan dengan melanjutkan kajian, kita bisa memastikan  alasan-alasan Suhrawardi menyusun kembali struktur yang ada  dan menunjukkan berbagai karakteristik penting dari struktur  “baru” juga.</w:t>
      </w:r>
    </w:p>
    <w:p>
      <w:pPr>
        <w:pStyle w:val="BookText"/>
        <w:bidi w:val="0"/>
        <w:jc w:val="both"/>
        <w:rPr/>
      </w:pPr>
      <w:r>
        <w:rPr>
          <w:rFonts w:eastAsia="Times New Roman" w:cs="Times New Roman" w:ascii="Times New Roman" w:hAnsi="Times New Roman"/>
          <w:color w:val="111111"/>
          <w:sz w:val="28"/>
          <w:szCs w:val="28"/>
          <w:lang w:val="en-US"/>
        </w:rPr>
        <w:t>Sembilan buku yang membentuk Organon muncul  dalam karya Ibn Sina, Asy-Syifā', dalam urutan berikut ini:</w:t>
      </w:r>
    </w:p>
    <w:p>
      <w:pPr>
        <w:pStyle w:val="BookText"/>
        <w:bidi w:val="0"/>
        <w:jc w:val="both"/>
        <w:rPr/>
      </w:pPr>
      <w:r>
        <w:rPr>
          <w:rFonts w:eastAsia="Times New Roman" w:cs="Times New Roman" w:ascii="Times New Roman" w:hAnsi="Times New Roman"/>
          <w:color w:val="111111"/>
          <w:sz w:val="28"/>
          <w:szCs w:val="28"/>
          <w:lang w:val="en-US"/>
        </w:rPr>
        <w:t>Pendahuluan (Al-Madkhal), Kategori-kategori (Al-Ma'qūlāt),  Tentang Interpretasi (Fi Al-'Ibārah), Qiyas (Al-Qiyās), Bukti (Al-  Burhān), Topik-Topik (Al-Jadal), Sanggahan-Sanggahan Sofistik  (Al-Mughalathāt), Retorika (Al-Khithābah), serta Puisi (Asy-  Syi'r). Perbedaan urutan yang paling nyata antara Organon dan  Struktur Karya-karya Logika Suhrawardi adalah tidak adanya  buku Al-Maʻqūlāt dalam karya Suhrawardi. Barangkali, alasan  untuk hal ini adalah Suhrawardi menganggap kategori-kategori itu  sebagai bagian dari materi fisika atau metafisika, dan konon ini  bersesuaian dengan teori kategori-kategori dari aliran Stoa.</w:t>
      </w:r>
      <w:r>
        <w:rPr>
          <w:rStyle w:val="FootnoteAnchor"/>
        </w:rPr>
        <w:footnoteReference w:id="94"/>
      </w:r>
      <w:r>
        <w:rPr>
          <w:rFonts w:eastAsia="Times New Roman" w:cs="Times New Roman" w:ascii="Times New Roman" w:hAnsi="Times New Roman"/>
          <w:color w:val="111111"/>
          <w:sz w:val="28"/>
          <w:szCs w:val="28"/>
          <w:lang w:val="en-US"/>
        </w:rPr>
        <w:t xml:space="preserve"> Juga, tidak ada buku tersendiri tentang Al-Jadal, Al-Khithābah  dan Asy-Syi's. Sekalipun demikian, Suhrawardi mengkaji dan  menelaah pokok bahasannya meski sangat ringkas, dan hanya  sebagai lampiran singkat bagi bahasan tentang problem-  problem logika yang berkaitan dengan Al-Qiyās.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Karakteristik umum kedua karya logika Suhrawardi adalah  perbedaan yang tampak di antara struktur masing-masing dalam  jumlah bab, bagian, dan “buku-buku". Akan tetapi, ada maksud </w:t>
      </w:r>
      <w:bookmarkStart w:id="100" w:name="pg6442_57330"/>
    </w:p>
    <w:p>
      <w:pPr>
        <w:pStyle w:val="BookText"/>
        <w:bidi w:val="0"/>
        <w:rPr/>
      </w:pPr>
      <w:bookmarkEnd w:id="100"/>
      <w:r>
        <w:rPr>
          <w:rFonts w:eastAsia="Times New Roman" w:cs="Times New Roman" w:ascii="Times New Roman" w:hAnsi="Times New Roman"/>
          <w:color w:val="111111"/>
          <w:sz w:val="28"/>
          <w:szCs w:val="28"/>
          <w:lang w:val="en-US"/>
        </w:rPr>
        <w:t>dibaliknya yang melatari penggunaan logika dalam setiap karya dan  ada sejumlah problem logika yang dibahas secara konsisten  dalam seluruh karya utamanya. Perbedaannya hanya terletak  pada penekanan dan ruang lingkupnya saja. Perbedaan yang  jelas, didefinisikan dan dirumuskan dengan baik mengenai  problem-problem khusus dalam logika Peripatetik dikemukakan  dalam Hikmah Al-Isyrāq, sementara rincian lengkapnya hanya  dilakukan dalam Al-Masyāri' wa Al-Muthārahāt. Sekarang, mari  kita kaji struktur masing-masing karya ini.</w:t>
      </w:r>
    </w:p>
    <w:p>
      <w:pPr>
        <w:pStyle w:val="Heading4"/>
        <w:numPr>
          <w:ilvl w:val="3"/>
          <w:numId w:val="1"/>
        </w:numPr>
        <w:bidi w:val="0"/>
        <w:jc w:val="left"/>
        <w:rPr/>
      </w:pPr>
      <w:bookmarkStart w:id="101" w:name="__RefHeading___Toc924642_653776707"/>
      <w:bookmarkStart w:id="102" w:name="_Toc34"/>
      <w:bookmarkEnd w:id="101"/>
      <w:r>
        <w:rPr/>
        <w:t>3.1. Struktur Logika dalam At-Talwīhāt</w:t>
      </w:r>
      <w:bookmarkEnd w:id="102"/>
    </w:p>
    <w:p>
      <w:pPr>
        <w:pStyle w:val="BookText"/>
        <w:bidi w:val="0"/>
        <w:jc w:val="both"/>
        <w:rPr/>
      </w:pPr>
      <w:r>
        <w:rPr>
          <w:rFonts w:eastAsia="Times New Roman" w:cs="Times New Roman" w:ascii="Times New Roman" w:hAnsi="Times New Roman"/>
          <w:color w:val="111111"/>
          <w:sz w:val="28"/>
          <w:szCs w:val="28"/>
          <w:lang w:val="en-US"/>
        </w:rPr>
        <w:t>Logika dalam At-Talwīhāt dibagi menjadi enam bab,  yang masing-masing disebut “Observasi” (Marshad). Bab kesatu  berjudul Tentang Al-Madkhal dan memuat sepuluh bagian yang  masing-masing disebut "Intimasi" (Talwih). Bab ini hampir  menyerupai karya Ibn Sina, Asy-Syifā': Al-Madkhal.</w:t>
      </w:r>
      <w:r>
        <w:rPr>
          <w:rStyle w:val="FootnoteAnchor"/>
        </w:rPr>
        <w:footnoteReference w:id="95"/>
      </w:r>
      <w:r>
        <w:rPr>
          <w:rFonts w:eastAsia="Times New Roman" w:cs="Times New Roman" w:ascii="Times New Roman" w:hAnsi="Times New Roman"/>
          <w:color w:val="111111"/>
          <w:sz w:val="28"/>
          <w:szCs w:val="28"/>
          <w:lang w:val="en-US"/>
        </w:rPr>
        <w:t xml:space="preserve"> Bab kedua berjudul Tentang Proposisi-Proposisi Penjelas  dan menjadi bab terpendek dalam buku ini, memuat hanya  tiga bagian.</w:t>
      </w:r>
      <w:r>
        <w:rPr>
          <w:rStyle w:val="FootnoteAnchor"/>
        </w:rPr>
        <w:footnoteReference w:id="96"/>
      </w:r>
      <w:r>
        <w:rPr>
          <w:rFonts w:eastAsia="Times New Roman" w:cs="Times New Roman" w:ascii="Times New Roman" w:hAnsi="Times New Roman"/>
          <w:color w:val="111111"/>
          <w:sz w:val="28"/>
          <w:szCs w:val="28"/>
          <w:lang w:val="en-US"/>
        </w:rPr>
        <w:t>Dalam bab ini, Suhrawardi membahas definisi  (hadd), deskripsi (rasm), dan kaidah-kaidah yang mengaturnya.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Subjek-subjek ini biasanya dipandang sebagai bagian dari  materi Al-Burhān (misalnya, Asy-Syifā': Tentang Demonstrasi  IV, terutama hlm. 2-7); Al-Jadal (misalnya, Asy-Syifā': Al-Jadal,  V). Oleh karenanya, tempat yang digunakan Suhrawardi untuk  membahas problem-problem ini tidak sama dengan struktur  tradisional Organon kaum Peripatetik. Alasan-alasan perubahan  susunan struktur tradisional ini cukup penting, konsisten  dengan apa yang ditekankan oleh Suhrawardi berkenaan dengan  reduksi seluruh logika menjadi proposisi-proposisi penjelas, </w:t>
      </w:r>
    </w:p>
    <w:p>
      <w:pPr>
        <w:pStyle w:val="BookText"/>
        <w:bidi w:val="0"/>
        <w:rPr/>
      </w:pPr>
      <w:r>
        <w:rPr>
          <w:rFonts w:eastAsia="Times New Roman" w:cs="Times New Roman" w:ascii="Times New Roman" w:hAnsi="Times New Roman"/>
          <w:color w:val="111111"/>
          <w:sz w:val="28"/>
          <w:szCs w:val="28"/>
          <w:lang w:val="en-US"/>
        </w:rPr>
        <w:t>yang mencakup definisi, deskripsi, dan bukti-bukti. Ini meliputi  lebih banyak pokok bahasan ketimbang yang ada dalam Al-  Burhān. Karena itu, definisi dan deskripsi pun masuk dalam  teori Semantik Suhrawardi dan termuat dalam teorinya tentang  bukti.</w:t>
      </w:r>
      <w:r>
        <w:rPr>
          <w:rStyle w:val="FootnoteAnchor"/>
        </w:rPr>
        <w:footnoteReference w:id="97"/>
      </w:r>
      <w:r>
        <w:rPr>
          <w:rFonts w:eastAsia="Times New Roman" w:cs="Times New Roman" w:ascii="Times New Roman" w:hAnsi="Times New Roman"/>
          <w:color w:val="111111"/>
          <w:sz w:val="28"/>
          <w:szCs w:val="28"/>
          <w:lang w:val="en-US"/>
        </w:rPr>
        <w:t>Preseden terpenting, memasukkan bahasan definisi dan  deskripsi ke dalam semantik dan bukan dalam materi logika  ditemukan dalam karya ‘Umar bin Sahlan As-Sawiyang berjudul  At-Tabshirah dan juga karya Abu Al-Barakat Al-Baghdadi yang  berjudul Al-Mu'tabar. Sikap "baru" terhadap pokok-bahasan  dan struktur logika ini diikuti dengan setia oleh Suhrawardi  dalam seluruh karyanya tentang logika dan menjadi ciri khas  logika Iluminasi.</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Bab ketiga berjudul Tentang Komposisi Enunsiatif (Fi at-  Tarkib Al-Khabari), memuat empat bagian, dan satu kaidah  (dhābith).</w:t>
      </w:r>
      <w:r>
        <w:rPr>
          <w:rStyle w:val="FootnoteAnchor"/>
        </w:rPr>
        <w:footnoteReference w:id="98"/>
      </w:r>
      <w:r>
        <w:rPr>
          <w:rFonts w:eastAsia="Times New Roman" w:cs="Times New Roman" w:ascii="Times New Roman" w:hAnsi="Times New Roman"/>
          <w:color w:val="111111"/>
          <w:sz w:val="28"/>
          <w:szCs w:val="28"/>
          <w:lang w:val="en-US"/>
        </w:rPr>
        <w:t>Bab ini merupakan uraian ringkas dan pilihan dari  Fi Al-ʻlbārah (misalnya, Asy-Syifā': Fi Al-'Ibārah I, terutama  hlm. 6-10). Salah satu aspek terpenting dalam bab ini adalah  penggunaan istilah Arab dan Persia oleh Suhrawardi ketika  membahas kaidah-kaidah logika yang digeneralisasikan.</w:t>
      </w:r>
      <w:r>
        <w:rPr>
          <w:rStyle w:val="FootnoteAnchor"/>
        </w:rPr>
        <w:footnoteReference w:id="99"/>
      </w:r>
      <w:r>
        <w:rPr>
          <w:rFonts w:eastAsia="Times New Roman" w:cs="Times New Roman" w:ascii="Times New Roman" w:hAnsi="Times New Roman"/>
          <w:color w:val="111111"/>
          <w:sz w:val="28"/>
          <w:szCs w:val="28"/>
          <w:lang w:val="en-US"/>
        </w:rPr>
        <w:t xml:space="preserve"> Bab keempat berjudul Tentang Modalitas dalam Proposisi-  Proposisi (Fi Jihāt Al-Qadhāyā) yang memuat lima bagian. Pokok  bahasan dalam bab ini, terdiri dari problem-problem pilihan  dari Fi Al-'Ibārah (bagian 3-5, sama dengan Asy-Syifā': Al-Qiyās  1, hlm. 4). Bab ini juga terlihat meninggalkan struktur tradisional  Organon. Suhrawardi memberikan penekanan khusus pada  proposisi-proposisi modalitas (bagian 1-7), dan membahas  problem-problem yang berhubungan dengan proposisi-  proposisi seperti kontradiksi (At-Tanāqudh, bagian 4), serta  konversi proposisi (Al-'aks, bagian 5) di bab yang sama. </w:t>
      </w:r>
    </w:p>
    <w:p>
      <w:pPr>
        <w:pStyle w:val="BookText"/>
        <w:bidi w:val="0"/>
        <w:rPr/>
      </w:pPr>
      <w:r>
        <w:rPr>
          <w:rFonts w:eastAsia="Times New Roman" w:cs="Times New Roman" w:ascii="Times New Roman" w:hAnsi="Times New Roman"/>
          <w:color w:val="111111"/>
          <w:sz w:val="28"/>
          <w:szCs w:val="28"/>
          <w:lang w:val="en-US"/>
        </w:rPr>
        <w:t>Bab kelima berjudul Tentang Komposisi Bukti-Bukti (Fi  Tarkib Al-Hujaj) dan terdiri atas tiga bagian yang masing-masing  disebut “pijakan" (mathla“).</w:t>
      </w:r>
      <w:r>
        <w:rPr>
          <w:rStyle w:val="FootnoteAnchor"/>
        </w:rPr>
        <w:footnoteReference w:id="100"/>
      </w:r>
      <w:r>
        <w:rPr>
          <w:rFonts w:eastAsia="Times New Roman" w:cs="Times New Roman" w:ascii="Times New Roman" w:hAnsi="Times New Roman"/>
          <w:color w:val="111111"/>
          <w:sz w:val="28"/>
          <w:szCs w:val="28"/>
          <w:lang w:val="en-US"/>
        </w:rPr>
        <w:t>Bagian pertama, memuat sepuluh  bagian, merupakan uraian singkat dan pilihan dari Al-Qiyās.</w:t>
      </w:r>
    </w:p>
    <w:p>
      <w:pPr>
        <w:pStyle w:val="BookText"/>
        <w:bidi w:val="0"/>
        <w:jc w:val="both"/>
        <w:rPr/>
      </w:pPr>
      <w:r>
        <w:rPr>
          <w:rFonts w:eastAsia="Times New Roman" w:cs="Times New Roman" w:ascii="Times New Roman" w:hAnsi="Times New Roman"/>
          <w:color w:val="111111"/>
          <w:sz w:val="28"/>
          <w:szCs w:val="28"/>
          <w:lang w:val="en-US"/>
        </w:rPr>
        <w:t>Perbedaannya, terletak pada bahasan Suhrawardi tentang  topik-topik khusus yang berhubungan dengan premis-premis  dan metode-metode, seperti induksi (al-istiqrā'),</w:t>
      </w:r>
      <w:r>
        <w:rPr>
          <w:rStyle w:val="FootnoteAnchor"/>
        </w:rPr>
        <w:footnoteReference w:id="101"/>
      </w:r>
      <w:r>
        <w:rPr>
          <w:rFonts w:eastAsia="Times New Roman" w:cs="Times New Roman" w:ascii="Times New Roman" w:hAnsi="Times New Roman"/>
          <w:color w:val="111111"/>
          <w:sz w:val="28"/>
          <w:szCs w:val="28"/>
          <w:lang w:val="en-US"/>
        </w:rPr>
        <w:t>analogi  (at-tamtsil), entimem (qiyās adh-dhamir),</w:t>
      </w:r>
      <w:r>
        <w:rPr>
          <w:rStyle w:val="FootnoteAnchor"/>
        </w:rPr>
        <w:footnoteReference w:id="102"/>
      </w:r>
      <w:r>
        <w:rPr>
          <w:rFonts w:eastAsia="Times New Roman" w:cs="Times New Roman" w:ascii="Times New Roman" w:hAnsi="Times New Roman"/>
          <w:color w:val="111111"/>
          <w:sz w:val="28"/>
          <w:szCs w:val="28"/>
          <w:lang w:val="en-US"/>
        </w:rPr>
        <w:t>serta pembagian  (al-qismah) yang dibahas dalam sub bagian dua dan tiga. Dalam  bagian dua, Suhrawardi juga menyebutkan jenis inferensi atau  kesimpulan khusus yang disebutnya sebagai “firāsat” (firāsah).</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Manthiq, hlm. 69), adalah mungkin bahwa firāsah dan hads  merupakan varian-varian dari áyxívoía Aristoteles yang dapat  diterjemahkan dengan sifat “cepat mengerti", (misalnya, Eth    Nie. 114266: An. Post. 89b10), mempunyai pengertian “kehati-  hatian", dan juga “pandangan". Yang penting adalah konsep-  konsep semisal pandangan, kehati-hatian, dan sebagainya,  semuanya berkaitan dengan bentuk khusus inferensi yang  subjeknya mungkin sampai pada kesimpulan tanpa melalui  langkah-langkah inferensi. Bentuk inferensi ini kadang-kadang  terbentuk berdasarkan konsepsi terma minor.</w:t>
      </w:r>
    </w:p>
    <w:p>
      <w:pPr>
        <w:pStyle w:val="BookText"/>
        <w:bidi w:val="0"/>
        <w:jc w:val="both"/>
        <w:rPr/>
      </w:pPr>
      <w:r>
        <w:rPr>
          <w:rFonts w:eastAsia="Times New Roman" w:cs="Times New Roman" w:ascii="Times New Roman" w:hAnsi="Times New Roman"/>
          <w:color w:val="111111"/>
          <w:sz w:val="28"/>
          <w:szCs w:val="28"/>
          <w:lang w:val="en-US"/>
        </w:rPr>
        <w:t>Dengan membagi Al-Qiyās tradisional menjadi tiga bagian  seperti itu, Suhrawardi membedakan kaidah-kaidah formal yang  mengatur silogisme (Bagian I, bandingkan Asy-Syifā': Al-Qiyās,  I, hlm. 1-19); metode-metode induktif yang digunakan untuk  memperoleh materi (māddah) silogisme (Bagian 2, bandingkan  Asy-Syifā': al-Qiyās, IX, hlm. 20-22), dan logika material yang  disebutnya sebagai “proposisi-proposisi yang merupakan  materi silogisme” (Bagian 3, bandingkan Asy-Syifā': Al-Qiyās,  IX; Al-Burhān, II, hlm. 3 dan 9), yang satu sama lain dengan gaya  baru. Pembagian baru ini tampaknya milik Suhrawardi, yang  juga memungkinkannya membahas dialektika, retorika, dan  puisi secara sangat singkat sebagai bagian khusus dari logika  materiel.</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At-Talwihāt: Manthiq V, hlm. 3, yakni komponen  logika materiel Al-Qiyās, Suhrawardi membedakan tujuh  kelompok premis yang berfungsi sebagai materi silogisme. </w:t>
      </w:r>
      <w:r>
        <w:rPr>
          <w:rStyle w:val="FootnoteAnchor"/>
        </w:rPr>
        <w:footnoteReference w:id="104"/>
      </w:r>
      <w:r>
        <w:rPr>
          <w:rFonts w:eastAsia="Times New Roman" w:cs="Times New Roman" w:ascii="Times New Roman" w:hAnsi="Times New Roman"/>
          <w:color w:val="111111"/>
          <w:sz w:val="28"/>
          <w:szCs w:val="28"/>
          <w:lang w:val="en-US"/>
        </w:rPr>
        <w:t xml:space="preserve"> Kelompok pertama, terdiri dari enam premis: premis-premis  utama (al-awwaliyāt), premis-premis teramati (al-musyāhadāt), </w:t>
      </w:r>
    </w:p>
    <w:p>
      <w:pPr>
        <w:pStyle w:val="BookText"/>
        <w:bidi w:val="0"/>
        <w:rPr/>
      </w:pPr>
      <w:r>
        <w:rPr>
          <w:rFonts w:eastAsia="Times New Roman" w:cs="Times New Roman" w:ascii="Times New Roman" w:hAnsi="Times New Roman"/>
          <w:color w:val="111111"/>
          <w:sz w:val="28"/>
          <w:szCs w:val="28"/>
          <w:lang w:val="en-US"/>
        </w:rPr>
        <w:t>premis-premis empiris (al-mujarrabāt), premis-premis intuitif  (al-hadsiyyāt), premis-premis berulang (al-mutawātirāt), serta  premis-premis yang tersirat dalam konsepsi sesuatu. “Hanya  premis-premis ini yang mesti diterima," kata Suhrawardi.</w:t>
      </w:r>
    </w:p>
    <w:p>
      <w:pPr>
        <w:pStyle w:val="BookText"/>
        <w:bidi w:val="0"/>
        <w:jc w:val="both"/>
        <w:rPr/>
      </w:pPr>
      <w:r>
        <w:rPr>
          <w:rFonts w:eastAsia="Times New Roman" w:cs="Times New Roman" w:ascii="Times New Roman" w:hAnsi="Times New Roman"/>
          <w:color w:val="111111"/>
          <w:sz w:val="28"/>
          <w:szCs w:val="28"/>
          <w:lang w:val="en-US"/>
        </w:rPr>
        <w:t xml:space="preserve">Sebab, hanya premis-premis itu saja yang melahirkan keyakinan  (al-yaqin) dalam konstruksi ilmu-ilmu hakiki (al-'ulüm al-  haqiqiyyah). Kelompok premis kedua disebut premis-premis  yang diakui (al-masyhūrāt); kelompok ketiga disebut premis-  premis khayal (al-wahmiyyāt); kelompok keempat disebut  premis-premis yang diambil (al-ma’khūdzāt), yang memuat  premis-premis yang diterima (al-maqbūlāt) dan premis-  premis yang ditetapkan (at-taqrīrāt); kelompok kelima disebut  premis-premis yang dianggap benar (al-mazhnūnāt); kelompok  keenam disebut premis-premis yang hanya tampak benar (al-  musyabbahāt). </w:t>
      </w:r>
      <w:r>
        <w:rPr>
          <w:rStyle w:val="FootnoteAnchor"/>
        </w:rPr>
        <w:footnoteReference w:id="105"/>
      </w:r>
      <w:r>
        <w:rPr>
          <w:rFonts w:eastAsia="Times New Roman" w:cs="Times New Roman" w:ascii="Times New Roman" w:hAnsi="Times New Roman"/>
          <w:color w:val="111111"/>
          <w:sz w:val="28"/>
          <w:szCs w:val="28"/>
          <w:lang w:val="en-US"/>
        </w:rPr>
        <w:t xml:space="preserve">Setelah membahas premis-premis tersebut secara  rinci, Suhrawardi kemudian mendefinisikan dialektika, retorika,  dan puisi sebagai jenis-jenis argumen yang menggunakan bentuk-  bentuk silogisme, tetapi dengan premis-premis jenis khusus yang  berfungsi sebagai materinya. Menurutnya, “materi" argumen-  argumen dialektis terdiri dari premis-premis yang ditentukan dan  atau premis-premis yang dapat diterima; sedangkan “materi"  argumen-argumen puitis terdiri dari premis-premis khayal. </w:t>
      </w:r>
      <w:r>
        <w:rPr>
          <w:rStyle w:val="FootnoteAnchor"/>
        </w:rPr>
        <w:footnoteReference w:id="106"/>
      </w:r>
      <w:r>
        <w:rPr>
          <w:rFonts w:eastAsia="Times New Roman" w:cs="Times New Roman" w:ascii="Times New Roman" w:hAnsi="Times New Roman"/>
          <w:color w:val="111111"/>
          <w:sz w:val="28"/>
          <w:szCs w:val="28"/>
          <w:lang w:val="en-US"/>
        </w:rPr>
        <w:t xml:space="preserve"> Bab keenam berjudul Tentang Demonstrasi, Syarat-Syaratnya,  Hubungannya dengan Definisi, Sanggahan-Sanggahan Sufistik,  dan Kaidah-Kaidah, terdiri dari enam bagian.</w:t>
      </w:r>
      <w:r>
        <w:rPr>
          <w:rStyle w:val="FootnoteAnchor"/>
        </w:rPr>
        <w:footnoteReference w:id="107"/>
      </w:r>
      <w:r>
        <w:rPr>
          <w:rFonts w:eastAsia="Times New Roman" w:cs="Times New Roman" w:ascii="Times New Roman" w:hAnsi="Times New Roman"/>
          <w:color w:val="111111"/>
          <w:sz w:val="28"/>
          <w:szCs w:val="28"/>
          <w:lang w:val="en-US"/>
        </w:rPr>
        <w:t>Empat bagian  pertama terdiri dari uraian singkat dan terpilah dari Al-Burhān.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Topik-topik yang dibahas hanya: persoalan-persoalan (al-  mathālib, bagian 1, 7; III, 3);</w:t>
      </w:r>
      <w:r>
        <w:rPr>
          <w:rStyle w:val="FootnoteAnchor"/>
        </w:rPr>
        <w:footnoteReference w:id="108"/>
      </w:r>
      <w:r>
        <w:rPr>
          <w:rFonts w:eastAsia="Times New Roman" w:cs="Times New Roman" w:ascii="Times New Roman" w:hAnsi="Times New Roman"/>
          <w:color w:val="111111"/>
          <w:sz w:val="28"/>
          <w:szCs w:val="28"/>
          <w:lang w:val="en-US"/>
        </w:rPr>
        <w:t xml:space="preserve">berbagai demonstrasi “mengapa"  dan asertoris (burhān lima wa anna, bagian 2; bandingkan Asy- </w:t>
      </w:r>
    </w:p>
    <w:p>
      <w:pPr>
        <w:pStyle w:val="BookText"/>
        <w:bidi w:val="0"/>
        <w:rPr/>
      </w:pPr>
      <w:r>
        <w:rPr>
          <w:rFonts w:eastAsia="Times New Roman" w:cs="Times New Roman" w:ascii="Times New Roman" w:hAnsi="Times New Roman"/>
          <w:color w:val="111111"/>
          <w:sz w:val="28"/>
          <w:szCs w:val="28"/>
          <w:lang w:val="en-US"/>
        </w:rPr>
        <w:t xml:space="preserve">Syifā': Al-Burhān, I, 7; III, 3); </w:t>
      </w:r>
      <w:r>
        <w:rPr>
          <w:rStyle w:val="FootnoteAnchor"/>
        </w:rPr>
        <w:footnoteReference w:id="109"/>
      </w:r>
      <w:r>
        <w:rPr>
          <w:rFonts w:eastAsia="Times New Roman" w:cs="Times New Roman" w:ascii="Times New Roman" w:hAnsi="Times New Roman"/>
          <w:color w:val="111111"/>
          <w:sz w:val="28"/>
          <w:szCs w:val="28"/>
          <w:lang w:val="en-US"/>
        </w:rPr>
        <w:t>pembagian dan syarat-syarat ilmu  (bagian 3; bandingkan Asy-Syifā': Al-Burhān, I, II, hlm. 6-9);</w:t>
      </w:r>
      <w:r>
        <w:rPr>
          <w:rStyle w:val="FootnoteAnchor"/>
        </w:rPr>
        <w:footnoteReference w:id="110"/>
      </w:r>
      <w:r>
        <w:rPr>
          <w:rFonts w:eastAsia="Times New Roman" w:cs="Times New Roman" w:ascii="Times New Roman" w:hAnsi="Times New Roman"/>
          <w:color w:val="111111"/>
          <w:sz w:val="28"/>
          <w:szCs w:val="28"/>
          <w:lang w:val="en-US"/>
        </w:rPr>
        <w:t xml:space="preserve"> dan hubungan antara demostrasi dan definisi (bagian 4; cf.</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Asy-Syifā': Al-Burhān, IV, hlm. 2-7);</w:t>
      </w:r>
      <w:r>
        <w:rPr>
          <w:rStyle w:val="FootnoteAnchor"/>
        </w:rPr>
        <w:footnoteReference w:id="111"/>
      </w:r>
      <w:r>
        <w:rPr>
          <w:rFonts w:eastAsia="Times New Roman" w:cs="Times New Roman" w:ascii="Times New Roman" w:hAnsi="Times New Roman"/>
          <w:color w:val="111111"/>
          <w:sz w:val="28"/>
          <w:szCs w:val="28"/>
          <w:lang w:val="en-US"/>
        </w:rPr>
        <w:t xml:space="preserve">bagian kelima, berkenaan  dengan kesalahan-kesalahan sofistik dalam silogisme, baik  formal maupun materiel, dan memuat suatu uraian sederhana  ihwal beberapa problem sanggahan Sofistik (bandingkan Asy-  Syifā': Al-Mughālathāt, I, 2; II, 3-6). </w:t>
      </w:r>
      <w:r>
        <w:rPr>
          <w:rStyle w:val="FootnoteAnchor"/>
        </w:rPr>
        <w:footnoteReference w:id="112"/>
      </w:r>
      <w:r>
        <w:rPr>
          <w:rFonts w:eastAsia="Times New Roman" w:cs="Times New Roman" w:ascii="Times New Roman" w:hAnsi="Times New Roman"/>
          <w:color w:val="111111"/>
          <w:sz w:val="28"/>
          <w:szCs w:val="28"/>
          <w:lang w:val="en-US"/>
        </w:rPr>
        <w:t>Bagian keenam, berjudul  Tentang Aneka Kaidah, bukanlah bagian dari struktur tradisional  Al-Burhān, juga bukan bagian dari Al-Mughālathāt, melainkan  lampiran untuk logika dalam At-Talwīhāt di mana Suhrawardi  membahas sembilan kaidah yang berhubungan dengan  problem-problem khusus logika. Di bagian ini, pendekatan  non-Peripatetik sangat jelas, dan pembedaan penting yang  dibuat oleh Suhrawardi antara apa yang disebut “Kaidah-kaidah  Arasy" (Adh-Dhawābith Al-'Arsyiyyah) dan “Kaidah-kaidah  Lembaran" (Adh-Dhawābith Al-Lauhiyyah). Dalam komentarnya  atas At-Talwīhāt, Ibn Kammunah mengatakan bahwa barangkali  "Kaidah-Kaidah Arasy" merujuk pada apa yang diperoleh oleh  Suhrawardi melalui spekulasi personal, sementara “Kaidah-  Kaidah Lembaran" merujuk pada apa yang dipelajari Suhrawardi  dari buku-buku.</w:t>
      </w:r>
      <w:r>
        <w:rPr>
          <w:rStyle w:val="FootnoteAnchor"/>
        </w:rPr>
        <w:footnoteReference w:id="113"/>
      </w:r>
      <w:r>
        <w:rPr>
          <w:rFonts w:eastAsia="Times New Roman" w:cs="Times New Roman" w:ascii="Times New Roman" w:hAnsi="Times New Roman"/>
          <w:color w:val="111111"/>
          <w:sz w:val="28"/>
          <w:szCs w:val="28"/>
          <w:lang w:val="en-US"/>
        </w:rPr>
        <w:t xml:space="preserve">Pembedaan ini penting dan digunakan juga  dalam fisika dan metafisika At-Talwīhāt. Secara umum, “Kaidah-  Kaidah Arasy" membahas topik-topik yang sangat penting bagi  Filsafat Iluminasi, dan di bagian logika dalam At-Talwihāt ini,  “Kaidah-Kaidah" Suhrawardi terdiri dari topik-topik yang tidak  sejalan dengan kaum Peripatetik. Kaidah-kaidah itu adalah  sebagai berikut: Kaidah 1, tentang makna umum (atau yang  universal); Kaidah 2, yang universal itu hanya memiliki wujūd </w:t>
      </w:r>
      <w:bookmarkStart w:id="103" w:name="pg6442_57335"/>
    </w:p>
    <w:p>
      <w:pPr>
        <w:pStyle w:val="BookText"/>
        <w:bidi w:val="0"/>
        <w:rPr/>
      </w:pPr>
      <w:bookmarkEnd w:id="103"/>
      <w:r>
        <w:rPr>
          <w:rFonts w:eastAsia="Times New Roman" w:cs="Times New Roman" w:ascii="Times New Roman" w:hAnsi="Times New Roman"/>
          <w:color w:val="111111"/>
          <w:sz w:val="28"/>
          <w:szCs w:val="28"/>
          <w:lang w:val="en-US"/>
        </w:rPr>
        <w:t>dalam pikiran; Kaidah 3, tentang berbagai modalitas;</w:t>
      </w:r>
      <w:r>
        <w:rPr>
          <w:rStyle w:val="FootnoteAnchor"/>
        </w:rPr>
        <w:footnoteReference w:id="114"/>
      </w:r>
      <w:r>
        <w:rPr>
          <w:rFonts w:eastAsia="Times New Roman" w:cs="Times New Roman" w:ascii="Times New Roman" w:hAnsi="Times New Roman"/>
          <w:color w:val="111111"/>
          <w:sz w:val="28"/>
          <w:szCs w:val="28"/>
          <w:lang w:val="en-US"/>
        </w:rPr>
        <w:t>Kaidah  4, tentang hubungan antara dua bagian yang sama dari satu  hal dalam kuantitas; Kaidah 5, tentang kemustahilan dua hal  menjadi satu, kecuali melalui koneksi (ittishāl) dan pemaduan  (imtizāj); Kaidah 6, tentang hubungan satu hal dengan berbagai  hal (al-laulawiyyah);</w:t>
      </w:r>
      <w:r>
        <w:rPr>
          <w:rStyle w:val="FootnoteAnchor"/>
        </w:rPr>
        <w:footnoteReference w:id="115"/>
      </w:r>
      <w:r>
        <w:rPr>
          <w:rFonts w:eastAsia="Times New Roman" w:cs="Times New Roman" w:ascii="Times New Roman" w:hAnsi="Times New Roman"/>
          <w:color w:val="111111"/>
          <w:sz w:val="28"/>
          <w:szCs w:val="28"/>
          <w:lang w:val="en-US"/>
        </w:rPr>
        <w:t>Kaidah 7, tentang anggapan-anggapan  dasar; Kaidah 8, tentang penjelasan bahwa sesuatu yang tidak  ada adalah ketiadaan (“adami); serta Kaidah 9: tentang hubungan  sebab akibat antara dua hal.</w:t>
      </w:r>
      <w:r>
        <w:rPr>
          <w:rStyle w:val="FootnoteAnchor"/>
        </w:rPr>
        <w:footnoteReference w:id="116"/>
      </w:r>
    </w:p>
    <w:p>
      <w:pPr>
        <w:pStyle w:val="Heading4"/>
        <w:numPr>
          <w:ilvl w:val="3"/>
          <w:numId w:val="1"/>
        </w:numPr>
        <w:bidi w:val="0"/>
        <w:jc w:val="left"/>
        <w:rPr/>
      </w:pPr>
      <w:bookmarkStart w:id="104" w:name="__RefHeading___Toc924644_653776707"/>
      <w:bookmarkStart w:id="105" w:name="_Toc35"/>
      <w:bookmarkEnd w:id="104"/>
      <w:r>
        <w:rPr/>
        <w:t>3.2. Struktur Logika dalam Al-Masyāri' wa Al-Muthārahāt</w:t>
      </w:r>
      <w:bookmarkEnd w:id="105"/>
    </w:p>
    <w:p>
      <w:pPr>
        <w:pStyle w:val="BookText"/>
        <w:bidi w:val="0"/>
        <w:jc w:val="both"/>
        <w:rPr/>
      </w:pPr>
      <w:r>
        <w:rPr>
          <w:rFonts w:eastAsia="Times New Roman" w:cs="Times New Roman" w:ascii="Times New Roman" w:hAnsi="Times New Roman"/>
          <w:color w:val="111111"/>
          <w:sz w:val="28"/>
          <w:szCs w:val="28"/>
          <w:lang w:val="en-US"/>
        </w:rPr>
        <w:t>Logika dalam Al-Masyāri' wa Al-Muthārahāt menampilkan  uraian paling ekstensif Suhrawardi tentang logika. Strukturnya  sedikit berbeda dari struktur logika dalam At-Talwihāt, dan  materi yang dikemukakan dan dianalisis pun lebih maju dan  rinci. Di dalamnya, ada sembilan bab (sama dengan enam bab  logika dalam At-Talwīhāt) yang masing-masing disebut jalan  (masyra').</w:t>
      </w:r>
    </w:p>
    <w:p>
      <w:pPr>
        <w:pStyle w:val="BookText"/>
        <w:bidi w:val="0"/>
        <w:jc w:val="both"/>
        <w:rPr/>
      </w:pPr>
      <w:r>
        <w:rPr>
          <w:rFonts w:eastAsia="Times New Roman" w:cs="Times New Roman" w:ascii="Times New Roman" w:hAnsi="Times New Roman"/>
          <w:color w:val="111111"/>
          <w:sz w:val="28"/>
          <w:szCs w:val="28"/>
          <w:lang w:val="en-US"/>
        </w:rPr>
        <w:t>Bab pertama, berjudul Tentang Al-Madkhal dan terdiri dari  16 bagian (fushūl). Secara kasar, bab ini bisa disamakan dengan  Asy-Syifā': Al-Madkhal, dan secara struktural sama persis dengan  bab pertama logika dalam At-Talwihāt. Hanya saja, penekanan  yang lebih besar diletakkan pada bahasan tentang kuiditas (al-  māhiyyah) yang dilakukan dalam tiga bagian (6, 7, 4), sesuai  dengan dua bagian dalam Asy-Syifā'; Al-Madkhal, I: 5, 7.</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Bab kedua, berjudul Tentang Proposisi-Proposisi Penjelas  dan terdiri dari 12 bagian. Bab ini bisa disamakan dengan bab  kedua logika dalam Al-Talwīhāt, dengan tambahan beberapa  bagian berikut: bagian 3, tentang penggunaan istilah-istilah </w:t>
      </w:r>
    </w:p>
    <w:p>
      <w:pPr>
        <w:pStyle w:val="BookText"/>
        <w:bidi w:val="0"/>
        <w:rPr/>
      </w:pPr>
      <w:r>
        <w:rPr>
          <w:rFonts w:eastAsia="Times New Roman" w:cs="Times New Roman" w:ascii="Times New Roman" w:hAnsi="Times New Roman"/>
          <w:color w:val="111111"/>
          <w:sz w:val="28"/>
          <w:szCs w:val="28"/>
          <w:lang w:val="en-US"/>
        </w:rPr>
        <w:t>teknis dalam logika; bagian 4, ihwal bantahan Suhrawardi  atas istilah “konsep” (al-mafhūm) dan "yang dinamai" (al-  musammā) yang digunakan oleh Ibn Sina; bagian 7, tentang  kritik atas definisi Peripatetik tentang manusia sebagai hewan  rasional; bagian 10, berisi uraian Suhrawardi ihwal definisi jiwa;  dan bagian 11, membahas penggunaan logis definisi melalui  analogi (ta'rif bi at-tamtsil).</w:t>
      </w:r>
    </w:p>
    <w:p>
      <w:pPr>
        <w:pStyle w:val="BookText"/>
        <w:bidi w:val="0"/>
        <w:jc w:val="both"/>
        <w:rPr/>
      </w:pPr>
      <w:r>
        <w:rPr>
          <w:rFonts w:eastAsia="Times New Roman" w:cs="Times New Roman" w:ascii="Times New Roman" w:hAnsi="Times New Roman"/>
          <w:color w:val="111111"/>
          <w:sz w:val="28"/>
          <w:szCs w:val="28"/>
          <w:lang w:val="en-US"/>
        </w:rPr>
        <w:t>Bab ketiga, berjudul Tentang Komposisi Enunsiatif, terdiri  dari sembilan bagian. Bab ini bisa disamakan dengan bab ketiga  logika dalam At-Talwihāt. Namun, dalam bagian pertama,  Suhrawardi membahas perbedaan antara wujud nyata (wujud  ‘aini), wujud ideal, atau wujud mental (wujūd dzihni) secara  rinci. Ia tidak menguraikan subjek-subjek ini dalam logika dalam  At-Talwīhāt, dan tidak punya padanan dalam Asy-Syifā' karya  Ibn Sina. Ini adalah sebuah contoh bagian dalam logika yang  menggambarkan metode Iluminasi dalam membahas problem-  problem ontologis tertentu dalam konteks logika.</w:t>
      </w:r>
    </w:p>
    <w:p>
      <w:pPr>
        <w:pStyle w:val="BookText"/>
        <w:bidi w:val="0"/>
        <w:jc w:val="both"/>
        <w:rPr/>
      </w:pPr>
      <w:r>
        <w:rPr>
          <w:rFonts w:eastAsia="Times New Roman" w:cs="Times New Roman" w:ascii="Times New Roman" w:hAnsi="Times New Roman"/>
          <w:color w:val="111111"/>
          <w:sz w:val="28"/>
          <w:szCs w:val="28"/>
          <w:lang w:val="en-US"/>
        </w:rPr>
        <w:t>Tiga bab berikutnya (5, 6, 7) bisa disamakan dengan bab  kelima logika dalam At-Talwīhāt. Masalah-masalah dalam ketiga  bagian, diuraikan secara lebih rinci dan masing-masing diberi  sebuah bab terpisah. Kita melihat bahwa bab kelima, berjudul  Tentang Komposisi Bukti Kedua, terdiri dari 20 bagian, dan bisa  disamakan dengan bagian pertama dari karya sebelumnya; bab  keenam, berjudul Tentang Kelompok Hal-Hal yang Kita Perlukan:</w:t>
      </w:r>
    </w:p>
    <w:p>
      <w:pPr>
        <w:pStyle w:val="BookText"/>
        <w:bidi w:val="0"/>
        <w:jc w:val="both"/>
        <w:rPr/>
      </w:pPr>
      <w:r>
        <w:rPr>
          <w:rFonts w:eastAsia="Times New Roman" w:cs="Times New Roman" w:ascii="Times New Roman" w:hAnsi="Times New Roman"/>
          <w:color w:val="111111"/>
          <w:sz w:val="28"/>
          <w:szCs w:val="28"/>
          <w:lang w:val="en-US"/>
        </w:rPr>
        <w:t>Hal-Hal Dialektis dan Sebagainya, terdiri dari enam bab, dan  bersesuaian dengan bagian kedua; dan bab ketujuh, berjudul  Tentang Kelompok Proposisi, bersesuaian dengan bagian ketiga.</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Bab delapan, berjudul Tentang Demonstrasi, terdiri dari  16 bab. Bab ini sedikit berbeda dari empat bagian pertama bab </w:t>
      </w:r>
      <w:bookmarkStart w:id="106" w:name="pg6442_57337"/>
    </w:p>
    <w:p>
      <w:pPr>
        <w:pStyle w:val="BookText"/>
        <w:bidi w:val="0"/>
        <w:rPr/>
      </w:pPr>
      <w:bookmarkEnd w:id="106"/>
      <w:r>
        <w:rPr>
          <w:rFonts w:eastAsia="Times New Roman" w:cs="Times New Roman" w:ascii="Times New Roman" w:hAnsi="Times New Roman"/>
          <w:color w:val="111111"/>
          <w:sz w:val="28"/>
          <w:szCs w:val="28"/>
          <w:lang w:val="en-US"/>
        </w:rPr>
        <w:t>Logika dalam Filsafat Iluminasi  keenam logika dalam At-Talwihāt, dan strukturnya lebih dekat  dengan Al-Burhān.</w:t>
      </w:r>
    </w:p>
    <w:p>
      <w:pPr>
        <w:pStyle w:val="BookText"/>
        <w:bidi w:val="0"/>
        <w:jc w:val="both"/>
        <w:rPr/>
      </w:pPr>
      <w:r>
        <w:rPr>
          <w:rFonts w:eastAsia="Times New Roman" w:cs="Times New Roman" w:ascii="Times New Roman" w:hAnsi="Times New Roman"/>
          <w:color w:val="111111"/>
          <w:sz w:val="28"/>
          <w:szCs w:val="28"/>
          <w:lang w:val="en-US"/>
        </w:rPr>
        <w:t>Bab kesembilan, berjudul Tentang Sanggahan-Sanggahan  Sofistik, sebuah bab pendek yang bisa disamakan dengan bagian  kelima bab keenam logika dalam At-Talwīhāt.</w:t>
      </w:r>
    </w:p>
    <w:p>
      <w:pPr>
        <w:pStyle w:val="BookText"/>
        <w:bidi w:val="0"/>
        <w:jc w:val="both"/>
        <w:rPr/>
      </w:pPr>
      <w:r>
        <w:rPr>
          <w:rFonts w:eastAsia="Times New Roman" w:cs="Times New Roman" w:ascii="Times New Roman" w:hAnsi="Times New Roman"/>
          <w:color w:val="111111"/>
          <w:sz w:val="28"/>
          <w:szCs w:val="28"/>
          <w:lang w:val="en-US"/>
        </w:rPr>
        <w:t>Akhirnya, tidak ada sesuatu pun dalam logika dalam Al-  Masyāri' wa Al-Muthārahāt yang bisa disamakan dengan bab  keenam logika dalam At-Talwihāt.</w:t>
      </w:r>
    </w:p>
    <w:p>
      <w:pPr>
        <w:pStyle w:val="Heading4"/>
        <w:numPr>
          <w:ilvl w:val="3"/>
          <w:numId w:val="1"/>
        </w:numPr>
        <w:bidi w:val="0"/>
        <w:jc w:val="left"/>
        <w:rPr/>
      </w:pPr>
      <w:bookmarkStart w:id="107" w:name="__RefHeading___Toc924646_653776707"/>
      <w:bookmarkStart w:id="108" w:name="_Toc36"/>
      <w:bookmarkEnd w:id="107"/>
      <w:r>
        <w:rPr/>
        <w:t>3.3. Struktur dan Lingkup Logika dalam Hikmah Al-Isyrāg</w:t>
      </w:r>
      <w:bookmarkEnd w:id="108"/>
    </w:p>
    <w:p>
      <w:pPr>
        <w:pStyle w:val="BookText"/>
        <w:bidi w:val="0"/>
        <w:jc w:val="both"/>
        <w:rPr/>
      </w:pPr>
      <w:r>
        <w:rPr>
          <w:rFonts w:eastAsia="Times New Roman" w:cs="Times New Roman" w:ascii="Times New Roman" w:hAnsi="Times New Roman"/>
          <w:color w:val="111111"/>
          <w:sz w:val="28"/>
          <w:szCs w:val="28"/>
          <w:lang w:val="en-US"/>
        </w:rPr>
        <w:t>Ada perbedaan-perbedaan struktural penting antara logika dalam  Hikmah Al-Isyrāq dengan bagian logika dalam At-Talwihāt dan  Al-Masyāri' wa Al-Muthārahāt. Dalam dua karya yang disebut  terakhir ini, logika menduduki bagian (kitāb) pertama dari  keseluruhan tiga bagian (kitāb) yang ada dalam masing-masing  karya. Logika disuguhkan dalam Bagian Satu, Hikmah Al-Isyrāq,  tempat problem-problem fisika dan metafisika pilihan juga  dibahas. Bagian Satu (Al-Qism Al-Awwal), diberi judul Tentang  Kaidah-kaidah Pemikiran,</w:t>
      </w:r>
      <w:r>
        <w:rPr>
          <w:rStyle w:val="FootnoteAnchor"/>
        </w:rPr>
        <w:footnoteReference w:id="117"/>
      </w:r>
      <w:r>
        <w:rPr>
          <w:rFonts w:eastAsia="Times New Roman" w:cs="Times New Roman" w:ascii="Times New Roman" w:hAnsi="Times New Roman"/>
          <w:color w:val="111111"/>
          <w:sz w:val="28"/>
          <w:szCs w:val="28"/>
          <w:lang w:val="en-US"/>
        </w:rPr>
        <w:t>dan Bagian Dua (Al-Qism Ats-Tsāni),  diberi judul Tentang Cahaya-Cahaya Ilahiah, Cahaya dari Segala  Cahaya, dan Prinsip-prinsip dan Tingkatan-Tingkatan Wujud.</w:t>
      </w:r>
      <w:r>
        <w:rPr>
          <w:rStyle w:val="FootnoteAnchor"/>
        </w:rPr>
        <w:footnoteReference w:id="118"/>
      </w:r>
      <w:r>
        <w:rPr>
          <w:rFonts w:eastAsia="Times New Roman" w:cs="Times New Roman" w:ascii="Times New Roman" w:hAnsi="Times New Roman"/>
          <w:color w:val="111111"/>
          <w:sz w:val="28"/>
          <w:szCs w:val="28"/>
          <w:lang w:val="en-US"/>
        </w:rPr>
        <w:t xml:space="preserve"> Dalam Bagian Satu, Kaidah-kaidah Pemikiran, mencakup  bahasan ihwal logika, fisika, dan juga metafisika. Dalam Bagian  Dua, kita menemukan rekonstruksi epistemologi dan ontologi  yang didefinisikan dengan baik dalam istilah-istilah iluminasi.</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meski terdapat berbagai perbedaan struktural  penting antara Hikmah Al-Isyrāq dan dua karya penting lainnya,  kandungannya tetap sama dan hanya berbeda dalam hal  penekanan dan terminologi. </w:t>
      </w:r>
    </w:p>
    <w:p>
      <w:pPr>
        <w:pStyle w:val="BookText"/>
        <w:bidi w:val="0"/>
        <w:rPr/>
      </w:pPr>
      <w:r>
        <w:rPr>
          <w:rFonts w:eastAsia="Times New Roman" w:cs="Times New Roman" w:ascii="Times New Roman" w:hAnsi="Times New Roman"/>
          <w:color w:val="111111"/>
          <w:sz w:val="28"/>
          <w:szCs w:val="28"/>
          <w:lang w:val="en-US"/>
        </w:rPr>
        <w:t>Dari berbagai pernyataan Suhrawardi, kita sudah  mengetahui bahwa logika dalam At-Talwihāt dan Al-Masyāri'  wa Al-Muthārahāt lebih akhir tingkatannya, meskipun secara  kronologis lebih dahulu ketimbang Hikmah Al-Isyrāq. Kita juga  tahu bahwa ringkasan dan gaya penyuguhan logika dalam Hikmah  Al-Isyrāq menunjukkan bahwa Suhrawardi beranggapan para  pembaca sudah akrab dengan karya-karyanya yang lain. Sarjana-  sarjana kontemporer, terutama H. Corbin dan S. H. Nasr, telah  mengabaikan kajian tentang logika dalam Hikmah Al-Isyrāq.</w:t>
      </w:r>
    </w:p>
    <w:p>
      <w:pPr>
        <w:pStyle w:val="BookText"/>
        <w:bidi w:val="0"/>
        <w:jc w:val="both"/>
        <w:rPr/>
      </w:pPr>
      <w:r>
        <w:rPr>
          <w:rFonts w:eastAsia="Times New Roman" w:cs="Times New Roman" w:ascii="Times New Roman" w:hAnsi="Times New Roman"/>
          <w:color w:val="111111"/>
          <w:sz w:val="28"/>
          <w:szCs w:val="28"/>
          <w:lang w:val="en-US"/>
        </w:rPr>
        <w:t>Kita akan lihat dalam kajian atas Bagian Pertama, bahwa telaah  menyeluruh atas logika Iluminasi sesungguhnya menjadi bagian  yang tidak terpisahkan dalam usaha memahami tujuan Filsafat  Suhrawardi.</w:t>
      </w:r>
    </w:p>
    <w:p>
      <w:pPr>
        <w:pStyle w:val="BookText"/>
        <w:bidi w:val="0"/>
        <w:jc w:val="both"/>
        <w:rPr/>
      </w:pPr>
      <w:r>
        <w:rPr>
          <w:rFonts w:eastAsia="Times New Roman" w:cs="Times New Roman" w:ascii="Times New Roman" w:hAnsi="Times New Roman"/>
          <w:color w:val="111111"/>
          <w:sz w:val="28"/>
          <w:szCs w:val="28"/>
          <w:lang w:val="en-US"/>
        </w:rPr>
        <w:t>Bagian Satu, Hikmah Al-Isyrāq dibagi ke dalam tiga bab,  yang masing-masing disebut "risalah" (maqālah). Bab ketiga  kemudian dibagi ke dalam tiga bagian. Dua bab pertama plus dua  bagian pertama bab ketiga, membahas logika yang semuanya  merupakan separuh dari bagian satu buku ini.</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Bab Satu, berjudul Tentang Segala Sesuatu yang Diketahui  dan Membuat Segala Sesuatu Diketahui, terdiri dari tujuh bagian,  yang masing-masing disebut Kaidah (dhābith).</w:t>
      </w:r>
      <w:r>
        <w:rPr>
          <w:rStyle w:val="FootnoteAnchor"/>
        </w:rPr>
        <w:footnoteReference w:id="119"/>
      </w:r>
      <w:r>
        <w:rPr>
          <w:rFonts w:eastAsia="Times New Roman" w:cs="Times New Roman" w:ascii="Times New Roman" w:hAnsi="Times New Roman"/>
          <w:color w:val="111111"/>
          <w:sz w:val="28"/>
          <w:szCs w:val="28"/>
          <w:lang w:val="en-US"/>
        </w:rPr>
        <w:t xml:space="preserve">Suhrawardi  menggunakan istilah “Kaidah" untuk judul-judul bagian ini yang  mengungkapkan tujuannya untuk menyuguhkan kepada pembaca  seperangkat kaidah atau formula ringkas dan berguna yang  berkaitan dengan topik-topik penting logika, tanpa banyak  mambahas signifikansi logika atau analisis ihwal bagaimana  semuanya itu dirumuskan. Ia hanya menegaskan sebuah prinsip  atau problem logika, dan beranggapan bahwa pembaca sudah  akrab dengan segenap rinciannya, seperti dikemukakan dalam </w:t>
      </w:r>
    </w:p>
    <w:p>
      <w:pPr>
        <w:pStyle w:val="BookText"/>
        <w:bidi w:val="0"/>
        <w:rPr/>
      </w:pPr>
      <w:r>
        <w:rPr>
          <w:rFonts w:eastAsia="Times New Roman" w:cs="Times New Roman" w:ascii="Times New Roman" w:hAnsi="Times New Roman"/>
          <w:color w:val="111111"/>
          <w:sz w:val="28"/>
          <w:szCs w:val="28"/>
          <w:lang w:val="en-US"/>
        </w:rPr>
        <w:t>logikanya dalam Al-Masyāri' wa Al-Muthārahāt.</w:t>
      </w:r>
      <w:r>
        <w:rPr>
          <w:rStyle w:val="FootnoteAnchor"/>
        </w:rPr>
        <w:footnoteReference w:id="120"/>
      </w:r>
      <w:r>
        <w:rPr>
          <w:rFonts w:eastAsia="Times New Roman" w:cs="Times New Roman" w:ascii="Times New Roman" w:hAnsi="Times New Roman"/>
          <w:color w:val="111111"/>
          <w:sz w:val="28"/>
          <w:szCs w:val="28"/>
          <w:lang w:val="en-US"/>
        </w:rPr>
        <w:t>Beralasan  kiranya untuk berasumsi, bahwa masing-masing kaidah yang  ada dalam Bagian Satu, Hikmah Al-Isyrāq telah dipilih dengan  cermat karena penggunaannya dalam rekonstruksi Filsafat  Iluminasi.</w:t>
      </w:r>
    </w:p>
    <w:p>
      <w:pPr>
        <w:pStyle w:val="BookText"/>
        <w:bidi w:val="0"/>
        <w:jc w:val="both"/>
        <w:rPr/>
      </w:pPr>
      <w:r>
        <w:rPr>
          <w:rFonts w:eastAsia="Times New Roman" w:cs="Times New Roman" w:ascii="Times New Roman" w:hAnsi="Times New Roman"/>
          <w:color w:val="111111"/>
          <w:sz w:val="28"/>
          <w:szCs w:val="28"/>
          <w:lang w:val="en-US"/>
        </w:rPr>
        <w:t>Kaidah Pertama, dalam bab satu membahas problem-  problem semantik dalam kaitannya dengan dalil (dalālah)  makna (al-ma'nā) sesuatu (asy-syai”) oleh ungkapan (al-lafzh).</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Semantik Stoic barangkali berfungsi sebagai asal-usul semantik  dan semiotik logika Arab dan Persia yang telah berkembang.</w:t>
      </w:r>
    </w:p>
    <w:p>
      <w:pPr>
        <w:pStyle w:val="BookText"/>
        <w:bidi w:val="0"/>
        <w:jc w:val="both"/>
        <w:rPr/>
      </w:pPr>
      <w:r>
        <w:rPr>
          <w:rFonts w:eastAsia="Times New Roman" w:cs="Times New Roman" w:ascii="Times New Roman" w:hAnsi="Times New Roman"/>
          <w:color w:val="111111"/>
          <w:sz w:val="28"/>
          <w:szCs w:val="28"/>
          <w:lang w:val="en-US"/>
        </w:rPr>
        <w:t>Untuk analisis rinci tentang teori /ɛktóv Stoic, lihat Benson  Mates, Stoic Logic. (Berkeley and Los Angeles: University of  California Press, 1961), hlm. 11-27; W. and M. Kneale, The  Development of Logic, hlm. 138-158; dan Bochensjki, Ancient  Formal Logic, hlm. 82-86. Perbandingan berikut, mungkin  dapat membantu memahami skema semantik Suhrawardi.</w:t>
      </w:r>
    </w:p>
    <w:p>
      <w:pPr>
        <w:pStyle w:val="BookText"/>
        <w:bidi w:val="0"/>
        <w:jc w:val="both"/>
        <w:rPr/>
      </w:pPr>
      <w:r>
        <w:rPr>
          <w:rFonts w:eastAsia="Times New Roman" w:cs="Times New Roman" w:ascii="Times New Roman" w:hAnsi="Times New Roman"/>
          <w:color w:val="111111"/>
          <w:sz w:val="28"/>
          <w:szCs w:val="28"/>
          <w:lang w:val="en-US"/>
        </w:rPr>
        <w:t>Denotasi, yakni objek eksternal (TvYXávov) harus dilaksanakan    dengan sesuatu (asy-syai'); tanda (pwví atau onuaíwov) harus  disamakan dengan ungkapan (al-lafzh); dan penanda (1ɛktóv)  harus disamakan dengan makna (al-ma'nā). Ibrahim Madkour  dalam “Pendahuluan" karya Ibn Sina, Asy-Syifa': Al-Madkhal.</w:t>
      </w:r>
    </w:p>
    <w:p>
      <w:pPr>
        <w:pStyle w:val="BookText"/>
        <w:bidi w:val="0"/>
        <w:jc w:val="both"/>
        <w:rPr/>
      </w:pPr>
      <w:r>
        <w:rPr>
          <w:rFonts w:eastAsia="Times New Roman" w:cs="Times New Roman" w:ascii="Times New Roman" w:hAnsi="Times New Roman"/>
          <w:color w:val="111111"/>
          <w:sz w:val="28"/>
          <w:szCs w:val="28"/>
          <w:lang w:val="en-US"/>
        </w:rPr>
        <w:t>hlm. 62, menganggap teori lektov Stoic sebagai asal-usul  ilmu makna (“ilm dalālah al-lafzh) dalam Islam.</w:t>
      </w:r>
    </w:p>
    <w:p>
      <w:pPr>
        <w:pStyle w:val="BookText"/>
        <w:bidi w:val="0"/>
        <w:jc w:val="both"/>
        <w:rPr/>
      </w:pPr>
      <w:r>
        <w:rPr>
          <w:rFonts w:eastAsia="Times New Roman" w:cs="Times New Roman" w:ascii="Times New Roman" w:hAnsi="Times New Roman"/>
          <w:color w:val="111111"/>
          <w:sz w:val="28"/>
          <w:szCs w:val="28"/>
          <w:lang w:val="en-US"/>
        </w:rPr>
        <w:t>Tiga bentuk dalil itu disebut: [1] dalil maksud (dalālah al-  qashd), di mana ada korespondensi satu sama lain antara  ungkapan dan makna; [2] dalil implikasi (dalālah al-hitha'), di  mana ada korespondensi sebagian antara ungkapan dan makna;  dan [3] dalil seiring (dalālah at-tathafful), di mana ungkapan  melambangkan satu atau banyak, – tetapi tidak semua, sifat  dasar (lawăzim) dari sesuatu. Kaidah ini adalah padanan bab I,  2 logika dalam At-Talwībāt dan bab 1, 3 logika dalam Al-Masyāri'  wa Al-Muthārahāt. Akan tetapi, dalam Hikmah Al-Isyrāq, istilah-  istilah yang berbeda digunakan lebih sering ketimbang dalam Al-  Masyāri' wa Al-Muthārahāt, di mana digunakan tiga istilah yang  lebih baku – dalil korespondensi (dalālah al-muthābaqah), dalil  implikasi (dalālah at-tadhammum), dan dalil seiring (dalālah al-  iltizām).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Dalam Kaidah Kedua bab satu, Suhrawardi membahas  secara khusus hubungan antara konsepsi (tashawwur) dan  penilaian (tashdiq). Istilah-istilah “konsepsi” dan “penilaian"  sebenarnya tidak digunakan oleh Suhrawardi, tetapi sang  komentator, Quthbuddin Asy-Syirazi, menyebutnya demikian.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bagian pertama bab satu At-Talwihāt, Suhrawardi  menilai konsepsi sebagai “memperoleh bentuk sesuatu</w:t>
      </w:r>
    </w:p>
    <w:p>
      <w:pPr>
        <w:pStyle w:val="BookText"/>
        <w:bidi w:val="0"/>
        <w:rPr/>
      </w:pPr>
      <w:r>
        <w:rPr>
          <w:rFonts w:eastAsia="Times New Roman" w:cs="Times New Roman" w:ascii="Times New Roman" w:hAnsi="Times New Roman"/>
          <w:color w:val="111111"/>
          <w:sz w:val="28"/>
          <w:szCs w:val="28"/>
          <w:lang w:val="en-US"/>
        </w:rPr>
        <w:t>(shūrah asy-syai') dalam pikiran", sebuah ide Peripatetik yang  ditolaknya dalam bagian pertama dari bab satu Al-Masyāri' wa  Al-Muthārahāt. Di sini, (Hikmah Al-Isyrāq: Bagian Satu, I, 2),  Suhrawardi mengemukakan, tanpa banyak analisis, sebuah  pandangan yang berbeda, yang mesti dipandang sebagai  komponen fundamental dalam prinsip-prinsip Iluminasi  berkenaan dengan dasar pengetahuan. Suhrawardi menegaskan  bahwa kognisi (pemikiran), atau persepsi (idrāk), tentang  sesuatu yang tidak ada (Asy-syai' al-ghā'ib) terjadi ketika ide  (mitsāl) tentang realitas (haqiqah) sesuatu itu diperoleh. Lebih  jauh, ia menyatakan bahwa ketika ide diperoleh, maka kesan  atau pengaruh (atsar) pun muncul dalam wujud seseorang yang  memahami yang memantulkan keadaan pengetahuan yang  dicapainya.</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Asy-Syirazi selanjutnya, menekankan pentingnya persoalan  epistemologi ini bagian Filsafat Iluminasi dan menunjuk pada  pembedaan antara pengetahuan formal (al-'ilm ash-shūrī) dan  pengetahuan Iluminasi dengan kehadiran (al-'ilm al-hudhūrī).</w:t>
      </w:r>
    </w:p>
    <w:p>
      <w:pPr>
        <w:pStyle w:val="BookText"/>
        <w:bidi w:val="0"/>
        <w:jc w:val="both"/>
        <w:rPr/>
      </w:pPr>
      <w:r>
        <w:rPr>
          <w:rFonts w:eastAsia="Times New Roman" w:cs="Times New Roman" w:ascii="Times New Roman" w:hAnsi="Times New Roman"/>
          <w:color w:val="111111"/>
          <w:sz w:val="28"/>
          <w:szCs w:val="28"/>
          <w:lang w:val="en-US"/>
        </w:rPr>
        <w:t>Harus dicatat bahwa persoalan ini diperdebatkan panjang  lebar oleh Mulla Sadra dalam Ta‘liqāt. (Syarh II, hlm. 39-42  dan catatan pinggir) yang tidak sependapat dengan posisi  epistemologi Iluminasi.</w:t>
      </w:r>
    </w:p>
    <w:p>
      <w:pPr>
        <w:pStyle w:val="BookText"/>
        <w:bidi w:val="0"/>
        <w:jc w:val="both"/>
        <w:rPr/>
      </w:pPr>
      <w:r>
        <w:rPr>
          <w:rFonts w:eastAsia="Times New Roman" w:cs="Times New Roman" w:ascii="Times New Roman" w:hAnsi="Times New Roman"/>
          <w:color w:val="111111"/>
          <w:sz w:val="28"/>
          <w:szCs w:val="28"/>
          <w:lang w:val="en-US"/>
        </w:rPr>
        <w:t>Beberapa baris dari bagian ini punya implikasi  yang besar bagi pemahaman kita tentang teori pengetahuan  Iluminasi. Pembedaan yang dilakukan Suhrawardi antara sesuatu  yang tidak ada (asy-syai' al-ghā'ib) dan sesuatu yang ada, yakni  sesuatu berjasad yang menjadi bagian dari data indrawi, sangat  penting dalam Filsafat Iluminasi. Suhrawardi setuju dengan  formula Peripatetik yang menegaskan bahwa konsepsi adalah  diperolehnya bentuk sesuatu dalam pikiran – selama sesuatu itu  berjasad dan bisa diserap oleh indra. Ia tidak puas dengan formula  Peripatetik manakala sesuatu yang diserap itu tidak berjasad  dan bukan menjadi bagian dari data indrawi. Dalam kasus  semacam itu, posisi Iluminasi dinyatakan sebagai pengetahuan  yang berdasarkan hubungan (idhāfah), yang diperoleh dalam  pikiran antara “realitas” (haqiqah) sesuatu dengan sesuatu itu.</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Suhrawardi, ini berarti bahwa bentuk dan ide dari hal-hal  indrawi adalah sama, tetapi tidak demikian halnya dalam kasus </w:t>
      </w:r>
    </w:p>
    <w:p>
      <w:pPr>
        <w:pStyle w:val="BookText"/>
        <w:bidi w:val="0"/>
        <w:rPr/>
      </w:pPr>
      <w:r>
        <w:rPr>
          <w:rFonts w:eastAsia="Times New Roman" w:cs="Times New Roman" w:ascii="Times New Roman" w:hAnsi="Times New Roman"/>
          <w:color w:val="111111"/>
          <w:sz w:val="28"/>
          <w:szCs w:val="28"/>
          <w:lang w:val="en-US"/>
        </w:rPr>
        <w:t>hal-hal non-indrawi, di mana idea tentang sesuatu adalah apa  yang dihubungkan dengan persepsinya dan, karenanya, lebih  dahulu secara epistemologi. Dalam sisa bagian ini (Kaidah  Kedua), Suhrawardi membahas problem-problem semantik yang  berkaitan dengan uraian sebelumnya tentang hubungan antara  pengetahuan, persepsi, dan “idea" (mitsāl) tentang hal-hal non-  indrawi. Dengan cara baru, ia menegaskan bahwa makna (al-  ma'nā) yang tampak bagi seseorang adalah makna universal  (al-ma‘nā al-'āmm) dan ungkapan yang melambangkannya (al-  lafzh al-'āmm); atau makna tertentu (al-ma'nā asy-syākhish) dan  ungkapan yang melambangkan suatu nama tertentu (al-lafzh  asy- syākhish).</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Penyamaan dengan istilah-istilah teori Stoic tentang lɛKTÓV  harus dilakukan. Makna universal (al-ma'nā al-'ām) bisa  dihubungkan dengan kata benda umum (KoivÝ TOIÓTIS)  Stoic; nama kelompok (al-lafzh al-'ām) sama dengan kata  Tt poonyopíai Stoic; makna partikular (al-ma‘nā asy-syākhish)  sama dengan kata benda individu idéa tolótoc); dan nama  pokok (al-lafzh asy-syākhish) sama dengan nama pokok  (óvóuata) Stoic.</w:t>
      </w:r>
    </w:p>
    <w:p>
      <w:pPr>
        <w:pStyle w:val="BookText"/>
        <w:bidi w:val="0"/>
        <w:jc w:val="both"/>
        <w:rPr/>
      </w:pPr>
      <w:r>
        <w:rPr>
          <w:rFonts w:eastAsia="Times New Roman" w:cs="Times New Roman" w:ascii="Times New Roman" w:hAnsi="Times New Roman"/>
          <w:color w:val="111111"/>
          <w:sz w:val="28"/>
          <w:szCs w:val="28"/>
          <w:lang w:val="en-US"/>
        </w:rPr>
        <w:t>Pokok bahasan Kaidah ini berkaitan dengan  problem yang diuraikan dalam At-Talwīhāt: Manthiq, I, 1, 3, 4  dan Al-Masyāri' wa Al-Muthārahāt: Manthiq, 1, 1, 4, 5, 7. Hanya  saja, harus dicatat bahwa istilah-istilah yang digunakan dalam  bagian Hikmah Al-Isyrāq ini berbeda dari sitilah-istilah dalam  dua karya lainnya.</w:t>
      </w:r>
    </w:p>
    <w:p>
      <w:pPr>
        <w:pStyle w:val="BookText"/>
        <w:bidi w:val="0"/>
        <w:jc w:val="both"/>
        <w:rPr/>
      </w:pPr>
      <w:r>
        <w:rPr>
          <w:rFonts w:eastAsia="Times New Roman" w:cs="Times New Roman" w:ascii="Times New Roman" w:hAnsi="Times New Roman"/>
          <w:color w:val="111111"/>
          <w:sz w:val="28"/>
          <w:szCs w:val="28"/>
          <w:lang w:val="en-US"/>
        </w:rPr>
        <w:t xml:space="preserve">Dalam Kaidah Ketiga, Suhrawardi membahas realitas  (haqiqah) sesuatu. Realitas ini yang disamakan dengan istilah  baku Peripatetik, kuiditas (māhiyyah), oleh Asy-Syirazi, </w:t>
      </w:r>
      <w:r>
        <w:rPr>
          <w:rStyle w:val="FootnoteAnchor"/>
        </w:rPr>
        <w:footnoteReference w:id="124"/>
      </w:r>
      <w:r>
        <w:rPr>
          <w:rFonts w:eastAsia="Times New Roman" w:cs="Times New Roman" w:ascii="Times New Roman" w:hAnsi="Times New Roman"/>
          <w:color w:val="111111"/>
          <w:sz w:val="28"/>
          <w:szCs w:val="28"/>
          <w:lang w:val="en-US"/>
        </w:rPr>
        <w:t xml:space="preserve"> dikatakan sebagai bersifat sederhana (basīth) atau tidak  sederhana (ghair basith), yakni majemuk. Maka, sesuatu punya  realitas yang berkaitan dengannya, yakni ke-apa-ada-an-nya  (what-it-is) atau kuiditasnya, yang bisa menandai makna yang  berkaitan dengan keseluruhan sesuatu sebagaimana adanya (as it  is), atau hanya sebagiannya saja. </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Bandingkan λεκτόν (αυτοτελές) Stoic yang sempurna dan  DEKTÓv (ÉMITÉS) defisien, lihat Mates, Stoic Logic, hlm. 16.</w:t>
      </w:r>
    </w:p>
    <w:p>
      <w:pPr>
        <w:pStyle w:val="BookText"/>
        <w:bidi w:val="0"/>
        <w:jc w:val="both"/>
        <w:rPr/>
      </w:pPr>
      <w:r>
        <w:rPr>
          <w:rFonts w:eastAsia="Times New Roman" w:cs="Times New Roman" w:ascii="Times New Roman" w:hAnsi="Times New Roman"/>
          <w:color w:val="111111"/>
          <w:sz w:val="28"/>
          <w:szCs w:val="28"/>
          <w:lang w:val="en-US"/>
        </w:rPr>
        <w:t>Lihat juga, Asy-Syirazi, Syarh II, hlm. 45: 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Realitas" atau ke-apa-an  sesuatu sebagaimana adanya (inti sesuatu) ini pun memiliki  aksiden-aksiden yang “terpisah" (al--awāridh al-mufāraqah),  atau aksiden-aksiden yang mengiringi (al-'awāridh al-lāzimah),</w:t>
      </w:r>
    </w:p>
    <w:p>
      <w:pPr>
        <w:pStyle w:val="BookText"/>
        <w:bidi w:val="0"/>
        <w:rPr/>
      </w:pPr>
      <w:r>
        <w:rPr>
          <w:rFonts w:eastAsia="Times New Roman" w:cs="Times New Roman" w:ascii="Times New Roman" w:hAnsi="Times New Roman"/>
          <w:color w:val="111111"/>
          <w:sz w:val="28"/>
          <w:szCs w:val="28"/>
          <w:lang w:val="en-US"/>
        </w:rPr>
        <w:t>yang berkaitan dengannya.</w:t>
      </w:r>
      <w:r>
        <w:rPr>
          <w:rStyle w:val="FootnoteAnchor"/>
        </w:rPr>
        <w:footnoteReference w:id="126"/>
      </w:r>
      <w:r>
        <w:rPr>
          <w:rFonts w:eastAsia="Times New Roman" w:cs="Times New Roman" w:ascii="Times New Roman" w:hAnsi="Times New Roman"/>
          <w:color w:val="111111"/>
          <w:sz w:val="28"/>
          <w:szCs w:val="28"/>
          <w:lang w:val="en-US"/>
        </w:rPr>
        <w:t>Hanya sebagian saja dari bagian  ini yang bisa disamakan dengan Al-Masyāri' wa Al-Muthārahāt:</w:t>
      </w:r>
    </w:p>
    <w:p>
      <w:pPr>
        <w:pStyle w:val="BookText"/>
        <w:bidi w:val="0"/>
        <w:jc w:val="both"/>
        <w:rPr/>
      </w:pPr>
      <w:r>
        <w:rPr>
          <w:rFonts w:eastAsia="Times New Roman" w:cs="Times New Roman" w:ascii="Times New Roman" w:hAnsi="Times New Roman"/>
          <w:color w:val="111111"/>
          <w:sz w:val="28"/>
          <w:szCs w:val="28"/>
          <w:lang w:val="en-US"/>
        </w:rPr>
        <w:t>Manthiq, I, 16.</w:t>
      </w:r>
      <w:r>
        <w:rPr>
          <w:rStyle w:val="FootnoteAnchor"/>
        </w:rPr>
        <w:footnoteReference w:id="127"/>
      </w:r>
      <w:r>
        <w:rPr>
          <w:rFonts w:eastAsia="Times New Roman" w:cs="Times New Roman" w:ascii="Times New Roman" w:hAnsi="Times New Roman"/>
          <w:color w:val="111111"/>
          <w:sz w:val="28"/>
          <w:szCs w:val="28"/>
          <w:lang w:val="en-US"/>
        </w:rPr>
        <w:t xml:space="preserve"> Dalam Kaidah Keempat, Suhrawardi selanjutnya  membahas ke-apa-an sesuatu yang disebutnya sebagai  realitas. </w:t>
      </w:r>
      <w:r>
        <w:rPr>
          <w:rStyle w:val="FootnoteAnchor"/>
        </w:rPr>
        <w:footnoteReference w:id="128"/>
      </w:r>
      <w:r>
        <w:rPr>
          <w:rFonts w:eastAsia="Times New Roman" w:cs="Times New Roman" w:ascii="Times New Roman" w:hAnsi="Times New Roman"/>
          <w:color w:val="111111"/>
          <w:sz w:val="28"/>
          <w:szCs w:val="28"/>
          <w:lang w:val="en-US"/>
        </w:rPr>
        <w:t>Dikatakan, baik aksiden-aksiden yang terpisah  maupun aksiden-aksiden yang mengiringi pun hadir belakangan  ketimbang “realitas" dari sesuatu, yang harus dipandang  sebagaimana adanya, keseluruhan dalam dirinya, bila ingin  didapatkan pengetahuan tentangnya. Kemudian, sesuatu yang  nyata mempunyai berbagai kesesuaian khusus yang dinisbatkan  kepadanya,</w:t>
      </w:r>
      <w:r>
        <w:rPr>
          <w:rStyle w:val="FootnoteAnchor"/>
        </w:rPr>
        <w:footnoteReference w:id="129"/>
      </w:r>
      <w:r>
        <w:rPr>
          <w:rFonts w:eastAsia="Times New Roman" w:cs="Times New Roman" w:ascii="Times New Roman" w:hAnsi="Times New Roman"/>
          <w:color w:val="111111"/>
          <w:sz w:val="28"/>
          <w:szCs w:val="28"/>
          <w:lang w:val="en-US"/>
        </w:rPr>
        <w:t xml:space="preserve">dan kesesuaian khusus itu disebut sebagai yang  esensial (adz-dzātī). Yang aksidental (al-‘aradhi) terpisah dari –  atau mengiringi – realitas sesuatu, dan dipandang hadir lebih  belakangan ketimbang realitas sesuatu itu ketika dipikirkan. Ia  menjadi sifat yang lebih umum atau khusus. </w:t>
      </w:r>
      <w:r>
        <w:rPr>
          <w:rStyle w:val="FootnoteAnchor"/>
        </w:rPr>
        <w:footnoteReference w:id="130"/>
      </w:r>
      <w:r>
        <w:rPr>
          <w:rFonts w:eastAsia="Times New Roman" w:cs="Times New Roman" w:ascii="Times New Roman" w:hAnsi="Times New Roman"/>
          <w:color w:val="111111"/>
          <w:sz w:val="28"/>
          <w:szCs w:val="28"/>
          <w:lang w:val="en-US"/>
        </w:rPr>
        <w:t>Bagian ini memiliki  kesamaan dengan At-Talwībāt: Manthiq, I, 6 dan Al-Masyāri' wa  Al-Muthārahāt: Manthiq, I, 11.</w:t>
      </w:r>
    </w:p>
    <w:p>
      <w:pPr>
        <w:pStyle w:val="BookText"/>
        <w:bidi w:val="0"/>
        <w:jc w:val="both"/>
        <w:rPr/>
      </w:pPr>
      <w:r>
        <w:rPr>
          <w:rFonts w:eastAsia="Times New Roman" w:cs="Times New Roman" w:ascii="Times New Roman" w:hAnsi="Times New Roman"/>
          <w:color w:val="111111"/>
          <w:sz w:val="28"/>
          <w:szCs w:val="28"/>
          <w:lang w:val="en-US"/>
        </w:rPr>
        <w:t xml:space="preserve">Dalam Kaidah Kelima, Suhrawardi membahas makna  universal (al-ma'nā al-'āmm). </w:t>
      </w:r>
      <w:r>
        <w:rPr>
          <w:rStyle w:val="FootnoteAnchor"/>
        </w:rPr>
        <w:footnoteReference w:id="131"/>
      </w:r>
      <w:r>
        <w:rPr>
          <w:rFonts w:eastAsia="Times New Roman" w:cs="Times New Roman" w:ascii="Times New Roman" w:hAnsi="Times New Roman"/>
          <w:color w:val="111111"/>
          <w:sz w:val="28"/>
          <w:szCs w:val="28"/>
          <w:lang w:val="en-US"/>
        </w:rPr>
        <w:t>Dikatakan bahwa makna “umum"  atau universal ini tidak punya realitas di luar pikiran;</w:t>
      </w:r>
      <w:r>
        <w:rPr>
          <w:rStyle w:val="FootnoteAnchor"/>
        </w:rPr>
        <w:footnoteReference w:id="132"/>
      </w:r>
      <w:r>
        <w:rPr>
          <w:rFonts w:eastAsia="Times New Roman" w:cs="Times New Roman" w:ascii="Times New Roman" w:hAnsi="Times New Roman"/>
          <w:color w:val="111111"/>
          <w:sz w:val="28"/>
          <w:szCs w:val="28"/>
          <w:lang w:val="en-US"/>
        </w:rPr>
        <w:t>sebab  memiliki realitas di luar pikiran berarti memiliki kuiditas  tertentu, yang dengannya, ia dibedakan dari sesuatu yang lain,  dan karenanya menjadi sesuatu yang khusus (syākhish), dan bukan  makna umum (dan juga bukan universal). Makna umum bersifat  koekstensif (mutasāwiq)</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Namun, Al-Farabi menggunakan kedua istilah itu. Lihat, Al-  Farabi, Utterances Employed in Logic, disunting oleh Muhsin  Mahdi, (Beirut: Dar al-Masyriq, 1967), hlm. 61.</w:t>
      </w:r>
    </w:p>
    <w:p>
      <w:pPr>
        <w:pStyle w:val="BookText"/>
        <w:bidi w:val="0"/>
        <w:jc w:val="both"/>
        <w:rPr/>
      </w:pPr>
      <w:r>
        <w:rPr>
          <w:rFonts w:eastAsia="Times New Roman" w:cs="Times New Roman" w:ascii="Times New Roman" w:hAnsi="Times New Roman"/>
          <w:color w:val="111111"/>
          <w:sz w:val="28"/>
          <w:szCs w:val="28"/>
          <w:lang w:val="en-US"/>
        </w:rPr>
        <w:t>atau terpisah (mutafāwit).</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jc w:val="both"/>
        <w:rPr/>
      </w:pPr>
      <w:r>
        <w:rPr>
          <w:rFonts w:eastAsia="Times New Roman" w:cs="Times New Roman" w:ascii="Times New Roman" w:hAnsi="Times New Roman"/>
          <w:color w:val="111111"/>
          <w:sz w:val="28"/>
          <w:szCs w:val="28"/>
          <w:lang w:val="en-US"/>
        </w:rPr>
        <w:t>Mengikuti  skema semantiknya dalam logika di bagian ini, Suhrawardipun  mendefinisikan nama-nama sinonim (mutarādifah), homonim  (musytarakah), dan metaforis (majāziyyah).</w:t>
      </w:r>
    </w:p>
    <w:p>
      <w:pPr>
        <w:pStyle w:val="BookText"/>
        <w:bidi w:val="0"/>
        <w:jc w:val="both"/>
        <w:rPr/>
      </w:pPr>
      <w:r>
        <w:rPr>
          <w:rFonts w:eastAsia="Times New Roman" w:cs="Times New Roman" w:ascii="Times New Roman" w:hAnsi="Times New Roman"/>
          <w:color w:val="111111"/>
          <w:sz w:val="28"/>
          <w:szCs w:val="28"/>
          <w:vertAlign w:val="superscript"/>
          <w:lang w:val="en-US"/>
        </w:rPr>
        <w:t>(10)</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Bagian ini bisa</w:t>
      </w:r>
    </w:p>
    <w:p>
      <w:pPr>
        <w:pStyle w:val="BookText"/>
        <w:bidi w:val="0"/>
        <w:rPr/>
      </w:pPr>
      <w:r>
        <w:rPr>
          <w:rFonts w:eastAsia="Times New Roman" w:cs="Times New Roman" w:ascii="Times New Roman" w:hAnsi="Times New Roman"/>
          <w:color w:val="111111"/>
          <w:sz w:val="28"/>
          <w:szCs w:val="28"/>
          <w:lang w:val="en-US"/>
        </w:rPr>
        <w:t>disamakan dengan At-Talwihāt: Manthiq, I, 5 dan Al-Masyāri'  wa Al-Muthārahāt: Manthiq, 1, 8.</w:t>
      </w:r>
    </w:p>
    <w:p>
      <w:pPr>
        <w:pStyle w:val="BookText"/>
        <w:bidi w:val="0"/>
        <w:jc w:val="both"/>
        <w:rPr/>
      </w:pPr>
      <w:r>
        <w:rPr>
          <w:rFonts w:eastAsia="Times New Roman" w:cs="Times New Roman" w:ascii="Times New Roman" w:hAnsi="Times New Roman"/>
          <w:color w:val="111111"/>
          <w:sz w:val="28"/>
          <w:szCs w:val="28"/>
          <w:lang w:val="en-US"/>
        </w:rPr>
        <w:t>Lima Kaidah pertama (dari tujuh kaidah seluruhnya) dalam  Hikmah Al-Isyrāg: Bagian Satu, tersebut di atas bersesuaian  dengan bab pertama logika dalam At-Talwīhāt dan Al-Masyāri  wa Al-Muthārahāt, dan merupakan bagian dari logika dalam  Hikmah Al-Isyrāq yang berkaitan dengan pokok bahasan Al-  Madkhal Tradisional (misalnya, Asy-Syifā': Al-Madkhal).</w:t>
      </w:r>
    </w:p>
    <w:p>
      <w:pPr>
        <w:pStyle w:val="BookText"/>
        <w:bidi w:val="0"/>
        <w:jc w:val="both"/>
        <w:rPr/>
      </w:pPr>
      <w:r>
        <w:rPr>
          <w:rFonts w:eastAsia="Times New Roman" w:cs="Times New Roman" w:ascii="Times New Roman" w:hAnsi="Times New Roman"/>
          <w:color w:val="111111"/>
          <w:sz w:val="28"/>
          <w:szCs w:val="28"/>
          <w:lang w:val="en-US"/>
        </w:rPr>
        <w:t>Dalam Kaidah Keenam, Suhrawardi melakukan pembagian  atas pengetahuan menjadi dua bagian ganda: fitri dan  perolehan, seperti dilakukan dalam bagian pendahuluan logika  dalam At-Talwīhāt dan Al-Masyāri' wa Al-Muthārahāt.</w:t>
      </w:r>
      <w:r>
        <w:rPr>
          <w:rStyle w:val="FootnoteAnchor"/>
        </w:rPr>
        <w:footnoteReference w:id="134"/>
      </w:r>
      <w:r>
        <w:rPr>
          <w:rFonts w:eastAsia="Times New Roman" w:cs="Times New Roman" w:ascii="Times New Roman" w:hAnsi="Times New Roman"/>
          <w:color w:val="111111"/>
          <w:sz w:val="28"/>
          <w:szCs w:val="28"/>
          <w:lang w:val="en-US"/>
        </w:rPr>
        <w:t>Di sini  Suhrawardi juga menekankan bahwa ide-ide fitri atau bawaan  bertindak sebagai dasar bagi pengetahuan; dan inilah pandangan  dasar yang diambil untuk rekonstruksi Filsafat Iluminasi jika  mempertimbangkan persoalan epistemologi ihwal, “Bagaimana  pengetahuan itu diperoleh?"</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(Paris: Librairie Durlaches, 1953), hlm. 8, 17: idem., “Studies  in Abu Al-Barakat Al-Baghdadi's Poetics and Metaphysics",  hlm. 127-128, di mana kognisi apriori oleh Oines disebut  sebagai “tema utama" karya Al-Baghdadi.</w:t>
      </w:r>
    </w:p>
    <w:p>
      <w:pPr>
        <w:pStyle w:val="BookText"/>
        <w:bidi w:val="0"/>
        <w:jc w:val="both"/>
        <w:rPr/>
      </w:pPr>
      <w:r>
        <w:rPr>
          <w:rFonts w:eastAsia="Times New Roman" w:cs="Times New Roman" w:ascii="Times New Roman" w:hAnsi="Times New Roman"/>
          <w:color w:val="111111"/>
          <w:sz w:val="28"/>
          <w:szCs w:val="28"/>
          <w:lang w:val="en-US"/>
        </w:rPr>
        <w:t>Signifikansi persoalan ide-ide fitri  yang khas dalam epistemologi Iluminasi, seperti telah ditunjukkan  Suhrawardi dalam pendahuluan keempat karyanya (bandingkan  juga Asy-Syifā': Al-Madkhal, I, 4) menjadi alasan ihwal mengapa  ia memasukkan bahasannya dalam kaidah dari bagian kesatu  buku ini. Di sini, posisi yang diambil Suhrawardi berpijak pada  pandangan atas ungkapan pembuka Aristoteles yang telah  dimodifikasi dalam Al-Burhān, I, 1; tetapi posisi epistemologi  yang diberikan kepada pembagian pengetahuan ini merupakan  teori Suhrawardi tentang pengetahuan.</w:t>
      </w:r>
    </w:p>
    <w:p>
      <w:pPr>
        <w:pStyle w:val="BookText"/>
        <w:bidi w:val="0"/>
        <w:jc w:val="both"/>
        <w:rPr/>
      </w:pPr>
      <w:r>
        <w:rPr>
          <w:rFonts w:eastAsia="Times New Roman" w:cs="Times New Roman" w:ascii="Times New Roman" w:hAnsi="Times New Roman"/>
          <w:color w:val="111111"/>
          <w:sz w:val="28"/>
          <w:szCs w:val="28"/>
          <w:lang w:val="en-US"/>
        </w:rPr>
        <w:t>Dalam Kaidah Ketujuh, Suhrawardi membahas definisi dan  deskripsi yang bersesuaian dengan pokok bahasan bab kedua  At-Talwihāt dan Al-Masyāri' wa Al-Muthārahāt.</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Topik definisi adalah salah satu hal paling penting dalam  logika Suhrawardi dan juga dalam Filsafat Iluminasi. Lihat,  Asy-Syirazi, Syarh II, hlm. 52: 18-63: 3; Al-Baghdadi, Al-  Mu'tabar, 1, 46-48, 50-64; As-Sawi, At-Tabshīrah, hlm. 19-24;  Suhrawardi, Al-Lamahāt, hlm. 64-66.</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Seperti telah</w:t>
      </w:r>
    </w:p>
    <w:p>
      <w:pPr>
        <w:pStyle w:val="BookText"/>
        <w:bidi w:val="0"/>
        <w:rPr/>
      </w:pPr>
      <w:r>
        <w:rPr>
          <w:rFonts w:eastAsia="Times New Roman" w:cs="Times New Roman" w:ascii="Times New Roman" w:hAnsi="Times New Roman"/>
          <w:color w:val="111111"/>
          <w:sz w:val="28"/>
          <w:szCs w:val="28"/>
          <w:lang w:val="en-US"/>
        </w:rPr>
        <w:t>kita sebutkan di atas, definisi dan deskripsi sebagai problem logika  dibahas dengan baik dalam Al-Burhān dan Al-Jadal. Suhrawardi  memasukkan problem-problem ini dalam keseluruhan teori  semantiknya yang diawali dari struktur standar Organon.</w:t>
      </w:r>
    </w:p>
    <w:p>
      <w:pPr>
        <w:pStyle w:val="BookText"/>
        <w:bidi w:val="0"/>
        <w:jc w:val="both"/>
        <w:rPr/>
      </w:pPr>
      <w:r>
        <w:rPr>
          <w:rFonts w:eastAsia="Times New Roman" w:cs="Times New Roman" w:ascii="Times New Roman" w:hAnsi="Times New Roman"/>
          <w:color w:val="111111"/>
          <w:sz w:val="28"/>
          <w:szCs w:val="28"/>
          <w:lang w:val="en-US"/>
        </w:rPr>
        <w:t>Pentingnya Kaidah ini ditegaskan ketika kita menelaah kenyataan  bahwa Suhrawardi menolak doktrin definisi yang dianggap  sebagai langkah pertama yang penting dalam pengetahuan oleh  kaum Peripatetik.</w:t>
      </w:r>
    </w:p>
    <w:p>
      <w:pPr>
        <w:pStyle w:val="BookText"/>
        <w:bidi w:val="0"/>
        <w:jc w:val="both"/>
        <w:rPr/>
      </w:pPr>
      <w:r>
        <w:rPr>
          <w:rFonts w:eastAsia="Times New Roman" w:cs="Times New Roman" w:ascii="Times New Roman" w:hAnsi="Times New Roman"/>
          <w:color w:val="111111"/>
          <w:sz w:val="28"/>
          <w:szCs w:val="28"/>
          <w:lang w:val="en-US"/>
        </w:rPr>
        <w:t>Setelah menolak posisi Peripatetik, Suhrawardi  mengemukakan pandangan alternatif tentang kaidah-kaidah  formal berkenaan dengan definisi dan juga posisi epistemologinya.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salah satu komponen dasar teori Pengetahuan Iluminasi  yang paling penting. Kaidah Ketujuh, dibagi menjadi dua  bagian-bagian pertama, bagian pendahuluan, yang diberi  judul Tentang Definisi-Definisi Hakiki (Al-Hudūd Al-Haqiqiyyah),  dan bagian kedua, yang diberi judul Dalil Iluminasi (Qā'idah  Isrāqiyyah), tempat Suhrawardi membahas apa yang ia anggap  sebagai kelemahan formula Peripatetik tentang definisi, dan  mengemukakan teori alternatifnya. Dalam bagian pendahuluan,  Suhrawardi membahas problem-problem yang berkaitan dengan  kaidah-kaidah yang menentukan definisi. Ia menegaskan bahwa  agar sesuatu dapat diketahui dengan mendefinisikannya, semua  atau beberapa satuan (al-ahād), atau keseluruhan (al-ijtimā“) dari  sesuatu yang akan didefinisikan harus dispesifikasi. Selanjutnya,  Suhrawardi menetapkan bahwa dalam membangun definisi,  sesuatu harus didefinisikan dengan mengacu pada sesuatu yang  lebih tampak atau lebih jelas (al-azhhar) daripada sesuatu itu  yang diketahui lebih dahulu. Dengan kata lain, sesuatu lainnya  yang dijadikan rujukan dalam mendefinisikan sesuatu harus </w:t>
      </w:r>
    </w:p>
    <w:p>
      <w:pPr>
        <w:pStyle w:val="BookText"/>
        <w:bidi w:val="0"/>
        <w:rPr/>
      </w:pPr>
      <w:r>
        <w:rPr>
          <w:rFonts w:eastAsia="Times New Roman" w:cs="Times New Roman" w:ascii="Times New Roman" w:hAnsi="Times New Roman"/>
          <w:color w:val="111111"/>
          <w:sz w:val="28"/>
          <w:szCs w:val="28"/>
          <w:lang w:val="en-US"/>
        </w:rPr>
        <w:t>lebih jelas dan lebih dahulu. Akhirnya, Suhrawardi menambahkan  bahwa definisi tidak bisa hanya berupa sekedar penggantian  nominal (tabdil al-lafzh). Dalam pembagian berikutnya,  Suhrawardi mempertimbangkan definisi dan deskripsi nyata.</w:t>
      </w:r>
    </w:p>
    <w:p>
      <w:pPr>
        <w:pStyle w:val="BookText"/>
        <w:bidi w:val="0"/>
        <w:jc w:val="both"/>
        <w:rPr/>
      </w:pPr>
      <w:r>
        <w:rPr>
          <w:rFonts w:eastAsia="Times New Roman" w:cs="Times New Roman" w:ascii="Times New Roman" w:hAnsi="Times New Roman"/>
          <w:color w:val="111111"/>
          <w:sz w:val="28"/>
          <w:szCs w:val="28"/>
          <w:lang w:val="en-US"/>
        </w:rPr>
        <w:t>la menyatakan keberatannya atas pandangan materialis yang  menganggap bahwa realitas yang benar-benar ada hanyalah  realitas jasmani (al-haqiqah al-jismiyyah) saja. Kemudian, ia  menyatakan bahwa ketika kaum Peripatetik ingin mengetahui  sesuatu seperti manusia, mereka pun mengemukakan postulat  tentang sesuatu yang melaluinya ide “manusia" (al-insāniyyah) bisa  diketahui, dan bagi mereka, ini disebut definisi “manusia" sebagai  “hewan rasional". Suhrawardi keberatan atas definisi ini dengan  alasan bahwa mendefinisikan X melalui Y yang tersirat dalam X  bukanlah mendefinisikannya. Suhrawardi mengajukan jalan lain  untuk mengetahui ide tentang “manusia", yang berpijak pada  pengetahuan individu tentang esensi dirinya terlebih dahulu.</w:t>
      </w:r>
    </w:p>
    <w:p>
      <w:pPr>
        <w:pStyle w:val="BookText"/>
        <w:bidi w:val="0"/>
        <w:jc w:val="both"/>
        <w:rPr/>
      </w:pPr>
      <w:r>
        <w:rPr>
          <w:rFonts w:eastAsia="Times New Roman" w:cs="Times New Roman" w:ascii="Times New Roman" w:hAnsi="Times New Roman"/>
          <w:color w:val="111111"/>
          <w:sz w:val="28"/>
          <w:szCs w:val="28"/>
          <w:lang w:val="en-US"/>
        </w:rPr>
        <w:t>Sebagai akibat dari kepastian berikutnya yang didasarkan  pada- dan disebabkan oleh — “pengetahuan diri", subjek pun  bisa mengetahui ide tentang “manusia". Jenis pengetahuan  ini, tegas Suhrawardi, tidak akan pernah bisa dicapai melalui  formula-formula definisi yang dibangun semata.</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bagian berikutnya yang berjudul Dalil Iluminasi,  Suhrawardi menegaskan keberatannya lebih jauh atas formula  definisi Peripatetik. Menurut kaum Peripatetik, esensi universal dan  partikular (adz-dzāt al-‘āmm wa al-khāshsh) dari sesuatu yang  didefinisikan harus dispesifikasi. Esensi universal berkaitan  dengan realitas universal (al-haqiqah al-kulliyyah) dari sesuatu  dan disebut genus (al-jins). Esensi khusus disebut diferensia  dari dua sudut pandang yang berbeda. Pertama, setelah </w:t>
      </w:r>
    </w:p>
    <w:p>
      <w:pPr>
        <w:pStyle w:val="BookText"/>
        <w:bidi w:val="0"/>
        <w:rPr/>
      </w:pPr>
      <w:r>
        <w:rPr>
          <w:rFonts w:eastAsia="Times New Roman" w:cs="Times New Roman" w:ascii="Times New Roman" w:hAnsi="Times New Roman"/>
          <w:color w:val="111111"/>
          <w:sz w:val="28"/>
          <w:szCs w:val="28"/>
          <w:lang w:val="en-US"/>
        </w:rPr>
        <w:t>membuktikan bahwa seseorang mencapai sesuatu yang tidak  diketahui (al-majhūl) melalui yang diketahui (al-ma'lūm), dan  bahwa sesuatu yang diketahui harus lebih dahulu diketahui  secara fitri, ia pun keberatan atas formula Peripatetik ihwal definisi  atas dasar bahwa esensi partikular sesuatu, yakni diferensianya,  juga sama-sama tidak diketahui, seperti sesuatu yang akan  didefinisikan, dan tidak juga lebih dahulu, – dengan demikian-  tidak harus digunakan untuk menggabungkan formula, yakni  mendefinisikan sesuatu. Kedua, untuk memiliki pengetahuan  yang meyakinkan (al-ma'rifah al-mutayaqqinah) tentang sesuatu  keseluruhan atau jumlah organik (al-ijtimā”) dari esensi (al-  jāmi' adz-dzātiyyah) harus diketahui. Ini tidak bisa dilakukan  hanya dengan proses mengurangi secara khas esensi-esensi  (yakni diferensia) sesuatu karena boleh jadi masih ada berbagai  sifat (shifāt) “tersembunyi" (ghair zhāhirah) yang berhubungan  dengan sesuatu, yang dengan demikian membuat uraian jadi  tidak sempurna.</w:t>
      </w:r>
    </w:p>
    <w:p>
      <w:pPr>
        <w:pStyle w:val="BookText"/>
        <w:bidi w:val="0"/>
        <w:jc w:val="both"/>
        <w:rPr/>
      </w:pPr>
      <w:r>
        <w:rPr>
          <w:rFonts w:eastAsia="Times New Roman" w:cs="Times New Roman" w:ascii="Times New Roman" w:hAnsi="Times New Roman"/>
          <w:color w:val="111111"/>
          <w:sz w:val="28"/>
          <w:szCs w:val="28"/>
          <w:lang w:val="en-US"/>
        </w:rPr>
        <w:t>Ini berarti Suhrawardi menganggap, sesuatu mungkin  saja punya jumlah esensi yang besar, atau bahkan tak terhitung,  yakni urutan esensi sesuatu yang tidak punya lompatan lebih  rendah atau lebih tinggi. Ini mudah dibayangkan ketika kita  memikirkan sesuatu yang punya beberapa sifat, tak terhitung,  bahkan barangkali tak terbatas. Suhrawardi memberitahu kita  bahwa guru kaum Peripatetik (Aristoteles) mengakui kesulitan  dalam memperoleh berbagai definisi hakiki dari segala sesuatu.</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Teori Definisi Suhrawardi, yang diuraikannya lebih rinci dalam  karyanya yang terakhir ini bertujuan menspesifikasi hal-hal  yang secara khusus berkaitan dengan keseluruhan organik (al-  ijtimāʻ) dari sesuatu. Keseluruhan sesuatu tidak dapat diketahui </w:t>
      </w:r>
    </w:p>
    <w:p>
      <w:pPr>
        <w:pStyle w:val="BookText"/>
        <w:bidi w:val="0"/>
        <w:rPr/>
      </w:pPr>
      <w:r>
        <w:rPr>
          <w:rFonts w:eastAsia="Times New Roman" w:cs="Times New Roman" w:ascii="Times New Roman" w:hAnsi="Times New Roman"/>
          <w:color w:val="111111"/>
          <w:sz w:val="28"/>
          <w:szCs w:val="28"/>
          <w:lang w:val="en-US"/>
        </w:rPr>
        <w:t>hanya dengan metode formal pemilahan jumlah terbatas sifat-  sifat esensial sesuatu, melainkan hanya bisa diketahui melalui  proses epistemologi lain. Seperti akan kita lihat nanti, inilah  gagasan epistemologi Iluminasi tentang mengetahui sesuatu  berdasarkan “melihat" sesuatu sebagaimana adanya.</w:t>
      </w:r>
    </w:p>
    <w:p>
      <w:pPr>
        <w:pStyle w:val="BookText"/>
        <w:bidi w:val="0"/>
        <w:jc w:val="both"/>
        <w:rPr/>
      </w:pPr>
      <w:r>
        <w:rPr>
          <w:rFonts w:eastAsia="Times New Roman" w:cs="Times New Roman" w:ascii="Times New Roman" w:hAnsi="Times New Roman"/>
          <w:color w:val="111111"/>
          <w:sz w:val="28"/>
          <w:szCs w:val="28"/>
          <w:lang w:val="en-US"/>
        </w:rPr>
        <w:t>Bab kedua dari Bagian Satu Hikmah Al-Isyrāq, diberi judul  Tentang Bukti-Bukti dan Prinsip-Prinsipnya,</w:t>
      </w:r>
      <w:r>
        <w:rPr>
          <w:rStyle w:val="FootnoteAnchor"/>
        </w:rPr>
        <w:footnoteReference w:id="137"/>
      </w:r>
      <w:r>
        <w:rPr>
          <w:rFonts w:eastAsia="Times New Roman" w:cs="Times New Roman" w:ascii="Times New Roman" w:hAnsi="Times New Roman"/>
          <w:color w:val="111111"/>
          <w:sz w:val="28"/>
          <w:szCs w:val="28"/>
          <w:lang w:val="en-US"/>
        </w:rPr>
        <w:t>terdiri dari tujuh  kaidah. Bidang-bidang yang dipilih dari tiga bab Organon  tradisional – tentang Interpretasi, Al-Qiyās, dan Al-Burhān-  diuraikan dalam bab ini.</w:t>
      </w:r>
    </w:p>
    <w:p>
      <w:pPr>
        <w:pStyle w:val="BookText"/>
        <w:bidi w:val="0"/>
        <w:jc w:val="both"/>
        <w:rPr/>
      </w:pPr>
      <w:r>
        <w:rPr>
          <w:rFonts w:eastAsia="Times New Roman" w:cs="Times New Roman" w:ascii="Times New Roman" w:hAnsi="Times New Roman"/>
          <w:color w:val="111111"/>
          <w:sz w:val="28"/>
          <w:szCs w:val="28"/>
          <w:lang w:val="en-US"/>
        </w:rPr>
        <w:t>Kaidah pertama, membahas dan mengkaji proposisi  (qadhiyyah) dan silogisme (qiyās).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Lihat, Bochenski, Ancient Formal Logic, hlm. 85-86.</w:t>
      </w:r>
    </w:p>
    <w:p>
      <w:pPr>
        <w:pStyle w:val="BookText"/>
        <w:bidi w:val="0"/>
        <w:jc w:val="both"/>
        <w:rPr/>
      </w:pPr>
      <w:r>
        <w:rPr>
          <w:rFonts w:eastAsia="Times New Roman" w:cs="Times New Roman" w:ascii="Times New Roman" w:hAnsi="Times New Roman"/>
          <w:color w:val="111111"/>
          <w:sz w:val="28"/>
          <w:szCs w:val="28"/>
          <w:lang w:val="en-US"/>
        </w:rPr>
        <w:t>Proposisi didefinisikan  sebagai pernyataan yang bisa dikatakan benar atau salah.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Silogisme adalah pernyataan yang terdiri dari proposisi-  proposisi. Proposisi yang paling sederhana bersifat predikatif  (hamliyyah) yang terdiri dari subjek (maudhū“) dan predikat  (mahmūl),</w:t>
      </w:r>
      <w:r>
        <w:rPr>
          <w:rStyle w:val="FootnoteAnchor"/>
        </w:rPr>
        <w:footnoteReference w:id="139"/>
      </w:r>
      <w:r>
        <w:rPr>
          <w:rFonts w:eastAsia="Times New Roman" w:cs="Times New Roman" w:ascii="Times New Roman" w:hAnsi="Times New Roman"/>
          <w:color w:val="111111"/>
          <w:sz w:val="28"/>
          <w:szCs w:val="28"/>
          <w:lang w:val="en-US"/>
        </w:rPr>
        <w:t>adalah mungkin untuk menggabungkan dua (atau  lebih) proposisi ke dalam satu proposisi dengan menggabungkan  keduanya. Jika hubungan itu berdasarkan implikasi (luzūm),  maka proposisinya bersifat bersyarat berkaitan (asy-syarthiyyah  al-muttashilah).</w:t>
      </w:r>
      <w:r>
        <w:rPr>
          <w:rStyle w:val="FootnoteAnchor"/>
        </w:rPr>
        <w:footnoteReference w:id="140"/>
      </w:r>
      <w:r>
        <w:rPr>
          <w:rFonts w:eastAsia="Times New Roman" w:cs="Times New Roman" w:ascii="Times New Roman" w:hAnsi="Times New Roman"/>
          <w:color w:val="111111"/>
          <w:sz w:val="28"/>
          <w:szCs w:val="28"/>
          <w:lang w:val="en-US"/>
        </w:rPr>
        <w:t>Bagian yang dihubungkan dengan syarat  (asy-syarth) disebut anteseden (al-muqaddam), dan bagian  yang dihubungkan dengan hasil (al-jazā') disebut konsekuensi  (at-tālī). Jika hubungan dua proposisi ini didasarkan pada  pertentangan (al-'inād, yang bisa diterjemahkan sebagai  "disjungsi"), maka proposisi itu disebut bersyarat disjungtif atau  terpisah (asy-syarthiyyah al-munfashilah).</w:t>
      </w:r>
      <w:r>
        <w:rPr>
          <w:rStyle w:val="FootnoteAnchor"/>
        </w:rPr>
        <w:footnoteReference w:id="141"/>
      </w:r>
      <w:r>
        <w:rPr>
          <w:rFonts w:eastAsia="Times New Roman" w:cs="Times New Roman" w:ascii="Times New Roman" w:hAnsi="Times New Roman"/>
          <w:color w:val="111111"/>
          <w:sz w:val="28"/>
          <w:szCs w:val="28"/>
          <w:lang w:val="en-US"/>
        </w:rPr>
        <w:t xml:space="preserve">Proposisi-proposisi  lain bisa dibentuk dengan menghubungkan dua proposisi atau  lebih seperti itu. Semua proposisi bersyarat adalah modifikasi </w:t>
      </w:r>
    </w:p>
    <w:p>
      <w:pPr>
        <w:pStyle w:val="BookText"/>
        <w:bidi w:val="0"/>
        <w:rPr/>
      </w:pPr>
      <w:r>
        <w:rPr>
          <w:rFonts w:eastAsia="Times New Roman" w:cs="Times New Roman" w:ascii="Times New Roman" w:hAnsi="Times New Roman"/>
          <w:color w:val="111111"/>
          <w:sz w:val="28"/>
          <w:szCs w:val="28"/>
          <w:lang w:val="en-US"/>
        </w:rPr>
        <w:t>dari proposisi predikatif, meskipun tidak ada usaha yang  dilakukan oleh Suhrawardi untuk menunjukkan cara mereduksi  atau bentuk hubungan dalam proposisi menjadi bentuk lain.</w:t>
      </w:r>
    </w:p>
    <w:p>
      <w:pPr>
        <w:pStyle w:val="BookText"/>
        <w:bidi w:val="0"/>
        <w:jc w:val="both"/>
        <w:rPr/>
      </w:pPr>
      <w:r>
        <w:rPr>
          <w:rFonts w:eastAsia="Times New Roman" w:cs="Times New Roman" w:ascii="Times New Roman" w:hAnsi="Times New Roman"/>
          <w:color w:val="111111"/>
          <w:sz w:val="28"/>
          <w:szCs w:val="28"/>
          <w:lang w:val="en-US"/>
        </w:rPr>
        <w:t>Ini diikuti dengan pembahasan modus ponen, modus tollens,  kesalahan-kesalahan, serta kesimpulan-kesimpulan sahih  yang dibuat melalui afirmasi atau negasi atas anteseden atau  konsekuen dalam silogisme bersyarat dan disjungtif. Pokok  bahasan Kaidah ini berkaitan erat dengan bagian pertama tiga  bab logika dalam At-Talwihāt dan Al-Masyāri' wa Al-Muthārahāt.</w:t>
      </w:r>
    </w:p>
    <w:p>
      <w:pPr>
        <w:pStyle w:val="BookText"/>
        <w:bidi w:val="0"/>
        <w:jc w:val="both"/>
        <w:rPr/>
      </w:pPr>
      <w:r>
        <w:rPr>
          <w:rFonts w:eastAsia="Times New Roman" w:cs="Times New Roman" w:ascii="Times New Roman" w:hAnsi="Times New Roman"/>
          <w:color w:val="111111"/>
          <w:sz w:val="28"/>
          <w:szCs w:val="28"/>
          <w:lang w:val="en-US"/>
        </w:rPr>
        <w:t>Kaidah kedua, membahas proposisi-proposisi universal  dan partikular.</w:t>
      </w:r>
      <w:r>
        <w:rPr>
          <w:rStyle w:val="FootnoteAnchor"/>
        </w:rPr>
        <w:footnoteReference w:id="142"/>
      </w:r>
      <w:r>
        <w:rPr>
          <w:rFonts w:eastAsia="Times New Roman" w:cs="Times New Roman" w:ascii="Times New Roman" w:hAnsi="Times New Roman"/>
          <w:color w:val="111111"/>
          <w:sz w:val="28"/>
          <w:szCs w:val="28"/>
          <w:lang w:val="en-US"/>
        </w:rPr>
        <w:t>Di sini Suhrawardi memperkenalkan  pengandaian selalu (dā'iman) dan kadang-kadang (ba'd al-  auqāt). Selanjutnya, ia membahas bentuk-bentuk inklusi (al-  istighrāq), tanda kuantifikasi (as-sūr),</w:t>
      </w:r>
      <w:r>
        <w:rPr>
          <w:rStyle w:val="FootnoteAnchor"/>
        </w:rPr>
        <w:footnoteReference w:id="143"/>
      </w:r>
      <w:r>
        <w:rPr>
          <w:rFonts w:eastAsia="Times New Roman" w:cs="Times New Roman" w:ascii="Times New Roman" w:hAnsi="Times New Roman"/>
          <w:color w:val="111111"/>
          <w:sz w:val="28"/>
          <w:szCs w:val="28"/>
          <w:lang w:val="en-US"/>
        </w:rPr>
        <w:t>proposisi partikular  (asy-syākhishah),</w:t>
      </w:r>
      <w:r>
        <w:rPr>
          <w:rStyle w:val="FootnoteAnchor"/>
        </w:rPr>
        <w:footnoteReference w:id="144"/>
      </w:r>
      <w:r>
        <w:rPr>
          <w:rFonts w:eastAsia="Times New Roman" w:cs="Times New Roman" w:ascii="Times New Roman" w:hAnsi="Times New Roman"/>
          <w:color w:val="111111"/>
          <w:sz w:val="28"/>
          <w:szCs w:val="28"/>
          <w:lang w:val="en-US"/>
        </w:rPr>
        <w:t>proposisi universal terbatas (al-muhmalah  al-baʼdhiyyah),</w:t>
      </w:r>
      <w:r>
        <w:rPr>
          <w:rStyle w:val="FootnoteAnchor"/>
        </w:rPr>
        <w:footnoteReference w:id="145"/>
      </w:r>
      <w:r>
        <w:rPr>
          <w:rFonts w:eastAsia="Times New Roman" w:cs="Times New Roman" w:ascii="Times New Roman" w:hAnsi="Times New Roman"/>
          <w:color w:val="111111"/>
          <w:sz w:val="28"/>
          <w:szCs w:val="28"/>
          <w:lang w:val="en-US"/>
        </w:rPr>
        <w:t>serta proposisi universal tak terbatas (al-  muhithah).</w:t>
      </w:r>
      <w:r>
        <w:rPr>
          <w:rStyle w:val="FootnoteAnchor"/>
        </w:rPr>
        <w:footnoteReference w:id="146"/>
      </w:r>
      <w:r>
        <w:rPr>
          <w:rFonts w:eastAsia="Times New Roman" w:cs="Times New Roman" w:ascii="Times New Roman" w:hAnsi="Times New Roman"/>
          <w:color w:val="111111"/>
          <w:sz w:val="28"/>
          <w:szCs w:val="28"/>
          <w:lang w:val="en-US"/>
        </w:rPr>
        <w:t>Dalam setiap kasus, perhatian yang cermat diberikan  pada bahasan tentang afirmasi (ijāb) dan negasi (salb). Selanjutnya,  Suhrawardi membahas problem logika khusus yang berkaitan  dengan bahasa Arab. Problem ini berkaitan dengan kedudukan  kata kerja penghubung atau pengikat (ar-rābith) dalam negasi.</w:t>
      </w:r>
    </w:p>
    <w:p>
      <w:pPr>
        <w:pStyle w:val="BookText"/>
        <w:bidi w:val="0"/>
        <w:jc w:val="both"/>
        <w:rPr/>
      </w:pPr>
      <w:r>
        <w:rPr>
          <w:rFonts w:eastAsia="Times New Roman" w:cs="Times New Roman" w:ascii="Times New Roman" w:hAnsi="Times New Roman"/>
          <w:color w:val="111111"/>
          <w:sz w:val="28"/>
          <w:szCs w:val="28"/>
          <w:lang w:val="en-US"/>
        </w:rPr>
        <w:t>Persoalannya, bagaimana menegasikan proposisi majemuk  yang kata penghubungnya berupa konjungsi, diskonjungsi,  atau implikasi yang memengaruhi bentuk proposisi? Dibedakan  antara bahasa Arab dan bahasa non-Arab dan juga digunakan  skema yang digeneralisasikan. Pengaruh negasi atas proposisi-  proposisi partikular dan universal pun dikaji dan ditelaah.</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Dalam kasus proposisi-proposisi universal, dikatakan bahwa  semua p adalah q, dan (semua p adalah q) mereduksi menjadi  sebagian p adalah q.</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Pokok bahasan Kaidah ini adalah pilihan dari problem-problem  yang diuraikan dalam bab tiga bagian 2-4 logika dalam At-</w:t>
      </w:r>
    </w:p>
    <w:p>
      <w:pPr>
        <w:pStyle w:val="BookText"/>
        <w:bidi w:val="0"/>
        <w:rPr/>
      </w:pPr>
      <w:r>
        <w:rPr>
          <w:rFonts w:eastAsia="Times New Roman" w:cs="Times New Roman" w:ascii="Times New Roman" w:hAnsi="Times New Roman"/>
          <w:color w:val="111111"/>
          <w:sz w:val="28"/>
          <w:szCs w:val="28"/>
          <w:lang w:val="en-US"/>
        </w:rPr>
        <w:t>Talwihāt, dan bab tiga bagian 2-9 logika dalam Al-Masyāri' wa  Al-Muthārahāt. Karena itu, Kaidah Satu dan Kaidah Dua dalam  bab dua merupakan ringkasan bab tiga logika dalam At-Talwihāt  dan Al-Masyāri' wa Al-Muthārahāt.</w:t>
      </w:r>
    </w:p>
    <w:p>
      <w:pPr>
        <w:pStyle w:val="BookText"/>
        <w:bidi w:val="0"/>
        <w:jc w:val="both"/>
        <w:rPr/>
      </w:pPr>
      <w:r>
        <w:rPr>
          <w:rFonts w:eastAsia="Times New Roman" w:cs="Times New Roman" w:ascii="Times New Roman" w:hAnsi="Times New Roman"/>
          <w:color w:val="111111"/>
          <w:sz w:val="28"/>
          <w:szCs w:val="28"/>
          <w:lang w:val="en-US"/>
        </w:rPr>
        <w:t>Dalam Kaidah ketiga, Suhrawardi membahas proposisi  modal (al-qadhiyyah al-muwajjahah) dan turunan-turunannya.</w:t>
      </w:r>
      <w:r>
        <w:rPr>
          <w:rStyle w:val="FootnoteAnchor"/>
        </w:rPr>
        <w:footnoteReference w:id="148"/>
      </w:r>
      <w:r>
        <w:rPr>
          <w:rFonts w:eastAsia="Times New Roman" w:cs="Times New Roman" w:ascii="Times New Roman" w:hAnsi="Times New Roman"/>
          <w:color w:val="111111"/>
          <w:sz w:val="28"/>
          <w:szCs w:val="28"/>
          <w:lang w:val="en-US"/>
        </w:rPr>
        <w:t xml:space="preserve"> Hubungan antara subjek dan predikat dari sebuah proposisi  predikatif disebut harus atau mesti (wājib), tidak mungkin  (mumtani') atau mungkin (mumkin). Setelah menelaah  proposisi-proposisi modal, Suhrawardi menganalisis problem  yang berkaitan dengan penggunaan tolok-ukur universal yang  tak terbatas dengan membedakan istilah-istilah "semua"  (kull), “masing-masing dan setiap" (kull wāhid wāhid), dan  “keseluruhan" (al-jami'). Di dalam bagian terpisah dengan  judul Kearifan lluminasi (Hikmah Isyrāqiyyah), Suhrawardi  berusaha mereduksi semua proposisi ke dalam satu bentuk  yang disebutnya sebagai “proposisi wajib selalu" (al-mūjibah  adh-dharūriyyah al-battātah). </w:t>
      </w:r>
      <w:r>
        <w:rPr>
          <w:rStyle w:val="FootnoteAnchor"/>
        </w:rPr>
        <w:footnoteReference w:id="149"/>
      </w:r>
      <w:r>
        <w:rPr>
          <w:rFonts w:eastAsia="Times New Roman" w:cs="Times New Roman" w:ascii="Times New Roman" w:hAnsi="Times New Roman"/>
          <w:color w:val="111111"/>
          <w:sz w:val="28"/>
          <w:szCs w:val="28"/>
          <w:lang w:val="en-US"/>
        </w:rPr>
        <w:t>Inilah di antara bidang logika  formal penting, di mana Suhrawardi menyimpang dari kaum  Peripatetik (khususnya Ibn Sina), dengan menggabungkan  berbagai modalitas temporal dengan modus wajib (dharurah).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Jenis proposisi ini disebut sebagai "wajib selalu” atau “wajib  selamanya" dan bersifat turunan, atau dengan menggabungkan  tiga jenis proposisi dengan modalitas "selalu" dan modalitas  “kadang-kadang". Dengan pengecualian jenis proposisi khusus  yang diulang-ulang, pokok bahasan dalam bagian ini merupakan  ringkasan bab empat, bagian 1-3 logika dalam Al-Masyāri' wa  Al-Muthārahāt. </w:t>
      </w:r>
    </w:p>
    <w:p>
      <w:pPr>
        <w:pStyle w:val="BookText"/>
        <w:bidi w:val="0"/>
        <w:rPr/>
      </w:pPr>
      <w:r>
        <w:rPr>
          <w:rFonts w:eastAsia="Times New Roman" w:cs="Times New Roman" w:ascii="Times New Roman" w:hAnsi="Times New Roman"/>
          <w:color w:val="111111"/>
          <w:sz w:val="28"/>
          <w:szCs w:val="28"/>
          <w:lang w:val="en-US"/>
        </w:rPr>
        <w:t xml:space="preserve">Dalam Kaidah keempat, Suhrawardi membahas kontradiksi  (at-tanāqudh) dalam proposisi, yang disebut sebagai pembedaan  antara dua proposisi dalam bentuk negasi dan afirmasi. </w:t>
      </w:r>
      <w:r>
        <w:rPr>
          <w:rStyle w:val="FootnoteAnchor"/>
        </w:rPr>
        <w:footnoteReference w:id="150"/>
      </w:r>
      <w:r>
        <w:rPr>
          <w:rFonts w:eastAsia="Times New Roman" w:cs="Times New Roman" w:ascii="Times New Roman" w:hAnsi="Times New Roman"/>
          <w:color w:val="111111"/>
          <w:sz w:val="28"/>
          <w:szCs w:val="28"/>
          <w:lang w:val="en-US"/>
        </w:rPr>
        <w:t xml:space="preserve"> Dalam Kaidah kelima, Suhrawardi membahas konversi  proposisi (al-‘aks), yang menjadikan subjek dari sebuah  proposisi sebagai predikat, sebagai subjek, dan predikat sebagai  subjek dengan menjaga modalitas, yang bersifat afirmatif  maupun negatif, dan juga kuantifikasi proposisi – singkatnya,  ketika subjek dijadikan sebagai predikat, maka kualitas dan  nilai kebenaran proposisi tetap sama. </w:t>
      </w:r>
      <w:r>
        <w:rPr>
          <w:rStyle w:val="FootnoteAnchor"/>
        </w:rPr>
        <w:footnoteReference w:id="151"/>
      </w:r>
      <w:r>
        <w:rPr>
          <w:rFonts w:eastAsia="Times New Roman" w:cs="Times New Roman" w:ascii="Times New Roman" w:hAnsi="Times New Roman"/>
          <w:color w:val="111111"/>
          <w:sz w:val="28"/>
          <w:szCs w:val="28"/>
          <w:lang w:val="en-US"/>
        </w:rPr>
        <w:t>Bagian ini merupakan  ringkasan pendek bab empat, bagian 5 logika dalam At-Talwībāt  dan bab empat, bagian 4-5, logika dalam Al-Masyāri' wa Al-  Muthārahāt.</w:t>
      </w:r>
    </w:p>
    <w:p>
      <w:pPr>
        <w:pStyle w:val="BookText"/>
        <w:bidi w:val="0"/>
        <w:jc w:val="both"/>
        <w:rPr/>
      </w:pPr>
      <w:r>
        <w:rPr>
          <w:rFonts w:eastAsia="Times New Roman" w:cs="Times New Roman" w:ascii="Times New Roman" w:hAnsi="Times New Roman"/>
          <w:color w:val="111111"/>
          <w:sz w:val="28"/>
          <w:szCs w:val="28"/>
          <w:lang w:val="en-US"/>
        </w:rPr>
        <w:t>Oleh sebab itu, Kaidah 3-5 bab dua dari bagian satu  dalam Hikmah Al-Isyrāq, dengan pengecualian tambahan ihwal  proposisi modalitas temporal khusus (dalam Kaidah 3), mesti  dipandang sebagai ringkasan dari bab empat logika dalam At-  Talwīhāt dan bab yang sama tentang logika dalam Al-Masyāri'  wa Al-Muthārahāt.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Kaidah keenam, Suhrawardi membahas silogisme. </w:t>
      </w:r>
      <w:r>
        <w:rPr>
          <w:rStyle w:val="FootnoteAnchor"/>
        </w:rPr>
        <w:footnoteReference w:id="152"/>
      </w:r>
      <w:r>
        <w:rPr>
          <w:rFonts w:eastAsia="Times New Roman" w:cs="Times New Roman" w:ascii="Times New Roman" w:hAnsi="Times New Roman"/>
          <w:color w:val="111111"/>
          <w:sz w:val="28"/>
          <w:szCs w:val="28"/>
          <w:lang w:val="en-US"/>
        </w:rPr>
        <w:t xml:space="preserve"> Silogisme disjungtif (al-qiyās al-istitsnā’ī) dan silogisme  hipotesis (al-qiyās al-istirāni), berikut modus ponen dan modus  tollens (dibahas dalam bab dua, Kaidah satu), yang membentuk  bagian teori Suhrawardi tentang kaidah-kaidah inferensi, pun  didefinisikan. Lebih jauh, "term" (al-hadd) sebagai subjek  premis (al-muqaddimah) atau predikat silogisme, dan “term  tengah" (al-hadd al-ausath) juga didefinisikan. Selanjutnya, di  bawah judul terpisah Klarifikasi Iluminasi (Daqiqah Isyrāqiyyah),  Suhrawardi berusaha menggeneralisasikan kaidah-kaidah </w:t>
      </w:r>
    </w:p>
    <w:p>
      <w:pPr>
        <w:pStyle w:val="BookText"/>
        <w:bidi w:val="0"/>
        <w:rPr/>
      </w:pPr>
      <w:r>
        <w:rPr>
          <w:rFonts w:eastAsia="Times New Roman" w:cs="Times New Roman" w:ascii="Times New Roman" w:hAnsi="Times New Roman"/>
          <w:color w:val="111111"/>
          <w:sz w:val="28"/>
          <w:szCs w:val="28"/>
          <w:lang w:val="en-US"/>
        </w:rPr>
        <w:t>formal yang mengatur negasi. Dalam dua bagian berikutnya,  yang masing-masing diberi judul Dalil Iluminasi, Suhrawardi  berusaha menunjukkan bahwa bentuk kedua (asy-syakl ats-tsānī)  dan bentuk ketiga (asy-syakl ats-tsālits) dari silogisme hanya  modifikasi dari bentuk pertama (asy-syakl al-awwal). Bagian-  bagian ini penting untuk kajian sejarah logika formal, tidak  berkaitan langsung dengan kajian teori Pengetahuan Iluminasi  per se. Dalam dua bagian terakhir, Suhrawardi membahas  syarat-syarat (asy-syarthiyyah) dan reduksi ad impossible dalam  silogisme (qiyās al-khulf). Kaidah keenam, sangat selektif,  dan merupakan ringkasan dari bagian pertama bab 5 logika  dalam At-Talwīhāt, dan bab 5 logika dalam Al-Masyāri' wa Al-  Muthārahāt, dan unsur-unsur Al-Qiyās yang dianggap penting  oleh Suhrawardi.</w:t>
      </w:r>
    </w:p>
    <w:p>
      <w:pPr>
        <w:pStyle w:val="BookText"/>
        <w:bidi w:val="0"/>
        <w:jc w:val="both"/>
        <w:rPr/>
      </w:pPr>
      <w:r>
        <w:rPr>
          <w:rFonts w:eastAsia="Times New Roman" w:cs="Times New Roman" w:ascii="Times New Roman" w:hAnsi="Times New Roman"/>
          <w:color w:val="111111"/>
          <w:sz w:val="28"/>
          <w:szCs w:val="28"/>
          <w:lang w:val="en-US"/>
        </w:rPr>
        <w:t>Dalam Kaidah ketujuh, Suhrawardi menguraikan pokok  bahasan demonstrasi (Al-burhān).</w:t>
      </w:r>
      <w:r>
        <w:rPr>
          <w:rStyle w:val="FootnoteAnchor"/>
        </w:rPr>
        <w:footnoteReference w:id="153"/>
      </w:r>
      <w:r>
        <w:rPr>
          <w:rFonts w:eastAsia="Times New Roman" w:cs="Times New Roman" w:ascii="Times New Roman" w:hAnsi="Times New Roman"/>
          <w:color w:val="111111"/>
          <w:sz w:val="28"/>
          <w:szCs w:val="28"/>
          <w:lang w:val="en-US"/>
        </w:rPr>
        <w:t>Ada empat bagian dalam  Kaidah ini. Dalam bagian pertama, yang berhubungan dengan  bagian ketiga bab 5 dari logika dalam At-Talwihāt, Suhrawardi  membahas ihwal materi (māddah, mawād) demonstrasi secara  ekstensif. Ia berpandangan bahwa ilmu yang sebenarnya (al-  ‘ulüm al-haqiqiyyah) harus dibangun melalui demonstrasi yang  berpijak pada premis-premis yang kebenarannya pasti (al-  muqadamāt al-yaqīniyyah), dan menilai bentuk-bentuk premis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Premis-premis utama (al-awwaliyyāt). </w:t>
      </w:r>
      <w:r>
        <w:rPr>
          <w:rStyle w:val="FootnoteAnchor"/>
        </w:rPr>
        <w:footnoteReference w:id="154"/>
      </w:r>
      <w:r>
        <w:rPr>
          <w:rFonts w:eastAsia="Times New Roman" w:cs="Times New Roman" w:ascii="Times New Roman" w:hAnsi="Times New Roman"/>
          <w:color w:val="111111"/>
          <w:sz w:val="28"/>
          <w:szCs w:val="28"/>
          <w:lang w:val="en-US"/>
        </w:rPr>
        <w:t>Inilah premis-premis  seperti “keseluruhan lebih besar dari bagian-bagian”, “dua  benda yang sama dengan sepertiga adalah sama", dan  sebagainya.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Premis-premis yang teramati atau terlihat (al-musyāhadāt) – </w:t>
      </w:r>
    </w:p>
    <w:p>
      <w:pPr>
        <w:pStyle w:val="BookText"/>
        <w:bidi w:val="0"/>
        <w:rPr/>
      </w:pPr>
      <w:r>
        <w:rPr>
          <w:rFonts w:eastAsia="Times New Roman" w:cs="Times New Roman" w:ascii="Times New Roman" w:hAnsi="Times New Roman"/>
          <w:color w:val="111111"/>
          <w:sz w:val="28"/>
          <w:szCs w:val="28"/>
          <w:lang w:val="en-US"/>
        </w:rPr>
        <w:t>yang terlihat melalui indra luar atau dalam. Bukti-bukti  yang didasarkan pada premis-premis "yang terlihat" ini  hanya valid untuk orang yang melihat itu, dan hanya bisa  dikomunikasikan kepada orang lain yang mempunyai posisi  (masyʻar) yang sama dengan orang yang telah “melihat"  objek.</w:t>
      </w:r>
    </w:p>
    <w:p>
      <w:pPr>
        <w:pStyle w:val="BookText"/>
        <w:bidi w:val="0"/>
        <w:jc w:val="both"/>
        <w:rPr/>
      </w:pPr>
      <w:r>
        <w:rPr>
          <w:rFonts w:eastAsia="Times New Roman" w:cs="Times New Roman" w:ascii="Times New Roman" w:hAnsi="Times New Roman"/>
          <w:color w:val="111111"/>
          <w:sz w:val="28"/>
          <w:szCs w:val="28"/>
          <w:lang w:val="en-US"/>
        </w:rPr>
        <w:t xml:space="preserve">Premis-premis intuitif (al-hadsiyyāt). </w:t>
      </w:r>
      <w:r>
        <w:rPr>
          <w:rStyle w:val="FootnoteAnchor"/>
        </w:rPr>
        <w:footnoteReference w:id="155"/>
      </w:r>
      <w:r>
        <w:rPr>
          <w:rFonts w:eastAsia="Times New Roman" w:cs="Times New Roman" w:ascii="Times New Roman" w:hAnsi="Times New Roman"/>
          <w:color w:val="111111"/>
          <w:sz w:val="28"/>
          <w:szCs w:val="28"/>
          <w:lang w:val="en-US"/>
        </w:rPr>
        <w:t>Premis-premis ini  mempunyai dua jenis, yakni premis empiris (mujarrabāt),  yang hanya valid bila frekuensi (at-takrar) kejadiannya tinggi,  dan premis tradisional. Premis-premis intuitif hanya bisa  diperoleh melalui induksi (istighrā') yang dikelompokkan  oleh Suhrawardi sebagai bukan metode pembuktian yang  valid dalam ilmu pengetahuan. Bukti-bukti yang didasarkan  pada intuisi hanya bisa dipertemukan dengan kemampuan-  kemampuan intuitif yang sama.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Premis-premis yang diterima secara umum (al-masyhūrāt).</w:t>
      </w:r>
    </w:p>
    <w:p>
      <w:pPr>
        <w:pStyle w:val="BookText"/>
        <w:bidi w:val="0"/>
        <w:jc w:val="both"/>
        <w:rPr/>
      </w:pPr>
      <w:r>
        <w:rPr>
          <w:rFonts w:eastAsia="Times New Roman" w:cs="Times New Roman" w:ascii="Times New Roman" w:hAnsi="Times New Roman"/>
          <w:color w:val="111111"/>
          <w:sz w:val="28"/>
          <w:szCs w:val="28"/>
          <w:lang w:val="en-US"/>
        </w:rPr>
        <w:t>Kita tahu bahwa premis-premis ini tidak bisa digunakan  dalam ilmu pengetahuan.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Kelompok premis umum yang disebut imajinasi (al-  mukhayyalāt), dan tidak mempunyai nilai ilmiah.</w:t>
      </w:r>
    </w:p>
    <w:p>
      <w:pPr>
        <w:pStyle w:val="BookText"/>
        <w:bidi w:val="0"/>
        <w:jc w:val="both"/>
        <w:rPr/>
      </w:pPr>
      <w:r>
        <w:rPr>
          <w:rFonts w:eastAsia="Times New Roman" w:cs="Times New Roman" w:ascii="Times New Roman" w:hAnsi="Times New Roman"/>
          <w:color w:val="111111"/>
          <w:sz w:val="28"/>
          <w:szCs w:val="28"/>
          <w:lang w:val="en-US"/>
        </w:rPr>
        <w:t>Kita melihat bahwa pembahasan Suhrawardi tentang  premis-premis di sini adalah modifikasi dari At-Talwāhāt:</w:t>
      </w:r>
    </w:p>
    <w:p>
      <w:pPr>
        <w:pStyle w:val="BookText"/>
        <w:bidi w:val="0"/>
        <w:jc w:val="both"/>
        <w:rPr/>
      </w:pPr>
      <w:r>
        <w:rPr>
          <w:rFonts w:eastAsia="Times New Roman" w:cs="Times New Roman" w:ascii="Times New Roman" w:hAnsi="Times New Roman"/>
          <w:color w:val="111111"/>
          <w:sz w:val="28"/>
          <w:szCs w:val="28"/>
          <w:lang w:val="en-US"/>
        </w:rPr>
        <w:t>Manthiq, V, 3. Dalam tiga bagian terakhir Kaidah ini, Suhrawardi  membahas analogi (yang dianggapnya sebagai bukan bagian  dari metodologi ilmiah), demonstrasi “mengapa" (burhan lima),  demonstrasi penegas (burhān anna), dan persoalan-persoalan  yang dituntut dalam ilmu pengetahuan (al-mathālib).</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kam (kuantitas), kaif (kualitas), idhāfah (relasi), serta harakah  (gerak). Lihat, Suhrawardi, Opera I, hlm. 284; Opera II, hlm. 61-62. Mesti dicamkan bahwa istilah yang digunakan oleh  Suhrawardi sebagai imbangan aksiden adalah hai'ah dan bukan  ‘aradh seperti digunakan oleh kaum Peripatetik. Logikawan  besar, ‘Umar bin Sahlan As-Sawi', yang karyanya, Al-Bashā'ir  telah dikaji oleh Suhrawardi, juga mereduksi kategori-    kategori – dalam hal ini menjadi empat: substansi, kualitas,  kuantitas, serta relasi, – tetapi tidak memasukkan gerak,  sebagaimana ia tidak membahas prinsip isyrāqi tentang gerak  dalam kategori secara esensial. Karena itu, As-Sawi tidak bisa,  menurut hemat saya, dianggap sebagai sumber langsung  Suhrawardi, sebagaimana hal itu diyakini oleh S. J. Sajjadi.</w:t>
      </w:r>
    </w:p>
    <w:p>
      <w:pPr>
        <w:pStyle w:val="BookText"/>
        <w:bidi w:val="0"/>
        <w:jc w:val="both"/>
        <w:rPr/>
      </w:pPr>
      <w:r>
        <w:rPr>
          <w:rFonts w:eastAsia="Times New Roman" w:cs="Times New Roman" w:ascii="Times New Roman" w:hAnsi="Times New Roman"/>
          <w:color w:val="111111"/>
          <w:sz w:val="28"/>
          <w:szCs w:val="28"/>
          <w:lang w:val="en-US"/>
        </w:rPr>
        <w:t>Lihat, Sajjadi, Suhrawardi. (Tehran, 1984), hlm. 88-89.</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Secara  keseluruhan, Kaidah ketujuh adalah seleksi Suhrawardi atas  apa yang dinilainya sebagai problem-problem penting di antara</w:t>
      </w:r>
      <w:bookmarkStart w:id="109" w:name="pg6442_57353"/>
    </w:p>
    <w:p>
      <w:pPr>
        <w:pStyle w:val="BookText"/>
        <w:bidi w:val="0"/>
        <w:rPr/>
      </w:pPr>
      <w:bookmarkEnd w:id="109"/>
      <w:r>
        <w:rPr>
          <w:rFonts w:eastAsia="Times New Roman" w:cs="Times New Roman" w:ascii="Times New Roman" w:hAnsi="Times New Roman"/>
          <w:color w:val="111111"/>
          <w:sz w:val="28"/>
          <w:szCs w:val="28"/>
          <w:lang w:val="en-US"/>
        </w:rPr>
        <w:t>pokok bahasan tradisional Al-Burhān.</w:t>
      </w:r>
    </w:p>
    <w:p>
      <w:pPr>
        <w:pStyle w:val="BookText"/>
        <w:bidi w:val="0"/>
        <w:jc w:val="both"/>
        <w:rPr/>
      </w:pPr>
      <w:r>
        <w:rPr>
          <w:rFonts w:eastAsia="Times New Roman" w:cs="Times New Roman" w:ascii="Times New Roman" w:hAnsi="Times New Roman"/>
          <w:color w:val="111111"/>
          <w:sz w:val="28"/>
          <w:szCs w:val="28"/>
          <w:lang w:val="en-US"/>
        </w:rPr>
        <w:t>Bab ketiga bagian satu Hikmah Al-Isyrāq diberi judul Tentang  Sanggahan-Sanggahan Sofistik dan Beberapa Hukum antara Doktrin-  Doktrin Iluminasi dan Peripatetik,</w:t>
      </w:r>
      <w:r>
        <w:rPr>
          <w:rStyle w:val="FootnoteAnchor"/>
        </w:rPr>
        <w:footnoteReference w:id="157"/>
      </w:r>
      <w:r>
        <w:rPr>
          <w:rFonts w:eastAsia="Times New Roman" w:cs="Times New Roman" w:ascii="Times New Roman" w:hAnsi="Times New Roman"/>
          <w:color w:val="111111"/>
          <w:sz w:val="28"/>
          <w:szCs w:val="28"/>
          <w:lang w:val="en-US"/>
        </w:rPr>
        <w:t>dan dibagi ke dalam tiga  bagian. Dua bagian pertama, merupakan ringkasan Al-Mughālathāt  yang secara umum lebih rinci ketimbang bagian-bagian yang  berkaitan dalam At-Talwāhāt: Manthiq, VI, 5 dan Al-Masyāri' wa Al-  Muthārahāt: Manthioq, IX. Bagian ketiga, merupakan bagian yang  sangat argumentatif, di mana Suhrawardi berdebat dengan kaum  Peripatetik tentang problem-problem penting fisika dan metafisika.</w:t>
      </w:r>
    </w:p>
    <w:p>
      <w:pPr>
        <w:pStyle w:val="BookText"/>
        <w:bidi w:val="0"/>
        <w:jc w:val="both"/>
        <w:rPr/>
      </w:pPr>
      <w:r>
        <w:rPr>
          <w:rFonts w:eastAsia="Times New Roman" w:cs="Times New Roman" w:ascii="Times New Roman" w:hAnsi="Times New Roman"/>
          <w:color w:val="111111"/>
          <w:sz w:val="28"/>
          <w:szCs w:val="28"/>
          <w:lang w:val="en-US"/>
        </w:rPr>
        <w:t>Bagian ini dibagi ke dalam pendahuluan (muqaddimah) dan 10  bagian yang masing-masing disebut hukum (hukūmah). Topik-  topik terpilih bagian ini meliputi dasar-dasar Filsafat Iluminasi  yang berbeda dari Filsafat Peripatetik.</w:t>
      </w:r>
    </w:p>
    <w:p>
      <w:pPr>
        <w:pStyle w:val="Heading3"/>
        <w:numPr>
          <w:ilvl w:val="2"/>
          <w:numId w:val="1"/>
        </w:numPr>
        <w:bidi w:val="0"/>
        <w:jc w:val="left"/>
        <w:rPr/>
      </w:pPr>
      <w:bookmarkStart w:id="110" w:name="__RefHeading___Toc924648_653776707"/>
      <w:bookmarkStart w:id="111" w:name="_Toc37"/>
      <w:bookmarkEnd w:id="110"/>
      <w:r>
        <w:rPr/>
        <w:t>4. PENILAIAN</w:t>
      </w:r>
      <w:bookmarkEnd w:id="111"/>
    </w:p>
    <w:p>
      <w:pPr>
        <w:pStyle w:val="BookText"/>
        <w:bidi w:val="0"/>
        <w:jc w:val="both"/>
        <w:rPr/>
      </w:pPr>
      <w:r>
        <w:rPr>
          <w:rFonts w:eastAsia="Times New Roman" w:cs="Times New Roman" w:ascii="Times New Roman" w:hAnsi="Times New Roman"/>
          <w:color w:val="111111"/>
          <w:sz w:val="28"/>
          <w:szCs w:val="28"/>
          <w:lang w:val="en-US"/>
        </w:rPr>
        <w:t xml:space="preserve">Setelah menguraikan secara garis besar struktur bagian-  bagian logika dalam karya-karya penting Suhrawardi – At-Talwībāt,  Al-Masyāri' wa Al-Muthārahāt, dan Hikmah Al-Isyrāq” </w:t>
      </w:r>
      <w:r>
        <w:rPr>
          <w:rStyle w:val="FootnoteAnchor"/>
        </w:rPr>
        <w:footnoteReference w:id="158"/>
      </w:r>
      <w:r>
        <w:rPr>
          <w:rFonts w:eastAsia="Times New Roman" w:cs="Times New Roman" w:ascii="Times New Roman" w:hAnsi="Times New Roman"/>
          <w:color w:val="111111"/>
          <w:sz w:val="28"/>
          <w:szCs w:val="28"/>
          <w:lang w:val="en-US"/>
        </w:rPr>
        <w:t>– kita  sekarang akan melakukan penilaian atas logika Suhrawardi sebagai  berikut.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Perbedaan-perbedaan paling penting antara struktur Organon  tradisional dan struktur logika Suhrawardi adalah bagian berikut: [1]  tidak ada “buku" tentang kategori-kategori, tidak juga dibahas sama  sekali dalam karya-karya logika Suhrawardi;</w:t>
      </w:r>
      <w:r>
        <w:rPr>
          <w:rStyle w:val="FootnoteAnchor"/>
        </w:rPr>
        <w:footnoteReference w:id="159"/>
      </w:r>
      <w:r>
        <w:rPr>
          <w:rFonts w:eastAsia="Times New Roman" w:cs="Times New Roman" w:ascii="Times New Roman" w:hAnsi="Times New Roman"/>
          <w:color w:val="111111"/>
          <w:sz w:val="28"/>
          <w:szCs w:val="28"/>
          <w:lang w:val="en-US"/>
        </w:rPr>
        <w:t xml:space="preserve">[2] tidak ada “buku"  yang terpisah tentang dialektika, retorika, atau puisi, tetapi terdapat  bahasan tentang pokok-pokok masalah tersebut, dan dianggap  sebagai jenis-jenis silogisme nonilmiah dan premis-premis yang  digunakan juga dikatakan nonilmiah. Terlepas dari perbedaan- </w:t>
      </w:r>
    </w:p>
    <w:p>
      <w:pPr>
        <w:pStyle w:val="BookText"/>
        <w:bidi w:val="0"/>
        <w:rPr/>
      </w:pPr>
      <w:r>
        <w:rPr>
          <w:rFonts w:eastAsia="Times New Roman" w:cs="Times New Roman" w:ascii="Times New Roman" w:hAnsi="Times New Roman"/>
          <w:color w:val="111111"/>
          <w:sz w:val="28"/>
          <w:szCs w:val="28"/>
          <w:lang w:val="en-US"/>
        </w:rPr>
        <w:t>perbedaan ini, logika Suhrawardi adalah ringkasan selektif problem-  problem logika dalam Organon yang sering disikapi dengan  penekanan-penekanan yang berbeda. Dalam kesempatan lain,  terdapat usaha di bagian-bagian tertentu untuk memodifikasi atau  mengubah hukum-hukum formal logika Peripatetik, dan terdapat  suatu penekanan khusus yang ditempatkan pada penggunaan  pragmatis kaidah-kaidah logika-semantik formal dan materiel-  dalam filsafat. Logika dianggap sebagai alat terpisah yang menjadi  subordinat filsafat.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Struktur ketiga karya yang dikaji dan ditelaah di sini adalah  sama, dengan mempertimbangkan urutan tempat pokok-pokok  logika dibahas. Namun, terdapat beberapa perbedaan yang perlu  dicatat. Logika dalam At-Talwāhāt terdiri dari enam bab, sementara  logika dalam Al-Masyāri' wa Al-Muthārahāt terdiri dari sembilan bab,  dan ini merupakan perbedaan struktural yang sedikit. Tiga bagian  bab lima dan bagian kelima bab enam logika dalam At-Talwīhāt  dibuat secara terpisah dalam Al-Masyāri' wa Al-Muthārahāt. Namun,  struktur logika dalam Hikmah Al-Isyrāq, secara substansial, berbeda  dari dua karya tersebut. Struktur “baru” logika yang berkembang  dalam Hikmah Al-Isyrāq merefleksikan penataan kembali Suhrawardi  atas logika secara garis besar ke dalam tiga bidang terbatas: [1]  semantik (Bab I) yang meliputi ringkasan Al-Madkhal, ditambah  dengan masalah-masalah definisi dan deskripsi; [2] prinsip-prinsip  bukti (Bab II) yang meliputi ringkasan Fi Al-'Ibārah Al-Qiyās dan Al-  Burhān terpilih, yang merupakan pandangan Suhrawardi tentang  kaidah-kaidah yang mengatur logika formal dan materiel; dan [3]  kesalahan-kesalahan logika formal dan materiel (Bab II, 1-2), yang  secara struktural merupakan ringkasan Al-Mughālathāt, tetapi juga  merupakan bagian logika, di mana Suhrawardi berusaha menolak </w:t>
      </w:r>
    </w:p>
    <w:p>
      <w:pPr>
        <w:pStyle w:val="BookText"/>
        <w:bidi w:val="0"/>
        <w:rPr/>
      </w:pPr>
      <w:r>
        <w:rPr>
          <w:rFonts w:eastAsia="Times New Roman" w:cs="Times New Roman" w:ascii="Times New Roman" w:hAnsi="Times New Roman"/>
          <w:color w:val="111111"/>
          <w:sz w:val="28"/>
          <w:szCs w:val="28"/>
          <w:lang w:val="en-US"/>
        </w:rPr>
        <w:t>beberapa pandangan Peripatetik ketika ia memformulasikan  kembali pandangannya. Struktur baru ini merefleksikan usaha  Suhrawardi dalam menata kembali Organon tradisional sesuai  dengan pembagian gandanya tentang logika ke dalam proposisi-  proposisi penjelas dan bukti-bukti. (Kesalahan-kesalahan logika  adalah akibat wajar yang pasti).</w:t>
      </w:r>
    </w:p>
    <w:p>
      <w:pPr>
        <w:pStyle w:val="BookText"/>
        <w:bidi w:val="0"/>
        <w:jc w:val="both"/>
        <w:rPr/>
      </w:pPr>
      <w:r>
        <w:rPr>
          <w:rFonts w:eastAsia="Times New Roman" w:cs="Times New Roman" w:ascii="Times New Roman" w:hAnsi="Times New Roman"/>
          <w:color w:val="111111"/>
          <w:sz w:val="28"/>
          <w:szCs w:val="28"/>
          <w:lang w:val="en-US"/>
        </w:rPr>
        <w:t>Akhirnya, kita dapat menunjuk pada berbagai bidang  dan problem logika yang khususnya berkaitan dengan Filsafat  Iluminasi. Pertama, kita bisa mengidentifikasi semua kaidah logika  dalam Bagian Satu Hikmah Al-Isyrāq. Betapa pun kaidah-kaidah ini  mungkin benar (Suhrawardi tidak memasukkannya ke dalam karya  ini jika kasusnya tidak demikian), pernyataan umum semacam  itu tidak bisa banyak membantu upaya kita untuk menjawab  pertanyaan, “Apakah Filsafat Iluminasi itu?" Kenyataannya, dengan  kajian yang lebih dekat, kita menyadari bahwa dalam logika Hikmah  Al-Isyrāq, Suhrawardi telah menunjuk bidang dan masalah khusus  dengan memilahnya melalui bagian-bagian terdahulu, semisal  “Dalil Iluminasi”, “Kearifan lluminasi", dan sebagainya. Di antara  sebagian besar problem khusus yang sering ditunjuk Suhrawardi,  adalah hal-hal penting berikut: definisi, negasi, proposisi “afirmatif  universal yang selalu pasti", dan bentuk kedua dan ketiga silogisme.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pengecualian definisi, semuanya ini adalah problem-  problem logika formal. Definisi memainkan peran penting dalam  metodologi filsafat, dan secara khusus berkaitan dengan masalah  dasar epistemologi pengetahuan Iluminasi. Bagaimana ia diperoleh  dan ia bisa didefinisikan? Kita akan membahas problem ini secara  panjang lebar dalam bab berikut. Pembahasan tentang problem-  problem logika formal kita tinggalkan untuk kemudian menuju  bahasan khusus tentang logika Suhrawardi. </w:t>
      </w:r>
      <w:bookmarkStart w:id="112" w:name="pg6442_57356"/>
    </w:p>
    <w:p>
      <w:pPr>
        <w:pStyle w:val="Heading3"/>
        <w:numPr>
          <w:ilvl w:val="2"/>
          <w:numId w:val="1"/>
        </w:numPr>
        <w:bidi w:val="0"/>
        <w:jc w:val="left"/>
        <w:rPr/>
      </w:pPr>
      <w:bookmarkStart w:id="113" w:name="__RefHeading___Toc924650_653776707"/>
      <w:bookmarkStart w:id="114" w:name="_Toc38"/>
      <w:bookmarkEnd w:id="112"/>
      <w:bookmarkEnd w:id="113"/>
      <w:r>
        <w:rPr/>
        <w:t>Catatan</w:t>
      </w:r>
      <w:bookmarkEnd w:id="1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Suhrawardi, Manthiq At-Talwāhāt, disunting oleh A. A. Fayyaz,  (Tehran: Tehran University Press, 1334/1955) (selanjutnya  disebut At-Talwīhāt: Manthiq).</w:t>
      </w:r>
    </w:p>
    <w:p>
      <w:pPr>
        <w:pStyle w:val="BookText"/>
        <w:bidi w:val="0"/>
        <w:jc w:val="both"/>
        <w:rPr/>
      </w:pPr>
      <w:r>
        <w:rPr>
          <w:rFonts w:eastAsia="Times New Roman" w:cs="Times New Roman" w:ascii="Times New Roman" w:hAnsi="Times New Roman"/>
          <w:color w:val="111111"/>
          <w:sz w:val="28"/>
          <w:szCs w:val="28"/>
          <w:lang w:val="en-US"/>
        </w:rPr>
        <w:t>Logika dan fisika Suhrawardi dalam Al-Masyāri' wa Al-  Muthārahāt (belum diterbitkan). Saya menggunakan karya  MS berikut, tertanggal 707 H: Al-Masyāri' wa Al-Muthārahāt,  MS Leiden Or. 365 (selanjutnya disebut Al-Masyāri' wa Al-  Muthārahāt).</w:t>
      </w:r>
    </w:p>
    <w:p>
      <w:pPr>
        <w:pStyle w:val="BookText"/>
        <w:bidi w:val="0"/>
        <w:jc w:val="both"/>
        <w:rPr/>
      </w:pPr>
      <w:r>
        <w:rPr>
          <w:rFonts w:eastAsia="Times New Roman" w:cs="Times New Roman" w:ascii="Times New Roman" w:hAnsi="Times New Roman"/>
          <w:color w:val="111111"/>
          <w:sz w:val="28"/>
          <w:szCs w:val="28"/>
          <w:lang w:val="en-US"/>
        </w:rPr>
        <w:t>Penekanan khusus akan ditempatkan pada logika Sinkretisme  Peripatetik, yakni logika mazhab Peripatetik setelah  Theoprastus dan pada mazhab Megaric Stois. Untuk bahasan  tentang logika Sinkretisme Peripatetik. Lihat, I. M. Bochenski,  Ancient Formal Logic. (Amsterdam: North-Hollan, 1951),  hlm. 9-13; William and Martha Kneale, The Development of  Logic. (Oxford: Oxford University Press, Clarendon Press,  1968), hlm. 101-117; dan untuk bahasan tentang transmisi  logika Megaric Stoic ke dunia Islam. Lihat, Fehmi Jadaane,  L'influence du Stoicism sur la Pensee Musulmane. (Beirut: Dar  al-Masyriq, 1968), hlm. 43-98.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At-Talwībāt: Manthiq, hlm. 1-3.</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tentang konsepsi dan penilaian semacam itu  sesuai dengan pandangan Al-Baghdadi dan As-Sawi. Lihat, Al-  Baghdadi, Al-Mu'tabar, I, hlm. 34-37; As-Sawi, At-Tabshirah,  disunting oleh M. T. Danesh-Pajouh dalam Tabshīrah va Dū  Risālah-yi Digar Dar Manthiq. (Tehran: Tehran University  Press, 1958), hlm. 4. Penilaian yang sama juga diberikan  oleh Suhrawardi dalam Al-Lamahāt. (hlm. 58-59). Teori  konsepsi (tashawwur) dan penilaian (tashdiq) mempunyai  kedudukan penting dalam Filsafat Persia dan Arab abad  pertengahan. Terdapat pandangan yang berbeda berdasarkan  asal-usul Yunaninya. Harry A. Wolfson menganggap asal-  usul “konsepsi" adalah vónos, Aristoteles atau pavtaoía </w:t>
      </w:r>
    </w:p>
    <w:p>
      <w:pPr>
        <w:pStyle w:val="BookText"/>
        <w:bidi w:val="0"/>
        <w:rPr/>
      </w:pPr>
      <w:r>
        <w:rPr>
          <w:rFonts w:eastAsia="Times New Roman" w:cs="Times New Roman" w:ascii="Times New Roman" w:hAnsi="Times New Roman"/>
          <w:color w:val="111111"/>
          <w:sz w:val="28"/>
          <w:szCs w:val="28"/>
          <w:lang w:val="en-US"/>
        </w:rPr>
        <w:t>λογική Stoic dan menganggap penilaian adalah Iogos λόγος  ÁTrogavtikós Aristoteles (de Int. 1728) atau áfíwu. Stoic  (Harry A. Wolfson, Studies in the History of Philosophy  and Religion, disunting oleh Isadore Twersky dan George  H. Williams (Cambridge: Harvard University Press, 1973),  hlm. 478-490. Sohail Afnan dan A. M. Goichon menganggap  “penilaian" sebagai terjemahan langsung vónois. Lebih jauh,  Afnan membandingkan “konsepsi" dengan tepi javtaoís  Stoic. Lihat, S. Afnan, Philosophical Lexicon in Persian and  Arabic, hlm. 143, 154-155; A. M. Goichon, Lexique de Langue  Philosophie d'Ibn Sina: Supplement, hlm. 15. Lihat juga  Jaddne, L'influence du Stoicisme, hlm. 106-113.</w:t>
      </w:r>
    </w:p>
    <w:p>
      <w:pPr>
        <w:pStyle w:val="BookText"/>
        <w:bidi w:val="0"/>
        <w:jc w:val="both"/>
        <w:rPr/>
      </w:pPr>
      <w:r>
        <w:rPr>
          <w:rFonts w:eastAsia="Times New Roman" w:cs="Times New Roman" w:ascii="Times New Roman" w:hAnsi="Times New Roman"/>
          <w:color w:val="111111"/>
          <w:sz w:val="28"/>
          <w:szCs w:val="28"/>
          <w:lang w:val="en-US"/>
        </w:rPr>
        <w:t>Bisa jadi terdapat perbandingan yang dibuat oleh Al-Baghdadi,  yang juga membedakan antara pengetahuan bawaan dan  pengetahuan perolehan yang digabungkan dalam epistemologi  pengetahuan yang “ jelas” (Al-Mu'tabar, 1, 40-46), tetapi istilah  yang digunakan oleh Al-Baghdadi untuk bawaan adalah Al-  gharīzi. Istilah yang sama juga digunakan oleh As-Sawi, (At-  Tabshīrah, hlm. 31).</w:t>
      </w:r>
    </w:p>
    <w:p>
      <w:pPr>
        <w:pStyle w:val="BookText"/>
        <w:bidi w:val="0"/>
        <w:jc w:val="both"/>
        <w:rPr/>
      </w:pPr>
      <w:r>
        <w:rPr>
          <w:rFonts w:eastAsia="Times New Roman" w:cs="Times New Roman" w:ascii="Times New Roman" w:hAnsi="Times New Roman"/>
          <w:color w:val="111111"/>
          <w:sz w:val="28"/>
          <w:szCs w:val="28"/>
          <w:lang w:val="en-US"/>
        </w:rPr>
        <w:t>Lam yuhshal (ya'ni hikmah Al-Isyrāq) li awwalin bi al-fikr, bal  kāna hushūluhu bin ‘amrin ākhar, (Suhrawardi, Opera II, hlm.</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 Inilah salah satu pernyataan metodologis Suhrawardi yang  paling eksplisit, dan para komentatornya memberikan catatan  tentang hal ini. Syamsuddin Muhammad Asy-Syahrazuri  menganggap “sesuatu yang lain” (“amr ākhar) sebagai visi  (musyāhadah) dan ilham pribadi (mukāsyafah), (Syarh Hikmah  Al-Isyrāq, fol. 11v.); Quthbuddin Asy-Syirazi menganggap  hal yang sama sebagai ilham dan ituisi (dzauq atau rasa)  personal khas para filsuf Iluminasi, (Syarh II, hlm. 16); dan  Muhammad Syarif Nizhamuddin Al-Harawi menilainya sebagai  "inspirasi" (ilhām), ilham, dan intuisi personal (Anwāriyyah,  hlm. 6). Dalam bentuk yang sama, penulisan karya penting  Filsafat Al-Baghdadi, Al-Mu'tabar, disebut Pines “sebagai </w:t>
      </w:r>
    </w:p>
    <w:p>
      <w:pPr>
        <w:pStyle w:val="BookText"/>
        <w:bidi w:val="0"/>
        <w:rPr/>
      </w:pPr>
      <w:r>
        <w:rPr>
          <w:rFonts w:eastAsia="Times New Roman" w:cs="Times New Roman" w:ascii="Times New Roman" w:hAnsi="Times New Roman"/>
          <w:color w:val="111111"/>
          <w:sz w:val="28"/>
          <w:szCs w:val="28"/>
          <w:lang w:val="en-US"/>
        </w:rPr>
        <w:t>buku yang dibangun melalui refleksi personal". Lihat, Shlomo  Pines, “Studies in Abu Al-Barakat Al-Baghdadi's Poetics and  Metaphysics", dalam Scripta Hierosolymitana, Vol. VI, Studies  in Philosophy, disunting oleh S. H. Bergman, (Jerussalem:</w:t>
      </w:r>
    </w:p>
    <w:p>
      <w:pPr>
        <w:pStyle w:val="BookText"/>
        <w:bidi w:val="0"/>
        <w:jc w:val="both"/>
        <w:rPr/>
      </w:pPr>
      <w:r>
        <w:rPr>
          <w:rFonts w:eastAsia="Times New Roman" w:cs="Times New Roman" w:ascii="Times New Roman" w:hAnsi="Times New Roman"/>
          <w:color w:val="111111"/>
          <w:sz w:val="28"/>
          <w:szCs w:val="28"/>
          <w:lang w:val="en-US"/>
        </w:rPr>
        <w:t>Magness Press, The Hebrew University, 1960), hlm. 120-198.</w:t>
      </w:r>
    </w:p>
    <w:p>
      <w:pPr>
        <w:pStyle w:val="BookText"/>
        <w:bidi w:val="0"/>
        <w:jc w:val="both"/>
        <w:rPr/>
      </w:pPr>
      <w:r>
        <w:rPr>
          <w:rFonts w:eastAsia="Times New Roman" w:cs="Times New Roman" w:ascii="Times New Roman" w:hAnsi="Times New Roman"/>
          <w:color w:val="111111"/>
          <w:sz w:val="28"/>
          <w:szCs w:val="28"/>
          <w:lang w:val="en-US"/>
        </w:rPr>
        <w:t>(Pernyataan Pines yang dikutip tadi ada di hlm. 123).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Suhrawardi, At-Talwīhāt: Manthiq, hlm. 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As-Sawi membuat pembedaan ganda yang sama dan  menggunakan istilah yang sama, (At-Tabshirah, hlm. 4-5).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Al-Masyāri' wa Al-Muthārahāt: Manthiq, fol. 1r.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 fol. 2v.</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Ibid., bandingkan Ibn Sina, Asy-Syifā': Al-Madkhal, 1, 3.</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Al-Masyāri' wa Al-Muthārahāt: Manthiq, fol. 1r.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Ibid., fol. 2r.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Para filsuf Persia belakangan menyebutnya “wujud logis"  (wujūd-i manthiqi). Lihat, Mehdi Haeri Yazdi, Hiram-i Hasti  (Piramida Wujud), (Tehran, 1980), hlm. 21; Jalaluddin  Ashtiyani, Hasti, (Masyhad. 1379 H), hlm. 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Posisi realis Filsafat Iluminasi menjadi bahan banyak  kontroversi dalam komentar-komentar atas Hikmah Al-Isyrāq.</w:t>
      </w:r>
    </w:p>
    <w:p>
      <w:pPr>
        <w:pStyle w:val="BookText"/>
        <w:bidi w:val="0"/>
        <w:jc w:val="both"/>
        <w:rPr/>
      </w:pPr>
      <w:r>
        <w:rPr>
          <w:rFonts w:eastAsia="Times New Roman" w:cs="Times New Roman" w:ascii="Times New Roman" w:hAnsi="Times New Roman"/>
          <w:color w:val="111111"/>
          <w:sz w:val="28"/>
          <w:szCs w:val="28"/>
          <w:lang w:val="en-US"/>
        </w:rPr>
        <w:t>Bandingkan Asy-Syirazi, Syarh II, hlm. 35:8, dan 36: 9. Lihat,  Shadruddin Asy-Syirazi “Mulla Sadra,” Ta‘liqāt, Ibid., catatan  pinggir.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Al-Masyāri' wa Al-Muthārahāt: Manthiq, fol. 102v.</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Suhrawardi, Opera II, hlm. 14-105. Tampak bahwa Suhrawardi  menggunakan istilah “kaidah" (dhabith) sebagai ekstensi dari  istilah “hukum” (qānūn) yang lebih diterapkan dalam logika.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Lihat, As-Sawi, At-Tabshirah, hlm. 129-131; dan Ibn Sina,  Al-Isyārāt wa Al-Tanbihāt, disunting oleh Mahmud Syahabi,  (Tehran: Tehran University Press, 1339/1960), hlm. 1,  "Tentang Kaidah-kaidah Berpikir", Suhrawardi yang termuat  dalam bagian pertama Hikmah Al-Isyrāq, meliputi kaidah-  kaidah yang menyingkap tidak hanya logika formal, melainkan </w:t>
      </w:r>
    </w:p>
    <w:p>
      <w:pPr>
        <w:pStyle w:val="BookText"/>
        <w:bidi w:val="0"/>
        <w:rPr/>
      </w:pPr>
      <w:r>
        <w:rPr>
          <w:rFonts w:eastAsia="Times New Roman" w:cs="Times New Roman" w:ascii="Times New Roman" w:hAnsi="Times New Roman"/>
          <w:color w:val="111111"/>
          <w:sz w:val="28"/>
          <w:szCs w:val="28"/>
          <w:lang w:val="en-US"/>
        </w:rPr>
        <w:t>juga sanggahan-sanggahan sofistik, psikologi, dan fisika.</w:t>
      </w:r>
    </w:p>
    <w:p>
      <w:pPr>
        <w:pStyle w:val="BookText"/>
        <w:bidi w:val="0"/>
        <w:jc w:val="both"/>
        <w:rPr/>
      </w:pPr>
      <w:r>
        <w:rPr>
          <w:rFonts w:eastAsia="Times New Roman" w:cs="Times New Roman" w:ascii="Times New Roman" w:hAnsi="Times New Roman"/>
          <w:color w:val="111111"/>
          <w:sz w:val="28"/>
          <w:szCs w:val="28"/>
          <w:lang w:val="en-US"/>
        </w:rPr>
        <w:t>Pandangan “yang diperluas” tentang kaidah-kaidah berpikir  penting ini termasuk di antara sifat-sifat khas metodologi dan  struktur Filsafat Iluminasi.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Suhrawardi, Opera II, hlm. 13.</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Ibid., hlm. 31.</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lbid., hlm. 33.</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Ibid., hlm. 56, 57.</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Lihat Bochenski, Ancient Formal Logic, hlm. 87.</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At-Talwihāt: Manthiq, hlm. 1, 1-13. Bab ini juga mengandung  bahasan tentang “tujuan logika" (ghardh Al-Manthiq).</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Ibid., hlm. 14-16. Lihat juga, Ibn Kammunah, Syarh At-  Talwīhāt, Ibid., hlm. 15, catatan 3, 11; 16.</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Teori Suhrawardi tentang bukti disebut hujjah, meliputi  topik-topik yang diambil dari logika dan epistemologi, juga  dari psikologi. “Keseluruhan" hubungan antara sesuatu yang  diketahui (objek) dan yang mengetahui (subjek) adalah yang  menentukan bukti dari apa yang disimpulkan.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At-Talwīhāt: Manthiq, hlm. 17-27.</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Misalnya, Ibid., hlm. 25-26. Lihat juga, Ibn Kammunah, Syarh  At-Talwībāt, Ibid., hlm. 66, catatan 2-3.</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At-Talwihāt: Manthiq, hlm. 46-73. Lihat, Ibn Kammunah,  Syarh At-Talwihāt, Ibid., hlm. 47, catatan 2-4.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At-Talwīhāt: Manthiq, hlm. 66-67. Lihat, Ibn Kammunah,  Syarh At-Talwāhāt, Ibid., hlm. 66, catatan 1-3.</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Entimem didefinisikan sebagai silogisme yang terma mayornya  sudah dihilangkan, seperti “manusia adalah hewan, dengan  demikian, ia berjasad", At-Talwihāt: Manthiq, hlm. 68.</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Kesimpulan ini sebagai bentuk khas pandangan tentang wujud,  berkaiatan dengan disposisi alami subjek (khulq), (At-Talwihāt: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Manthiq, hlm. 69), adalah mungkin bahwa firāsah dan hads  merupakan varian-varian dari áyxívoía Aristoteles yang dapat  diterjemahkan dengan sifat “cepat mengerti", (misalnya, Eth </w:t>
      </w:r>
    </w:p>
    <w:p>
      <w:pPr>
        <w:pStyle w:val="BookText"/>
        <w:bidi w:val="0"/>
        <w:rPr/>
      </w:pPr>
      <w:r>
        <w:rPr>
          <w:rFonts w:eastAsia="Times New Roman" w:cs="Times New Roman" w:ascii="Times New Roman" w:hAnsi="Times New Roman"/>
          <w:color w:val="111111"/>
          <w:sz w:val="28"/>
          <w:szCs w:val="28"/>
          <w:lang w:val="en-US"/>
        </w:rPr>
        <w:t>Nie. 114266: An. Post. 89b10), mempunyai pengertian “kehati-  hatian", dan juga “pandangan". Yang penting adalah konsep-  konsep semisal pandangan, kehati-hatian, dan sebagainya,  semuanya berkaitan dengan bentuk khusus inferensi yang  subjeknya mungkin sampai pada kesimpulan tanpa melalui  langkah-langkah inferensi. Bentuk inferensi ini kadang-kadang  terbentuk berdasarkan konsepsi terma minor.</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At-Talwīhāt: Manthiq, hlm. 69-73.</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Lihat, Ibn Kammunah, Syarh At-Talwihāt, Ibid., hlm. 72,  catatan 1-3.</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Lihat, Ibn Kammunah, Ibid., hlm. 73, catatan 1-3.</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At-Talwihāt: Manthiq, hlm. 76-93.</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Ibid., hlm. 76. Suatu pembedaan dilakukan antara "jika  sederhana" (hāl al-basīth) dan "jika majemuk" (hāl al-  murakkab).</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Ibid., hlm. 75. Lihat, Ibn Kammunah, Syarh At-Talwihāt, Ibid.,  hlm. 74, catatan 1.</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At-Talwāhāt: Manthiq, hlm. 75-80.</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Ibid., hlm. 80-83.</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Ibid., hlm. 83-87. Lihat Ibn Kammunah, Syarh At-Talwāhāt,  Ibid., hlm. 83, catatan 1-5; 85, catatan 1, 3; 86, catatan 1; 87,  catatan 1-4.</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Ibid., hlm. 88, catatan 1: Hātān al-lafzhatān, a'ni al-'arsyi wa  al-lauhi, qad ista'mala humā fi 'iddat mawādzi' min hādzā  al-kitāb wa lam yubayyin murādahu minhumā, wa la'allā  murāduhu bi al-'arsyi al-bahts al-ladzī hashalahu bin nazharihi,  wa bi al-lauhi mā akhadzahu min al-kutub.</w:t>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kaidah ini Suhrawardi menegaskan bahwa modalitas-  modalitas wajib (wājib), mungkin (  mumkin), mustahil  (mumtani“), serta masih mungkin (muhtamal) – catatan  tambahan bagi yang mungkin - semuanya adalah wajib,  jika membentuk bagian predikat (mahmūl). Gagasan tentang  modalitas yang berulang-ulang ini sepenuhnya dikembangkan </w:t>
      </w:r>
    </w:p>
    <w:p>
      <w:pPr>
        <w:pStyle w:val="BookText"/>
        <w:bidi w:val="0"/>
        <w:rPr/>
      </w:pPr>
      <w:r>
        <w:rPr>
          <w:rFonts w:eastAsia="Times New Roman" w:cs="Times New Roman" w:ascii="Times New Roman" w:hAnsi="Times New Roman"/>
          <w:color w:val="111111"/>
          <w:sz w:val="28"/>
          <w:szCs w:val="28"/>
          <w:lang w:val="en-US"/>
        </w:rPr>
        <w:t>dalam logika Hikmah Al-Isyrāq, yang Suhrawardi anggap  proposisi tunggal, selalu wajib (adh-dharūriyyah al-battah),  sebagai bentuk tempat semua proposisi dapat direduksi ke  dalamnya.</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Lihat, Ibn Kammunah, Syarh At-Talwihāt, Ibid., hlm. 91,  catatan 3.</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Ibid., hlm. 88-93.</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Yakni, Fi Dhawābith Al-fikr. Suhrawardi, Opera II, hlm. 14-105.</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Yakni, Fial-anwār al-llāhiwa nūr al-anwār wa mabādi' al-wujud  wa tartibihā. Ibid., hlm. 106-257.</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Ibid., hlm. 14-21.</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Contoh lain tempat istilah “kaidah" digunakan adalah dalam bab  keenam logika dalam At-Talwāhāt (yang seperti, kita catat,  berfungsi sebagai apendiks) yang di dalamnya sembilan kaidah  berkaitan dengan problem-problem logika diberikan, begitu  juga diskusi tentang problem-problem yang biasanya dibahas  dalam fisika.</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Jika skema semantik Artistoteles yang eksplisit lebih  sederhana – “kata-kata tertulis adalah simbol dari kata-kata  yang diucapkan, yakni simbol pengalaman-pengalaman mental  dan pengalaman-pengalaman mental adalah simbol sesuatu",  Bochenski, Ancient Formal Logic, (hlm. 29) – maka kaum Stoic  mengembangkan semantik ke dalam sistem yang kompleks  melalui teori mereka tentang lɛktóv dan subjek-subjek terkait.</w:t>
      </w:r>
    </w:p>
    <w:p>
      <w:pPr>
        <w:pStyle w:val="BookText"/>
        <w:bidi w:val="0"/>
        <w:jc w:val="both"/>
        <w:rPr/>
      </w:pPr>
      <w:r>
        <w:rPr>
          <w:rFonts w:eastAsia="Times New Roman" w:cs="Times New Roman" w:ascii="Times New Roman" w:hAnsi="Times New Roman"/>
          <w:color w:val="111111"/>
          <w:sz w:val="28"/>
          <w:szCs w:val="28"/>
          <w:lang w:val="en-US"/>
        </w:rPr>
        <w:t>Semantik Stoic barangkali berfungsi sebagai asal-usul semantik  dan semiotik logika Arab dan Persia yang telah berkembang.</w:t>
      </w:r>
    </w:p>
    <w:p>
      <w:pPr>
        <w:pStyle w:val="BookText"/>
        <w:bidi w:val="0"/>
        <w:jc w:val="both"/>
        <w:rPr/>
      </w:pPr>
      <w:r>
        <w:rPr>
          <w:rFonts w:eastAsia="Times New Roman" w:cs="Times New Roman" w:ascii="Times New Roman" w:hAnsi="Times New Roman"/>
          <w:color w:val="111111"/>
          <w:sz w:val="28"/>
          <w:szCs w:val="28"/>
          <w:lang w:val="en-US"/>
        </w:rPr>
        <w:t>Untuk analisis rinci tentang teori /ɛktóv Stoic, lihat Benson  Mates, Stoic Logic. (Berkeley and Los Angeles: University of  California Press, 1961), hlm. 11-27; W. and M. Kneale, The  Development of Logic, hlm. 138-158; dan Bochensjki, Ancient  Formal Logic, hlm. 82-86. Perbandingan berikut, mungkin  dapat membantu memahami skema semantik Suhrawardi.</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Denotasi, yakni objek eksternal (TvYXávov) harus dilaksanakan </w:t>
      </w:r>
    </w:p>
    <w:p>
      <w:pPr>
        <w:pStyle w:val="BookText"/>
        <w:bidi w:val="0"/>
        <w:rPr/>
      </w:pPr>
      <w:r>
        <w:rPr>
          <w:rFonts w:eastAsia="Times New Roman" w:cs="Times New Roman" w:ascii="Times New Roman" w:hAnsi="Times New Roman"/>
          <w:color w:val="111111"/>
          <w:sz w:val="28"/>
          <w:szCs w:val="28"/>
          <w:lang w:val="en-US"/>
        </w:rPr>
        <w:t>dengan sesuatu (asy-syai'); tanda (pwví atau onuaíwov) harus  disamakan dengan ungkapan (al-lafzh); dan penanda (1ɛktóv)  harus disamakan dengan makna (al-ma'nā). Ibrahim Madkour  dalam “Pendahuluan" karya Ibn Sina, Asy-Syifa': Al-Madkhal.</w:t>
      </w:r>
    </w:p>
    <w:p>
      <w:pPr>
        <w:pStyle w:val="BookText"/>
        <w:bidi w:val="0"/>
        <w:jc w:val="both"/>
        <w:rPr/>
      </w:pPr>
      <w:r>
        <w:rPr>
          <w:rFonts w:eastAsia="Times New Roman" w:cs="Times New Roman" w:ascii="Times New Roman" w:hAnsi="Times New Roman"/>
          <w:color w:val="111111"/>
          <w:sz w:val="28"/>
          <w:szCs w:val="28"/>
          <w:lang w:val="en-US"/>
        </w:rPr>
        <w:t>hlm. 62, menganggap teori lektov Stoic sebagai asal-usul  ilmu makna (“ilm dalālah al-lafzh) dalam Islam.</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Suhrawardi, Opera II, hlm. 14-15. Bandingkan, Asy-Syirazi,  Syarh II, hlm. 36: 13; Al-Baghdadi, Al-Mu'tabar, I, 8;  Suhrawardi, Al-Lamahāt, hlm. 59, di mana dalil-dalil yang  berbeda dibahas secara rinci. Lihat juga, Asy-Syahrazuri,  Syarh, fol. 14r.</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Asy-Syirazi, Syarh II, 38: 13. Penamaan "pengetahuan  Iluminasi" (al-'ilm Al-Isyrāq) oleh komentator diterapkan pada  jenis pengetahuan tanpa menerapkan pembedaan antara  konsepsi (tashawwur) dan penilaian (tashdiq). Pengetahuan ihwal  Tuhan dan hal-hal utama yang bisa dipikirkan adalah contoh  jenis pengetahuan ini, di mana hanya “kehadiran" (hudhūr)  objek yang bisa mengimplikasikan pengetahuan tentangnya  oleh subjek yang mengetahui.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Quthbuddin Asy-Syirazi menganggap masalah konsepsi  (tashawwur) dan penilaian (tashdiq) sebagai “ilmu baru" yang  membahas kehadiran sesuatu yang dipahami (al-mudrak) pada  diri yang memahami (al-mudrik), (Syarh II, hlm. 38: 13-39: 2).</w:t>
      </w:r>
    </w:p>
    <w:p>
      <w:pPr>
        <w:pStyle w:val="BookText"/>
        <w:bidi w:val="0"/>
        <w:jc w:val="both"/>
        <w:rPr/>
      </w:pPr>
      <w:r>
        <w:rPr>
          <w:rFonts w:eastAsia="Times New Roman" w:cs="Times New Roman" w:ascii="Times New Roman" w:hAnsi="Times New Roman"/>
          <w:color w:val="111111"/>
          <w:sz w:val="28"/>
          <w:szCs w:val="28"/>
          <w:lang w:val="en-US"/>
        </w:rPr>
        <w:t>Asy-Syirazi selanjutnya, menekankan pentingnya persoalan  epistemologi ini bagian Filsafat Iluminasi dan menunjuk pada  pembedaan antara pengetahuan formal (al-'ilm ash-shūrī) dan  pengetahuan Iluminasi dengan kehadiran (al-'ilm al-hudhūrī).</w:t>
      </w:r>
    </w:p>
    <w:p>
      <w:pPr>
        <w:pStyle w:val="BookText"/>
        <w:bidi w:val="0"/>
        <w:jc w:val="both"/>
        <w:rPr/>
      </w:pPr>
      <w:r>
        <w:rPr>
          <w:rFonts w:eastAsia="Times New Roman" w:cs="Times New Roman" w:ascii="Times New Roman" w:hAnsi="Times New Roman"/>
          <w:color w:val="111111"/>
          <w:sz w:val="28"/>
          <w:szCs w:val="28"/>
          <w:lang w:val="en-US"/>
        </w:rPr>
        <w:t>Harus dicatat bahwa persoalan ini diperdebatkan panjang  lebar oleh Mulla Sadra dalam Ta‘liqāt. (Syarh II, hlm. 39-42  dan catatan pinggir) yang tidak sependapat dengan posisi  epistemologi Iluminasi.</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Suhrawardi, Opera II, hlm. 15. Istilah-istilah yang digunakan  Suhrawardi di sini bukan istilah-istilah Peripatetik.</w:t>
      </w:r>
    </w:p>
    <w:p>
      <w:pPr>
        <w:pStyle w:val="BookText"/>
        <w:bidi w:val="0"/>
        <w:rPr/>
      </w:pPr>
      <w:r>
        <w:rPr>
          <w:rFonts w:eastAsia="Times New Roman" w:cs="Times New Roman" w:ascii="Times New Roman" w:hAnsi="Times New Roman"/>
          <w:color w:val="111111"/>
          <w:sz w:val="28"/>
          <w:szCs w:val="28"/>
          <w:lang w:val="en-US"/>
        </w:rPr>
        <w:t>Penyamaan dengan istilah-istilah teori Stoic tentang lɛKTÓV  harus dilakukan. Makna universal (al-ma'nā al-'ām) bisa  dihubungkan dengan kata benda umum (KoivÝ TOIÓTIS)  Stoic; nama kelompok (al-lafzh al-'ām) sama dengan kata  Tt poonyopíai Stoic; makna partikular (al-ma‘nā asy-syākhish)  sama dengan kata benda individu idéa tolótoc); dan nama  pokok (al-lafzh asy-syākhish) sama dengan nama pokok  (óvóuata) Stoic.</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Asy-Syirazi, Syarh II, hlm. 45: 2-3; Kull haqiqah, ay mahiyyah  sawa' kānat fī al-a'yān au fī al-adzhān.</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Keteguhan Suhrawardi menggunakan haqiqah sebagai  ganti mahiyyah sesuai dengan posisinya yang “realis" yang  menyamakan ke-apa-an sesuatu dengan realitasnya, yakni  haqiqah dianggap sebagai sesuatu sebagaimana adanya.</w:t>
      </w:r>
    </w:p>
    <w:p>
      <w:pPr>
        <w:pStyle w:val="BookText"/>
        <w:bidi w:val="0"/>
        <w:jc w:val="both"/>
        <w:rPr/>
      </w:pPr>
      <w:r>
        <w:rPr>
          <w:rFonts w:eastAsia="Times New Roman" w:cs="Times New Roman" w:ascii="Times New Roman" w:hAnsi="Times New Roman"/>
          <w:color w:val="111111"/>
          <w:sz w:val="28"/>
          <w:szCs w:val="28"/>
          <w:lang w:val="en-US"/>
        </w:rPr>
        <w:t>Bandingkan λεκτόν (αυτοτελές) Stoic yang sempurna dan  DEKTÓv (ÉMITÉS) defisien, lihat Mates, Stoic Logic, hlm. 16.</w:t>
      </w:r>
    </w:p>
    <w:p>
      <w:pPr>
        <w:pStyle w:val="BookText"/>
        <w:bidi w:val="0"/>
        <w:jc w:val="both"/>
        <w:rPr/>
      </w:pPr>
      <w:r>
        <w:rPr>
          <w:rFonts w:eastAsia="Times New Roman" w:cs="Times New Roman" w:ascii="Times New Roman" w:hAnsi="Times New Roman"/>
          <w:color w:val="111111"/>
          <w:sz w:val="28"/>
          <w:szCs w:val="28"/>
          <w:lang w:val="en-US"/>
        </w:rPr>
        <w:t>Lihat juga, Asy-Syirazi, Syarh II, hlm. 45: 3.</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Bandingkan Asy-Syirazi, Syarh II, hlm. 45: 13-16.</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Suhrawardi, Opera II, hlm. 15.</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Ibid., hlm. 16-17. Bandingkan Asy-Syirazi, Syarh II, hlm. 47:</w:t>
      </w:r>
    </w:p>
    <w:p>
      <w:pPr>
        <w:pStyle w:val="BookText"/>
        <w:bidi w:val="0"/>
        <w:jc w:val="both"/>
        <w:rPr/>
      </w:pPr>
      <w:r>
        <w:rPr>
          <w:rFonts w:eastAsia="Times New Roman" w:cs="Times New Roman" w:ascii="Times New Roman" w:hAnsi="Times New Roman"/>
          <w:color w:val="111111"/>
          <w:sz w:val="28"/>
          <w:szCs w:val="28"/>
          <w:lang w:val="en-US"/>
        </w:rPr>
        <w:t>12-49: 2.</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Seperti manusia (al-insān), di mana sifat kehewanan (al-  hayawāniyyah) menjadi bagian yang dinisbatkan kepadanya.</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Misalnya, kemampuan berjalan adalah aksiden manusia yang  lebih umum (yang juga dimiliki oleh hewan), sementara  kemampuan tertawa adalah aksiden khas dan bersifat  koinsidental pada diri manusia.</w:t>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Opera II, hlm. 17. Istilah yang digunakan oleh  Suhrawardi di sini bukanlah istilah Peripatetik (al-kullī),  tetapi Asy-Syirazi menganggap kedua istilah itu identik (Syarh  II, hlm. 49: 2-52:16). Namun, Suhrawardi sangat berhati-  hati dalam memilih istilah yang digunakan, dan saya yakin  istilah-istilah ini sangat mendukung tradisi logika lain, yang </w:t>
      </w:r>
    </w:p>
    <w:p>
      <w:pPr>
        <w:pStyle w:val="BookText"/>
        <w:bidi w:val="0"/>
        <w:rPr/>
      </w:pPr>
      <w:r>
        <w:rPr>
          <w:rFonts w:eastAsia="Times New Roman" w:cs="Times New Roman" w:ascii="Times New Roman" w:hAnsi="Times New Roman"/>
          <w:color w:val="111111"/>
          <w:sz w:val="28"/>
          <w:szCs w:val="28"/>
          <w:lang w:val="en-US"/>
        </w:rPr>
        <w:t>barangkali berasal dari Stoic.</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Quthbuddin Asy-Syirazi menganggap istilah al-ma'nā al-  'ām sebagai istilah baru yang digunakan Suhrawardi, dan ia  mengambilnya sebagai padanan kata al-kulli (Syarh II, hlm.</w:t>
      </w:r>
    </w:p>
    <w:p>
      <w:pPr>
        <w:pStyle w:val="BookText"/>
        <w:bidi w:val="0"/>
        <w:jc w:val="both"/>
        <w:rPr/>
      </w:pPr>
      <w:r>
        <w:rPr>
          <w:rFonts w:eastAsia="Times New Roman" w:cs="Times New Roman" w:ascii="Times New Roman" w:hAnsi="Times New Roman"/>
          <w:color w:val="111111"/>
          <w:sz w:val="28"/>
          <w:szCs w:val="28"/>
          <w:lang w:val="en-US"/>
        </w:rPr>
        <w:t>49: 3), tetapi Mulla Sadra menganggap istilah al-ma'nā al-'ām  yang digunakan Suhrawardi disebabkan oleh kebingungan  antara al-kulli al-'aqli dan al-kulli al-thabi'i. Hanya istilah yang  disebutkan terdahulu saja yang tidak punya realitas di luar  pikiran, (Ta‘liqāt: Syarh II, hlm. 49, catatan pinggir).</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Istilah Peripatetik yang biasa adalah al-'ām al-mutasāwi.</w:t>
      </w:r>
    </w:p>
    <w:p>
      <w:pPr>
        <w:pStyle w:val="BookText"/>
        <w:bidi w:val="0"/>
        <w:jc w:val="both"/>
        <w:rPr/>
      </w:pPr>
      <w:r>
        <w:rPr>
          <w:rFonts w:eastAsia="Times New Roman" w:cs="Times New Roman" w:ascii="Times New Roman" w:hAnsi="Times New Roman"/>
          <w:color w:val="111111"/>
          <w:sz w:val="28"/>
          <w:szCs w:val="28"/>
          <w:lang w:val="en-US"/>
        </w:rPr>
        <w:t>Namun, Al-Farabi menggunakan kedua istilah itu. Lihat, Al-  Farabi, Utterances Employed in Logic, disunting oleh Muhsin  Mahdi, (Beirut: Dar al-Masyriq, 1967), hlm. 61.</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Misalnya, ketika hal-hal partikular atau hal-hal individual  berbeda berdasarkan makna masing-masing.</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Aristoteles hanya membahas secara singkat hal-hal yang  dinamai secara equivok, univok, turunan (derivatif) (Categories  1, 1-15). Para filsuf masa Islam, di sisi lain membahas subjek  ini secara terperinci. Bahasan “nama" dalam hubungannya  dengan benda yang dinamai menjadi bagian dari teori  Semantik yang didefinisikan dengan baik. Lihat, Al-Baghdadi,  Al-Mu'tabar, 1, 8; Suhrawardi, Al-Lamahāt, hlm. 60; As-Sawi,  At-Tabshīrah, hlm. 13-16. Untuk bahasan tentang pandangan  Al-Baghdadi tentang hubungan antara hal-hal yang diketahui,  keadaannya dalam pikiran, dalam realitas eksternal, dan makna  (al-ma'nā yang oleh Pines diterjemahkan “kandungan pikiran")  partikular atau universal. Lihat, Pines, Studies in Abu Al-  Barakat Al-Baghdadi's Poetics and Metaphysics, hlm. 141-147.</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Lihat Asy-Syirazi, Syarh II, hlm. 5: 16-52: 15.</w:t>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Kedudukan di sini, yakni idea bawaan yang punya peringkat  apriori, juga merupakan kedudukan metodologis Al-Baghdadi  yang penting. Ini telah dibahas oleh S. Pines dalam kajiannya  tentang Al-Baghdadi, lihat khususnya S. Pines, Nouvelles </w:t>
      </w:r>
    </w:p>
    <w:p>
      <w:pPr>
        <w:pStyle w:val="BookText"/>
        <w:bidi w:val="0"/>
        <w:rPr/>
      </w:pPr>
      <w:r>
        <w:rPr>
          <w:rFonts w:eastAsia="Times New Roman" w:cs="Times New Roman" w:ascii="Times New Roman" w:hAnsi="Times New Roman"/>
          <w:color w:val="111111"/>
          <w:sz w:val="28"/>
          <w:szCs w:val="28"/>
          <w:lang w:val="en-US"/>
        </w:rPr>
        <w:t>etudes sur Awhad al-Zaman Abu Al-Barakat Al-Baghdadi.</w:t>
      </w:r>
    </w:p>
    <w:p>
      <w:pPr>
        <w:pStyle w:val="BookText"/>
        <w:bidi w:val="0"/>
        <w:jc w:val="both"/>
        <w:rPr/>
      </w:pPr>
      <w:r>
        <w:rPr>
          <w:rFonts w:eastAsia="Times New Roman" w:cs="Times New Roman" w:ascii="Times New Roman" w:hAnsi="Times New Roman"/>
          <w:color w:val="111111"/>
          <w:sz w:val="28"/>
          <w:szCs w:val="28"/>
          <w:lang w:val="en-US"/>
        </w:rPr>
        <w:t>(Paris: Librairie Durlaches, 1953), hlm. 8, 17: idem., “Studies  in Abu Al-Barakat Al-Baghdadi's Poetics and Metaphysics",  hlm. 127-128, di mana kognisi apriori oleh Oines disebut  sebagai “tema utama" karya Al-Baghdadi.</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Suhrawardi, Opera II, hlm. 18-20. Lihat, Apendiks B berikut,  di mana disuguhkan terjemahan Hikmah Al-Isyrāq: Al-Qism  Al-Awwal, 1, 7: “Tentang Definisi dan Syarat-Syaratnya”.</w:t>
      </w:r>
    </w:p>
    <w:p>
      <w:pPr>
        <w:pStyle w:val="BookText"/>
        <w:bidi w:val="0"/>
        <w:jc w:val="both"/>
        <w:rPr/>
      </w:pPr>
      <w:r>
        <w:rPr>
          <w:rFonts w:eastAsia="Times New Roman" w:cs="Times New Roman" w:ascii="Times New Roman" w:hAnsi="Times New Roman"/>
          <w:color w:val="111111"/>
          <w:sz w:val="28"/>
          <w:szCs w:val="28"/>
          <w:lang w:val="en-US"/>
        </w:rPr>
        <w:t>Topik definisi adalah salah satu hal paling penting dalam  logika Suhrawardi dan juga dalam Filsafat Iluminasi. Lihat,  Asy-Syirazi, Syarh II, hlm. 52: 18-63: 3; Al-Baghdadi, Al-  Mu'tabar, 1, 46-48, 50-64; As-Sawi, At-Tabshīrah, hlm. 19-24;  Suhrawardi, Al-Lamahāt, hlm. 64-66.</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Yakni, Fi al-hujaj wa mabadi'ihā, Suhrawardi, Opera II, hlm.</w:t>
      </w:r>
    </w:p>
    <w:p>
      <w:pPr>
        <w:pStyle w:val="BookText"/>
        <w:bidi w:val="0"/>
        <w:jc w:val="both"/>
        <w:rPr/>
      </w:pPr>
      <w:r>
        <w:rPr>
          <w:rFonts w:eastAsia="Times New Roman" w:cs="Times New Roman" w:ascii="Times New Roman" w:hAnsi="Times New Roman"/>
          <w:color w:val="111111"/>
          <w:sz w:val="28"/>
          <w:szCs w:val="28"/>
          <w:lang w:val="en-US"/>
        </w:rPr>
        <w:t>22-45.</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Bandingkan Asy-Syirazi, Syarh 11, hlm. 63: 4-70: 1; Al-Baghdadi,  Al-Mu'tabar, 1, 69-74; As-Sawi, At-Tabshīrah, hlm. 26-27. Baik Al-  Baghdadi maupun As-Sawi menggunakan istilah al-qaul al-jazim  (Woyos áttUQAvtikóc) yang sinonim dengan al-qadhiyyah.</w:t>
      </w:r>
    </w:p>
    <w:p>
      <w:pPr>
        <w:pStyle w:val="BookText"/>
        <w:bidi w:val="0"/>
        <w:jc w:val="both"/>
        <w:rPr/>
      </w:pPr>
      <w:r>
        <w:rPr>
          <w:rFonts w:eastAsia="Times New Roman" w:cs="Times New Roman" w:ascii="Times New Roman" w:hAnsi="Times New Roman"/>
          <w:color w:val="111111"/>
          <w:sz w:val="28"/>
          <w:szCs w:val="28"/>
          <w:lang w:val="en-US"/>
        </w:rPr>
        <w:t>Lihat, Bochenski, Ancient Formal Logic, hlm. 85-86.</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p (subjek) adalah q (predikat).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Juga dikenal dengan proposisi “jika, maka" – hubungan  berdasarkan implikasi atau inferensi (luzūm) dapat direduksi  menjadi bentuk-bentuk hubungan yang lain, seperti kombinasi  konjungsi, disjungsi, dan negasi. Bentuk dasar proposisi ini  adalah [x, p, q): 9(x) dan kemudian p(x). Sikap Suhrawardi  terhadap kaidah-kaidah formal yang mengatur implikasi bisa  dibandingkan dengan Stoic. Lihat, Bochenski, Ancient Formal  Logic, hlm. 158-176; Mates, Stoic Logic, hlm. 42-57.</w:t>
      </w:r>
    </w:p>
    <w:p>
      <w:pPr>
        <w:pStyle w:val="BookText"/>
        <w:bidi w:val="0"/>
        <w:jc w:val="both"/>
        <w:rPr/>
      </w:pPr>
      <w:r>
        <w:rPr>
          <w:rFonts w:eastAsia="Times New Roman" w:cs="Times New Roman" w:ascii="Times New Roman" w:hAnsi="Times New Roman"/>
          <w:color w:val="111111"/>
          <w:sz w:val="28"/>
          <w:szCs w:val="28"/>
          <w:lang w:val="en-US"/>
        </w:rPr>
        <w:t>74.</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Juga dikenal dengan proposisi “entah, atau" – hubungan  melalui disjungsi, ‘inad, bisa direduksi menjadi bentuk-bentuk  hubungan yang lain. Bentuk dasar proposisi ini adalah [x, p,  q]: q(x) atau p(x). Dua bagian proposisi yang disatukan ini, </w:t>
      </w:r>
    </w:p>
    <w:p>
      <w:pPr>
        <w:pStyle w:val="BookText"/>
        <w:bidi w:val="0"/>
        <w:rPr/>
      </w:pPr>
      <w:r>
        <w:rPr>
          <w:rFonts w:eastAsia="Times New Roman" w:cs="Times New Roman" w:ascii="Times New Roman" w:hAnsi="Times New Roman"/>
          <w:color w:val="111111"/>
          <w:sz w:val="28"/>
          <w:szCs w:val="28"/>
          <w:lang w:val="en-US"/>
        </w:rPr>
        <w:t>masing-masing, disebut anteseden dan konsekuensi.</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Suhrawardi, Opera II, hlm. 24-27. Bandingkan dengan Asy-  Syirazi, Syarh II, hlm. 70: 11-77: 3; Al-Baghdadi, Al-  Mu'tabar 1, 75-78; As-Sawi, At-Tabshīrah, hlm. 30-32.</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Sebuah istilah non-Aristotelian. Lihat, Afnan, A Philosophical  Lexicon, hlm. 131.</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p adalah q jika p adalah nama khusus.</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Semua p adalah q, misalnya “semua manusia adalah hewan", dan  secara negatif "tidak ada manusia yang batu".</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Sebagian p adalah q dan sebagian p adalah bukan q.</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Problem ini dikemukakan sebagai berikut: Anggaplah C sebagai  kopula. Untuk menegasikan pCq, seseorang dapat mengatakan  dalam bahasa Arab p-Cy, atau PC-q, di mana ia berarti negasi.</w:t>
      </w:r>
    </w:p>
    <w:p>
      <w:pPr>
        <w:pStyle w:val="BookText"/>
        <w:bidi w:val="0"/>
        <w:jc w:val="both"/>
        <w:rPr/>
      </w:pPr>
      <w:r>
        <w:rPr>
          <w:rFonts w:eastAsia="Times New Roman" w:cs="Times New Roman" w:ascii="Times New Roman" w:hAnsi="Times New Roman"/>
          <w:color w:val="111111"/>
          <w:sz w:val="28"/>
          <w:szCs w:val="28"/>
          <w:lang w:val="en-US"/>
        </w:rPr>
        <w:t>Dalam kasus proposisi-proposisi universal, dikatakan bahwa  semua p adalah q, dan (semua p adalah q) mereduksi menjadi  sebagian p adalah q.</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Suhrawardi, Opera II, hlm. 27-29. Untuk bahasan tentang  proposisi modal, lihat Hossein Ziai, “Modal Proposition in  Islamic Philosophy," Bulletin of Iranian Mathematical Society,  No. 12 (1980). Bandingkan Asy-Syirazi, Syarh II, hlm. 77:</w:t>
      </w:r>
    </w:p>
    <w:p>
      <w:pPr>
        <w:pStyle w:val="BookText"/>
        <w:bidi w:val="0"/>
        <w:jc w:val="both"/>
        <w:rPr/>
      </w:pPr>
      <w:r>
        <w:rPr>
          <w:rFonts w:eastAsia="Times New Roman" w:cs="Times New Roman" w:ascii="Times New Roman" w:hAnsi="Times New Roman"/>
          <w:color w:val="111111"/>
          <w:sz w:val="28"/>
          <w:szCs w:val="28"/>
          <w:lang w:val="en-US"/>
        </w:rPr>
        <w:t>33-78: 9; Al-Baghdadi, Al-Mu'tabar, I, 78-89; As-Sawi, At-  Tabshirah, hlm. 32-44.</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Istilah ini tampaknya diciptakan oleh Suhrawardi. M.T. Danesh  Pajouh menganggap usaha Suhrawardi untuk mereduksi semua  proposisi ke dalam satu bentuk berasal dari Aristoteles (At-  Tabshīrah, hlm. 21). Saya tidak menemukan bahwa Aristoteles  mengatakan sesuatu tentang akibat ini, dan pernyataannya  dalam Prior Analytics: “Karena semua proposisi dapat dibalik,  kecuali hanya proposisi partikular negatif", (Prior Analytics II,  52B7-8) membahas problem “konvensi" (al-‘aks fī al-qadhāyā)  dan bukan problem "reduksi proposisi" (radd al-qadhāyā).</w:t>
      </w:r>
    </w:p>
    <w:p>
      <w:pPr>
        <w:pStyle w:val="BookText"/>
        <w:bidi w:val="0"/>
        <w:jc w:val="both"/>
        <w:rPr/>
      </w:pPr>
      <w:r>
        <w:rPr>
          <w:rFonts w:eastAsia="Times New Roman" w:cs="Times New Roman" w:ascii="Times New Roman" w:hAnsi="Times New Roman"/>
          <w:color w:val="111111"/>
          <w:sz w:val="28"/>
          <w:szCs w:val="28"/>
          <w:lang w:val="en-US"/>
        </w:rPr>
        <w:t>83.</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Opera II, hlm. 33-40. Bandingkan Asy-Syirazi,  Syarh II, hlm. 86:10 dan 89:5; Al-Baghdadi, Al-Mu 'tabar, I, </w:t>
      </w:r>
    </w:p>
    <w:p>
      <w:pPr>
        <w:pStyle w:val="BookText"/>
        <w:bidi w:val="0"/>
        <w:rPr/>
      </w:pPr>
      <w:r>
        <w:rPr>
          <w:rFonts w:eastAsia="Times New Roman" w:cs="Times New Roman" w:ascii="Times New Roman" w:hAnsi="Times New Roman"/>
          <w:color w:val="111111"/>
          <w:sz w:val="28"/>
          <w:szCs w:val="28"/>
          <w:lang w:val="en-US"/>
        </w:rPr>
        <w:t>95-197; As-Sawi, At-Tabshirah, hlm. 44-51.</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Suhrawardi, Opera II, hlm. 31-33. Bandingkan Asy-Syirazi,  Syarh II, hlm. 89: 6-95:5; As-Sawi, At-Tabshirah, hlm. 51-9.</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Suhrawardi, Opera II, hlm. 33-40. Bandingkan Asy-Syirazi,  Syarh II, hlm. 95:5 dan 118:5; Al-Baghdadi, Al-Mu'tabar 1,  109-203; As-Sawi, At-Tabshīrah, hlm. 91-119.</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Suhrawardi, Opera II, hlm. 40-45. Bandingkan Asy-Syirazi,  Syarh II, hlm. 118:6, 135:19; Al-Baghdadi, Al-Mu'tabar, I,  203-253; As-Sawi, At-Tabshīrah, hlm. 91-119.</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Bandingkan Tá Towta. Aristoteles, (Posterior Analytics 1,  71b26).</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Premis-premis intuitif memainkan peran penting dalam  konstruksi Filsafat Iluminasi. Premis-premis ini juga ditemukan  dalam Filsafat Peripatetik. Misalnya, Ibn Sina menegaskan  bahwa intuisi adalah “gerakan membuat term tengah” (An-  Najat, disunting oleh Al-Kurdi, hlm. 87); ini adalah ungkapan  definisi Aristoteles tentang sifat “cepat mengerti" (quick wit  [áyívia]), (Posterior Analytics I, 89610). As-Sawi menetapkan  premis-premis intuitif sebagai “hukum intelek yang kuat” (At-  Tabshirah, hlm. 152).</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Pertanyaan-pertanyaan mā, hal, “ayy, serta lima dianggap  sebagai pertanyaan-pertanyaan penting dalam ilmu (ushūl  al-mathālib al-'ilmiyyah), dengan pertanyaan-pertanyaan  sekunder sebagai berikut: kaif, kam, ‘aina, matā, serta  man. Skema umum Suhrawardi yang non-Peripatetik untuk  berbagai kategori adalah sebagai berikut. Aksiden ada empat:</w:t>
      </w:r>
    </w:p>
    <w:p>
      <w:pPr>
        <w:pStyle w:val="BookText"/>
        <w:bidi w:val="0"/>
        <w:jc w:val="both"/>
        <w:rPr/>
      </w:pPr>
      <w:r>
        <w:rPr>
          <w:rFonts w:eastAsia="Times New Roman" w:cs="Times New Roman" w:ascii="Times New Roman" w:hAnsi="Times New Roman"/>
          <w:color w:val="111111"/>
          <w:sz w:val="28"/>
          <w:szCs w:val="28"/>
          <w:lang w:val="en-US"/>
        </w:rPr>
        <w:t>kam (kuantitas), kaif (kualitas), idhāfah (relasi), serta harakah  (gerak). Lihat, Suhrawardi, Opera I, hlm. 284; Opera II, hlm.</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61-62. Mesti dicamkan bahwa istilah yang digunakan oleh  Suhrawardi sebagai imbangan aksiden adalah hai'ah dan bukan  ‘aradh seperti digunakan oleh kaum Peripatetik. Logikawan  besar, ‘Umar bin Sahlan As-Sawi', yang karyanya, Al-Bashā'ir  telah dikaji oleh Suhrawardi, juga mereduksi kategori- </w:t>
      </w:r>
    </w:p>
    <w:p>
      <w:pPr>
        <w:pStyle w:val="BookText"/>
        <w:bidi w:val="0"/>
        <w:rPr/>
      </w:pPr>
      <w:r>
        <w:rPr>
          <w:rFonts w:eastAsia="Times New Roman" w:cs="Times New Roman" w:ascii="Times New Roman" w:hAnsi="Times New Roman"/>
          <w:color w:val="111111"/>
          <w:sz w:val="28"/>
          <w:szCs w:val="28"/>
          <w:lang w:val="en-US"/>
        </w:rPr>
        <w:t>kategori – dalam hal ini menjadi empat: substansi, kualitas,  kuantitas, serta relasi, – tetapi tidak memasukkan gerak,  sebagaimana ia tidak membahas prinsip isyrāqi tentang gerak  dalam kategori secara esensial. Karena itu, As-Sawi tidak bisa,  menurut hemat saya, dianggap sebagai sumber langsung  Suhrawardi, sebagaimana hal itu diyakini oleh S. J. Sajjadi.</w:t>
      </w:r>
    </w:p>
    <w:p>
      <w:pPr>
        <w:pStyle w:val="BookText"/>
        <w:bidi w:val="0"/>
        <w:jc w:val="both"/>
        <w:rPr/>
      </w:pPr>
      <w:r>
        <w:rPr>
          <w:rFonts w:eastAsia="Times New Roman" w:cs="Times New Roman" w:ascii="Times New Roman" w:hAnsi="Times New Roman"/>
          <w:color w:val="111111"/>
          <w:sz w:val="28"/>
          <w:szCs w:val="28"/>
          <w:lang w:val="en-US"/>
        </w:rPr>
        <w:t>Lihat, Sajjadi, Suhrawardi. (Tehran, 1984), hlm. 88-89.</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Yakni, fi al-mughālathāt wa ba'd al-hukumāt baina al-ahruf al-  istisyrāqiyyah wa baina al-ahruf al-masysyā'yyin. Suhrawardi,  Opera II, hlm. 46.</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Struktur logika Al-Muqāwamāt berkaitan dengan logika At-  Talwihāt.</w:t>
      </w:r>
    </w:p>
    <w:p>
      <w:pPr>
        <w:pStyle w:val="BookText"/>
        <w:bidi w:val="0"/>
        <w:jc w:val="both"/>
        <w:rPr/>
      </w:pPr>
      <w:r>
        <w:rPr>
          <w:rFonts w:eastAsia="Times New Roman" w:cs="Times New Roman" w:ascii="Times New Roman" w:hAnsi="Times New Roman"/>
          <w:color w:val="111111"/>
          <w:sz w:val="28"/>
          <w:szCs w:val="28"/>
          <w:lang w:val="en-US"/>
        </w:rPr>
        <w:t>92.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membahas kategori-kategori yang dianggapnya  bukan temuan Aristoteles, melainkan berasal dari Arkhuthus  dalam karya-karyanya tentang fisika. Singkatnya, teori  Suhrawardi menegaskan bahwa "intensitas” (syaddah wa  dha'f) dinisbatkan kepada semua kategori, substansi (jauhar),  kualitas (kaif), kuantitas (kam), hubungan (nisbah), serta gerak  (harakah). Lihat misalnya, Opera I, hlm. 1-12, hlm; 146-148;  Opera II, hlm. 113. </w:t>
      </w:r>
      <w:bookmarkStart w:id="115" w:name="pg6442_57369"/>
    </w:p>
    <w:p>
      <w:pPr>
        <w:pStyle w:val="Heading2"/>
        <w:numPr>
          <w:ilvl w:val="1"/>
          <w:numId w:val="1"/>
        </w:numPr>
        <w:bidi w:val="0"/>
        <w:jc w:val="left"/>
        <w:rPr/>
      </w:pPr>
      <w:bookmarkStart w:id="116" w:name="__RefHeading___Toc924652_653776707"/>
      <w:bookmarkStart w:id="117" w:name="_Toc39"/>
      <w:bookmarkEnd w:id="115"/>
      <w:bookmarkEnd w:id="116"/>
      <w:r>
        <w:rPr/>
        <w:t>BAB 3 : TEORI DEFINISI ILUMINASI:METODE DAN  PENGETAHUAN FORMAL</w:t>
      </w:r>
      <w:bookmarkEnd w:id="117"/>
    </w:p>
    <w:p>
      <w:pPr>
        <w:pStyle w:val="Heading3"/>
        <w:numPr>
          <w:ilvl w:val="2"/>
          <w:numId w:val="1"/>
        </w:numPr>
        <w:bidi w:val="0"/>
        <w:jc w:val="left"/>
        <w:rPr/>
      </w:pPr>
      <w:bookmarkStart w:id="118" w:name="__RefHeading___Toc924654_653776707"/>
      <w:bookmarkStart w:id="119" w:name="_Toc40"/>
      <w:bookmarkEnd w:id="118"/>
      <w:r>
        <w:rPr/>
        <w:t>1. ISTILAH DEFINISI</w:t>
      </w:r>
      <w:bookmarkEnd w:id="119"/>
    </w:p>
    <w:p>
      <w:pPr>
        <w:pStyle w:val="Heading4"/>
        <w:numPr>
          <w:ilvl w:val="3"/>
          <w:numId w:val="1"/>
        </w:numPr>
        <w:bidi w:val="0"/>
        <w:jc w:val="left"/>
        <w:rPr/>
      </w:pPr>
      <w:bookmarkStart w:id="120" w:name="__RefHeading___Toc924656_653776707"/>
      <w:bookmarkStart w:id="121" w:name="_Toc41"/>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Saya akan mengawali bab ini dengan bahasan singkat  tentang terminologi definisi yang digunakan oleh Suhrawardi.</w:t>
      </w:r>
    </w:p>
    <w:p>
      <w:pPr>
        <w:pStyle w:val="BookText"/>
        <w:bidi w:val="0"/>
        <w:jc w:val="both"/>
        <w:rPr/>
      </w:pPr>
      <w:r>
        <w:rPr>
          <w:rFonts w:eastAsia="Times New Roman" w:cs="Times New Roman" w:ascii="Times New Roman" w:hAnsi="Times New Roman"/>
          <w:color w:val="111111"/>
          <w:sz w:val="28"/>
          <w:szCs w:val="28"/>
          <w:lang w:val="en-US"/>
        </w:rPr>
        <w:t>Tujuan saya adalah menunjukkan berbagai kemungkinan jenis  definisi, entah yang secara eksplisit dirujuk oleh sebuah istilah  teknis yang jelas, maupun secara implisit ditunjukkan oleh  penggunaan sebuah istilah umum.</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Claendon Press, 1972). Robinson membagi definisi (Bab 2) ke  dalam dua jenis dasar: definisi sesuatu-sesuatu, atau definisi  hakiki, dan definisi nominal. Selanjutnya, ia membagi definisi  nominal ke dalam definisi kata per kata dan definisi kata  benda yang kemudian dibagi lagi ke dalam definisi leksikal  dan definisi stipulatif. Penulis yang sama menguraikan (Bab  1) 18 spesies definisi, yang diklasifikasikannya menurut  penggunaan berbagai ahli. Klasifikasi definisi yang lebih  tepat secara filsufis diberikan oleh Raziel Abelson, yang  mengklasifikasikan definisi berdasarkan posisi filosofis yang  digunakan ke dalam tiga jenis: esensialis atau “jenis-E ,  preskriptif atau “jenis-P,  dan linguistik atau “jenis-I . Abelson  tidak memandang klasifikasi ini sebagai bersifat historis,  melainkan sebagai sebuah “skema yang berguna . Lihat,  Raziel Abelson, “Definition,  Encyclopedia of Philosophy II,  ed. Paul Edwards, (New York: Macmillan, 1967), hlm. 314-  324.</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filsafat dan logika Arab maupun Persia, semua  jenis definisi dikelompokkan ke dalam istilah ta'rif, yang  berarti “menjadikan diketahui  dan juga sering diterjemahkan   definisi . Dalam contoh-contoh tertentu, terjemahan seperti  ini tidak tepat secara teknis karena ia meliputi jenis definisi  esensialis, konseptualis, nominalis, dan berbagai jenis lain  definisi, serta proses epistemologi yang dengannya sesuatu yang  tak diketahui “menjadi” diketahui dalam hubungannya dengan  sesuatu lainnya. Karena itu, penting kiranya untuk mengingat  pengertian umum istilah taʻrīf dan juga pengertiannya yang  kaku. Mari kita perhatikan pernyataan penting Suhrawardi  dalam Hikmah Al-Isyrāq, yang ditegaskan bersamaan dengan  kritiknya atas formula kaum Peripatetik tentang definisi esensialis  (hadd):</w:t>
      </w:r>
      <w:bookmarkStart w:id="122" w:name="pg6442_57370"/>
    </w:p>
    <w:p>
      <w:pPr>
        <w:pStyle w:val="BookText"/>
        <w:bidi w:val="0"/>
        <w:rPr/>
      </w:pPr>
      <w:bookmarkEnd w:id="12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Jelas bahwa tidak mungkin memperoleh suatu  definisi (esensialis) dengan cara yang dilakukan kaum  Peripatetik (yakni, dengan menggunakan formula, genus  terdekat, plus diferensia). Bahkan, kesulitan ini juga  diakui guru kaum Peripatetik (yakni, Aristoteles). Karena  itu, kita (kaum Iluminasionis) hanya membuat berbagai  definisi (taʻrīfāt) dengan menggunakan segala sesuatu  yang mengkhususkan totalitas sesuatu (al-ijtimā', yakni   keseluruhan organik ). 2  Dalam seluruh karya tentang Filsafat Islam yang sejauh  ini saya kaji dan telaah, baik taʼrif maupun hadd diterjemahkan  sebagai definisi, ini bukanlah terjemahan filsufis yang tepat.</w:t>
      </w:r>
    </w:p>
    <w:p>
      <w:pPr>
        <w:pStyle w:val="BookText"/>
        <w:bidi w:val="0"/>
        <w:jc w:val="both"/>
        <w:rPr/>
      </w:pPr>
      <w:r>
        <w:rPr>
          <w:rFonts w:eastAsia="Times New Roman" w:cs="Times New Roman" w:ascii="Times New Roman" w:hAnsi="Times New Roman"/>
          <w:color w:val="111111"/>
          <w:sz w:val="28"/>
          <w:szCs w:val="28"/>
          <w:lang w:val="en-US"/>
        </w:rPr>
        <w:t>Saya lebih suka menggunakan definisi esensialis untuk hadd,  dan menggunakan definisi dalam pengertiannya yang kaku  untuk ta'rif. Uraian berikut ini bertujuan membuat perbedaan  yang jelas antara dua istilah ini dan juga istilah-istilah lainnya.</w:t>
      </w:r>
    </w:p>
    <w:p>
      <w:pPr>
        <w:pStyle w:val="Heading4"/>
        <w:numPr>
          <w:ilvl w:val="3"/>
          <w:numId w:val="1"/>
        </w:numPr>
        <w:bidi w:val="0"/>
        <w:jc w:val="left"/>
        <w:rPr/>
      </w:pPr>
      <w:bookmarkStart w:id="123" w:name="__RefHeading___Toc924658_653776707"/>
      <w:bookmarkStart w:id="124" w:name="_Toc42"/>
      <w:bookmarkEnd w:id="123"/>
      <w:r>
        <w:rPr/>
        <w:t>1.1. Pembagian Logika dan Definisi Iluminasi:</w:t>
      </w:r>
      <w:bookmarkEnd w:id="124"/>
    </w:p>
    <w:p>
      <w:pPr>
        <w:pStyle w:val="BookText"/>
        <w:bidi w:val="0"/>
        <w:jc w:val="both"/>
        <w:rPr/>
      </w:pPr>
      <w:r>
        <w:rPr>
          <w:rFonts w:eastAsia="Times New Roman" w:cs="Times New Roman" w:ascii="Times New Roman" w:hAnsi="Times New Roman"/>
          <w:color w:val="111111"/>
          <w:sz w:val="28"/>
          <w:szCs w:val="28"/>
          <w:lang w:val="en-US"/>
        </w:rPr>
        <w:t>1.1. Pembagian Logika dan Definisi Iluminasi:  Mari kita alihkan perhatian kita kepada klasifikasi  Suhrawardi tentang jenis-jenis definisi. Sebelumnya, saya  telah menegaskan sesuatu ihwal pembagian logika menurut  Suhrawardi, dua bagian: atas proposisi-proposisi penjelas (al-  qawl asy-syārih, jamak: al-aqwal asy-syārihah) dan bukti-bukti  (hujjah, jamak: hujaj). Pembagian logika seperti ini mungkin  tampak membingungkan. Akan tetapi, jika kita harus memahami  signifikansi struktural dan penggunaannya yang dimaksud, maka  kita harus berusaha menyingkap makna dari istilah “bukti  dan  “proposisi penjelas .</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Tujuan (utama) logika sudah ditunjukkan, yakni memperoleh  pengetahuan ihwal: 1. proposisi-proposisi penjelas, dan 2.  bukti-bukti.  (At-Tabshirah, hlm. 4-5). Bandingkan Ibn Sina,  Manthiq Al-Masyriqiyyin. (Kairo: t.p, 1910), hlm. 10, di mana  seseorang bisa melihat pandangan yang sama yang akrab  dengan Ibn Sina.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sepanjang bab ini, kita akan menelaah  problem ini dan berusaha membongkar signifikansi atau  pentingnya penggunaan istilah-istilah itu. Secara sederhana,</w:t>
      </w:r>
    </w:p>
    <w:p>
      <w:pPr>
        <w:pStyle w:val="BookText"/>
        <w:bidi w:val="0"/>
        <w:rPr/>
      </w:pPr>
      <w:r>
        <w:rPr>
          <w:rFonts w:eastAsia="Times New Roman" w:cs="Times New Roman" w:ascii="Times New Roman" w:hAnsi="Times New Roman"/>
          <w:color w:val="111111"/>
          <w:sz w:val="28"/>
          <w:szCs w:val="28"/>
          <w:lang w:val="en-US"/>
        </w:rPr>
        <w:t>Teori Definisi Tluminasi: Metode dan Pengetahuan Formal   bukti  yang digunakan Suhrawardi mengandung unsur-unsur  logika materiel maupun formal, serta memasukkan demonstrasi  dan juga berbagai jenis inferensi lainnya. “Bukti  juga diterapkan  pada pengalaman-pengalaman mistis.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Lihat, As-Sawi, At-Tabshirah, hlm. 5. Kemudian, Suhrawardi  menetapkan bahwa bukti-bukti yang berdasarkan pengalaman,  inspirasi, dan intuisi punya peringkat yang sama dengan-  kalau bukan malah lebih tinggi dari — bukti-bukti yang  berdasarkan demonstrasi Peripatetik. Lihat misalnya, Opera  II, hlm. 13.</w:t>
      </w:r>
    </w:p>
    <w:p>
      <w:pPr>
        <w:pStyle w:val="BookText"/>
        <w:bidi w:val="0"/>
        <w:jc w:val="both"/>
        <w:rPr/>
      </w:pPr>
      <w:r>
        <w:rPr>
          <w:rFonts w:eastAsia="Times New Roman" w:cs="Times New Roman" w:ascii="Times New Roman" w:hAnsi="Times New Roman"/>
          <w:color w:val="111111"/>
          <w:sz w:val="28"/>
          <w:szCs w:val="28"/>
          <w:lang w:val="en-US"/>
        </w:rPr>
        <w:t>Sementara itu, istilah  “proposisi penjelas  adalah istilah yang lebih teknis. Maknanya  ditunjukkan oleh Suhrawardi dalam logika Al-Masyāri' wa Al-  Muthārahāt,  “Ketahuilah bahwa proposisi-proposisi yang jelas itu  ada lima: definisi esensialis yang sempurna (al-hadd at-  tāmm); (definisi konseptualis, atau) menjadikan sesuatu  yang dinamai diketahui melalui bagian-bagian konsep  yang sempurna (ta'rif al-musammā bi ajzā' al-mafhūm  at-tāmm);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definisi esensialis yang tidak sempurna (al-  hadd an-nāqish); deskripsi yang sempurna (ar-rasm at-  tāmm); serta deskripsi yang tidak sempurna (ar-rasm al-  nāqish).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Dari pernyataan di atas, kita bisa menyimpulkan bahwa  istilah proposisi penjelas melambangkan berbagai definisi  teknis, dan harus dibedakan dari penggunaan umum konsep-  konsep yang “mendefinisikan sesuatu , dan dengan demikian  “membuatnya jadi diketahui . Istilah itu juga diterapkan  pada formula definisi tertentu semisal definisi esensialis yang  sempurna, dan juga jenis-jenis definisi lainnya.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Tampaknya, lima jenis definisi di atas adalah pembagian  Suhrawardi yang digunakan secara eksplisit dalam Al-Masyāri'  wa Al-Muthārahāt. Akan tetapi, jenis-jenis definisi yang  disebutkan di atas, kecuali jenis konseptualis, dianggap sudah  ada sebelumnya, meskipun tidak sistematis. Misalnya saja,  jenis definisi esensialis dan jenis deskriptif disebutkan oleh  Aristoteles dalam berbagai bagian karyanya.</w:t>
      </w:r>
      <w:r>
        <w:rPr>
          <w:rStyle w:val="FootnoteAnchor"/>
        </w:rPr>
        <w:footnoteReference w:id="163"/>
      </w:r>
      <w:r>
        <w:rPr>
          <w:rFonts w:eastAsia="Times New Roman" w:cs="Times New Roman" w:ascii="Times New Roman" w:hAnsi="Times New Roman"/>
          <w:color w:val="111111"/>
          <w:sz w:val="28"/>
          <w:szCs w:val="28"/>
          <w:lang w:val="en-US"/>
        </w:rPr>
        <w:t xml:space="preserve">Istilah qaulyang </w:t>
      </w:r>
    </w:p>
    <w:p>
      <w:pPr>
        <w:pStyle w:val="BookText"/>
        <w:bidi w:val="0"/>
        <w:rPr/>
      </w:pPr>
      <w:r>
        <w:rPr>
          <w:rFonts w:eastAsia="Times New Roman" w:cs="Times New Roman" w:ascii="Times New Roman" w:hAnsi="Times New Roman"/>
          <w:color w:val="111111"/>
          <w:sz w:val="28"/>
          <w:szCs w:val="28"/>
          <w:lang w:val="en-US"/>
        </w:rPr>
        <w:t>bisa diterjemahkan sebagai “pernyataan ,  proposisi , atau  “formula  (bahkan di beberapa tempat mungkin:  definisi ),  bahkan “argumen  bergantung pada konteksnya, adalah istilah  yang digunakan kaum Peripatetik sebelum Suhrawardi untuk  menunjuk makna yang sama bagi istilah al-qaul ash-sharih.</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Pengertian Aristoteles yang kaku tentang istilah lóyos (disebut  juga qaul) adalah “formula , yang digunakan khususnya  dalam kaitannya dengan definisi, misalnya dalam Aristoteles,  Metaphysics VII. 4, 1030a7-9: “ada definisi (ópious) kata yang  tidak sama dengan formula (Jóyos) karena dalam hal seperti  itu, semua formula adalah definisi . Tampak jelas bagi saya  bahwa pengertian “formula  untuk qaul secara logis sangat  semakna. Untuk berbagai pengertian lain dari istilah qaul lihat,  Ibn Sina, Livre des Directives et Remarques, terjemahan A. M.</w:t>
      </w:r>
    </w:p>
    <w:p>
      <w:pPr>
        <w:pStyle w:val="BookText"/>
        <w:bidi w:val="0"/>
        <w:jc w:val="both"/>
        <w:rPr/>
      </w:pPr>
      <w:r>
        <w:rPr>
          <w:rFonts w:eastAsia="Times New Roman" w:cs="Times New Roman" w:ascii="Times New Roman" w:hAnsi="Times New Roman"/>
          <w:color w:val="111111"/>
          <w:sz w:val="28"/>
          <w:szCs w:val="28"/>
          <w:lang w:val="en-US"/>
        </w:rPr>
        <w:t>Gichon, (Paris: J. Vrin, 1951), hlm. 84, 193, 211. Konsep yang  mendasari ungkapan “proposisi penjelas  (al-qaul ash-sharih)  kemungkinan bukan berasal dari Aristoteles. Bandingkan,  Afnan, Lexicon, hlm. 245; dan E. Zeller, Stoics, Epicureans,  and Sceptics, terjemahan O. J. Reichel, (New York: Russel and  Russel, 1962), hlm. 73, catatan 2.</w:t>
      </w:r>
    </w:p>
    <w:p>
      <w:pPr>
        <w:pStyle w:val="BookText"/>
        <w:bidi w:val="0"/>
        <w:jc w:val="both"/>
        <w:rPr/>
      </w:pPr>
      <w:r>
        <w:rPr>
          <w:rFonts w:eastAsia="Times New Roman" w:cs="Times New Roman" w:ascii="Times New Roman" w:hAnsi="Times New Roman"/>
          <w:color w:val="111111"/>
          <w:sz w:val="28"/>
          <w:szCs w:val="28"/>
          <w:lang w:val="en-US"/>
        </w:rPr>
        <w:t>Istilah proposisi penjelas sebagai “pilar  kedua logika,  digunakan Suhrawardi untuk menunjuk hubungan antara  konsepsi (tashawwur) dan penilaian (tashdiq) di luar kajian  logika. Di bagian awal logika Al-Masyāri' wa Al-Muthārahāt,  yakni jalan (masyra') pertama, yang berjudul Tentang Al-  Madkhal, Suhrawardi menegaskan,   Engkau telah belajar dari buku-buku (logika)  bahwa sesuatu yang dicari dalam ilmu pengetahuan  adalah konsepsi (tashawwur) atau penilaian (tashdiq),  dan proposisi-proposisi serta bukti-bukti penjelas  menghubungkan keduanya.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Dalam bagian yang bersesuaian dengan logika At-  Talwīhāt, Suhrawardi menegaskan,  “Yang menghubungkan konsepsi (tashawwur) dengan  idenya disebut proposisi penjelas, entah itu sebuah  definisi esensialis atau sesuatu yang lain, dan yang  menghubungkan penilaian (tashdiq) dengan idenya  disebut bukti, entah itu sebuah demonstrasi atau sesuatu  yang lain. Segenap proposisi penjelas dan bukti bersama-  sama membentuk metode ilmu (thariq al-ʻulūm).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Dari dua pernyataan di atas, kita bisa menyimpulkan  signifikansi metodologis dari proposisi-proposisi penjelas  dalam filsafat. Itulah sebabnya, sangat penting bagi kita untuk  memahami teori Suhrawardi sebagai langkah dalam usaha</w:t>
      </w:r>
      <w:bookmarkStart w:id="125" w:name="pg6442_57373"/>
    </w:p>
    <w:p>
      <w:pPr>
        <w:pStyle w:val="BookText"/>
        <w:bidi w:val="0"/>
        <w:rPr/>
      </w:pPr>
      <w:bookmarkEnd w:id="125"/>
      <w:r>
        <w:rPr>
          <w:rFonts w:eastAsia="Times New Roman" w:cs="Times New Roman" w:ascii="Times New Roman" w:hAnsi="Times New Roman"/>
          <w:color w:val="111111"/>
          <w:sz w:val="28"/>
          <w:szCs w:val="28"/>
          <w:lang w:val="en-US"/>
        </w:rPr>
        <w:t>kita memahami Filsafat Iluminasi. Suhrawardi secara eksplisit  membuka kajiannya tentang logika dengan menegaskan bahwa  definisi memiliki kedudukan penting dalam kerangka konseptual  ilmu. Ia mempersembahkan bab-bab khusus yang membahas  logika dalam At-Talwihāt dan dalam Al-Masyāri' wa Al-  Muthārahāt (masing-masing di Bab II) untuk mengkaji definisi;  dan dalam Hikmah Al-Isyrāq (Bagian Satu, I, 7), ia menekankan  signifikansi lebih jauh dari definisi dalam metodologi Iluminasi  dengan cara mengkritik teori Peripatetik.</w:t>
      </w:r>
    </w:p>
    <w:p>
      <w:pPr>
        <w:pStyle w:val="Heading4"/>
        <w:numPr>
          <w:ilvl w:val="3"/>
          <w:numId w:val="1"/>
        </w:numPr>
        <w:bidi w:val="0"/>
        <w:jc w:val="left"/>
        <w:rPr/>
      </w:pPr>
      <w:bookmarkStart w:id="126" w:name="__RefHeading___Toc924660_653776707"/>
      <w:bookmarkStart w:id="127" w:name="_Toc43"/>
      <w:bookmarkEnd w:id="126"/>
      <w:r>
        <w:rPr/>
        <w:t>1.2. Tipologi Definisi:</w:t>
      </w:r>
      <w:bookmarkEnd w:id="127"/>
    </w:p>
    <w:p>
      <w:pPr>
        <w:pStyle w:val="BookText"/>
        <w:bidi w:val="0"/>
        <w:jc w:val="both"/>
        <w:rPr/>
      </w:pPr>
      <w:r>
        <w:rPr>
          <w:rFonts w:eastAsia="Times New Roman" w:cs="Times New Roman" w:ascii="Times New Roman" w:hAnsi="Times New Roman"/>
          <w:color w:val="111111"/>
          <w:sz w:val="28"/>
          <w:szCs w:val="28"/>
          <w:lang w:val="en-US"/>
        </w:rPr>
        <w:t>1.2. Tipologi Definisi  Dilengkapi dengan pengetahuan, proposisi penjelas  adalah genus dari berbagai jenis definisi. Sekarang, kita akan  mempertimbangkan spesies-spesies itu untuk menentukan  jenis-jenis definisi apa yang digunakan Suhrawardi dalam  mendefinisikan segala sesuatu, kata-kata atau konsep-konsep.</w:t>
      </w:r>
    </w:p>
    <w:p>
      <w:pPr>
        <w:pStyle w:val="BookText"/>
        <w:bidi w:val="0"/>
        <w:jc w:val="both"/>
        <w:rPr/>
      </w:pPr>
      <w:r>
        <w:rPr>
          <w:rFonts w:eastAsia="Times New Roman" w:cs="Times New Roman" w:ascii="Times New Roman" w:hAnsi="Times New Roman"/>
          <w:color w:val="111111"/>
          <w:sz w:val="28"/>
          <w:szCs w:val="28"/>
          <w:lang w:val="en-US"/>
        </w:rPr>
        <w:t>Ini berarti membedakan berbagai karakteristik dari definisi  realis, nominalis, dan konseptualis.</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Pembedaan ini juga dibuat oleh Plato dan Aristoteles, meskipun  dalam pengertian yang terbatas. Lihat, Plato, Theaetetus,  514b-515c, 547c-549c; Aritotle, Categories V, 2219-3524; VI,  66-84; Posterior Analytics 1.22, 11.3-10.</w:t>
      </w:r>
    </w:p>
    <w:p>
      <w:pPr>
        <w:pStyle w:val="BookText"/>
        <w:bidi w:val="0"/>
        <w:jc w:val="both"/>
        <w:rPr/>
      </w:pPr>
      <w:r>
        <w:rPr>
          <w:rFonts w:eastAsia="Times New Roman" w:cs="Times New Roman" w:ascii="Times New Roman" w:hAnsi="Times New Roman"/>
          <w:color w:val="111111"/>
          <w:sz w:val="28"/>
          <w:szCs w:val="28"/>
          <w:lang w:val="en-US"/>
        </w:rPr>
        <w:t>Jenis definsi yang penting dalam karya-karya Plato,  Aristoteles, dan dalam karya-karya kaum Peripatetik belakangan  di zaman Islam, adalah definisi hakiki. Definisi sempurna dan  definisi tidak sempurna, seperti disebutkan Suhrawadi, kedua-  duanya adalah definisi hakiki.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Kedua jenis definisi ini punya  sejarah yang lebih atau kurang jelas yang kembali kepada  Aristoteles, tetapi dalam karya-karyanya tidak dirinci ihwal  pembedaan antara bentuk definisi sempurna dan definisi tidak  sempurna.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Keduanya ini adalah definisi hakiki, dan dalam  istilah terminologi Filsafat Modern, esensialis.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kasus dua jenis definisi ini, terdapat kesepakatan</w:t>
      </w:r>
      <w:bookmarkStart w:id="128" w:name="pg6442_57374"/>
    </w:p>
    <w:p>
      <w:pPr>
        <w:pStyle w:val="BookText"/>
        <w:bidi w:val="0"/>
        <w:rPr/>
      </w:pPr>
      <w:bookmarkEnd w:id="128"/>
      <w:r>
        <w:rPr>
          <w:rFonts w:eastAsia="Times New Roman" w:cs="Times New Roman" w:ascii="Times New Roman" w:hAnsi="Times New Roman"/>
          <w:color w:val="111111"/>
          <w:sz w:val="28"/>
          <w:szCs w:val="28"/>
          <w:lang w:val="en-US"/>
        </w:rPr>
        <w:t>umum bahwa keduanya berasal dari Aristoteles, tetapi jenis  definisi deskriptif yang sempurna dan yang tidak sempurna  tidak memiliki asal-usul historis yang pasti. Ahli sejarah Filsafat  Islam Kontemporer terkemuka, Ibrahim Madkour dan A. M.</w:t>
      </w:r>
    </w:p>
    <w:p>
      <w:pPr>
        <w:pStyle w:val="BookText"/>
        <w:bidi w:val="0"/>
        <w:jc w:val="both"/>
        <w:rPr/>
      </w:pPr>
      <w:r>
        <w:rPr>
          <w:rFonts w:eastAsia="Times New Roman" w:cs="Times New Roman" w:ascii="Times New Roman" w:hAnsi="Times New Roman"/>
          <w:color w:val="111111"/>
          <w:sz w:val="28"/>
          <w:szCs w:val="28"/>
          <w:lang w:val="en-US"/>
        </w:rPr>
        <w:t>Goichon, sama-sama menunjukkan bahwa asal-usul definisi  deskriptif ditemukan dalam útroypapi Galen.</w:t>
      </w:r>
      <w:r>
        <w:rPr>
          <w:rStyle w:val="FootnoteAnchor"/>
        </w:rPr>
        <w:footnoteReference w:id="166"/>
      </w:r>
      <w:r>
        <w:rPr>
          <w:rFonts w:eastAsia="Times New Roman" w:cs="Times New Roman" w:ascii="Times New Roman" w:hAnsi="Times New Roman"/>
          <w:color w:val="111111"/>
          <w:sz w:val="28"/>
          <w:szCs w:val="28"/>
          <w:lang w:val="en-US"/>
        </w:rPr>
        <w:t xml:space="preserve">Kedua jenis  definisi ini juga nyata dan bukan esensialis. Kita mungkin bisa  menyebutnya sebagai definisi ostensif karena keduanya disebut-  sebut untuk membedakan sesuatu dari sesuatu lainnya. </w:t>
      </w:r>
      <w:r>
        <w:rPr>
          <w:rStyle w:val="FootnoteAnchor"/>
        </w:rPr>
        <w:footnoteReference w:id="167"/>
      </w:r>
      <w:r>
        <w:rPr>
          <w:rFonts w:eastAsia="Times New Roman" w:cs="Times New Roman" w:ascii="Times New Roman" w:hAnsi="Times New Roman"/>
          <w:color w:val="111111"/>
          <w:sz w:val="28"/>
          <w:szCs w:val="28"/>
          <w:lang w:val="en-US"/>
        </w:rPr>
        <w:t xml:space="preserve"> Jenis definisi kelima Suhrawadi, adalah jenis definisi  esensialis, dan tampak dengan jelas dibedakan sebagai  sebuah jenis terpisah hanya dalam karya-karyanya. Jenis  ini adalah  formula yang menjadikan sesuatu diketahui  melalui konsepnya .</w:t>
      </w:r>
      <w:r>
        <w:rPr>
          <w:rStyle w:val="FootnoteAnchor"/>
        </w:rPr>
        <w:footnoteReference w:id="168"/>
      </w:r>
      <w:r>
        <w:rPr>
          <w:rFonts w:eastAsia="Times New Roman" w:cs="Times New Roman" w:ascii="Times New Roman" w:hAnsi="Times New Roman"/>
          <w:color w:val="111111"/>
          <w:sz w:val="28"/>
          <w:szCs w:val="28"/>
          <w:lang w:val="en-US"/>
        </w:rPr>
        <w:t>Kelima jenis definisi di atas - definisi  esensialis: yang sempurna dan yang tidak sempurna; definisi  deskriptif: yang sempurna dan tidak sempurna; serta definisi  konseptualis, menduduki posisi penting dalam teori definisi  Suhrawardi. Akan tetapi, bukan hanya jenis-jenis definsi ini saja  yang disebut-sebut dalam berbagai karyanya. Tersebar dalam  kebanyakan karyanya yang membahas ihwal logika, seseorang  akan menemukan bahasan tentang jenis-jenis definisi nominalis,  ostensif, dan implisit yang akan kita bahas lagi kemudian.</w:t>
      </w:r>
    </w:p>
    <w:p>
      <w:pPr>
        <w:pStyle w:val="Heading3"/>
        <w:numPr>
          <w:ilvl w:val="2"/>
          <w:numId w:val="1"/>
        </w:numPr>
        <w:bidi w:val="0"/>
        <w:jc w:val="left"/>
        <w:rPr/>
      </w:pPr>
      <w:bookmarkStart w:id="129" w:name="__RefHeading___Toc924662_653776707"/>
      <w:bookmarkStart w:id="130" w:name="_Toc44"/>
      <w:bookmarkEnd w:id="129"/>
      <w:r>
        <w:rPr/>
        <w:t>2. DEFINISI DAN METODOLOGI FILSAFAT:</w:t>
      </w:r>
      <w:bookmarkEnd w:id="130"/>
    </w:p>
    <w:p>
      <w:pPr>
        <w:pStyle w:val="Heading4"/>
        <w:numPr>
          <w:ilvl w:val="3"/>
          <w:numId w:val="1"/>
        </w:numPr>
        <w:bidi w:val="0"/>
        <w:jc w:val="left"/>
        <w:rPr/>
      </w:pPr>
      <w:bookmarkStart w:id="131" w:name="__RefHeading___Toc924664_653776707"/>
      <w:bookmarkStart w:id="132" w:name="_Toc45"/>
      <w:bookmarkEnd w:id="131"/>
      <w:r>
        <w:rPr/>
        <w:t>Point</w:t>
      </w:r>
      <w:bookmarkEnd w:id="132"/>
    </w:p>
    <w:p>
      <w:pPr>
        <w:pStyle w:val="BookText"/>
        <w:bidi w:val="0"/>
        <w:jc w:val="both"/>
        <w:rPr/>
      </w:pPr>
      <w:r>
        <w:rPr>
          <w:rFonts w:eastAsia="Times New Roman" w:cs="Times New Roman" w:ascii="Times New Roman" w:hAnsi="Times New Roman"/>
          <w:color w:val="111111"/>
          <w:sz w:val="28"/>
          <w:szCs w:val="28"/>
          <w:lang w:val="en-US"/>
        </w:rPr>
        <w:t xml:space="preserve">Dalam sebuah bagian dari Buku || tentang Posterior  Analytics, Aristoteles mengemukakan kedudukan definisi  sebagai langkah pertama dalam sains atau ilmu pengetahuan. </w:t>
      </w:r>
      <w:r>
        <w:rPr>
          <w:rStyle w:val="FootnoteAnchor"/>
        </w:rPr>
        <w:footnoteReference w:id="169"/>
      </w:r>
      <w:r>
        <w:rPr>
          <w:rFonts w:eastAsia="Times New Roman" w:cs="Times New Roman" w:ascii="Times New Roman" w:hAnsi="Times New Roman"/>
          <w:color w:val="111111"/>
          <w:sz w:val="28"/>
          <w:szCs w:val="28"/>
          <w:lang w:val="en-US"/>
        </w:rPr>
        <w:t xml:space="preserve"> Dari sudut pandang formal, definisi juga dianggap sebagai  premis dalam demonstrasi. </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(Oslo: Universitet forlaget, 1966), di mana Stigen menunjukkan  “mengapa, menurut Aristoteles, problem definisi menjadi  bahasan utama pengetahuan , (hlm. 78, catatan 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Oleh karena itu, ketika suatu</w:t>
      </w:r>
    </w:p>
    <w:p>
      <w:pPr>
        <w:pStyle w:val="BookText"/>
        <w:bidi w:val="0"/>
        <w:rPr/>
      </w:pPr>
      <w:r>
        <w:rPr>
          <w:rFonts w:eastAsia="Times New Roman" w:cs="Times New Roman" w:ascii="Times New Roman" w:hAnsi="Times New Roman"/>
          <w:color w:val="111111"/>
          <w:sz w:val="28"/>
          <w:szCs w:val="28"/>
          <w:lang w:val="en-US"/>
        </w:rPr>
        <w:t>definisi sudah diperoleh atau dibangun, seseorang bisa beranjak  maju menuju pengetahuan ilmiah. Para filsuf di zaman Islam  sampai Suhrawardi sepakat dengan metode demonstrasi  Aristoteles, atau metode ilmiah, berikut kedudukan formal  definisi dalam demonstrasi.</w:t>
      </w:r>
      <w:r>
        <w:rPr>
          <w:rStyle w:val="FootnoteAnchor"/>
        </w:rPr>
        <w:footnoteReference w:id="171"/>
      </w:r>
      <w:r>
        <w:rPr>
          <w:rFonts w:eastAsia="Times New Roman" w:cs="Times New Roman" w:ascii="Times New Roman" w:hAnsi="Times New Roman"/>
          <w:color w:val="111111"/>
          <w:sz w:val="28"/>
          <w:szCs w:val="28"/>
          <w:lang w:val="en-US"/>
        </w:rPr>
        <w:t>Akan tetapi, terdapat sejumlah  problem berkenaan dengan kritik Suhrawardi atas formula  definisi kaum Peripatetik yang meliputi pertanyaan-pertanyaan  sebagai berikut: Apakah yang menjadi dasar epistemologi dan  ontologis dari definisi? Jenis-jenis definisi apa saja yang bisa  dipandang sebagai valid atau sahih? Apakah formula definisi  itu? Apa hubungan antara definisi, demonstrasi, dan antara  definisi dan induksi?  Sebelum membahas pokok persoalan penting itu di sini,  yakni menganalisis kritik Suhrawardi atas kaum Peripatetik dan  kemudian mendiskusikan pandangannya tentang definisi, kita  akan mengkaji dan menelaah secara singkat latar belakang yang  mungkin bagi sebuah teori Iluminasi tentang definisi, yakni teori  dari Plato dan Aristoteles. Kita lakukan ini untuk menjelaskan  pandangan-pandangan Suhrawardi dalam suatu konteks filsafat  yang lebih luas. Sesekali, Suhrawardi sependapat dengan  pandangan dan posisi Aristoteles tentang formula definisi, dan  pada kali lain, sependapat dengan pandangan Plato. Lebih jauh,  ia membangun suatu formula lain yang berpijak pada keduanya.</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Lihat, Aristoteles, Prior Analytics II, hlm. 64-65; idem.,  Posterior Analytics 11.5, 13; idem, Topics V1.6, 143b11-14424;  Metaphysics VII.12, 1037b28-1038235; Parts of Animals 1.</w:t>
      </w:r>
    </w:p>
    <w:p>
      <w:pPr>
        <w:pStyle w:val="BookText"/>
        <w:bidi w:val="0"/>
        <w:jc w:val="both"/>
        <w:rPr/>
      </w:pPr>
      <w:r>
        <w:rPr>
          <w:rFonts w:eastAsia="Times New Roman" w:cs="Times New Roman" w:ascii="Times New Roman" w:hAnsi="Times New Roman"/>
          <w:color w:val="111111"/>
          <w:sz w:val="28"/>
          <w:szCs w:val="28"/>
          <w:lang w:val="en-US"/>
        </w:rPr>
        <w:t>hlm. 2-4. Plotinus juga menggunakan metode pembagian  atau dikotomi dalam definisi. Lihat Plotinus, The Enneads,  terjemahan S. Mac Kenna, (New York: Pantheon, 1969),  hlm. I, 3 dan 4, di mana ditegaskannya, “... ia menggunakan  pembagian Plato dan ketajaman bentuk-bentuk ideal,” dan  juga ibid., VI. hlm. 3 dan 16-18. Sebuah kajian komprehensif  tentang metode dikotomi Plato dilakukan oleh Kenneth M.</w:t>
      </w:r>
    </w:p>
    <w:p>
      <w:pPr>
        <w:pStyle w:val="BookText"/>
        <w:bidi w:val="0"/>
        <w:jc w:val="both"/>
        <w:rPr/>
      </w:pPr>
      <w:r>
        <w:rPr>
          <w:rFonts w:eastAsia="Times New Roman" w:cs="Times New Roman" w:ascii="Times New Roman" w:hAnsi="Times New Roman"/>
          <w:color w:val="111111"/>
          <w:sz w:val="28"/>
          <w:szCs w:val="28"/>
          <w:lang w:val="en-US"/>
        </w:rPr>
        <w:t>Sayre yang menyebut metode itu sebagai “Penyatuan dan  Pembagian  (Collection and Division). Lihat, Sayre, Plato's  Analytics Method, Bab IV. (Chicago: University of Chicago  Press, 1969).</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Sewaktu kita mengkaji dan menelaah problem ini, kita harus  mencamkan dua persoalan penting: apakah Suhrawardi  menerima metode Aristoteles untuk memperoleh definisi,  metode pengamatan atas dunia entititas-entitas wujud, dan  kemudian mengabstraksikan kategori tertentu sehingga sampai  pada suatu genus plus sejumlah diferensia, suatu definisi</w:t>
      </w:r>
      <w:bookmarkStart w:id="133" w:name="pg6442_57376"/>
    </w:p>
    <w:p>
      <w:pPr>
        <w:pStyle w:val="BookText"/>
        <w:bidi w:val="0"/>
        <w:rPr/>
      </w:pPr>
      <w:bookmarkEnd w:id="133"/>
      <w:r>
        <w:rPr>
          <w:rFonts w:eastAsia="Times New Roman" w:cs="Times New Roman" w:ascii="Times New Roman" w:hAnsi="Times New Roman"/>
          <w:color w:val="111111"/>
          <w:sz w:val="28"/>
          <w:szCs w:val="28"/>
          <w:lang w:val="en-US"/>
        </w:rPr>
        <w:t>yang, meski mungkin bisa atau tidak bisa didemonstrasikan-  punya kedudukan dalam demonstrasi ?</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Metode ini digunakan secara ekstensif atau luas oleh  Aristoteles dalam hampir semua karyanya. Lihat, Aristoteles,  Categories III, V, XIII; idem., Prior Analytics I, hlm. 27. Idem.,  Posterior Analytics, 1.22. 11.13-14; idem., Topics, 1.4.9, 1.18,  IV-VII; idem., Physics, 1.3; idem., Metaphysics, III.4, III 3, V.3;  idem., History of Animal, I 1; idem., Parts of Animal 1.1, 1.2.4.</w:t>
      </w:r>
    </w:p>
    <w:p>
      <w:pPr>
        <w:pStyle w:val="BookText"/>
        <w:bidi w:val="0"/>
        <w:jc w:val="both"/>
        <w:rPr/>
      </w:pPr>
      <w:r>
        <w:rPr>
          <w:rFonts w:eastAsia="Times New Roman" w:cs="Times New Roman" w:ascii="Times New Roman" w:hAnsi="Times New Roman"/>
          <w:color w:val="111111"/>
          <w:sz w:val="28"/>
          <w:szCs w:val="28"/>
          <w:lang w:val="en-US"/>
        </w:rPr>
        <w:t>Kombinasi metode dikotomi dan metode definisi melalui  genera adalah dasar yang mungkin bagi teori Suhrawardi  yang mencakup apa yang harus disebut sebagai metode  “membidani , sesudah Plato. Lihat, Plato, Theaetetus, 150b-d.</w:t>
      </w:r>
    </w:p>
    <w:p>
      <w:pPr>
        <w:pStyle w:val="BookText"/>
        <w:bidi w:val="0"/>
        <w:jc w:val="both"/>
        <w:rPr/>
      </w:pPr>
      <w:r>
        <w:rPr>
          <w:rFonts w:eastAsia="Times New Roman" w:cs="Times New Roman" w:ascii="Times New Roman" w:hAnsi="Times New Roman"/>
          <w:color w:val="111111"/>
          <w:sz w:val="28"/>
          <w:szCs w:val="28"/>
          <w:lang w:val="en-US"/>
        </w:rPr>
        <w:t>Bandingkan, Plotinus, Enneads, VI.3. hlm. 1, 8-10, dan 16-18.</w:t>
      </w:r>
    </w:p>
    <w:p>
      <w:pPr>
        <w:pStyle w:val="BookText"/>
        <w:bidi w:val="0"/>
        <w:jc w:val="both"/>
        <w:rPr/>
      </w:pPr>
      <w:r>
        <w:rPr>
          <w:rFonts w:eastAsia="Times New Roman" w:cs="Times New Roman" w:ascii="Times New Roman" w:hAnsi="Times New Roman"/>
          <w:color w:val="111111"/>
          <w:sz w:val="28"/>
          <w:szCs w:val="28"/>
          <w:lang w:val="en-US"/>
        </w:rPr>
        <w:t>Atau; apakah  pandangan Suhrawardi tentang definisi pada akhirnya lebih  bercorak Platonis, yang memandang definisi sebagai hasil dari  suatu kajian dan telaah filsufis yang selaras serta mencakup  keseluruhan? Kajian dan telaah ini akan meliputi suatu metode  dialektis, di mana para pesertanya memperoleh gambaran atau  citra dari hal-hal yang paling hakiki: bentuk-bentuk atau ide-  ide dalam jiwa mereka. Posisi Platonis seperti ini memandang  definisi sebagai hasil akhir dari suatu proses yang di dalamnya  seorang  guru” memainkan peran penting dalam perolehan  seseorang atas pengetahuan personal yang menyeluruh (tentu  saja tidak secara formal bisa dikemukakan). Posisi-posisi metode  alternatif lain semacam itu harus dipertimbangkan terlebih  dahulu saat kita berusaha mengungkap kembali makna-makna  yang dimaksud dalam beberapa bagian yang tidak jelas dalam  karya-karya Suhrawardi, dan merumuskan teorinya tentang  definisi Iluminasi.</w:t>
      </w:r>
    </w:p>
    <w:p>
      <w:pPr>
        <w:pStyle w:val="Heading4"/>
        <w:numPr>
          <w:ilvl w:val="3"/>
          <w:numId w:val="1"/>
        </w:numPr>
        <w:bidi w:val="0"/>
        <w:jc w:val="left"/>
        <w:rPr/>
      </w:pPr>
      <w:bookmarkStart w:id="134" w:name="__RefHeading___Toc924666_653776707"/>
      <w:bookmarkStart w:id="135" w:name="_Toc46"/>
      <w:bookmarkEnd w:id="134"/>
      <w:r>
        <w:rPr/>
        <w:t>2.1. Metodologi Definisi dan Posisinya dalam Metafisika</w:t>
      </w:r>
      <w:bookmarkEnd w:id="135"/>
    </w:p>
    <w:p>
      <w:pPr>
        <w:pStyle w:val="BookText"/>
        <w:bidi w:val="0"/>
        <w:jc w:val="both"/>
        <w:rPr/>
      </w:pPr>
      <w:r>
        <w:rPr>
          <w:rFonts w:eastAsia="Times New Roman" w:cs="Times New Roman" w:ascii="Times New Roman" w:hAnsi="Times New Roman"/>
          <w:color w:val="111111"/>
          <w:sz w:val="28"/>
          <w:szCs w:val="28"/>
          <w:lang w:val="en-US"/>
        </w:rPr>
        <w:t>2.1. Metodologi Definisi dan Posisinya dalam Metafisika  Metodologi definisi harus dianggap sebagai salah satu  komponen atau unsur mendasar dari suatu pendekatan filosofis  dalam menghampiri problem metafisika. la menetapkan  ihwal apakah pendekatan itu bercorak realisme, idealisme,  nominalisme, dan sebagainya dengan memungkinkan sejarawan  filsafat untuk mempertimbangkan cara filsuf yang dikaji atau  ditelaah menggunakan definisi dalam menghampiri metafisika.</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Filsafat membahas, antara lain persoalan “apa . Jawaban atas  pertanyaan ini yang dirumuskan sebagai definisi, melibatkan </w:t>
      </w:r>
    </w:p>
    <w:p>
      <w:pPr>
        <w:pStyle w:val="BookText"/>
        <w:bidi w:val="0"/>
        <w:rPr/>
      </w:pPr>
      <w:r>
        <w:rPr>
          <w:rFonts w:eastAsia="Times New Roman" w:cs="Times New Roman" w:ascii="Times New Roman" w:hAnsi="Times New Roman"/>
          <w:color w:val="111111"/>
          <w:sz w:val="28"/>
          <w:szCs w:val="28"/>
          <w:lang w:val="en-US"/>
        </w:rPr>
        <w:t>kajian dan telaah yang cermat atas metodologi dan prinsip-  prinsip filsafat. Misalnya saja, jawaban atas pertanyaan, “apakah  manusia itu?  saat dirumuskan sebagai “hewan rasional  di  satu sisi, dan sebagai “wujud yang sadar diri dan hidup  di sisi  lain, menentukan posisi filosofis ihwal apa yang menjadi dasar  metafisika, dan tidak memasukkan prinsip-prinsip psikologis.</w:t>
      </w:r>
    </w:p>
    <w:p>
      <w:pPr>
        <w:pStyle w:val="BookText"/>
        <w:bidi w:val="0"/>
        <w:jc w:val="both"/>
        <w:rPr/>
      </w:pPr>
      <w:r>
        <w:rPr>
          <w:rFonts w:eastAsia="Times New Roman" w:cs="Times New Roman" w:ascii="Times New Roman" w:hAnsi="Times New Roman"/>
          <w:color w:val="111111"/>
          <w:sz w:val="28"/>
          <w:szCs w:val="28"/>
          <w:lang w:val="en-US"/>
        </w:rPr>
        <w:t>Persis seperti halnya  definisi  seorang ahli logika tentang   apa itu angka  merefleksikan pandangan yang benar-benar  berbeda tentang matematika dari definisi Iluminasionis tentang  angka, maka begitu pulalah teori Definisi Iluminasionis pun  mengungkapkan posisi filosofis yang berbeda dengan posisi  kaum Peripatetik.</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Terlepas dari persoalan-persoalan yang berkaitan  dengan dasar epistemologi definisi dalam filsafat, kita harus  mempertimbangkan bagaimana definisi itu dirumuskan?  Taruhlah kita ingin mendefinisikan sesuatu, X. Sesuatu ini,  menurut asumsi kita selanjutnya, mesti dibangun dalam  hubungannya dengan sifat-sifatnya, entah esensial atau  tidak, berbagai kesamaan, aksiden, dan lain sebagainya. Kita  sebut saja semua itu sebagai unsur pokok X, dan kemudian  menganggapnya sebagai X. Jika sesuatu itu sederhana, tidak  majemuk (basīth), maka X dan X adalah satu dan sama. (Definisi  tentang hal-hal sederhana adalah sebuah kasus khusus dan akan  dibahas kemudian). Kita harus berusaha memperjelas posisi  filosofis dalam kasus, ketika unsur-unsur pokok dari sesuatu  berjumlah banyak dengan memutuskan apakah X, itu hakiki  atau hanya diketahui secara ideal, dan bagaimana semuanya  itu bisa diketahui dalam hubungannya dengan X? Kemudian  kita harus memutuskan ihwal apakah unsur-unsur pokok </w:t>
      </w:r>
    </w:p>
    <w:p>
      <w:pPr>
        <w:pStyle w:val="BookText"/>
        <w:bidi w:val="0"/>
        <w:rPr/>
      </w:pPr>
      <w:r>
        <w:rPr>
          <w:rFonts w:eastAsia="Times New Roman" w:cs="Times New Roman" w:ascii="Times New Roman" w:hAnsi="Times New Roman"/>
          <w:color w:val="111111"/>
          <w:sz w:val="28"/>
          <w:szCs w:val="28"/>
          <w:lang w:val="en-US"/>
        </w:rPr>
        <w:t>esensial X, katakanlah X itu berlainan, atau berkesinambungan  dalam dirinya, atau sebagai bagian dari X? Apakah X dan X  bisa diketahui dalam dirinya secara terpisah maupun secara  keseluruhan? Bisakah X dan X, diuraikan secara lengkap? Apa  yang terjadi jika X dan X berbeda dari X, tetapi X tidak sederhana?  Kemudian, kita harus menunjukkan hakikat memasukkan  (indikhāl) X, dalam X. Apakah memasukkan X, sedemikian rupa  sehingga X, tidak bisa dibedakan dari X dan tidak dimasukkan  di dalamnya (jenis memasukkan ini disebut istighrāq)?; atau X,  dibedakan dari X, tetapi tidak dimasukkan di dalamnya (jenis ini  disebut syumul); atau bahkan X semacam itu dibedakan dalam  X dan tidak dimasukkan di dalamnya (jenis ini disebut indirāj)?  Pertanyaan-pertanyaan seperti itu dikemukakan sebagai langkah  penting dalam menetapkan posisi apa yang diambil Suhrawardi  dalam Grundlage Filsafat Iluminasi.</w:t>
      </w:r>
    </w:p>
    <w:p>
      <w:pPr>
        <w:pStyle w:val="BookText"/>
        <w:bidi w:val="0"/>
        <w:jc w:val="both"/>
        <w:rPr/>
      </w:pPr>
      <w:r>
        <w:rPr>
          <w:rFonts w:eastAsia="Times New Roman" w:cs="Times New Roman" w:ascii="Times New Roman" w:hAnsi="Times New Roman"/>
          <w:color w:val="111111"/>
          <w:sz w:val="28"/>
          <w:szCs w:val="28"/>
          <w:lang w:val="en-US"/>
        </w:rPr>
        <w:t>Pertanyaan berikutnya yang berkaitan dengan kajian dan  telaah kita tentang definisi adalah prioritas (taqaddum). Segala  hal didefinisikan dalam kaitannya dengan hal lain yang harus  diketahui terlebih dahulu bagi definisi yang lebih dari sekadar  perubahan ungkapan (tabdil al-lafzh, dalam istilah Suhrawardi).</w:t>
      </w:r>
    </w:p>
    <w:p>
      <w:pPr>
        <w:pStyle w:val="BookText"/>
        <w:bidi w:val="0"/>
        <w:jc w:val="both"/>
        <w:rPr/>
      </w:pPr>
      <w:r>
        <w:rPr>
          <w:rFonts w:eastAsia="Times New Roman" w:cs="Times New Roman" w:ascii="Times New Roman" w:hAnsi="Times New Roman"/>
          <w:color w:val="111111"/>
          <w:sz w:val="28"/>
          <w:szCs w:val="28"/>
          <w:lang w:val="en-US"/>
        </w:rPr>
        <w:t>Artinya, untuk mendefinisikan X, kita harus mengetahui suatu  Y, yang meliputi unsur-unsur pokok Y, dalam hubungannya  dengan X yang didefinisikan, dan Y harus ada terlebih dahulu  sebelum X menurut pengetahuan. Sekali lagi, posisi filosofis  kita harus disebutkan, karena berdasarkan pandangan kita, Y  mungkin saja bisa diketahui atau tidak bisa diketahui, entah  secara deduktif, induktif, atau intuitif, atau melalui cara lain.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juga, berkaitan dengan X, persoalan ihwal apakah Y  bisa diketahui melalui Yi harus dikaji dan ditelaah. Karena itu, </w:t>
      </w:r>
      <w:bookmarkStart w:id="136" w:name="pg6442_57379"/>
    </w:p>
    <w:p>
      <w:pPr>
        <w:pStyle w:val="BookText"/>
        <w:bidi w:val="0"/>
        <w:rPr/>
      </w:pPr>
      <w:bookmarkEnd w:id="136"/>
      <w:r>
        <w:rPr>
          <w:rFonts w:eastAsia="Times New Roman" w:cs="Times New Roman" w:ascii="Times New Roman" w:hAnsi="Times New Roman"/>
          <w:color w:val="111111"/>
          <w:sz w:val="28"/>
          <w:szCs w:val="28"/>
          <w:lang w:val="en-US"/>
        </w:rPr>
        <w:t>definisi X akan bergantung pada posisi filosofis tentang apa yang  harus diketahui terlebih dahulu dan paling dahulu. Apakah yang  paling dahulu dalam pengetahuan menurut Suhrawardi? Apakah  itu sebuah aksioma yang terbukti dengan sendirinya, ataukah  hal lainnya yang sudah sangat jelas dan terang benderang?  Persoalan-persoalan ini harus dikaji dan ditelaah sepenuhnya  bila kita ingin memahami Filsafat Iluminasi dan posisi filsafat  Suhrawardi.</w:t>
      </w:r>
    </w:p>
    <w:p>
      <w:pPr>
        <w:pStyle w:val="Heading4"/>
        <w:numPr>
          <w:ilvl w:val="3"/>
          <w:numId w:val="1"/>
        </w:numPr>
        <w:bidi w:val="0"/>
        <w:jc w:val="left"/>
        <w:rPr/>
      </w:pPr>
      <w:bookmarkStart w:id="137" w:name="__RefHeading___Toc924668_653776707"/>
      <w:bookmarkStart w:id="138" w:name="_Toc47"/>
      <w:bookmarkEnd w:id="137"/>
      <w:r>
        <w:rPr/>
        <w:t>2.2. Dua Pendekatan dalam Menghampiri Definisi: Plato  dan Aristoteles</w:t>
      </w:r>
      <w:bookmarkEnd w:id="138"/>
    </w:p>
    <w:p>
      <w:pPr>
        <w:pStyle w:val="BookText"/>
        <w:bidi w:val="0"/>
        <w:jc w:val="both"/>
        <w:rPr/>
      </w:pPr>
      <w:r>
        <w:rPr>
          <w:rFonts w:eastAsia="Times New Roman" w:cs="Times New Roman" w:ascii="Times New Roman" w:hAnsi="Times New Roman"/>
          <w:color w:val="111111"/>
          <w:sz w:val="28"/>
          <w:szCs w:val="28"/>
          <w:lang w:val="en-US"/>
        </w:rPr>
        <w:t>2.2. Dua Pendekatan dalam Menghampiri Definisi: Plato  dan Aristoteles  Dua metode utama filsafat yang dirumuskan dan  didokumentasikan dengan baik dalam periode abad pertengahan  Islam adalah metode Plato dan metode Aristoteles. (Metode  Neoplatonis, meski sangat berpengaruh dalam perkembangan  filsafat dalam periode itu, tidak dirumuskan dengan baik).</w:t>
      </w:r>
    </w:p>
    <w:p>
      <w:pPr>
        <w:pStyle w:val="BookText"/>
        <w:bidi w:val="0"/>
        <w:jc w:val="both"/>
        <w:rPr/>
      </w:pPr>
      <w:r>
        <w:rPr>
          <w:rFonts w:eastAsia="Times New Roman" w:cs="Times New Roman" w:ascii="Times New Roman" w:hAnsi="Times New Roman"/>
          <w:color w:val="111111"/>
          <w:sz w:val="28"/>
          <w:szCs w:val="28"/>
          <w:lang w:val="en-US"/>
        </w:rPr>
        <w:t>Contoh terbaik perbedaan antara metode Plato dan metode  Aristoteles mengenai persoalan definisi, tergambar dengan  sangat baik dalam karya Al-Farabi yang terkenal, Kitāb Al-Jam'  Baina Ra'yai Al-Hakimain, di mana (8 16) Al-Farabi membahas  pandangan Plato dan Aristoteles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Plato berpendapat bahwa satu-satunya cara  membangun suatu definisi yang benar hanya bisa dilakukan  dengan metode pemilahan (dikotomi, qismah), sementara  Aristoteles berpandangan bahwa definisi seperti itu hanya  bisa diperoleh melalui metode demonstrasi dan sintesis  (tarkīb). </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N. Nader, (Beirut: Dan al-Masyriq, 1968), hlm. 87-88. Posisi  Al-Farabi, metode dikotomi (atau pembagian) serta metode  demonstrasi dan sintesis pun bersifat komplementer atau  saling melengkapi.</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Al-Farabi kemudian menyatakan secara tegas bahwa  pandangan kedua filsuf terkenal itu tidak bertentangan dalam</w:t>
      </w:r>
    </w:p>
    <w:p>
      <w:pPr>
        <w:pStyle w:val="BookText"/>
        <w:bidi w:val="0"/>
        <w:rPr/>
      </w:pPr>
      <w:r>
        <w:rPr>
          <w:rFonts w:eastAsia="Times New Roman" w:cs="Times New Roman" w:ascii="Times New Roman" w:hAnsi="Times New Roman"/>
          <w:color w:val="111111"/>
          <w:sz w:val="28"/>
          <w:szCs w:val="28"/>
          <w:lang w:val="en-US"/>
        </w:rPr>
        <w:t>prinsip, tetapi hanya berbeda dalam pendekatan. Karakterisasi  ini harus diingat saat kita mengevaluasi posisi Suhrawardi.</w:t>
      </w:r>
    </w:p>
    <w:p>
      <w:pPr>
        <w:pStyle w:val="BookText"/>
        <w:bidi w:val="0"/>
        <w:jc w:val="both"/>
        <w:rPr/>
      </w:pPr>
      <w:r>
        <w:rPr>
          <w:rFonts w:eastAsia="Times New Roman" w:cs="Times New Roman" w:ascii="Times New Roman" w:hAnsi="Times New Roman"/>
          <w:color w:val="111111"/>
          <w:sz w:val="28"/>
          <w:szCs w:val="28"/>
          <w:lang w:val="en-US"/>
        </w:rPr>
        <w:t>Kita juga akan berusaha menentukan bagaimana Suhrawardi  memandang posisinya dalam kaitannya dengan Plato dan  Aristoteles, dan bagaimana ia menggabungkan posisinya itu  dalam sistem iluminasi yang direkonstruksi secara menyeluruh?  Apa yang paling pasti, bahwa ketika kita mendefinisikan  sesuatu dalam pengertian Aristoteles yang kaku, kita bertujuan  mengetahui esensinya, substansi dan hakikat esensinya?</w:t>
      </w:r>
      <w:r>
        <w:rPr>
          <w:rStyle w:val="FootnoteAnchor"/>
        </w:rPr>
        <w:footnoteReference w:id="175"/>
      </w:r>
      <w:r>
        <w:rPr>
          <w:rFonts w:eastAsia="Times New Roman" w:cs="Times New Roman" w:ascii="Times New Roman" w:hAnsi="Times New Roman"/>
          <w:color w:val="111111"/>
          <w:sz w:val="28"/>
          <w:szCs w:val="28"/>
          <w:lang w:val="en-US"/>
        </w:rPr>
        <w:t xml:space="preserve"> Dengan demikian, formula definisi Aristoteles (öpos dan  ópiouós) tidak bisa dipisahkan dari pandagan ontologis yang  dipegang filsuf sejak awal, sebelum membangun definisi dengan  metode apa pun. Pandangan Plato di sisi lain, memandang  definisi sebagai komponen integral dari metode filsafat berikut  hasil akhirnya.</w:t>
      </w:r>
      <w:r>
        <w:rPr>
          <w:rStyle w:val="FootnoteAnchor"/>
        </w:rPr>
        <w:footnoteReference w:id="176"/>
      </w:r>
      <w:r>
        <w:rPr>
          <w:rFonts w:eastAsia="Times New Roman" w:cs="Times New Roman" w:ascii="Times New Roman" w:hAnsi="Times New Roman"/>
          <w:color w:val="111111"/>
          <w:sz w:val="28"/>
          <w:szCs w:val="28"/>
          <w:lang w:val="en-US"/>
        </w:rPr>
        <w:t>Melalui cara-cara dialektis menyeluruh yang  terdiri dari metode sintesis dan dikotomi (pengumpulan dan  pembagian),</w:t>
      </w:r>
      <w:r>
        <w:rPr>
          <w:rStyle w:val="FootnoteAnchor"/>
        </w:rPr>
        <w:footnoteReference w:id="177"/>
      </w:r>
      <w:r>
        <w:rPr>
          <w:rFonts w:eastAsia="Times New Roman" w:cs="Times New Roman" w:ascii="Times New Roman" w:hAnsi="Times New Roman"/>
          <w:color w:val="111111"/>
          <w:sz w:val="28"/>
          <w:szCs w:val="28"/>
          <w:lang w:val="en-US"/>
        </w:rPr>
        <w:t>Plato bertujuan memperoleh jawaban untuk  pertanyaan, “Apakah keadilan itu?  dan “Apakah imitasi itu?   (dalam Republic), “Apakah keberanian itu?  (dalam Laches),  “Apakah pengetahuan itu?  dan  Apakah logos itu?  (dalam  Theaetetus).</w:t>
      </w:r>
      <w:r>
        <w:rPr>
          <w:rStyle w:val="FootnoteAnchor"/>
        </w:rPr>
        <w:footnoteReference w:id="178"/>
      </w:r>
      <w:r>
        <w:rPr>
          <w:rFonts w:eastAsia="Times New Roman" w:cs="Times New Roman" w:ascii="Times New Roman" w:hAnsi="Times New Roman"/>
          <w:color w:val="111111"/>
          <w:sz w:val="28"/>
          <w:szCs w:val="28"/>
          <w:lang w:val="en-US"/>
        </w:rPr>
        <w:t>Jawaban atas pertanyaan-pertanyaan ini harus  diberikan sebagai definisi-definisi hakiki. Metode Plato yang  digunakan sangat berbeda dari definisi hakiki Aristoteles dalam  Posterior Analytics, Topics, Metaphysics, dan Parts of Animals.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Perbedaan penting di antara keduanya, dalam pandangan saya,  bahwa formula definisi Aristoteles terlepas (sekurang-kurangnya  secara formal) dari individu yang membangunnya, sementara  metode Plato sangat bersandar pada jawaban individual  seseorang, dengan suatu cara yang mungkin ia menyadari: </w:t>
      </w:r>
      <w:bookmarkStart w:id="139" w:name="pg6442_57381"/>
    </w:p>
    <w:p>
      <w:pPr>
        <w:pStyle w:val="BookText"/>
        <w:bidi w:val="0"/>
        <w:rPr/>
      </w:pPr>
      <w:bookmarkEnd w:id="139"/>
      <w:r>
        <w:rPr>
          <w:rFonts w:eastAsia="Times New Roman" w:cs="Times New Roman" w:ascii="Times New Roman" w:hAnsi="Times New Roman"/>
          <w:color w:val="111111"/>
          <w:sz w:val="28"/>
          <w:szCs w:val="28"/>
          <w:lang w:val="en-US"/>
        </w:rPr>
        <w:t>bentuk apa yang diketahui dalam dirinya? Perbedaan ini sangat  penting dalam memahami Suhrawardi. Dalam tinjauan ini, kita  harus menyadari mana pertanyaan yang berkenaan dengan  bagian teori Suhrawardi tentang definisi yang termasuk dalam  definisi Aristoteles atau Plato. Dengan cara apa kedua metode  itu disintesiskan ke dalam suatu teori Iluminasi (Isyrāq) murni  dengan metode Intuisi (Dzauq)?  Di samping itu, berkenaan dengan metodologi definisi  Iluminasi, kita harus mempertimbangkan pertanyaan: Apakah  teori Suhrawardi merupakan kombinasi dari metode formal  definisi Aristoteles dan metode dialektis Plato? Apakah teori  Suhrawardi benar-benar “baru ?  Berbekal pertanyaan-pertanyaan seperti itu, kita akan  mengawali tugas menganalisis teori definisi Iluminasi. Langkah  pertama, adalah mengemukakan uraian singkat tentang teori  definisi Plato dan Aristoteles.</w:t>
      </w:r>
    </w:p>
    <w:p>
      <w:pPr>
        <w:pStyle w:val="Heading4"/>
        <w:numPr>
          <w:ilvl w:val="3"/>
          <w:numId w:val="1"/>
        </w:numPr>
        <w:bidi w:val="0"/>
        <w:jc w:val="left"/>
        <w:rPr/>
      </w:pPr>
      <w:bookmarkStart w:id="140" w:name="__RefHeading___Toc924670_653776707"/>
      <w:bookmarkStart w:id="141" w:name="_Toc48"/>
      <w:bookmarkEnd w:id="140"/>
      <w:r>
        <w:rPr/>
        <w:t>2.3. Metode Definisi Plato</w:t>
      </w:r>
      <w:bookmarkEnd w:id="141"/>
    </w:p>
    <w:p>
      <w:pPr>
        <w:pStyle w:val="BookText"/>
        <w:bidi w:val="0"/>
        <w:jc w:val="both"/>
        <w:rPr/>
      </w:pPr>
      <w:r>
        <w:rPr>
          <w:rFonts w:eastAsia="Times New Roman" w:cs="Times New Roman" w:ascii="Times New Roman" w:hAnsi="Times New Roman"/>
          <w:color w:val="111111"/>
          <w:sz w:val="28"/>
          <w:szCs w:val="28"/>
          <w:lang w:val="en-US"/>
        </w:rPr>
        <w:t>2.3. Metode Definisi Plato  Pandangan Aristoteles tentang definisi bisa diringkas  dengan menyatakan, bahwa hanya ada dua hal yang bisa dinilai  secara adil, sebagian berasal dari Socrates: argumentasi induktif dan  definisi umum.</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Bandingkan, Ibid., 1.987220-30; dan W. K. C. Guthrie, A  History of Greek Philosophy III. (Cambridge: Cambridge  University Press, 1969), hlm. 425.</w:t>
      </w:r>
    </w:p>
    <w:p>
      <w:pPr>
        <w:pStyle w:val="BookText"/>
        <w:bidi w:val="0"/>
        <w:jc w:val="both"/>
        <w:rPr/>
      </w:pPr>
      <w:r>
        <w:rPr>
          <w:rFonts w:eastAsia="Times New Roman" w:cs="Times New Roman" w:ascii="Times New Roman" w:hAnsi="Times New Roman"/>
          <w:color w:val="111111"/>
          <w:sz w:val="28"/>
          <w:szCs w:val="28"/>
          <w:lang w:val="en-US"/>
        </w:rPr>
        <w:t>Namun, menurut sejarawan Filsafat Yunani,  W. K. C. Guthrie, Socrates tidak punya gagasan yang memadai  tentang esensi, tentang cara mendefinisikan wujud sesuatu  yang sebenarnya, dengan demikian, pemahaman tentang  esensi melalui definisi adalah sebuah kemajuan metodologi  Aristoteles.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Metode definisi Socrates kadang-kadang disebut “definisi  persuasif , karena ini definisi yang pembuatnya- alih-alih</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hanya berusaha menjelaskan penggunaan sebuah kata atau  konsep dan juga mencegah kesalahpahaman - pada dasarnya  mengemukakan makna yang dipahami dan disetujuinya. la  yakin bahwa makna ini akan – bila diambil – mengantarkan  seorang murid menuju perbuatan atau tindakan yang benar. </w:t>
      </w:r>
      <w:r>
        <w:rPr>
          <w:rStyle w:val="FootnoteAnchor"/>
        </w:rPr>
        <w:footnoteReference w:id="180"/>
      </w:r>
      <w:r>
        <w:rPr>
          <w:rFonts w:eastAsia="Times New Roman" w:cs="Times New Roman" w:ascii="Times New Roman" w:hAnsi="Times New Roman"/>
          <w:color w:val="111111"/>
          <w:sz w:val="28"/>
          <w:szCs w:val="28"/>
          <w:lang w:val="en-US"/>
        </w:rPr>
        <w:t xml:space="preserve"> Ini berarti bahwa sang filsuf punya “pengalaman , atau  jenis lain pengetahuan dari sumber tangan pertama tentang  sesuatu, menerima kebenarannya dan kemudian membantu  menginduksikannya kepada sang murid- artinya, intuisi dan “cita  rasa  sang filsuf pada segala sesuatu akan menentukan posisinya  vis-a-vis pengetahuan dan juga metode. Mendefinisikan sesuatu  dalam pengertian ini berarti bahwa seseorang berusaha  menyampaikan, bergantung pada metode, melalui cara-  cara formal dan dialektis, isyarat dan berita- pemahaman  pengalaman tentang fenomena tertentu yang dialaminya secara  personal, yang juga bisa berupa hasil dari  pertimbangan  dari beberapa orang dengan maksud sampai pada definisi”. </w:t>
      </w:r>
      <w:r>
        <w:rPr>
          <w:rStyle w:val="FootnoteAnchor"/>
        </w:rPr>
        <w:footnoteReference w:id="181"/>
      </w:r>
      <w:r>
        <w:rPr>
          <w:rFonts w:eastAsia="Times New Roman" w:cs="Times New Roman" w:ascii="Times New Roman" w:hAnsi="Times New Roman"/>
          <w:color w:val="111111"/>
          <w:sz w:val="28"/>
          <w:szCs w:val="28"/>
          <w:lang w:val="en-US"/>
        </w:rPr>
        <w:t xml:space="preserve"> Ini harus dibandingkan dengan tuntutan Suhrawardi atas  signifikansi wacana lisan dalam  mengkaji  Filsafat Iluminasi. </w:t>
      </w:r>
      <w:r>
        <w:rPr>
          <w:rStyle w:val="FootnoteAnchor"/>
        </w:rPr>
        <w:footnoteReference w:id="182"/>
      </w:r>
      <w:r>
        <w:rPr>
          <w:rFonts w:eastAsia="Times New Roman" w:cs="Times New Roman" w:ascii="Times New Roman" w:hAnsi="Times New Roman"/>
          <w:color w:val="111111"/>
          <w:sz w:val="28"/>
          <w:szCs w:val="28"/>
          <w:lang w:val="en-US"/>
        </w:rPr>
        <w:t xml:space="preserve"> Dari sudut pandang teoretis yang ketat, Plato melanjutkan  mencari bentuk dari apa yang diselidiki. Dalam berbagai dialog,  pencarian definisi sesuatu berkaitan erat dengan teori tentang  bentuk-bentuk, yang menegaskan bahwa ada bentuk-bentuk  abadi, tidak berubah, yang menjadi objek pengetahuan yang  sebenarnya, sementara hal-hal partikular yang berubah dan  bisa dipersepsi tidak dapat diketahui atau didefinisikan secara  independen.</w:t>
      </w:r>
      <w:r>
        <w:rPr>
          <w:rStyle w:val="FootnoteAnchor"/>
        </w:rPr>
        <w:footnoteReference w:id="183"/>
      </w:r>
      <w:r>
        <w:rPr>
          <w:rFonts w:eastAsia="Times New Roman" w:cs="Times New Roman" w:ascii="Times New Roman" w:hAnsi="Times New Roman"/>
          <w:color w:val="111111"/>
          <w:sz w:val="28"/>
          <w:szCs w:val="28"/>
          <w:lang w:val="en-US"/>
        </w:rPr>
        <w:t xml:space="preserve">Menurut apa yang disebut sebagai “kesalahan  pikir Socrates , kita tidak bisa mengetahui sesuatu bila kita tidak  mendefinisikannya. </w:t>
      </w:r>
      <w:r>
        <w:rPr>
          <w:rStyle w:val="FootnoteAnchor"/>
        </w:rPr>
        <w:footnoteReference w:id="184"/>
      </w:r>
    </w:p>
    <w:p>
      <w:pPr>
        <w:pStyle w:val="BookText"/>
        <w:bidi w:val="0"/>
        <w:rPr/>
      </w:pPr>
      <w:r>
        <w:rPr>
          <w:rFonts w:eastAsia="Times New Roman" w:cs="Times New Roman" w:ascii="Times New Roman" w:hAnsi="Times New Roman"/>
          <w:color w:val="111111"/>
          <w:sz w:val="28"/>
          <w:szCs w:val="28"/>
          <w:lang w:val="en-US"/>
        </w:rPr>
        <w:t xml:space="preserve">Dalam metodologi Plato, “mengetahui  sesuatu, atau bisa  “mendefinisikan -nya, dilihat dari dua sudut pandang: pertama,  disebut “pengertian pengenalan , Laches misalnya saja, akan  mengenal dan mengetahui keberanian ketika ia menemukannya. </w:t>
      </w:r>
      <w:r>
        <w:rPr>
          <w:rStyle w:val="FootnoteAnchor"/>
        </w:rPr>
        <w:footnoteReference w:id="185"/>
      </w:r>
      <w:r>
        <w:rPr>
          <w:rFonts w:eastAsia="Times New Roman" w:cs="Times New Roman" w:ascii="Times New Roman" w:hAnsi="Times New Roman"/>
          <w:color w:val="111111"/>
          <w:sz w:val="28"/>
          <w:szCs w:val="28"/>
          <w:lang w:val="en-US"/>
        </w:rPr>
        <w:t xml:space="preserve"> Alasan ihwal mengapa Laches mengetahui keberanian adalah  bentuk-bentuknya ada di dalam dirinya. Mengantisipasi  Suhrawardi, bentuk itu ada dalam Laches secara fitrah (bi al-  fithrah); kedua, Plato mendefinisikan segala sesuatu melalui  metode dikotomi dan sintesis, atau pembagian dan penyatuan,  seperti definisi tentang hal-hal irasional dalam Theaetetus. </w:t>
      </w:r>
      <w:r>
        <w:rPr>
          <w:rStyle w:val="FootnoteAnchor"/>
        </w:rPr>
        <w:footnoteReference w:id="186"/>
      </w:r>
      <w:r>
        <w:rPr>
          <w:rFonts w:eastAsia="Times New Roman" w:cs="Times New Roman" w:ascii="Times New Roman" w:hAnsi="Times New Roman"/>
          <w:color w:val="111111"/>
          <w:sz w:val="28"/>
          <w:szCs w:val="28"/>
          <w:lang w:val="en-US"/>
        </w:rPr>
        <w:t xml:space="preserve"> Akan tetapi, Plato tidak mengatakan bahwa pengetahuan  itu bisa didefinisikan demikian. Terkenal kontroversi ihwal  apakah ia berpendapat bahwa pengetahuan itu identik dengan  keyakinan yang benar atau tidak, tak perlu menarik perhatian  kita di sini. </w:t>
      </w:r>
      <w:r>
        <w:rPr>
          <w:rStyle w:val="FootnoteAnchor"/>
        </w:rPr>
        <w:footnoteReference w:id="187"/>
      </w:r>
      <w:r>
        <w:rPr>
          <w:rFonts w:eastAsia="Times New Roman" w:cs="Times New Roman" w:ascii="Times New Roman" w:hAnsi="Times New Roman"/>
          <w:color w:val="111111"/>
          <w:sz w:val="28"/>
          <w:szCs w:val="28"/>
          <w:lang w:val="en-US"/>
        </w:rPr>
        <w:t xml:space="preserve">Yang penting bagi Plato, definisi adalah sebuah  “Komuni Bentuk-Bentuk </w:t>
      </w:r>
      <w:r>
        <w:rPr>
          <w:rStyle w:val="FootnoteAnchor"/>
        </w:rPr>
        <w:footnoteReference w:id="188"/>
      </w:r>
      <w:r>
        <w:rPr>
          <w:rFonts w:eastAsia="Times New Roman" w:cs="Times New Roman" w:ascii="Times New Roman" w:hAnsi="Times New Roman"/>
          <w:color w:val="111111"/>
          <w:sz w:val="28"/>
          <w:szCs w:val="28"/>
          <w:lang w:val="en-US"/>
        </w:rPr>
        <w:t>dan, dengan demikian, seperti  dalam pandangan Suhrawardi – melibatkan sesuatu lebih dari  sekadar sebuah konstruksi formal.</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Sebagaimana ditegaskan dengan gamblang dalam  Theaetetus, persoalannya bukan puas dengan sesuatu yang  kurang dari pengetahuan sebagai basis atau dasar pengetahuan.</w:t>
      </w:r>
      <w:r>
        <w:rPr>
          <w:rStyle w:val="FootnoteAnchor"/>
        </w:rPr>
        <w:footnoteReference w:id="189"/>
      </w:r>
      <w:r>
        <w:rPr>
          <w:rFonts w:eastAsia="Times New Roman" w:cs="Times New Roman" w:ascii="Times New Roman" w:hAnsi="Times New Roman"/>
          <w:color w:val="111111"/>
          <w:sz w:val="28"/>
          <w:szCs w:val="28"/>
          <w:lang w:val="en-US"/>
        </w:rPr>
        <w:t xml:space="preserve"> Jelas bahwa syarat-syarat semacam itu tidak begitu jelas dalam  formula Aristoteles, yang dikritik oleh Suhrawardi. </w:t>
      </w:r>
      <w:r>
        <w:rPr>
          <w:rStyle w:val="FootnoteAnchor"/>
        </w:rPr>
        <w:footnoteReference w:id="190"/>
      </w:r>
      <w:r>
        <w:rPr>
          <w:rFonts w:eastAsia="Times New Roman" w:cs="Times New Roman" w:ascii="Times New Roman" w:hAnsi="Times New Roman"/>
          <w:color w:val="111111"/>
          <w:sz w:val="28"/>
          <w:szCs w:val="28"/>
          <w:lang w:val="en-US"/>
        </w:rPr>
        <w:t xml:space="preserve">Akan tetapi,  melalui metode hipotesis, dikotomi, dan sintesis, yang merupakan  komponen-komponen integral dari keseluruhan metodenya. </w:t>
      </w:r>
      <w:r>
        <w:rPr>
          <w:rStyle w:val="FootnoteAnchor"/>
        </w:rPr>
        <w:footnoteReference w:id="191"/>
      </w:r>
      <w:r>
        <w:rPr>
          <w:rFonts w:eastAsia="Times New Roman" w:cs="Times New Roman" w:ascii="Times New Roman" w:hAnsi="Times New Roman"/>
          <w:color w:val="111111"/>
          <w:sz w:val="28"/>
          <w:szCs w:val="28"/>
          <w:lang w:val="en-US"/>
        </w:rPr>
        <w:t xml:space="preserve"> Plato sampai pada definisi, dengan merumuskan syarat-syarat  yang bersifat niscaya dan memadai untuk jenis pengetahuan  tertentu tentang sesuatu. Metode ini memberikan kepada kita  sarana untuk membedakan keyakinan dari pengetahuan. Dalam </w:t>
      </w:r>
    </w:p>
    <w:p>
      <w:pPr>
        <w:pStyle w:val="BookText"/>
        <w:bidi w:val="0"/>
        <w:rPr/>
      </w:pPr>
      <w:r>
        <w:rPr>
          <w:rFonts w:eastAsia="Times New Roman" w:cs="Times New Roman" w:ascii="Times New Roman" w:hAnsi="Times New Roman"/>
          <w:color w:val="111111"/>
          <w:sz w:val="28"/>
          <w:szCs w:val="28"/>
          <w:lang w:val="en-US"/>
        </w:rPr>
        <w:t xml:space="preserve">metode menyeluruh ini, berikut proses teoretis dan proses  formal yang disuguhkan secara dialektis dalam bentuk dialog  literal, peran “kebidanan  psikologis Symposium dan Tehaetetus  harus ditekankan bersama-sama, semuanya itu berperan untuk  melahirkan definisi.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Clarendon Press, 1970), hlm. 1-49; Sayre, Plato's Analytics  Method, hlm. 230-238.</w:t>
      </w:r>
    </w:p>
    <w:p>
      <w:pPr>
        <w:pStyle w:val="BookText"/>
        <w:bidi w:val="0"/>
        <w:jc w:val="both"/>
        <w:rPr/>
      </w:pPr>
      <w:r>
        <w:rPr>
          <w:rFonts w:eastAsia="Times New Roman" w:cs="Times New Roman" w:ascii="Times New Roman" w:hAnsi="Times New Roman"/>
          <w:color w:val="111111"/>
          <w:sz w:val="28"/>
          <w:szCs w:val="28"/>
          <w:lang w:val="en-US"/>
        </w:rPr>
        <w:t>Secara umum dan kita tekakan hal ini  sekali lagi, beberapa dialog Plato mengambil bentuk yang utuh  bagi pencarian definisi.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Menurut Aristoteles, keasyikan Plato dengan definisi  berasal dari usaha Socrates mendefinisikan istilah-istilah etika.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Juga, fakta bahwa Plato terkesan oleh pentingnya definisi dalam  matematika memberi kita petunjuk ihwal beberapa aspek  formal teori Suhrawardi. Bagi Plato, definisi tidak bisa bersifat  sembarangan dan harus informatif. Akibat wajar dari hal ini,  bahwa ada jawaban yang benar dan salah untuk pertanyaan,  “Apakah keadilan itu?” dan “Apakah pengetahuan itu?,  dan  kebenaran jawaban tidak bergantung pada bagaimana kata  keadilan atau pengetahuan itu telah digunakan oleh orang-  orang Yunani. Padanan hubungan kata dengan sesuatu  dipandang bersifat sembarang atau konvensional, dan definisi  secara umum menaruh perhatian pada sesuatu yang dirujuk  oleh kata itu dan bukannya kata itu.</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Tentang problem dalam  dialog-dialog Plato, W. dan M. Kneale menyatakan, “Apa yang  didefinisikan adalah bentuk atau sifat umum yang ada dalam  banyak hal partikular.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Pandangan tentang definisi seperti itu,  sekarang disebut sebagai pandangan “realis  dan secara historis  berkaitan dengan ungkapan “definisi hakiki  yang secara jelas  memengaruhi Aristoteles, sebagaimana tampak dalam uraiannya  tentang definisi dan dalam pemikirannya berkenaan dengan  logika secara umum. Demikian halnya, meski ia menolak teori</w:t>
      </w:r>
      <w:bookmarkStart w:id="142" w:name="pg6442_57385"/>
    </w:p>
    <w:p>
      <w:pPr>
        <w:pStyle w:val="BookText"/>
        <w:bidi w:val="0"/>
        <w:rPr/>
      </w:pPr>
      <w:bookmarkEnd w:id="142"/>
      <w:r>
        <w:rPr>
          <w:rFonts w:eastAsia="Times New Roman" w:cs="Times New Roman" w:ascii="Times New Roman" w:hAnsi="Times New Roman"/>
          <w:color w:val="111111"/>
          <w:sz w:val="28"/>
          <w:szCs w:val="28"/>
          <w:lang w:val="en-US"/>
        </w:rPr>
        <w:t xml:space="preserve">Plato tentang bentuk-bentuk, seperti dinyatakan oleh W. dan  M. Kneale,   Karena digembleng atau dididik oleh Plato saja,  ia (Aristoteles) berharap menemukan sebagai objek  tertinggi dari intelek dan dasar inferensi yang valid -  sebuah sistem atau serangkaian bentuk yang antar-  hubungannya membatasi berbagai kemungkinan wujud  aktual dan menentukan kebenaran atau ketidakbenaran  pemikiran ilmiah. </w:t>
      </w:r>
      <w:r>
        <w:rPr>
          <w:rStyle w:val="FootnoteAnchor"/>
        </w:rPr>
        <w:footnoteReference w:id="193"/>
      </w:r>
      <w:r>
        <w:rPr>
          <w:rFonts w:eastAsia="Times New Roman" w:cs="Times New Roman" w:ascii="Times New Roman" w:hAnsi="Times New Roman"/>
          <w:color w:val="111111"/>
          <w:sz w:val="28"/>
          <w:szCs w:val="28"/>
          <w:lang w:val="en-US"/>
        </w:rPr>
        <w:t xml:space="preserve"> Sangatlah jelas bahwa Aristoteles, seperti Plato, juga  berusaha hanya memperhatikan sesuatu (the thing) dan bukan  kata (the word).</w:t>
      </w:r>
    </w:p>
    <w:p>
      <w:pPr>
        <w:pStyle w:val="Heading4"/>
        <w:numPr>
          <w:ilvl w:val="3"/>
          <w:numId w:val="1"/>
        </w:numPr>
        <w:bidi w:val="0"/>
        <w:jc w:val="left"/>
        <w:rPr/>
      </w:pPr>
      <w:bookmarkStart w:id="143" w:name="__RefHeading___Toc924672_653776707"/>
      <w:bookmarkStart w:id="144" w:name="_Toc49"/>
      <w:bookmarkEnd w:id="143"/>
      <w:r>
        <w:rPr/>
        <w:t>2.4. Metode Definisi Aristoteles</w:t>
      </w:r>
      <w:bookmarkEnd w:id="144"/>
    </w:p>
    <w:p>
      <w:pPr>
        <w:pStyle w:val="BookText"/>
        <w:bidi w:val="0"/>
        <w:jc w:val="both"/>
        <w:rPr/>
      </w:pPr>
      <w:r>
        <w:rPr>
          <w:rFonts w:eastAsia="Times New Roman" w:cs="Times New Roman" w:ascii="Times New Roman" w:hAnsi="Times New Roman"/>
          <w:color w:val="111111"/>
          <w:sz w:val="28"/>
          <w:szCs w:val="28"/>
          <w:lang w:val="en-US"/>
        </w:rPr>
        <w:t>2.4. Metode Definisi Aristoteles  Kini jelas bahwa bagi Plato, definisi adalah bagian integral  dari problem pengetahuan, sebuah subjek yang kompleks  dan krusial bagi setiap aspek pengkajian atau penyelidikan.</w:t>
      </w:r>
    </w:p>
    <w:p>
      <w:pPr>
        <w:pStyle w:val="BookText"/>
        <w:bidi w:val="0"/>
        <w:jc w:val="both"/>
        <w:rPr/>
      </w:pPr>
      <w:r>
        <w:rPr>
          <w:rFonts w:eastAsia="Times New Roman" w:cs="Times New Roman" w:ascii="Times New Roman" w:hAnsi="Times New Roman"/>
          <w:color w:val="111111"/>
          <w:sz w:val="28"/>
          <w:szCs w:val="28"/>
          <w:lang w:val="en-US"/>
        </w:rPr>
        <w:t xml:space="preserve">Aristoteles meringkas problem definisi dalam sebuah pernyataan  mencolok dalam Posterior Analytics: “Semua ilmu lahir melalui  definisi.  </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Stigen, The Structure of Aristoteles's Thought, hlm. 78.</w:t>
      </w:r>
    </w:p>
    <w:p>
      <w:pPr>
        <w:pStyle w:val="BookText"/>
        <w:bidi w:val="0"/>
        <w:jc w:val="both"/>
        <w:rPr/>
      </w:pPr>
      <w:r>
        <w:rPr>
          <w:rFonts w:eastAsia="Times New Roman" w:cs="Times New Roman" w:ascii="Times New Roman" w:hAnsi="Times New Roman"/>
          <w:color w:val="111111"/>
          <w:sz w:val="28"/>
          <w:szCs w:val="28"/>
          <w:lang w:val="en-US"/>
        </w:rPr>
        <w:t>Karena kita menelaah bahasan Aristoteles atas definisi,  terlebih dahulu kita harus mempertimbangkan pandangannya  tentang sejarah subjek itu. Menurut Aristoteles, orang pertama  yang menganggap ilmu sebagai sebuah problem definisi adalah  Pythagoras, Demokritus, dan Socrates.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Socrates memikirkan  problem definisi dan hubungannya dengan argumentasi induktif,  tetapi – menurut Aristoteles, ia tidak tertarik untuk melakukan  penyeledikan fisik atas hal-hal yang didefinisikan.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Menurut Aristoteles, Plato mengikuti Socrates, dan  definisi-definisinya tidak berkaitan dengan hal-hal indrawi,</w:t>
      </w:r>
    </w:p>
    <w:p>
      <w:pPr>
        <w:pStyle w:val="BookText"/>
        <w:bidi w:val="0"/>
        <w:rPr/>
      </w:pPr>
      <w:r>
        <w:rPr>
          <w:rFonts w:eastAsia="Times New Roman" w:cs="Times New Roman" w:ascii="Times New Roman" w:hAnsi="Times New Roman"/>
          <w:color w:val="111111"/>
          <w:sz w:val="28"/>
          <w:szCs w:val="28"/>
          <w:lang w:val="en-US"/>
        </w:rPr>
        <w:t>tetapi dengan hal-hal jenis lain, memisahkan entitas-entitas  yang abadi dan tidak berubah (ia menyebutnya sebagai ide-  ide) — sesungguhnya mustahil baginya mendefinisikan hal-hal  indrawi.</w:t>
      </w:r>
      <w:r>
        <w:rPr>
          <w:rStyle w:val="FootnoteAnchor"/>
        </w:rPr>
        <w:footnoteReference w:id="195"/>
      </w:r>
      <w:r>
        <w:rPr>
          <w:rFonts w:eastAsia="Times New Roman" w:cs="Times New Roman" w:ascii="Times New Roman" w:hAnsi="Times New Roman"/>
          <w:color w:val="111111"/>
          <w:sz w:val="28"/>
          <w:szCs w:val="28"/>
          <w:lang w:val="en-US"/>
        </w:rPr>
        <w:t>Dalam kritiknya atas Plato, Aristoteles selanjutnya  menegaskan bahwa Plato mengacaukan problem definisi  universal dengan memperkenalkan ide-ide karena setiap nama  harus diaplikasikan pada dua hal yang berbeda: entitas-entitas  yang berubah, dan ide-ide yang tak berubah, atau bentuk-  bentuk. Nama-nama yang sama kini diterapkan secara samar-  samar dan tidak lagi bisa digunakan dalam berbagai diskusi atau  bahasan ilmiah.</w:t>
      </w:r>
      <w:r>
        <w:rPr>
          <w:rStyle w:val="FootnoteAnchor"/>
        </w:rPr>
        <w:footnoteReference w:id="196"/>
      </w:r>
      <w:r>
        <w:rPr>
          <w:rFonts w:eastAsia="Times New Roman" w:cs="Times New Roman" w:ascii="Times New Roman" w:hAnsi="Times New Roman"/>
          <w:color w:val="111111"/>
          <w:sz w:val="28"/>
          <w:szCs w:val="28"/>
          <w:lang w:val="en-US"/>
        </w:rPr>
        <w:t xml:space="preserve"> Plato menemukan cara melihat realitas berdasarkan  entitas-entitas terpisah yang disebut ide-ide. Pada dasarnya  karena pandangannya, bahwa pengetahuan tentang hal-hal  indrawi dan berubah-ubah tidaklah mungkin, dan baginya  definisi pada akhirnya mengimplikasikan ide-ide. Bagi Plato, ilmu  tidak membahas hal-hal indrawi; bahkan bagi Demokritus yang  mendahuluinya, matematika merupakan dasar pengetahuan.</w:t>
      </w:r>
    </w:p>
    <w:p>
      <w:pPr>
        <w:pStyle w:val="BookText"/>
        <w:bidi w:val="0"/>
        <w:jc w:val="both"/>
        <w:rPr/>
      </w:pPr>
      <w:r>
        <w:rPr>
          <w:rFonts w:eastAsia="Times New Roman" w:cs="Times New Roman" w:ascii="Times New Roman" w:hAnsi="Times New Roman"/>
          <w:color w:val="111111"/>
          <w:sz w:val="28"/>
          <w:szCs w:val="28"/>
          <w:lang w:val="en-US"/>
        </w:rPr>
        <w:t>Sebaliknya, bagi Aristoteles, hakikat indrawi juga harus  diperhitungkan.</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Bandingkan, Stigen, The Structure of Aristoteles's Thought,  hlm. 78-103.</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Sementara, Plato mencari prinsip-prinsip dan  berbagai bahasan tentang berbagai hal dalam bentuk-bentuk,  Aristoteles pun menyimpulkan kajian dan telaahnya tentang  entitas-entitas fisik dalam penjelasannya ihwal sebab-sebab  dan definisi-definisi. Plato sampai pada bentuk-bentuk dengan  berspekulasi ihwal gagasan tentang pengetahuan itu dan bukan  hakikat berbagai hal. Dengan demikian, ia memungkinkan  prinsip-prinsip pengetahuan untuk menentukan prinsip berbagai  hal. (Mengantisipasi Suhrawardi, prinsip-prinsip pengetahuan  bisa diketahui secara langsung sebagai hasil dari sebuah proses</w:t>
      </w:r>
    </w:p>
    <w:p>
      <w:pPr>
        <w:pStyle w:val="BookText"/>
        <w:bidi w:val="0"/>
        <w:rPr/>
      </w:pPr>
      <w:r>
        <w:rPr>
          <w:rFonts w:eastAsia="Times New Roman" w:cs="Times New Roman" w:ascii="Times New Roman" w:hAnsi="Times New Roman"/>
          <w:color w:val="111111"/>
          <w:sz w:val="28"/>
          <w:szCs w:val="28"/>
          <w:lang w:val="en-US"/>
        </w:rPr>
        <w:t xml:space="preserve">yang disebut lluminasi. Prinsip-prinsip ini kemudian berperan  sebagai landasan atau dasar pengkajian dan pembangunan  filsafat berikutnya). </w:t>
      </w:r>
      <w:r>
        <w:rPr>
          <w:rStyle w:val="FootnoteAnchor"/>
        </w:rPr>
        <w:footnoteReference w:id="198"/>
      </w:r>
      <w:r>
        <w:rPr>
          <w:rFonts w:eastAsia="Times New Roman" w:cs="Times New Roman" w:ascii="Times New Roman" w:hAnsi="Times New Roman"/>
          <w:color w:val="111111"/>
          <w:sz w:val="28"/>
          <w:szCs w:val="28"/>
          <w:lang w:val="en-US"/>
        </w:rPr>
        <w:t xml:space="preserve"> Mesti ditekankan bahwa dalam sigian atau sorotan bahasan  di atas, tidak ada teori Definisi Plato yang bisa dilihat sebagai  berbeda dari metode dialog dialektis. Di sisi lain, teori Definisi  Aristoteles bisa dipadukan atau digabungkan menjadi sejumlah  kaidah formal, meski kaidah-kaidah ini tidak dikembangkan  oleh Aristoteles secara sistemastis di berbagai tempat dalam  karya-karyanya.</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hlm. 4-6 dan 10-17, VIII.2-3, 6; Parts of Animals I. hlm.2-4.</w:t>
      </w:r>
    </w:p>
    <w:p>
      <w:pPr>
        <w:pStyle w:val="BookText"/>
        <w:bidi w:val="0"/>
        <w:jc w:val="both"/>
        <w:rPr/>
      </w:pPr>
      <w:r>
        <w:rPr>
          <w:rFonts w:eastAsia="Times New Roman" w:cs="Times New Roman" w:ascii="Times New Roman" w:hAnsi="Times New Roman"/>
          <w:color w:val="111111"/>
          <w:sz w:val="28"/>
          <w:szCs w:val="28"/>
          <w:lang w:val="en-US"/>
        </w:rPr>
        <w:t>Di sini, saya akan membahasnya dengan memaparkan  secara singkat beberapa ciri utama teori Aritoteles. Saya juga  harus menjelaskan bagian teorinya yang dikritik Suhrawardi  untuk menilai Definisi Aristoteles dari sudut pandang  menyeluruh dan juga membahas secara khusus formulanya.</w:t>
      </w:r>
    </w:p>
    <w:p>
      <w:pPr>
        <w:pStyle w:val="BookText"/>
        <w:bidi w:val="0"/>
        <w:jc w:val="both"/>
        <w:rPr/>
      </w:pPr>
      <w:r>
        <w:rPr>
          <w:rFonts w:eastAsia="Times New Roman" w:cs="Times New Roman" w:ascii="Times New Roman" w:hAnsi="Times New Roman"/>
          <w:color w:val="111111"/>
          <w:sz w:val="28"/>
          <w:szCs w:val="28"/>
          <w:lang w:val="en-US"/>
        </w:rPr>
        <w:t>Dalam bagian II Posterior Analytics, Aristoteles  menegaskan tujuannya dalam membahas teori definisi:</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Sekarang, mari kita tegaskan bagaimana hakikat  esensial diungkapkan dan dengan cara bagaimana ia bisa  direduksi menjadi demonstrasi; apakah definisi itu dan  hal-hal apa saja yang bisa didefinisikan? </w:t>
      </w:r>
      <w:r>
        <w:rPr>
          <w:rStyle w:val="FootnoteAnchor"/>
        </w:rPr>
        <w:footnoteReference w:id="200"/>
      </w:r>
      <w:r>
        <w:rPr>
          <w:rFonts w:eastAsia="Times New Roman" w:cs="Times New Roman" w:ascii="Times New Roman" w:hAnsi="Times New Roman"/>
          <w:color w:val="111111"/>
          <w:sz w:val="28"/>
          <w:szCs w:val="28"/>
          <w:lang w:val="en-US"/>
        </w:rPr>
        <w:t xml:space="preserve"> Aristoteles melanjutkan pembahasannya dan melontarkan  pertanyaan-pertanyaan tentang definisi dan hubungannya  dengan demonstrasi.</w:t>
      </w:r>
      <w:r>
        <w:rPr>
          <w:rStyle w:val="FootnoteAnchor"/>
        </w:rPr>
        <w:footnoteReference w:id="201"/>
      </w:r>
      <w:r>
        <w:rPr>
          <w:rFonts w:eastAsia="Times New Roman" w:cs="Times New Roman" w:ascii="Times New Roman" w:hAnsi="Times New Roman"/>
          <w:color w:val="111111"/>
          <w:sz w:val="28"/>
          <w:szCs w:val="28"/>
          <w:lang w:val="en-US"/>
        </w:rPr>
        <w:t xml:space="preserve">Jawabannya diberikan secara langsung,  bahwa tidak setiap hal yang dapat didemonstrasikan bisa  didefinisikkan, tetapi premis-premis demonstrasi itu adalah  definisi-definisi yang pada gilirannya, boleh jadi adalah  kebenaran-kebenaran penting yang tidak bisa didemonstrasikan  atau justru demonstrasi-demonstrasi itu yang berpijak pada </w:t>
      </w:r>
    </w:p>
    <w:p>
      <w:pPr>
        <w:pStyle w:val="BookText"/>
        <w:bidi w:val="0"/>
        <w:rPr/>
      </w:pPr>
      <w:r>
        <w:rPr>
          <w:rFonts w:eastAsia="Times New Roman" w:cs="Times New Roman" w:ascii="Times New Roman" w:hAnsi="Times New Roman"/>
          <w:color w:val="111111"/>
          <w:sz w:val="28"/>
          <w:szCs w:val="28"/>
          <w:lang w:val="en-US"/>
        </w:rPr>
        <w:t>premis-premis sebelumnya.</w:t>
      </w:r>
      <w:r>
        <w:rPr>
          <w:rStyle w:val="FootnoteAnchor"/>
        </w:rPr>
        <w:footnoteReference w:id="202"/>
      </w:r>
      <w:r>
        <w:rPr>
          <w:rFonts w:eastAsia="Times New Roman" w:cs="Times New Roman" w:ascii="Times New Roman" w:hAnsi="Times New Roman"/>
          <w:color w:val="111111"/>
          <w:sz w:val="28"/>
          <w:szCs w:val="28"/>
          <w:lang w:val="en-US"/>
        </w:rPr>
        <w:t>Oleh karena itu, yang perlu  ditegaskan adalah jenis definisi – kalau harus ilmiah, mesti  bergantung pada pengetahuan sebelumnya, dan kesan yang  diperoleh dari Aristoteles di sini (dalam Posterior Analytics)  adalah hal-hal yang paling dahulu ada berkaitan dengan  pengetahuan, merupakan kebenaran-kebenaran primer.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Pentingnya definisi dalam filsafat adalah salah satu hasil  penting dari Bab 4 Buku VII dalam Metaphysics, yang di dalamnya  Aristoteles menegaskan, “Dengan demikian, ada esensi hanya  dari hal-hal yang formulanya adalah satu definisi. </w:t>
      </w:r>
      <w:r>
        <w:rPr>
          <w:rStyle w:val="FootnoteAnchor"/>
        </w:rPr>
        <w:footnoteReference w:id="203"/>
      </w:r>
      <w:r>
        <w:rPr>
          <w:rFonts w:eastAsia="Times New Roman" w:cs="Times New Roman" w:ascii="Times New Roman" w:hAnsi="Times New Roman"/>
          <w:color w:val="111111"/>
          <w:sz w:val="28"/>
          <w:szCs w:val="28"/>
          <w:lang w:val="en-US"/>
        </w:rPr>
        <w:t xml:space="preserve"> Oleh karena itu, definisi membatasi hal-hal yang bisa  dibahas oleh ilmu, dan jenis definisi hakiki itu yang sering  digunakan. Ada dua jenis dasar definisi yang dibicarakan  Aristoteles: definisi hakiki dan definisi nominal. Definisi hakiki  adalah yang paling penting, inilah yang menjadi sasaran kritik  Suhrawardi, dan kita akan mengkaji dan menelaahnya secara  singkat. Definisi nominal dipandang sebagai tidak bermakna  dalam ilmu.</w:t>
      </w:r>
      <w:r>
        <w:rPr>
          <w:rStyle w:val="FootnoteAnchor"/>
        </w:rPr>
        <w:footnoteReference w:id="204"/>
      </w:r>
      <w:r>
        <w:rPr>
          <w:rFonts w:eastAsia="Times New Roman" w:cs="Times New Roman" w:ascii="Times New Roman" w:hAnsi="Times New Roman"/>
          <w:color w:val="111111"/>
          <w:sz w:val="28"/>
          <w:szCs w:val="28"/>
          <w:lang w:val="en-US"/>
        </w:rPr>
        <w:t xml:space="preserve">Dalam ungkapan Aristoteles, definisi hakiki  merinci satu dari tiga hal: hakikat esensial, </w:t>
      </w:r>
      <w:r>
        <w:rPr>
          <w:rStyle w:val="FootnoteAnchor"/>
        </w:rPr>
        <w:footnoteReference w:id="205"/>
      </w:r>
      <w:r>
        <w:rPr>
          <w:rFonts w:eastAsia="Times New Roman" w:cs="Times New Roman" w:ascii="Times New Roman" w:hAnsi="Times New Roman"/>
          <w:color w:val="111111"/>
          <w:sz w:val="28"/>
          <w:szCs w:val="28"/>
          <w:lang w:val="en-US"/>
        </w:rPr>
        <w:t xml:space="preserve">substansi, </w:t>
      </w:r>
      <w:r>
        <w:rPr>
          <w:rStyle w:val="FootnoteAnchor"/>
        </w:rPr>
        <w:footnoteReference w:id="206"/>
      </w:r>
      <w:r>
        <w:rPr>
          <w:rFonts w:eastAsia="Times New Roman" w:cs="Times New Roman" w:ascii="Times New Roman" w:hAnsi="Times New Roman"/>
          <w:color w:val="111111"/>
          <w:sz w:val="28"/>
          <w:szCs w:val="28"/>
          <w:lang w:val="en-US"/>
        </w:rPr>
        <w:t>dan  esensi.</w:t>
      </w:r>
      <w:r>
        <w:rPr>
          <w:rStyle w:val="FootnoteAnchor"/>
        </w:rPr>
        <w:footnoteReference w:id="207"/>
      </w:r>
      <w:r>
        <w:rPr>
          <w:rFonts w:eastAsia="Times New Roman" w:cs="Times New Roman" w:ascii="Times New Roman" w:hAnsi="Times New Roman"/>
          <w:color w:val="111111"/>
          <w:sz w:val="28"/>
          <w:szCs w:val="28"/>
          <w:lang w:val="en-US"/>
        </w:rPr>
        <w:t xml:space="preserve">(Ada satu tempat di mana Aristoteles menyatakan  hubungan antara definisi dengan substansi dan esensi). </w:t>
      </w:r>
      <w:r>
        <w:rPr>
          <w:rStyle w:val="FootnoteAnchor"/>
        </w:rPr>
        <w:footnoteReference w:id="208"/>
      </w:r>
      <w:r>
        <w:rPr>
          <w:rFonts w:eastAsia="Times New Roman" w:cs="Times New Roman" w:ascii="Times New Roman" w:hAnsi="Times New Roman"/>
          <w:color w:val="111111"/>
          <w:sz w:val="28"/>
          <w:szCs w:val="28"/>
          <w:lang w:val="en-US"/>
        </w:rPr>
        <w:t xml:space="preserve"> Ada sejumlah formula definisi dalam karya-karya  Aristoteles, dan yang paling penting darinya adalah definisi  dengan genus dan diferensia. Aspek paling penting dari formula  ini adalah bagaimana genus dan diferensia ini melambangkan  kesatuan esensi? Persoalan ini, yang disebut sebagai “kesatuan   definisi, dimuat Aristoteles dalam Metaphysics,</w:t>
      </w:r>
      <w:r>
        <w:rPr>
          <w:rStyle w:val="FootnoteAnchor"/>
        </w:rPr>
        <w:footnoteReference w:id="209"/>
      </w:r>
      <w:r>
        <w:rPr>
          <w:rFonts w:eastAsia="Times New Roman" w:cs="Times New Roman" w:ascii="Times New Roman" w:hAnsi="Times New Roman"/>
          <w:color w:val="111111"/>
          <w:sz w:val="28"/>
          <w:szCs w:val="28"/>
          <w:lang w:val="en-US"/>
        </w:rPr>
        <w:t xml:space="preserve">dan menjadi  aspek yang paling penting dalam kritik Suhrawardi. Persoalan  kesatuan definisi ini menyinggung dasar filsafat, yang dalam </w:t>
      </w:r>
    </w:p>
    <w:p>
      <w:pPr>
        <w:pStyle w:val="BookText"/>
        <w:bidi w:val="0"/>
        <w:rPr/>
      </w:pPr>
      <w:r>
        <w:rPr>
          <w:rFonts w:eastAsia="Times New Roman" w:cs="Times New Roman" w:ascii="Times New Roman" w:hAnsi="Times New Roman"/>
          <w:color w:val="111111"/>
          <w:sz w:val="28"/>
          <w:szCs w:val="28"/>
          <w:lang w:val="en-US"/>
        </w:rPr>
        <w:t>hubungannya dengan berbagai perbedaan antara metodologi  Plato dan Aristoteles bisa ditentukan. Bagi Plato, kajian dan  telaah filosofis yang benar harus melibatkan keseluruhan filsafat,  dan hanya dengan keseluruhan saja yang bisa disebut filsafat.</w:t>
      </w:r>
    </w:p>
    <w:p>
      <w:pPr>
        <w:pStyle w:val="BookText"/>
        <w:bidi w:val="0"/>
        <w:jc w:val="both"/>
        <w:rPr/>
      </w:pPr>
      <w:r>
        <w:rPr>
          <w:rFonts w:eastAsia="Times New Roman" w:cs="Times New Roman" w:ascii="Times New Roman" w:hAnsi="Times New Roman"/>
          <w:color w:val="111111"/>
          <w:sz w:val="28"/>
          <w:szCs w:val="28"/>
          <w:lang w:val="en-US"/>
        </w:rPr>
        <w:t>Misalnya saja, bahasan tentang bagian-bagian badan manusia  pada akhirnya bertumpu pada bahasan tentang perinsip-prinsip  universal. Pandangan ini mengantarkan seseorang berpikir,  bahwa ilmu tidak mungkin. Kritik Aristoteles di sini berpijak pada  pembedaan yang jelas antara yang satu dalam jumlah dan yang  satu dalam formula.</w:t>
      </w:r>
      <w:r>
        <w:rPr>
          <w:rStyle w:val="FootnoteAnchor"/>
        </w:rPr>
        <w:footnoteReference w:id="210"/>
      </w:r>
      <w:r>
        <w:rPr>
          <w:rFonts w:eastAsia="Times New Roman" w:cs="Times New Roman" w:ascii="Times New Roman" w:hAnsi="Times New Roman"/>
          <w:color w:val="111111"/>
          <w:sz w:val="28"/>
          <w:szCs w:val="28"/>
          <w:lang w:val="en-US"/>
        </w:rPr>
        <w:t>Pembedaan semacam itu meliputi kajian  yang cermat atas hal yang universal dan hal yang partikular.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Hubungan antara yang satu dengan keseluruhan, dan apa yang  satu dalam jumlah, dan apa yang satu dalam formula harus  dicamkan sebagai dasar yang mungkin bagi kritik Suhrawardi  atas formula Aristoteles. Apa yang satu dalam formula bisa  ditemukan dalam hal-hal yang ada dan yang satu dalam jumlah  bisa dibagi ke dalam beberapa dalam formula, tetapi yang satu  dalam jumlah yang ada secara individual — tidak bisa menjadi  subjek ilmu.</w:t>
      </w:r>
      <w:r>
        <w:rPr>
          <w:rStyle w:val="FootnoteAnchor"/>
        </w:rPr>
        <w:footnoteReference w:id="211"/>
      </w:r>
      <w:r>
        <w:rPr>
          <w:rFonts w:eastAsia="Times New Roman" w:cs="Times New Roman" w:ascii="Times New Roman" w:hAnsi="Times New Roman"/>
          <w:color w:val="111111"/>
          <w:sz w:val="28"/>
          <w:szCs w:val="28"/>
          <w:lang w:val="en-US"/>
        </w:rPr>
        <w:t xml:space="preserve">Pemecahan Aristoteles atas problem ini adalah  memadukan apa yang satu dalam jumlah dan apa yang satu  dalam bentuk menjadi formula tunggal yang disebutnya sebagai  definisi. </w:t>
      </w:r>
      <w:r>
        <w:rPr>
          <w:rStyle w:val="FootnoteAnchor"/>
        </w:rPr>
        <w:footnoteReference w:id="212"/>
      </w:r>
      <w:r>
        <w:rPr>
          <w:rFonts w:eastAsia="Times New Roman" w:cs="Times New Roman" w:ascii="Times New Roman" w:hAnsi="Times New Roman"/>
          <w:color w:val="111111"/>
          <w:sz w:val="28"/>
          <w:szCs w:val="28"/>
          <w:lang w:val="en-US"/>
        </w:rPr>
        <w:t xml:space="preserve">Ini berhubungan dengan apa yang disebut  definisi  hakiki . </w:t>
      </w:r>
      <w:r>
        <w:rPr>
          <w:rStyle w:val="FootnoteAnchor"/>
        </w:rPr>
        <w:footnoteReference w:id="213"/>
      </w:r>
      <w:r>
        <w:rPr>
          <w:rFonts w:eastAsia="Times New Roman" w:cs="Times New Roman" w:ascii="Times New Roman" w:hAnsi="Times New Roman"/>
          <w:color w:val="111111"/>
          <w:sz w:val="28"/>
          <w:szCs w:val="28"/>
          <w:lang w:val="en-US"/>
        </w:rPr>
        <w:t>Definisi Aristotelian, yakni satu dalam jumlah dan satu  dalam bentuk, menjadi formula tunggal yang melambangkan  karakteristik hal-hal yang bisa diketahui, dan dengan demikian  dinyatakan dalam ilmu, yakni entah itu esensi suatu hal, hakikat  esensi, atau substansinya.</w:t>
      </w:r>
      <w:r>
        <w:rPr>
          <w:rStyle w:val="FootnoteAnchor"/>
        </w:rPr>
        <w:footnoteReference w:id="214"/>
      </w:r>
      <w:r>
        <w:rPr>
          <w:rFonts w:eastAsia="Times New Roman" w:cs="Times New Roman" w:ascii="Times New Roman" w:hAnsi="Times New Roman"/>
          <w:color w:val="111111"/>
          <w:sz w:val="28"/>
          <w:szCs w:val="28"/>
          <w:lang w:val="en-US"/>
        </w:rPr>
        <w:t>Formula itu memadukan genus dan  diferensia dari suatu hal.</w:t>
      </w:r>
      <w:r>
        <w:rPr>
          <w:rStyle w:val="FootnoteAnchor"/>
        </w:rPr>
        <w:footnoteReference w:id="215"/>
      </w:r>
      <w:bookmarkStart w:id="145" w:name="pg6442_57390"/>
    </w:p>
    <w:p>
      <w:pPr>
        <w:pStyle w:val="Heading3"/>
        <w:numPr>
          <w:ilvl w:val="2"/>
          <w:numId w:val="1"/>
        </w:numPr>
        <w:bidi w:val="0"/>
        <w:jc w:val="left"/>
        <w:rPr/>
      </w:pPr>
      <w:bookmarkStart w:id="146" w:name="__RefHeading___Toc924674_653776707"/>
      <w:bookmarkStart w:id="147" w:name="_Toc50"/>
      <w:bookmarkEnd w:id="145"/>
      <w:bookmarkEnd w:id="146"/>
      <w:r>
        <w:rPr/>
        <w:t>3. TEORI DEFINISI SUHRAWARDI: BAGIAN PERTAMA  SIKLUS</w:t>
      </w:r>
      <w:bookmarkEnd w:id="147"/>
    </w:p>
    <w:p>
      <w:pPr>
        <w:pStyle w:val="Heading4"/>
        <w:numPr>
          <w:ilvl w:val="3"/>
          <w:numId w:val="1"/>
        </w:numPr>
        <w:bidi w:val="0"/>
        <w:jc w:val="left"/>
        <w:rPr/>
      </w:pPr>
      <w:bookmarkStart w:id="148" w:name="__RefHeading___Toc924676_653776707"/>
      <w:bookmarkStart w:id="149" w:name="_Toc51"/>
      <w:bookmarkEnd w:id="148"/>
      <w:r>
        <w:rPr/>
        <w:t>Point</w:t>
      </w:r>
      <w:bookmarkEnd w:id="149"/>
    </w:p>
    <w:p>
      <w:pPr>
        <w:pStyle w:val="BookText"/>
        <w:bidi w:val="0"/>
        <w:jc w:val="both"/>
        <w:rPr/>
      </w:pPr>
      <w:r>
        <w:rPr>
          <w:rFonts w:eastAsia="Times New Roman" w:cs="Times New Roman" w:ascii="Times New Roman" w:hAnsi="Times New Roman"/>
          <w:color w:val="111111"/>
          <w:sz w:val="28"/>
          <w:szCs w:val="28"/>
          <w:lang w:val="en-US"/>
        </w:rPr>
        <w:t>Sejauh ini, kita telah menguraikan dua pendekatan  dalam menghampiri problem definisi: pendekatan Plato dan  pendekatan Aristoteles, dan kita telah menyebutkan bahwa  keduanya dikenal para filsuf dalam periode Islam. Harus  ditegaskan lebih jauh bahwa kedua pendekatan itu punya unsur-  unsur yang sama, bahwa karakteristik-karakteristik tertentu  pendekatan Plato bisa dilihat dalam pendekatan Aristoteles, dan  bahwa komponen-komponen tertentu pendekatan Aristoteles  bisa  ditasirkan  sebagai pendekatan Plato (khususnya yang  belakangan dalam sejarahnya, yakni dalam Filsafat Islam  abad pertengahan). Pendekatan Plato pada definisi mencari  kesatuan hal yang didefinisikan dalam bentuknya yang meski  bisa dipersepsi dan didefinisikan secara beragam, hanya bisa  didefinisikan secara sempurna oleh- dan dalam diri seseorang  saat ia merasakannya dalam kesadaran dirinya. Tidak ada  usaha untuk membentuk definisi yang dapat menggambarkan  pengetahuan tentang keragaman. Pendekatan Aristoteles pada  definisi berusaha merumuskan yang beragam dengan cara yang  cukup menggambarkan hal yang didefinisikan, dan kesatuan  diekspresikan dalam formula; misalnya saja, genus adalah  kesatuan, dan genus plus diferensia adalah juga kesatuan. Tanpa  melakukan tinjauan historis yang mendalam, kita berasumsi  bahwa Suhrawardi menyadari dua pendekatan itu dalam  menghampiri problem ini. Di bawah sigian atau sorotan, kedua  teori itu semestinya ditelaah, teori dan metodologi Iluminasi  Suhrawardi berikut juga kritiknya yang khas.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atas sudah dijelaskan, bahwa saat menelaah sebuah </w:t>
      </w:r>
    </w:p>
    <w:p>
      <w:pPr>
        <w:pStyle w:val="BookText"/>
        <w:bidi w:val="0"/>
        <w:rPr/>
      </w:pPr>
      <w:r>
        <w:rPr>
          <w:rFonts w:eastAsia="Times New Roman" w:cs="Times New Roman" w:ascii="Times New Roman" w:hAnsi="Times New Roman"/>
          <w:color w:val="111111"/>
          <w:sz w:val="28"/>
          <w:szCs w:val="28"/>
          <w:lang w:val="en-US"/>
        </w:rPr>
        <w:t>teori definisi, berbagai pertimbangannya yang paling penting  adalah: bagaimana definisi diperoleh; bila definisi itu adalah  sebuah formula, bagaimana elemen-elemen yang beragam,  atau sifat-sifat dasar disatukan untuk melambangkan kesatuan  dari hal yang didefinisikan; ketika diperoleh, nilai kebenaran  macam apa yang dimiliki definisi; dan akhirnya kualitas definisi  itu. Aristoteles membahas masalah-masalah ini di sepanjang  karya-karyanya, tetapi seperti dicatat di atas, tidak secara  sistematis dalam karya tunggal. Perkembangan teori definisi  yang sistematis dibahas oleh para filsuf dalam periode Islam.</w:t>
      </w:r>
    </w:p>
    <w:p>
      <w:pPr>
        <w:pStyle w:val="BookText"/>
        <w:bidi w:val="0"/>
        <w:jc w:val="both"/>
        <w:rPr/>
      </w:pPr>
      <w:r>
        <w:rPr>
          <w:rFonts w:eastAsia="Times New Roman" w:cs="Times New Roman" w:ascii="Times New Roman" w:hAnsi="Times New Roman"/>
          <w:color w:val="111111"/>
          <w:sz w:val="28"/>
          <w:szCs w:val="28"/>
          <w:lang w:val="en-US"/>
        </w:rPr>
        <w:t>Ibn Sina dalam karyanya yang penting, Asy-Syifā', membagi  bahasan teori definisi ke dalam dua bagian, yang masing-masing  merupakan komponen khas dari salah satu bagian Organon.</w:t>
      </w:r>
    </w:p>
    <w:p>
      <w:pPr>
        <w:pStyle w:val="BookText"/>
        <w:bidi w:val="0"/>
        <w:jc w:val="both"/>
        <w:rPr/>
      </w:pPr>
      <w:r>
        <w:rPr>
          <w:rFonts w:eastAsia="Times New Roman" w:cs="Times New Roman" w:ascii="Times New Roman" w:hAnsi="Times New Roman"/>
          <w:color w:val="111111"/>
          <w:sz w:val="28"/>
          <w:szCs w:val="28"/>
          <w:lang w:val="en-US"/>
        </w:rPr>
        <w:t>Bagian pertama, adalah karakteristik dari Posterior Analytics,  yang mengkaji dua hal mendasar: [1] bagaimana definisi disusun  (ta'līf al-hadd); dan [2] bagaimana definisi diperoleh (iktisāb al-  hadd). Bagian kedua, adalah karakteristik dari Topics (al-Jadal  dalam Asy-Syifā'), yang mengkaji ihwal apakah definisi yang  diperoleh dan disusun sesuai dengan kaidah-kaidah yang telah  ditetapkan dalam Posterior Analytics benar-benar diperoleh  dengan cara demikian dan bila memang demikian, syarat-  syarat apa saja yang berlaku bagi hubungan antara hal dan  definisi yang diabstraksikan.</w:t>
      </w:r>
      <w:r>
        <w:rPr>
          <w:rStyle w:val="FootnoteAnchor"/>
        </w:rPr>
        <w:footnoteReference w:id="216"/>
      </w:r>
      <w:r>
        <w:rPr>
          <w:rFonts w:eastAsia="Times New Roman" w:cs="Times New Roman" w:ascii="Times New Roman" w:hAnsi="Times New Roman"/>
          <w:color w:val="111111"/>
          <w:sz w:val="28"/>
          <w:szCs w:val="28"/>
          <w:lang w:val="en-US"/>
        </w:rPr>
        <w:t>Bagian-bagian ini akan bertindak  sebagai petunjuk yang sangat membantu sewaktu kita menelaah  teori Definisi Suhrawardi, dan akan membantu kita menetapkan  komponen khas apa saja dari teori Aristoteles yang dikritik oleh  Suhrawardi.</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Bab sebelumnya, sudah saya tunjukkan bahwa  pandangan menyeluruh Suhrawardi tentang logika tidak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berbeda sama sekali dari pandangan kaum Peripatetik (meski  ia melakukan berbagai perubahan dalam struktur logika  tradisional, seperti dikemukakan dalam Organon), dan tentu  tidak berlawanan sama sekali. Saya juga telah menunjukkan  bahwa uraian Suhrawardi tentang logika dalam At-Talwihāt,  Al-Masyāri' wa Al-Muthārahāt dan Hikmah Al-Isyrāq, berbeda  dalam masing-masing karya itu dalam hal penekanan dan  terminologi. Akibatnya, sifat dan kandungan menyeluruh dari  logika Suhrawardi adalah sedemikian rupa sehingga kita hanya  bisa menyebutkan “logika Iluminasi  yang dilambangkan, yang  lebih dari sekadar perubahan struktur ketimbang perubahan  konseptual. Struktur baru adalah sedemikian rupa sehingga  tidak seperti dalam Organon, subjek-subjek yang berkaitan  dengan semiotika maupun logika formal dan logika materiel  dipaparkan dalam bagian-bagian terpisah dari karya-karya  Iluminasi tentang logika. Namun, terdapat juga perubahan-  perubahan formal dan lainnya yang dibuat oleh Suhrawardi  dalam logika. Ia memisahkan sejumlah problem, dan berusaha  mendefinisikan kaidah-kaidah “baru” yang mengaturnya.</w:t>
      </w:r>
      <w:r>
        <w:rPr>
          <w:rStyle w:val="FootnoteAnchor"/>
        </w:rPr>
        <w:footnoteReference w:id="217"/>
      </w:r>
      <w:r>
        <w:rPr>
          <w:rFonts w:eastAsia="Times New Roman" w:cs="Times New Roman" w:ascii="Times New Roman" w:hAnsi="Times New Roman"/>
          <w:color w:val="111111"/>
          <w:sz w:val="28"/>
          <w:szCs w:val="28"/>
          <w:lang w:val="en-US"/>
        </w:rPr>
        <w:t>Sifat  upaya ini terletak dalam memperbaiki bagian-bagian tertentu  logika Peripatetik ditandai dengan tujuan Suhrawardi dalam  menggeneralisasi kaidah-kaidah formal. Umpamanya saja, kita  melihat bahwa Suhrawardi menaruh perhatian pada formulasi  bentuk gambar pertama silogisme yang digeneralisasikan yang  berlaku juga pada gambar kedua dan ketiga.</w:t>
      </w:r>
      <w:r>
        <w:rPr>
          <w:rStyle w:val="FootnoteAnchor"/>
        </w:rPr>
        <w:footnoteReference w:id="218"/>
      </w:r>
      <w:r>
        <w:rPr>
          <w:rFonts w:eastAsia="Times New Roman" w:cs="Times New Roman" w:ascii="Times New Roman" w:hAnsi="Times New Roman"/>
          <w:color w:val="111111"/>
          <w:sz w:val="28"/>
          <w:szCs w:val="28"/>
          <w:lang w:val="en-US"/>
        </w:rPr>
        <w:t>la juga tertarik  untuk mendefinisikan bentuk tunggal modalitas temporal dalam  proposisi-proposisi dan modalitas yang diulang-ulang, yang  akan berperan sebagai bentuk yang bentuk-bentuk lainnya bisa  direduksi ke dalamnya.</w:t>
      </w:r>
      <w:r>
        <w:rPr>
          <w:rStyle w:val="FootnoteAnchor"/>
        </w:rPr>
        <w:footnoteReference w:id="219"/>
      </w:r>
      <w:bookmarkStart w:id="150" w:name="pg6442_57393"/>
    </w:p>
    <w:p>
      <w:pPr>
        <w:pStyle w:val="BookText"/>
        <w:bidi w:val="0"/>
        <w:rPr/>
      </w:pPr>
      <w:bookmarkEnd w:id="150"/>
      <w:r>
        <w:rPr>
          <w:rFonts w:eastAsia="Times New Roman" w:cs="Times New Roman" w:ascii="Times New Roman" w:hAnsi="Times New Roman"/>
          <w:color w:val="111111"/>
          <w:sz w:val="28"/>
          <w:szCs w:val="28"/>
          <w:lang w:val="en-US"/>
        </w:rPr>
        <w:t>Dari semua problem logika yang secara khusus penting  bagi Suhrawardi, baik formal maupun materiel, konsepsi  (tashawwur) dan juga penilaian (tashdiq) yang paling penting  darinya adalah problem definisi. Signifikansinya terletak  bukan hanya dalam problem itu yang – seperti disebutkan  sebelumnya, menentukan posisi metodologi sang filsuf,  melainkan juga dalam penolakan Suhrawardi atas formula kaum  Peripatetik, dan ini berpusat pada pandangan khas Iluminasi  tentang hubungan antara kesatuan esensi dan keragaman sifat  esensial sesuatu.</w:t>
      </w:r>
    </w:p>
    <w:p>
      <w:pPr>
        <w:pStyle w:val="BookText"/>
        <w:bidi w:val="0"/>
        <w:jc w:val="both"/>
        <w:rPr/>
      </w:pPr>
      <w:r>
        <w:rPr>
          <w:rFonts w:eastAsia="Times New Roman" w:cs="Times New Roman" w:ascii="Times New Roman" w:hAnsi="Times New Roman"/>
          <w:color w:val="111111"/>
          <w:sz w:val="28"/>
          <w:szCs w:val="28"/>
          <w:lang w:val="en-US"/>
        </w:rPr>
        <w:t>Karena problem definisi adalah problem utama dalam  pengetahuan, maka kritik Suhrawardi atas formula definisi  kaum Peripatetik, yang digabung dengan pandangannya,  adalah langkah pertama metodologi yang paling signifikan  dalam Filsafat Iluminasi. Memahami teori Definisi Suhrawardi  juga akan menjadi langkah penting pertama dalam menjawab  pertanyaan, “Apakah Filsafat Iluminasi itu?  Karenanya dalam  uraian berikut, kita akan menelaah pandangan tentang problem  ini dan upaya Suhrawardi untuk memastikan ihwal apakah hal  itu menunjuk pada posisi filosofis yang bertentangan dengan  posisi kaum Peripatetik atau justru melengkapinya.</w:t>
      </w:r>
    </w:p>
    <w:p>
      <w:pPr>
        <w:pStyle w:val="Heading4"/>
        <w:numPr>
          <w:ilvl w:val="3"/>
          <w:numId w:val="1"/>
        </w:numPr>
        <w:bidi w:val="0"/>
        <w:jc w:val="left"/>
        <w:rPr/>
      </w:pPr>
      <w:bookmarkStart w:id="151" w:name="__RefHeading___Toc924678_653776707"/>
      <w:bookmarkStart w:id="152" w:name="_Toc52"/>
      <w:bookmarkEnd w:id="151"/>
      <w:r>
        <w:rPr/>
        <w:t>3.1. At-Talwīhāt</w:t>
      </w:r>
      <w:bookmarkEnd w:id="15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Bab sebelumnya, saya telah menunjukkan bahwa  Suhrawardi membahas definisi dalam sebuah bab terpisah  dalam karya-karyanya tentang logika, biasanya dalam bab kedua,  langsung sesudah bab tentang semantik; ini bisa disamakan  dengan subjek-subjek tradisional dalam Al-Madkhal. “Bab kedua   karya logika Suhrawardi diberi judul Tentang Proposisi Penjelas. </w:t>
      </w:r>
    </w:p>
    <w:p>
      <w:pPr>
        <w:pStyle w:val="BookText"/>
        <w:bidi w:val="0"/>
        <w:rPr/>
      </w:pPr>
      <w:r>
        <w:rPr>
          <w:rFonts w:eastAsia="Times New Roman" w:cs="Times New Roman" w:ascii="Times New Roman" w:hAnsi="Times New Roman"/>
          <w:color w:val="111111"/>
          <w:sz w:val="28"/>
          <w:szCs w:val="28"/>
          <w:lang w:val="en-US"/>
        </w:rPr>
        <w:t>Subjek bab ini memadukan bagian-bagian Al-Burhān dengan  bagian-bagian Al-Jadal berkenaan dengan definisi, yang berarti  bahwa Suhrawardi membahas komposisi, atau menciptakan  (ījād, yakni ta’lif plus iktisāb) definisi, berikut syarat-syarat yang  mengatur penggunaannya.</w:t>
      </w:r>
    </w:p>
    <w:p>
      <w:pPr>
        <w:pStyle w:val="BookText"/>
        <w:bidi w:val="0"/>
        <w:jc w:val="both"/>
        <w:rPr/>
      </w:pPr>
      <w:r>
        <w:rPr>
          <w:rFonts w:eastAsia="Times New Roman" w:cs="Times New Roman" w:ascii="Times New Roman" w:hAnsi="Times New Roman"/>
          <w:color w:val="111111"/>
          <w:sz w:val="28"/>
          <w:szCs w:val="28"/>
          <w:lang w:val="en-US"/>
        </w:rPr>
        <w:t>Dalam bagian kedua tentang logika dari At-Talwāhāt,  Suhrawardi membahas definisi dalam tiga bagian.</w:t>
      </w:r>
      <w:r>
        <w:rPr>
          <w:rStyle w:val="FootnoteAnchor"/>
        </w:rPr>
        <w:footnoteReference w:id="220"/>
      </w:r>
      <w:r>
        <w:rPr>
          <w:rFonts w:eastAsia="Times New Roman" w:cs="Times New Roman" w:ascii="Times New Roman" w:hAnsi="Times New Roman"/>
          <w:color w:val="111111"/>
          <w:sz w:val="28"/>
          <w:szCs w:val="28"/>
          <w:lang w:val="en-US"/>
        </w:rPr>
        <w:t>Bagian pertama,  membahas definisi esensialis; bagian kedua, mendeskripsikannya;  dan bagian ketiga, membahas berbagai kesalahan atau kekeliruan  berkenaan dengan konstruksi dan penggunaan definisi.</w:t>
      </w:r>
    </w:p>
    <w:p>
      <w:pPr>
        <w:pStyle w:val="BookText"/>
        <w:bidi w:val="0"/>
        <w:jc w:val="both"/>
        <w:rPr/>
      </w:pPr>
      <w:r>
        <w:rPr>
          <w:rFonts w:eastAsia="Times New Roman" w:cs="Times New Roman" w:ascii="Times New Roman" w:hAnsi="Times New Roman"/>
          <w:color w:val="111111"/>
          <w:sz w:val="28"/>
          <w:szCs w:val="28"/>
          <w:lang w:val="en-US"/>
        </w:rPr>
        <w:t>Dalam bagian pertama, Suhrawardi membedakan dua  jenis definisi esensialis: yang sempurna dan yang tidak sempurna.</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sempurna didefinisikan sebagai,  “Sebuah formula (qaul) yang menunjukkan esensi  sesuatu dan menyatukan (yajma') semua unsur sifat pokok  (muqawwimāt)-nya. Dalam hal realitas-realitas prinsip, ia  (formula) merupakan sebuah sintesis (tarkib) dari genus dan  diferensianya. </w:t>
      </w:r>
      <w:r>
        <w:rPr>
          <w:rStyle w:val="FootnoteAnchor"/>
        </w:rPr>
        <w:footnoteReference w:id="221"/>
      </w:r>
      <w:r>
        <w:rPr>
          <w:rFonts w:eastAsia="Times New Roman" w:cs="Times New Roman" w:ascii="Times New Roman" w:hAnsi="Times New Roman"/>
          <w:color w:val="111111"/>
          <w:sz w:val="28"/>
          <w:szCs w:val="28"/>
          <w:lang w:val="en-US"/>
        </w:rPr>
        <w:t xml:space="preserve"> Formula ini, meskipun sejalan dengan formula kaku  Aristoteles dan kaum Peripatetik, kemudian mempunyai ciri-  ciri yang khas dari Suhrawardi. Pembaca bisa memperhatikan  dengan baik ciri-ciri ini dengan membandingkannya dengan  formula Ibn Sina. Dalam Kitāb Al-Hudūd, Ibn Sina menyatakan  bahwa sesuai dengan pernyataan Aristoteles dalam Topics,  definisi adalah,  “Suatu formula yang menunjukkan esensi sesuatu, yakni  kesempurnaan wujud esensialnya. Formula ini diperoleh  (yatahashshal) dengan menggabungkan) genus dan  diferensia terdekat. </w:t>
      </w:r>
      <w:r>
        <w:rPr>
          <w:rStyle w:val="FootnoteAnchor"/>
        </w:rPr>
        <w:footnoteReference w:id="222"/>
      </w:r>
    </w:p>
    <w:p>
      <w:pPr>
        <w:pStyle w:val="BookText"/>
        <w:bidi w:val="0"/>
        <w:rPr/>
      </w:pPr>
      <w:r>
        <w:rPr>
          <w:rFonts w:eastAsia="Times New Roman" w:cs="Times New Roman" w:ascii="Times New Roman" w:hAnsi="Times New Roman"/>
          <w:color w:val="111111"/>
          <w:sz w:val="28"/>
          <w:szCs w:val="28"/>
          <w:lang w:val="en-US"/>
        </w:rPr>
        <w:t>Formula ini sama dengan yang dikemukakan dalam  karya-karya Peripatetik lain, dan bisa berperan sebagai dasar  yang memadai untuk membandingkan formula Suhrawardi.</w:t>
      </w:r>
    </w:p>
    <w:p>
      <w:pPr>
        <w:pStyle w:val="BookText"/>
        <w:bidi w:val="0"/>
        <w:jc w:val="both"/>
        <w:rPr/>
      </w:pPr>
      <w:r>
        <w:rPr>
          <w:rFonts w:eastAsia="Times New Roman" w:cs="Times New Roman" w:ascii="Times New Roman" w:hAnsi="Times New Roman"/>
          <w:color w:val="111111"/>
          <w:sz w:val="28"/>
          <w:szCs w:val="28"/>
          <w:lang w:val="en-US"/>
        </w:rPr>
        <w:t>Ada dua perbedaan mencolok antara kedua formula itu.</w:t>
      </w:r>
    </w:p>
    <w:p>
      <w:pPr>
        <w:pStyle w:val="BookText"/>
        <w:bidi w:val="0"/>
        <w:jc w:val="both"/>
        <w:rPr/>
      </w:pPr>
      <w:r>
        <w:rPr>
          <w:rFonts w:eastAsia="Times New Roman" w:cs="Times New Roman" w:ascii="Times New Roman" w:hAnsi="Times New Roman"/>
          <w:color w:val="111111"/>
          <w:sz w:val="28"/>
          <w:szCs w:val="28"/>
          <w:lang w:val="en-US"/>
        </w:rPr>
        <w:t>Pertama, Suhrawardi mensyaratkan bahwa semua sifat pokok  sesuatu dikombinasikan dalam formula, suatu syarat yang tidak  dikhususkan oleh formula Peripatetik. (Apa pun jenis kombinasi  dari elemen-elemen yang memadukan semuanya memang  harus demikian dengan rincian yang sempurna dan lengkap,  atau dengan cara lain yang merinci semua).</w:t>
      </w:r>
      <w:r>
        <w:rPr>
          <w:rStyle w:val="FootnoteAnchor"/>
        </w:rPr>
        <w:footnoteReference w:id="223"/>
      </w:r>
      <w:r>
        <w:rPr>
          <w:rFonts w:eastAsia="Times New Roman" w:cs="Times New Roman" w:ascii="Times New Roman" w:hAnsi="Times New Roman"/>
          <w:color w:val="111111"/>
          <w:sz w:val="28"/>
          <w:szCs w:val="28"/>
          <w:lang w:val="en-US"/>
        </w:rPr>
        <w:t xml:space="preserve">Perbedaan kedua,  adalah formula Suhrawardi menekankan metode sintesis (tarkib)  sebagai cara untuk memperoleh kesatuan definisi melalui genus  dan diferensia beragam. Pendapat ini, meski disebutkan oleh  Ibn Sina dalam Asy-Syifā': Al-Mathiq: Al-Burhān, tidak secara  eksplisit disyaratkan olehnya dalam formula. </w:t>
      </w:r>
      <w:r>
        <w:rPr>
          <w:rStyle w:val="FootnoteAnchor"/>
        </w:rPr>
        <w:footnoteReference w:id="224"/>
      </w:r>
      <w:r>
        <w:rPr>
          <w:rFonts w:eastAsia="Times New Roman" w:cs="Times New Roman" w:ascii="Times New Roman" w:hAnsi="Times New Roman"/>
          <w:color w:val="111111"/>
          <w:sz w:val="28"/>
          <w:szCs w:val="28"/>
          <w:lang w:val="en-US"/>
        </w:rPr>
        <w:t xml:space="preserve">Istilah sintesis  diterapkan pada hal-hal nyata yang majemuk, hal-hal yang hanya  bisa didefinisikan dengan definisi hakiki, demikian Suhrawardi  memberitahu kita. </w:t>
      </w:r>
      <w:r>
        <w:rPr>
          <w:rStyle w:val="FootnoteAnchor"/>
        </w:rPr>
        <w:footnoteReference w:id="225"/>
      </w:r>
      <w:r>
        <w:rPr>
          <w:rFonts w:eastAsia="Times New Roman" w:cs="Times New Roman" w:ascii="Times New Roman" w:hAnsi="Times New Roman"/>
          <w:color w:val="111111"/>
          <w:sz w:val="28"/>
          <w:szCs w:val="28"/>
          <w:lang w:val="en-US"/>
        </w:rPr>
        <w:t>Akibat wajar yang langsung adalah  seseorang tidak bisa secara ketat mendefinisikan substansi, juga  tidak bisa menguraikan secara leluasa semua hal-hal esensial  dari sesuatu, dan dengan demikian “mendefinisikannya , yang  juga menunjukkan bahwa seseorang tidak bisa “mengetahui   sesuatu tanpa dasar Iluminasi apriori bagi pengetahuan.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Karakteristik menyeluruh berikutnya dari bagian bab dua  ini adalah Suhrawardi membedakan antara definisi hakiki dan  definisi nominal. Pembedaan ini, seperti diketahui, dibuat oleh  kaum Peripatetik, dan kembali kepada Aristoteles. </w:t>
      </w:r>
      <w:r>
        <w:rPr>
          <w:rStyle w:val="FootnoteAnchor"/>
        </w:rPr>
        <w:footnoteReference w:id="226"/>
      </w:r>
      <w:r>
        <w:rPr>
          <w:rFonts w:eastAsia="Times New Roman" w:cs="Times New Roman" w:ascii="Times New Roman" w:hAnsi="Times New Roman"/>
          <w:color w:val="111111"/>
          <w:sz w:val="28"/>
          <w:szCs w:val="28"/>
          <w:lang w:val="en-US"/>
        </w:rPr>
        <w:t xml:space="preserve">Pembedaan  demikian sistematis seperti ini, atau sebagian menjadi bab  tersendiri, tidak ditemukan dalam karya mana pun, kecuali </w:t>
      </w:r>
    </w:p>
    <w:p>
      <w:pPr>
        <w:pStyle w:val="BookText"/>
        <w:bidi w:val="0"/>
        <w:rPr/>
      </w:pPr>
      <w:r>
        <w:rPr>
          <w:rFonts w:eastAsia="Times New Roman" w:cs="Times New Roman" w:ascii="Times New Roman" w:hAnsi="Times New Roman"/>
          <w:color w:val="111111"/>
          <w:sz w:val="28"/>
          <w:szCs w:val="28"/>
          <w:lang w:val="en-US"/>
        </w:rPr>
        <w:t xml:space="preserve">dalam karya Ibn Sina yang berjudul Manthiq Al-Masyriqiyyin. </w:t>
      </w:r>
      <w:r>
        <w:rPr>
          <w:rStyle w:val="FootnoteAnchor"/>
        </w:rPr>
        <w:footnoteReference w:id="227"/>
      </w:r>
      <w:r>
        <w:rPr>
          <w:rFonts w:eastAsia="Times New Roman" w:cs="Times New Roman" w:ascii="Times New Roman" w:hAnsi="Times New Roman"/>
          <w:color w:val="111111"/>
          <w:sz w:val="28"/>
          <w:szCs w:val="28"/>
          <w:lang w:val="en-US"/>
        </w:rPr>
        <w:t xml:space="preserve"> Suhrawardi mengawali bahasannya tentang definisi  nominal dan definisi hakiki dengan menyatakan bahwa suatu  ujaran tunggal suatu kata bukanlah sebuah definisi esensialis.</w:t>
      </w:r>
    </w:p>
    <w:p>
      <w:pPr>
        <w:pStyle w:val="BookText"/>
        <w:bidi w:val="0"/>
        <w:jc w:val="both"/>
        <w:rPr/>
      </w:pPr>
      <w:r>
        <w:rPr>
          <w:rFonts w:eastAsia="Times New Roman" w:cs="Times New Roman" w:ascii="Times New Roman" w:hAnsi="Times New Roman"/>
          <w:color w:val="111111"/>
          <w:sz w:val="28"/>
          <w:szCs w:val="28"/>
          <w:lang w:val="en-US"/>
        </w:rPr>
        <w:t xml:space="preserve">Kata  manusia  misalnya, bukanlah definisi untuk manusianya  sesuatu. Disebutkan bahwa definisi esensialis yang tidak  sempurna terdiri dari summum genus atau genus terjauh (al-jins  al-baʻid) dan diferensia, semisal  substansi rasional . </w:t>
      </w:r>
      <w:r>
        <w:rPr>
          <w:rStyle w:val="FootnoteAnchor"/>
        </w:rPr>
        <w:footnoteReference w:id="228"/>
      </w:r>
      <w:r>
        <w:rPr>
          <w:rFonts w:eastAsia="Times New Roman" w:cs="Times New Roman" w:ascii="Times New Roman" w:hAnsi="Times New Roman"/>
          <w:color w:val="111111"/>
          <w:sz w:val="28"/>
          <w:szCs w:val="28"/>
          <w:lang w:val="en-US"/>
        </w:rPr>
        <w:t>Namun,  Suhrawardi menegaskan bahwa definisi seperti itu tidak valid  karena hanya berusaha membedakan (tamyiz) sesuatu yang  didefinisikan. Ini berarti, bahwa baginya semua bentuk definisi  semisal itu pada dasarnya adalah variasi dari definisi  ostensif .</w:t>
      </w:r>
    </w:p>
    <w:p>
      <w:pPr>
        <w:pStyle w:val="BookText"/>
        <w:bidi w:val="0"/>
        <w:jc w:val="both"/>
        <w:rPr/>
      </w:pPr>
      <w:r>
        <w:rPr>
          <w:rFonts w:eastAsia="Times New Roman" w:cs="Times New Roman" w:ascii="Times New Roman" w:hAnsi="Times New Roman"/>
          <w:color w:val="111111"/>
          <w:sz w:val="28"/>
          <w:szCs w:val="28"/>
          <w:lang w:val="en-US"/>
        </w:rPr>
        <w:t>Tujuan definisi hakiki, tegasnya lebih jauh, adalah konsepsi  tentang “inti  sesuatu, yang dengan begitu ia akan mengikuti  sesuatu yang dibedakan itu.</w:t>
      </w:r>
      <w:r>
        <w:rPr>
          <w:rStyle w:val="FootnoteAnchor"/>
        </w:rPr>
        <w:footnoteReference w:id="229"/>
      </w:r>
      <w:r>
        <w:rPr>
          <w:rFonts w:eastAsia="Times New Roman" w:cs="Times New Roman" w:ascii="Times New Roman" w:hAnsi="Times New Roman"/>
          <w:color w:val="111111"/>
          <w:sz w:val="28"/>
          <w:szCs w:val="28"/>
          <w:lang w:val="en-US"/>
        </w:rPr>
        <w:t>Pertanyaan yang diangkat pada titik  ini, sebuah pertanyaan yang mengantisipasi kritik Suhrawardi  atas definisi berikut juga argumennya yang khas dalam Hikmah  Al-Isyrāq yang menentang formula Peripatetik, adalah ihwal  apakah Suhrawardi menganggap jenis formula definisi apa pun  bisa memberikan pengetahuan tentang sesuatu? Jawabannya  yang berpijak pada logika dalam At-Talwihāt, adalah definisi  esensialis sempurna yang bisa memadukan semua hal esensial  memiliki nilai-kebenaran, tetapi definisi lain tidak memilikinya.</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Mungkinkah ada formula seperti itu? Ada juga kemungkinan,  seperti diisyaratkan oleh Suhrawardi di bahwa kesatuan sebuah  definisi melalui hal-hal esensial yang beragam tidak mungkin  diperoleh melalui sebuah formula, tetapi mungkin saja bisa  diperoleh melalui bentuk pemikiran tertentu yang berkaitan  secara khusus dengan Filsafat Iluminasi. </w:t>
      </w:r>
    </w:p>
    <w:p>
      <w:pPr>
        <w:pStyle w:val="BookText"/>
        <w:bidi w:val="0"/>
        <w:rPr/>
      </w:pPr>
      <w:r>
        <w:rPr>
          <w:rFonts w:eastAsia="Times New Roman" w:cs="Times New Roman" w:ascii="Times New Roman" w:hAnsi="Times New Roman"/>
          <w:color w:val="111111"/>
          <w:sz w:val="28"/>
          <w:szCs w:val="28"/>
          <w:lang w:val="en-US"/>
        </w:rPr>
        <w:t xml:space="preserve">Dalam Bab II,  *2, Suhrawardi membahas dua jenis  deskripsi: yang sempurna dan yang tidak sempurna. Deskripsi  yang sempurna dikatakan sebagai,  sebuah formula yang  tersusun (mu'allaf) dari sifat-sifat dan aksiden-aksiden  sesuatu . </w:t>
      </w:r>
      <w:r>
        <w:rPr>
          <w:rStyle w:val="FootnoteAnchor"/>
        </w:rPr>
        <w:footnoteReference w:id="230"/>
      </w:r>
      <w:r>
        <w:rPr>
          <w:rFonts w:eastAsia="Times New Roman" w:cs="Times New Roman" w:ascii="Times New Roman" w:hAnsi="Times New Roman"/>
          <w:color w:val="111111"/>
          <w:sz w:val="28"/>
          <w:szCs w:val="28"/>
          <w:lang w:val="en-US"/>
        </w:rPr>
        <w:t>Formula ini kurang lebih sama dengan formula  Peripatetik.</w:t>
      </w:r>
      <w:r>
        <w:rPr>
          <w:rStyle w:val="FootnoteAnchor"/>
        </w:rPr>
        <w:footnoteReference w:id="231"/>
      </w:r>
      <w:r>
        <w:rPr>
          <w:rFonts w:eastAsia="Times New Roman" w:cs="Times New Roman" w:ascii="Times New Roman" w:hAnsi="Times New Roman"/>
          <w:color w:val="111111"/>
          <w:sz w:val="28"/>
          <w:szCs w:val="28"/>
          <w:lang w:val="en-US"/>
        </w:rPr>
        <w:t>la dinilai bukan sebagai definisi esensialis, tetapi  berjenis ostensif, yang membedakan sesuatu dari yang lainnya.</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Bab II, * 3, menjelaskan kesalahan-kesalahan yang terjadi  dalam konstruksi dan penggunaan definisi. Bagian ini sangat  penting karena Suhrawardi mengutip Ibn Sina sambil berusaha  merumuskan kembali teori definisi. </w:t>
      </w:r>
      <w:r>
        <w:rPr>
          <w:rStyle w:val="FootnoteAnchor"/>
        </w:rPr>
        <w:footnoteReference w:id="232"/>
      </w:r>
      <w:r>
        <w:rPr>
          <w:rFonts w:eastAsia="Times New Roman" w:cs="Times New Roman" w:ascii="Times New Roman" w:hAnsi="Times New Roman"/>
          <w:color w:val="111111"/>
          <w:sz w:val="28"/>
          <w:szCs w:val="28"/>
          <w:lang w:val="en-US"/>
        </w:rPr>
        <w:t xml:space="preserve"> Mari kita buat sebuah penilaian singkat atas apa yang sejauh  ini sudah dianalisis. Pertama, kita mencatat dan memperhatikan  saat mengkaji dan menelaah karya-karya Suhrawardi, bahwa  tidak seperti kebanyakan karya filsafat yang ditulis lebih awal,  karya-karya Suhrawardi membahas definisi sebagai bagian yang  terpisah dari logika. Hal ini menggambarkan restrukturisasi  logika yang penting sebagaimana disuguhkan secara tradisional  dalam karya-karya semacam Al-Burhān dan Al-Jadal. Kedua,  dari berbagai jenis definisi yang disebutkan kaum Peripatetik,  Suhrawardi menilai bahwa jenis definisi esensialis yang  sempurnalah yang paling penting. Untuk jenis definisi ini, ia  merekonstruksi suatu formula yang lebih kompleks, di mana  kesatuan definisi yang ditetapkan sebagai berkaitan dengan  uraian penting tentang jumlah keseluruhan dari istilah-istilah  seperti “semua  (kull), “kombinasi” (jamʻ), dan “sintesis   (tarkib) seperti yang diterapkan pada cara di mana atribut-atribut  atau sifat-sifat pokok dari sesuatu yang didefinisikan dihadirkan  bersama-sama dalam formula definisi esensialis, menunjukkan </w:t>
      </w:r>
    </w:p>
    <w:p>
      <w:pPr>
        <w:pStyle w:val="BookText"/>
        <w:bidi w:val="0"/>
        <w:rPr/>
      </w:pPr>
      <w:r>
        <w:rPr>
          <w:rFonts w:eastAsia="Times New Roman" w:cs="Times New Roman" w:ascii="Times New Roman" w:hAnsi="Times New Roman"/>
          <w:color w:val="111111"/>
          <w:sz w:val="28"/>
          <w:szCs w:val="28"/>
          <w:lang w:val="en-US"/>
        </w:rPr>
        <w:t>suatu pendekatan baru dalam menghampiri problem itu.</w:t>
      </w:r>
      <w:r>
        <w:rPr>
          <w:rStyle w:val="FootnoteAnchor"/>
        </w:rPr>
        <w:footnoteReference w:id="233"/>
      </w:r>
      <w:r>
        <w:rPr>
          <w:rFonts w:eastAsia="Times New Roman" w:cs="Times New Roman" w:ascii="Times New Roman" w:hAnsi="Times New Roman"/>
          <w:color w:val="111111"/>
          <w:sz w:val="28"/>
          <w:szCs w:val="28"/>
          <w:lang w:val="en-US"/>
        </w:rPr>
        <w:t>Konsepsi  baru tentang metodologi definisi yang berbeda ini menuntut  agar komponen Platonik ditambah dengan komponen Aristotelian  yang kaku. Konsepsi baru ini berakibat logis pada problem  perlunya uraian yang sempurna tentang sifat-sifat dari sesuatu  dalam definisi esensialis, pada kesulitan epistemologi dari syarat  seperti itu, dan pada problem induksi.</w:t>
      </w:r>
      <w:r>
        <w:rPr>
          <w:rStyle w:val="FootnoteAnchor"/>
        </w:rPr>
        <w:footnoteReference w:id="234"/>
      </w:r>
      <w:r>
        <w:rPr>
          <w:rFonts w:eastAsia="Times New Roman" w:cs="Times New Roman" w:ascii="Times New Roman" w:hAnsi="Times New Roman"/>
          <w:color w:val="111111"/>
          <w:sz w:val="28"/>
          <w:szCs w:val="28"/>
          <w:lang w:val="en-US"/>
        </w:rPr>
        <w:t>Kita mencatat bahwa dalam  karya semisal At-Talwīhāt, berbagai perbedaan antara metodologi  Peripatetik (yang menggabungkan posisi definisi) dan metodologi  Iluminasi pun disebutkan, meski tidak sepenuhnya dikembangkan.</w:t>
      </w:r>
    </w:p>
    <w:p>
      <w:pPr>
        <w:pStyle w:val="BookText"/>
        <w:bidi w:val="0"/>
        <w:jc w:val="both"/>
        <w:rPr/>
      </w:pPr>
      <w:r>
        <w:rPr>
          <w:rFonts w:eastAsia="Times New Roman" w:cs="Times New Roman" w:ascii="Times New Roman" w:hAnsi="Times New Roman"/>
          <w:color w:val="111111"/>
          <w:sz w:val="28"/>
          <w:szCs w:val="28"/>
          <w:lang w:val="en-US"/>
        </w:rPr>
        <w:t>Terdapat dua problem tambahan berkaitan dengan definisi:</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hubungan antara definisi, demonstrasi, dan hubungan antara  definisi dan empat sebab. Problem pertama, dibahas dalam Posterior  Analytics, dan problem kedua, dibahas dalam Metaphysics. </w:t>
      </w:r>
      <w:r>
        <w:rPr>
          <w:rStyle w:val="FootnoteAnchor"/>
        </w:rPr>
        <w:footnoteReference w:id="235"/>
      </w:r>
      <w:r>
        <w:rPr>
          <w:rFonts w:eastAsia="Times New Roman" w:cs="Times New Roman" w:ascii="Times New Roman" w:hAnsi="Times New Roman"/>
          <w:color w:val="111111"/>
          <w:sz w:val="28"/>
          <w:szCs w:val="28"/>
          <w:lang w:val="en-US"/>
        </w:rPr>
        <w:t xml:space="preserve"> Problem pertama, berkaitan dengan dua pertanyaan: bisakah  definisi didemonstrasikan dan apakah demonstrasi menghasilkan  definisi? Dalam At-Talwāhāt, Suhrawardi memusatkan diri secara  singkat pada dua pertanyaan ini. Berkaitan dengan pertanyaan  pertama, ia menetapkan bahwa term tengah dari sebuah  demonstrasi yang tersusun dari sebab-sebab esensial sesuatu,  adalah sejenis definisi. </w:t>
      </w:r>
      <w:r>
        <w:rPr>
          <w:rStyle w:val="FootnoteAnchor"/>
        </w:rPr>
        <w:footnoteReference w:id="236"/>
      </w:r>
      <w:r>
        <w:rPr>
          <w:rFonts w:eastAsia="Times New Roman" w:cs="Times New Roman" w:ascii="Times New Roman" w:hAnsi="Times New Roman"/>
          <w:color w:val="111111"/>
          <w:sz w:val="28"/>
          <w:szCs w:val="28"/>
          <w:lang w:val="en-US"/>
        </w:rPr>
        <w:t xml:space="preserve">la menyebutkan problem kedua, dalam  bagian yang sama. la menegaskan bahwa empat sebab: agen  (fā'iliyyah), materiel (māddiyyah), formal (shūriyyah), serta akhir  (ghā'iyyah), harus disatukan (tujma') dalam proposisi penjelas (apa  pun jenis definisinya). Ini adalah syarat yang aneh karena hanya  definisi majemuk sebagai sejenis kesimpulan dari demonstrasi saja  yang bisa memenuhinya. </w:t>
      </w:r>
      <w:r>
        <w:rPr>
          <w:rStyle w:val="FootnoteAnchor"/>
        </w:rPr>
        <w:footnoteReference w:id="237"/>
      </w:r>
      <w:bookmarkStart w:id="153" w:name="pg6442_57399"/>
    </w:p>
    <w:p>
      <w:pPr>
        <w:pStyle w:val="Heading4"/>
        <w:numPr>
          <w:ilvl w:val="3"/>
          <w:numId w:val="1"/>
        </w:numPr>
        <w:bidi w:val="0"/>
        <w:jc w:val="left"/>
        <w:rPr/>
      </w:pPr>
      <w:bookmarkStart w:id="154" w:name="__RefHeading___Toc924680_653776707"/>
      <w:bookmarkStart w:id="155" w:name="_Toc53"/>
      <w:bookmarkEnd w:id="153"/>
      <w:bookmarkEnd w:id="154"/>
      <w:r>
        <w:rPr/>
        <w:t>3.2. Al-Masyāri' wa Al-Muthārahāt</w:t>
      </w:r>
      <w:bookmarkEnd w:id="155"/>
    </w:p>
    <w:p>
      <w:pPr>
        <w:pStyle w:val="BookText"/>
        <w:bidi w:val="0"/>
        <w:jc w:val="both"/>
        <w:rPr/>
      </w:pPr>
      <w:r>
        <w:rPr>
          <w:rFonts w:eastAsia="Times New Roman" w:cs="Times New Roman" w:ascii="Times New Roman" w:hAnsi="Times New Roman"/>
          <w:color w:val="111111"/>
          <w:sz w:val="28"/>
          <w:szCs w:val="28"/>
          <w:lang w:val="en-US"/>
        </w:rPr>
        <w:t>3.2. Al-Masyāri' wa Al-Muthārahāt  Al-Masyāri' wa Al-Muthārahāt: Al-Manthiq, II diberi judul  Tentang Proposisi-Proposisi Penjelas. Di dalam bab ini, seperti  dalam At-Talwihāt, Suhrawardi mengkaji dan menelaah teori dan  penerapan definisi. Bahasannya jauh lebih rinci dan sebenarnya  menjadi satu-satunya bab terpanjang yang membahas analisis  definisi dalam karya-karya Filsafat Arab dan Persia tentang logika  sampai masa itu.</w:t>
      </w:r>
      <w:r>
        <w:rPr>
          <w:rStyle w:val="FootnoteAnchor"/>
        </w:rPr>
        <w:footnoteReference w:id="238"/>
      </w:r>
      <w:r>
        <w:rPr>
          <w:rFonts w:eastAsia="Times New Roman" w:cs="Times New Roman" w:ascii="Times New Roman" w:hAnsi="Times New Roman"/>
          <w:color w:val="111111"/>
          <w:sz w:val="28"/>
          <w:szCs w:val="28"/>
          <w:lang w:val="en-US"/>
        </w:rPr>
        <w:t>Dalam bahasan bagian 12 bab ini, Suhrawardi  mengembangkan suatu teori definisi yang komprehensif. Teori  ini sebagian bercorak Peripatetik dan juga memasukkan kritik  atas pandangan kaum Peripatetik. Berikut di bawah ini, kita akan  menelaah ciri-ciri utama dari kritik Suhrawardi, kritik yang -  sebagian besar – diarahkan terutama kepada Ibn Sina.</w:t>
      </w:r>
    </w:p>
    <w:p>
      <w:pPr>
        <w:pStyle w:val="BookText"/>
        <w:bidi w:val="0"/>
        <w:jc w:val="both"/>
        <w:rPr/>
      </w:pPr>
      <w:r>
        <w:rPr>
          <w:rFonts w:eastAsia="Times New Roman" w:cs="Times New Roman" w:ascii="Times New Roman" w:hAnsi="Times New Roman"/>
          <w:color w:val="111111"/>
          <w:sz w:val="28"/>
          <w:szCs w:val="28"/>
          <w:lang w:val="en-US"/>
        </w:rPr>
        <w:t>Dalam bagian pertama,</w:t>
      </w:r>
      <w:r>
        <w:rPr>
          <w:rStyle w:val="FootnoteAnchor"/>
        </w:rPr>
        <w:footnoteReference w:id="239"/>
      </w:r>
      <w:r>
        <w:rPr>
          <w:rFonts w:eastAsia="Times New Roman" w:cs="Times New Roman" w:ascii="Times New Roman" w:hAnsi="Times New Roman"/>
          <w:color w:val="111111"/>
          <w:sz w:val="28"/>
          <w:szCs w:val="28"/>
          <w:lang w:val="en-US"/>
        </w:rPr>
        <w:t xml:space="preserve">Suhrawardi terlebih dahulu  memperkenalkan lima jenis definisi yang disebutkan di atas,  dan lantas mencurahkan seluruh bahasan pada dua jenis definisi  esensialis: yang sempurna dan yang tidak sempurna. Disuguhkan  dua deskripsi definisi esensialis yang sempurna. Pertama, adalah  definisi baku yang dijumpai dalam kebanyakan karya logika  Peripatetik: “suatu formula yang menunjukkan esensi dari  sesuatu . </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Bandingkan, Ibn Sina, Livre des Definitions, $18: “Al-qaul ad-  dāll ‘alā māhiyyah asy-syai'.</w:t>
      </w:r>
    </w:p>
    <w:p>
      <w:pPr>
        <w:pStyle w:val="BookText"/>
        <w:bidi w:val="0"/>
        <w:jc w:val="both"/>
        <w:rPr/>
      </w:pPr>
      <w:r>
        <w:rPr>
          <w:rFonts w:eastAsia="Times New Roman" w:cs="Times New Roman" w:ascii="Times New Roman" w:hAnsi="Times New Roman"/>
          <w:color w:val="111111"/>
          <w:sz w:val="28"/>
          <w:szCs w:val="28"/>
          <w:lang w:val="en-US"/>
        </w:rPr>
        <w:t>Definisi kedua, yang dinisbatkan oleh Suhrawardi  kepada kaum “Peripatetik mutakhir  (al-Muta'akhkhirūn) adalah:</w:t>
      </w:r>
    </w:p>
    <w:p>
      <w:pPr>
        <w:pStyle w:val="BookText"/>
        <w:bidi w:val="0"/>
        <w:jc w:val="both"/>
        <w:rPr/>
      </w:pPr>
      <w:r>
        <w:rPr>
          <w:rFonts w:eastAsia="Times New Roman" w:cs="Times New Roman" w:ascii="Times New Roman" w:hAnsi="Times New Roman"/>
          <w:color w:val="111111"/>
          <w:sz w:val="28"/>
          <w:szCs w:val="28"/>
          <w:lang w:val="en-US"/>
        </w:rPr>
        <w:t xml:space="preserve">suatu formula yang didiferensiasikan yang menunjukkan esensi  dari sesuatu. </w:t>
      </w:r>
      <w:r>
        <w:rPr>
          <w:rStyle w:val="FootnoteAnchor"/>
        </w:rPr>
        <w:footnoteReference w:id="241"/>
      </w:r>
      <w:r>
        <w:rPr>
          <w:rFonts w:eastAsia="Times New Roman" w:cs="Times New Roman" w:ascii="Times New Roman" w:hAnsi="Times New Roman"/>
          <w:color w:val="111111"/>
          <w:sz w:val="28"/>
          <w:szCs w:val="28"/>
          <w:lang w:val="en-US"/>
        </w:rPr>
        <w:t xml:space="preserve">Versi kedua dari definisi esensial diberikan  oleh Ibn Sina dalam Manthiq al-Masyriqiyyin. </w:t>
      </w:r>
      <w:r>
        <w:rPr>
          <w:rStyle w:val="FootnoteAnchor"/>
        </w:rPr>
        <w:footnoteReference w:id="242"/>
      </w:r>
      <w:r>
        <w:rPr>
          <w:rFonts w:eastAsia="Times New Roman" w:cs="Times New Roman" w:ascii="Times New Roman" w:hAnsi="Times New Roman"/>
          <w:color w:val="111111"/>
          <w:sz w:val="28"/>
          <w:szCs w:val="28"/>
          <w:lang w:val="en-US"/>
        </w:rPr>
        <w:t xml:space="preserve">“Formula yang  didiferensiasikan  dijelaskan oleh Suhrawardi sebagai kondisi  yang diperoleh ketika dalam formula definisi apa pun, setiap  bagian formula bisa disamakan persis dengan bagian realitas  sesuatu yang didefinisikan. </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Mufashshal, ay kull juz' min al-lafzh yadullu 'alā juz' min  haqiqah asy-syai'.</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Suhrawardi harus menjelaskan apa</w:t>
      </w:r>
    </w:p>
    <w:p>
      <w:pPr>
        <w:pStyle w:val="BookText"/>
        <w:bidi w:val="0"/>
        <w:rPr/>
      </w:pPr>
      <w:r>
        <w:rPr>
          <w:rFonts w:eastAsia="Times New Roman" w:cs="Times New Roman" w:ascii="Times New Roman" w:hAnsi="Times New Roman"/>
          <w:color w:val="111111"/>
          <w:sz w:val="28"/>
          <w:szCs w:val="28"/>
          <w:lang w:val="en-US"/>
        </w:rPr>
        <w:t>yang ia anggap sebagai hal yang aneh dalam karya Ibn Sina,  secara sistematis dari sudut pandang semiotik, dengan terlebih  dahulu menganalisis dua makna dasar istilah formula (qaul).</w:t>
      </w:r>
    </w:p>
    <w:p>
      <w:pPr>
        <w:pStyle w:val="BookText"/>
        <w:bidi w:val="0"/>
        <w:jc w:val="both"/>
        <w:rPr/>
      </w:pPr>
      <w:r>
        <w:rPr>
          <w:rFonts w:eastAsia="Times New Roman" w:cs="Times New Roman" w:ascii="Times New Roman" w:hAnsi="Times New Roman"/>
          <w:color w:val="111111"/>
          <w:sz w:val="28"/>
          <w:szCs w:val="28"/>
          <w:lang w:val="en-US"/>
        </w:rPr>
        <w:t>Pengertian pertama, merujuk pada formula yang tersusun dari  bagian-bagian yang berhubungan dengan, atau menunjukkan  makna dari – ujaran yang dikatakan tentang sesuatu. Pengertian  kedua, merujuk pada formula yang pada dasarnya menunjukkan  makna tunggal yang diasosiasikan dengan ujaran tunggal.</w:t>
      </w:r>
    </w:p>
    <w:p>
      <w:pPr>
        <w:pStyle w:val="BookText"/>
        <w:bidi w:val="0"/>
        <w:jc w:val="both"/>
        <w:rPr/>
      </w:pPr>
      <w:r>
        <w:rPr>
          <w:rFonts w:eastAsia="Times New Roman" w:cs="Times New Roman" w:ascii="Times New Roman" w:hAnsi="Times New Roman"/>
          <w:color w:val="111111"/>
          <w:sz w:val="28"/>
          <w:szCs w:val="28"/>
          <w:lang w:val="en-US"/>
        </w:rPr>
        <w:t>Aspek paling penting dari kritik Suhrawardi sejauh ini  adalah usaha untuk menjelaskan makna-makna berkenaan  dengan penggunaan berbagai istilah dalam hubungannya  dengan teori menyeluruh tentang definisi; dan ia mengambil  pendirian yang mendamaikan. Akan tetapi, begitu problem-  problem semantik pendahuluan ini dibahas, ia mengawalinya  dengan serangan langsung atas Ibn Sina: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Salah dan keliru, orang yang sudah menambahkan  sesuatu kepada definisi esensialis dan menyatakan  bahwa definisi adalah sebuah formula yang menunjukkan  kesempurnaan esensi dari sesuatu agar terhindar dari  definisi esensialis yang tidak sempurna. </w:t>
      </w:r>
      <w:r>
        <w:rPr>
          <w:rStyle w:val="FootnoteAnchor"/>
        </w:rPr>
        <w:footnoteReference w:id="244"/>
      </w:r>
      <w:r>
        <w:rPr>
          <w:rFonts w:eastAsia="Times New Roman" w:cs="Times New Roman" w:ascii="Times New Roman" w:hAnsi="Times New Roman"/>
          <w:color w:val="111111"/>
          <w:sz w:val="28"/>
          <w:szCs w:val="28"/>
          <w:lang w:val="en-US"/>
        </w:rPr>
        <w:t xml:space="preserve"> Di sini, pernyataan yang diserang oleh Suhrawardi yang  tanpa menyebut pengarangnya, adalah pernyataan yang dibuat  Ibn Sina dalam Kitāb al-Hudūd, dengan cara menjelaskan  pernyataan yang dibuat Aristoteles dalam Topics.</w:t>
      </w:r>
      <w:r>
        <w:rPr>
          <w:rStyle w:val="FootnoteAnchor"/>
        </w:rPr>
        <w:footnoteReference w:id="245"/>
      </w:r>
      <w:r>
        <w:rPr>
          <w:rFonts w:eastAsia="Times New Roman" w:cs="Times New Roman" w:ascii="Times New Roman" w:hAnsi="Times New Roman"/>
          <w:color w:val="111111"/>
          <w:sz w:val="28"/>
          <w:szCs w:val="28"/>
          <w:lang w:val="en-US"/>
        </w:rPr>
        <w:t>Akibatnya,  Suhrawardi menyerang Ibn Sina dan posisi Filsafat Aristoteles.</w:t>
      </w:r>
    </w:p>
    <w:p>
      <w:pPr>
        <w:pStyle w:val="BookText"/>
        <w:bidi w:val="0"/>
        <w:jc w:val="both"/>
        <w:rPr/>
      </w:pPr>
      <w:r>
        <w:rPr>
          <w:rFonts w:eastAsia="Times New Roman" w:cs="Times New Roman" w:ascii="Times New Roman" w:hAnsi="Times New Roman"/>
          <w:color w:val="111111"/>
          <w:sz w:val="28"/>
          <w:szCs w:val="28"/>
          <w:lang w:val="en-US"/>
        </w:rPr>
        <w:t>Kritiknya yang khas atas Ibn Sina sangat terbuka. Kita pun mulai  memahami dari perspektif mana kritik filosofis Suhrawardi  dilakukan. Kita juga bisa menentukan sifat perdebatannya.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Suhrawardi terus menolak teori Peripatetik dalam hal ini, </w:t>
      </w:r>
    </w:p>
    <w:p>
      <w:pPr>
        <w:pStyle w:val="BookText"/>
        <w:bidi w:val="0"/>
        <w:rPr/>
      </w:pPr>
      <w:r>
        <w:rPr>
          <w:rFonts w:eastAsia="Times New Roman" w:cs="Times New Roman" w:ascii="Times New Roman" w:hAnsi="Times New Roman"/>
          <w:color w:val="111111"/>
          <w:sz w:val="28"/>
          <w:szCs w:val="28"/>
          <w:lang w:val="en-US"/>
        </w:rPr>
        <w:t>ia pun menyatakan pandangan umum tentang definisi esensialis  yang tidak sempurna: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Definisi esensialis yang tidak sempurna adalah definisi  yang di dalamnya, diferensia dari sesuatu diambil dengan  genus terjauh (genus longinquum/jins baʻid).  </w:t>
      </w:r>
      <w:r>
        <w:rPr>
          <w:rStyle w:val="FootnoteAnchor"/>
        </w:rPr>
        <w:footnoteReference w:id="246"/>
      </w:r>
      <w:r>
        <w:rPr>
          <w:rFonts w:eastAsia="Times New Roman" w:cs="Times New Roman" w:ascii="Times New Roman" w:hAnsi="Times New Roman"/>
          <w:color w:val="111111"/>
          <w:sz w:val="28"/>
          <w:szCs w:val="28"/>
          <w:lang w:val="en-US"/>
        </w:rPr>
        <w:t xml:space="preserve"> Kemudian, ia menentukan bahwa jenis definisi ini  tidak menunjukkan esensi, dan beralih memberikan berbagai  alasannya. Argumen-argumennya bertumpu pada pertimbangan-  pertimbangan semiotik yang telah dikembangkan sebelumnya  dalam karya-karyanya yang berhubungan dengan indikasi,  atau dalil (dalālah), makna (al-ma‘nā), atau ide, melalui ujaran  (lafzh) yang dinyatakan tentang segala sesuatu (al-asyyā') yang  didefinisikan. </w:t>
      </w:r>
      <w:r>
        <w:rPr>
          <w:rStyle w:val="FootnoteAnchor"/>
        </w:rPr>
        <w:footnoteReference w:id="247"/>
      </w:r>
      <w:r>
        <w:rPr>
          <w:rFonts w:eastAsia="Times New Roman" w:cs="Times New Roman" w:ascii="Times New Roman" w:hAnsi="Times New Roman"/>
          <w:color w:val="111111"/>
          <w:sz w:val="28"/>
          <w:szCs w:val="28"/>
          <w:lang w:val="en-US"/>
        </w:rPr>
        <w:t>Formula untuk definisi esensialis yang sempurna  dan yang tidak sempurna dianggap sebagai jenis-jenis ujaran  majemuk, yang masing-masing melambangkan esensi sesuai  dengan salah satu jenis dalil yang sudah dibahas oleh Suhrawardi  dalam teorinya tentang semiotika. Sebuah kombinasi teori  semiotik dengan teori definisi menandai pendekatan baru dalam  menghampiri problem tersebut. Esensi ditunjukkan dengan  definisi esensialis yang tidak sempurna, hanya berdasarkan  dalil-dalil yang semestinya (dalālāt al-iltizām), yang tidak  dianggap sebagai jenis signifikasi yang valid (mu'tabar). Di sisi  lain, definisi esensialis yang sempurna menunjukkan esensi  dengan cara yang signifikasi implisit (dalālah at-tadhammum).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semiotika problem tersebut, dua komponen  kritik Suhrawardi atas gagasan definisi Peripatetik tidak  diperhatikan di sini. Pertama, jenis yang tidak sempurna adalah  definisi yang tidak valid dan tidak melambangkan esensi dari </w:t>
      </w:r>
    </w:p>
    <w:p>
      <w:pPr>
        <w:pStyle w:val="BookText"/>
        <w:bidi w:val="0"/>
        <w:rPr/>
      </w:pPr>
      <w:r>
        <w:rPr>
          <w:rFonts w:eastAsia="Times New Roman" w:cs="Times New Roman" w:ascii="Times New Roman" w:hAnsi="Times New Roman"/>
          <w:color w:val="111111"/>
          <w:sz w:val="28"/>
          <w:szCs w:val="28"/>
          <w:lang w:val="en-US"/>
        </w:rPr>
        <w:t>sesuatu yang didefinisikan, dan karenanya tidak digunakan  dalam ilmu dan demonstrasi. Kedua, jenis yang sempurna  (dengan mengingat bahwa syarat khususnya di sini adalah  bahwa seluruh hal esensial majemuk dari sesuatu disintesiskan  ke dalam satu formula) memang menunjukkan esensi, tetapi  hanya secara implisit, dan tidak sesuai dengan jenis signifikasi  yang paling valid. Signifikasi seperti ini dinyatakan sebagai  hubungan yang sempurna (dalālah al-muthābaqah). Ini berarti  bahwa agar definisinya valid, formulanya harus berhubungan  sepenuhnya dengan esensi dari sesuatu yang didefinisikan.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Mungkinkah ini didasarkan hanya pada teori Peripatetik?  Definisi esensialis yang sempurna tentang segala sesuatu harus  ditelaah dalam hubungannya dengan signifikasi implisit. Apa  yang diperoleh saat kita menjawab pertanyaan, “Apakah X itu?   dengan menyatakan,  Genus terjauh (summum genus) X plus  diferensiasinya.   Hewan rasional” yakni formula Peripatetik  untuk definisi esensialis yang sempurna tentang manusia,  dinilai oleh Suhrawardi secara implisit sebagai esensi hewan,  dan tidak akan menambah sedikit pun pengetahuan kita tentang  ide “manusia  (al-insāniyyah). Ini karena tegasnya, formula qua  formula tidak menunjukkan ide “hewan  (al-hayawāniyyah), dan  ujaran  rasional  hanya menunjukkan “sesuatu yang mempunyai  jiwa . Dengan demikian, Suhrawardi menyatakan bahwa hanya  rasionalitas saja yang ditegaskan.</w:t>
      </w:r>
      <w:r>
        <w:rPr>
          <w:rStyle w:val="FootnoteAnchor"/>
        </w:rPr>
        <w:footnoteReference w:id="248"/>
      </w:r>
      <w:r>
        <w:rPr>
          <w:rFonts w:eastAsia="Times New Roman" w:cs="Times New Roman" w:ascii="Times New Roman" w:hAnsi="Times New Roman"/>
          <w:color w:val="111111"/>
          <w:sz w:val="28"/>
          <w:szCs w:val="28"/>
          <w:lang w:val="en-US"/>
        </w:rPr>
        <w:t xml:space="preserve">Suhrawardi selanjutnya  menelaah formula “hewan rasional , dan menyimpulkan bahwa  ujaran tunggal, seperti kata  hewan , bisa disamakan dengan  kehewanan dari sesuatu, tetapi formulanya (atau pernyataan  majemuk) hanya secara implisit melambangkan spesies, yang  sama sekali bukan esensi. Pendapat tambahan yang diberikan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oleh Suhrawardi di sini adalah tidak ada formula penunjuk  untuk sesuatu yang tunggal,</w:t>
      </w:r>
      <w:r>
        <w:rPr>
          <w:rStyle w:val="FootnoteAnchor"/>
        </w:rPr>
        <w:footnoteReference w:id="249"/>
      </w:r>
      <w:r>
        <w:rPr>
          <w:rFonts w:eastAsia="Times New Roman" w:cs="Times New Roman" w:ascii="Times New Roman" w:hAnsi="Times New Roman"/>
          <w:color w:val="111111"/>
          <w:sz w:val="28"/>
          <w:szCs w:val="28"/>
          <w:lang w:val="en-US"/>
        </w:rPr>
        <w:t xml:space="preserve">dan hanya formula majemuk saja  yang bisa menunjukkan esensi sesuatu, yang di sini dinyatakan  sebagai jumlah dari sifat-sifat pokok. </w:t>
      </w:r>
      <w:r>
        <w:rPr>
          <w:rStyle w:val="FootnoteAnchor"/>
        </w:rPr>
        <w:footnoteReference w:id="250"/>
      </w:r>
      <w:r>
        <w:rPr>
          <w:rFonts w:eastAsia="Times New Roman" w:cs="Times New Roman" w:ascii="Times New Roman" w:hAnsi="Times New Roman"/>
          <w:color w:val="111111"/>
          <w:sz w:val="28"/>
          <w:szCs w:val="28"/>
          <w:lang w:val="en-US"/>
        </w:rPr>
        <w:t xml:space="preserve"> Suhrawardi tidak setuju dengan kaum Peripatetik dalam  penggunaan definisi formal secara murni dan tidak terbatas  yang mereka lakukan, entah jenis esensialis yang sempurna atau  yang tidak sempurna. Argumennya di sini terletak pada problem  filosofis mendasar tentang bagaimana sesuatu sebagaimana  adanya secara eksternal dihubungkan dengan ide tentangnya  dalam pikiran, dan sesuatu bisa didefinisikan sehingga kesatuan  esensinya pun dijaga, serta kemajemukan sifat-sifat pokoknya  ditunjukkan pada saat yang sama. Pada titik ini, Suhrawardi  memberikan contoh yang diambil dari matematika dengan  menunjukkan hakikat problem dan posisinya (diringkas  dalam Hikmah Al-Isyrāq). </w:t>
      </w:r>
      <w:r>
        <w:rPr>
          <w:rStyle w:val="FootnoteAnchor"/>
        </w:rPr>
        <w:footnoteReference w:id="251"/>
      </w:r>
      <w:r>
        <w:rPr>
          <w:rFonts w:eastAsia="Times New Roman" w:cs="Times New Roman" w:ascii="Times New Roman" w:hAnsi="Times New Roman"/>
          <w:color w:val="111111"/>
          <w:sz w:val="28"/>
          <w:szCs w:val="28"/>
          <w:lang w:val="en-US"/>
        </w:rPr>
        <w:t>Dalam contoh ini, ia menganggap  permukaan, dan menyatakan bahwa ide kuantitasnya adalah  satu, serta ide permukaan wujudnya (sathhiyyah) sama dengan  yang ada di dunia luar (di luar pikiran). Ini berarti bahwa seseorang  tidak bisa menunjukkan kualitas-kualitas abstrak dalam sesuatu  yang hakiki karena kualtias-kualitas itu pada dasarnya ada  dalam pikiran.</w:t>
      </w:r>
      <w:r>
        <w:rPr>
          <w:rStyle w:val="FootnoteAnchor"/>
        </w:rPr>
        <w:footnoteReference w:id="252"/>
      </w:r>
      <w:r>
        <w:rPr>
          <w:rFonts w:eastAsia="Times New Roman" w:cs="Times New Roman" w:ascii="Times New Roman" w:hAnsi="Times New Roman"/>
          <w:color w:val="111111"/>
          <w:sz w:val="28"/>
          <w:szCs w:val="28"/>
          <w:lang w:val="en-US"/>
        </w:rPr>
        <w:t xml:space="preserve">Contoh lain digunakan untuk mengilustrasikan  hal yang sama, ide “warna  adalah konsep mental dan tidak  dapat ditetapkan di luar pikiran. Dengan demikian, ia tidak  punya diferensia independen (fashl mustaqill) yang terpisah dari  wujudnya sehingga diferensia plus esensi (sesuatu sebagaimana  adanya) menjadi satu hal, yakni sesuatu yang “terlihat . Karena  itu, sesuatu yang nyata tidak punya bagian-bagian terpisah yang  bisa ditentukan di luar pikiran secara independen, sementara </w:t>
      </w:r>
    </w:p>
    <w:p>
      <w:pPr>
        <w:pStyle w:val="BookText"/>
        <w:bidi w:val="0"/>
        <w:rPr/>
      </w:pPr>
      <w:r>
        <w:rPr>
          <w:rFonts w:eastAsia="Times New Roman" w:cs="Times New Roman" w:ascii="Times New Roman" w:hAnsi="Times New Roman"/>
          <w:color w:val="111111"/>
          <w:sz w:val="28"/>
          <w:szCs w:val="28"/>
          <w:lang w:val="en-US"/>
        </w:rPr>
        <w:t xml:space="preserve">sesuatu yang ada dalam pikiran harus punya bagian-bagian yang  terpisah karena bentuk mental (ash-shūrah adz-dzihniyyah) dan  sesuatu yang nyata (al-‘ani) harus sama. </w:t>
      </w:r>
      <w:r>
        <w:rPr>
          <w:rStyle w:val="FootnoteAnchor"/>
        </w:rPr>
        <w:footnoteReference w:id="253"/>
      </w:r>
      <w:r>
        <w:rPr>
          <w:rFonts w:eastAsia="Times New Roman" w:cs="Times New Roman" w:ascii="Times New Roman" w:hAnsi="Times New Roman"/>
          <w:color w:val="111111"/>
          <w:sz w:val="28"/>
          <w:szCs w:val="28"/>
          <w:lang w:val="en-US"/>
        </w:rPr>
        <w:t xml:space="preserve"> Kesimpulan yang ditarik Suhrawardi dari argumen-  argumennya, yang harus dinilai penting dalam Filsafat Iluminasi  adalah sifat-sifat pokok dari sesuatu (muqawwimāt asy-syai')  tidak terpisah dari sesuatu, baik “secara nyata  (ʻainān) atau  “secara mental  (dzihnan). Karenanya, sesuatu tidak bisa  memiliki definisi esensialis, karena yang hal berarti sesuatu  mempunyai sifat-sifat pokoknya yang “terpisah  ke dalam genus  dan diferensia, – tetapi hanya bisa digambarkan sebagaimana ia  terlihat oleh mata, yang kemudian dan hanya kemudian, realitas  dari sesuatu itu ditentukan. Karenanya, untuk mendefinisikan  sesuatu, seseorang harus “melihat -nya sebagaimana adanya.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Akibat berikutnya dari berbagai argumennya tentang  definisi, Suhrawardi mulai melancarkan serangan paling sengit  kepada Ibn Sina dengan berbagai implikasi yang penting  bagi sejarah Filsafat Islam secara umum. Timbul kontroversi  berkenaan dengan pertanyaan ihwal apakah Ibn Sina dianggap  sebagai kalangan filsuf “Timur , sebagaimana ia mengklaim  dirinya demikian, ataukah Peripatetik murni? Suhrawardi  terlebih dahulu mengutip Ibn Sina tentang sebuah problem  yang berhubungan dengan definisi hal-hal yang tunggal, dan  sependapat bahwa semuanya itu hanya bisa digambarkan  dan bukan didefinisikan.</w:t>
      </w:r>
      <w:r>
        <w:rPr>
          <w:rStyle w:val="FootnoteAnchor"/>
        </w:rPr>
        <w:footnoteReference w:id="254"/>
      </w:r>
      <w:r>
        <w:rPr>
          <w:rFonts w:eastAsia="Times New Roman" w:cs="Times New Roman" w:ascii="Times New Roman" w:hAnsi="Times New Roman"/>
          <w:color w:val="111111"/>
          <w:sz w:val="28"/>
          <w:szCs w:val="28"/>
          <w:lang w:val="en-US"/>
        </w:rPr>
        <w:t>Pernyataan itu dikemukakan oleh  Suhrawardi dalam sebuah kitab berjudul Karārīs Fi Al-Hikmah  (Dua Lusin Tentang Filsafat), yang dinisbatkan oleh Ibn Sina  pada metode  Orang-Orang Timur” dalam filsafat.</w:t>
      </w:r>
      <w:r>
        <w:rPr>
          <w:rStyle w:val="FootnoteAnchor"/>
        </w:rPr>
        <w:footnoteReference w:id="255"/>
      </w:r>
      <w:r>
        <w:rPr>
          <w:rFonts w:eastAsia="Times New Roman" w:cs="Times New Roman" w:ascii="Times New Roman" w:hAnsi="Times New Roman"/>
          <w:color w:val="111111"/>
          <w:sz w:val="28"/>
          <w:szCs w:val="28"/>
          <w:lang w:val="en-US"/>
        </w:rPr>
        <w:t xml:space="preserve">Tidak  jelas apakah yang dimaksud sebagai kitab Karāris itu, tetapi </w:t>
      </w:r>
    </w:p>
    <w:p>
      <w:pPr>
        <w:pStyle w:val="BookText"/>
        <w:bidi w:val="0"/>
        <w:rPr/>
      </w:pPr>
      <w:r>
        <w:rPr>
          <w:rFonts w:eastAsia="Times New Roman" w:cs="Times New Roman" w:ascii="Times New Roman" w:hAnsi="Times New Roman"/>
          <w:color w:val="111111"/>
          <w:sz w:val="28"/>
          <w:szCs w:val="28"/>
          <w:lang w:val="en-US"/>
        </w:rPr>
        <w:t>pernyataan tersebut bisa dilacak dalam karya Ibn Sina yang  berjudul Manthiq Al-Masyriqiyyin.</w:t>
      </w:r>
      <w:r>
        <w:rPr>
          <w:rStyle w:val="FootnoteAnchor"/>
        </w:rPr>
        <w:footnoteReference w:id="256"/>
      </w:r>
      <w:r>
        <w:rPr>
          <w:rFonts w:eastAsia="Times New Roman" w:cs="Times New Roman" w:ascii="Times New Roman" w:hAnsi="Times New Roman"/>
          <w:color w:val="111111"/>
          <w:sz w:val="28"/>
          <w:szCs w:val="28"/>
          <w:lang w:val="en-US"/>
        </w:rPr>
        <w:t xml:space="preserve"> Serangan Suhrawardi atas Ibn Sina diarahkan pada  masalah perbedaan antara Filsafat Peripatetik dan Filsafat Timur  yang berasal dari Ibn Sina, yang menyatakan bahwa ia sudah  menyusun karya-karya yang didasarkan pada prinsip-prinsip  filsafat yang disebut belakangan. Suhrawardi membahas isu  Ibn Sina dan menyatakan bahwa meskipun Karārīs dinisbatkan  kepada orang-orang Timur, kitab itu disusun sesuai dengan  prinsip-prinsip Filsafat Peripatetik (qawa'id al-masyā'īn), dan  menggambarkan kaidah-kaidah philosophia generalis atau filsafat  umum (al-hikmah al-'āmmah) yang sudah mapan. Menurut  Suhrawardi, Ibn Sina bisa jadi sudah mengubah ekspresi atau  sedikit memodifikasi pandangan yang miring, tetapi ia tidak  menyusun sebuah karya yang benar-benar berbeda dari karya-  karyanya yang lain. Berbagai modifikasi yang dilakukan Ibn Sina  tidak menjadikan dirinya sebagai salah seorang Filsuf Timur,  yang sudah ada sejak zaman kuno ketika prinsip-prinsip Filsafat  Timur (al-ashl al-masyriqi) telah dibangun oleh filsuf Persia,  Khusrawāni.</w:t>
      </w:r>
      <w:r>
        <w:rPr>
          <w:rStyle w:val="FootnoteAnchor"/>
        </w:rPr>
        <w:footnoteReference w:id="257"/>
      </w:r>
      <w:r>
        <w:rPr>
          <w:rFonts w:eastAsia="Times New Roman" w:cs="Times New Roman" w:ascii="Times New Roman" w:hAnsi="Times New Roman"/>
          <w:color w:val="111111"/>
          <w:sz w:val="28"/>
          <w:szCs w:val="28"/>
          <w:lang w:val="en-US"/>
        </w:rPr>
        <w:t>Kita mencatat suatu pembedaan penting yang  dilakukan oleh Suhrawardi antara filsafat umum (philosophia  generalis) dan filsafat khusus (philosophia specialis), yang di  sini diterapkan pada perbedaan-perbedaan metodologi antara  kaum Peripatetik dan kaum Iluminasionis. Filsafat khusus adalah  bidang para filsuf lluminasi saja. Pembedaan ini dilakukan dalam  bagian logika Suhrawardi tempat problem definisi dibahas, dan  ini menunjukkan lebih jauh ihwal signifikansi metodologis teori  definisi bagi prinsip-prinsip Filsafat Iluminasi.</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pada titik ini, Suhrawardi telah menaruh perhatian </w:t>
      </w:r>
    </w:p>
    <w:p>
      <w:pPr>
        <w:pStyle w:val="BookText"/>
        <w:bidi w:val="0"/>
        <w:rPr/>
      </w:pPr>
      <w:r>
        <w:rPr>
          <w:rFonts w:eastAsia="Times New Roman" w:cs="Times New Roman" w:ascii="Times New Roman" w:hAnsi="Times New Roman"/>
          <w:color w:val="111111"/>
          <w:sz w:val="28"/>
          <w:szCs w:val="28"/>
          <w:lang w:val="en-US"/>
        </w:rPr>
        <w:t xml:space="preserve">pada kritik atas teori Peripatetik dan juga membahas problem itu  dalam latar belakang Peripatetik yang sedang dominan. Ia telah  memodifikasi rumusan-rumusan Peripatetik, dan menekankan  gagasan ihwal kesatuan definisi dan juga unsur-unsur khas  lainnya dari teori tersebut. Malahan, ia bekerja dalam kerangka  konseptual dan metodologis Peripatetik. Ia menyatakan,  “Dalam Al-Masyāri' wa Al-Muthārahāt, kami hanya ingin  menyempurnakan dan menghiasi berbagai dalil dan metode  Peripatetik. </w:t>
      </w:r>
      <w:r>
        <w:rPr>
          <w:rStyle w:val="FootnoteAnchor"/>
        </w:rPr>
        <w:footnoteReference w:id="258"/>
      </w:r>
      <w:r>
        <w:rPr>
          <w:rFonts w:eastAsia="Times New Roman" w:cs="Times New Roman" w:ascii="Times New Roman" w:hAnsi="Times New Roman"/>
          <w:color w:val="111111"/>
          <w:sz w:val="28"/>
          <w:szCs w:val="28"/>
          <w:lang w:val="en-US"/>
        </w:rPr>
        <w:t>Saat kita lanjutkan dalam bagian Al-Masyāri' wa  Al-Muthārahāt berikutnya, dasar-dasar teori Iluminasi sedikit  demi sedikit muncul ke permukaan.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Bab Dua, bagian $ 2,</w:t>
      </w:r>
      <w:r>
        <w:rPr>
          <w:rStyle w:val="FootnoteAnchor"/>
        </w:rPr>
        <w:footnoteReference w:id="259"/>
      </w:r>
      <w:r>
        <w:rPr>
          <w:rFonts w:eastAsia="Times New Roman" w:cs="Times New Roman" w:ascii="Times New Roman" w:hAnsi="Times New Roman"/>
          <w:color w:val="111111"/>
          <w:sz w:val="28"/>
          <w:szCs w:val="28"/>
          <w:lang w:val="en-US"/>
        </w:rPr>
        <w:t xml:space="preserve">Suhrawardi memperkenalkan  gagasannya tentang definisi Konseptualis. Meski jenis definisi  ini tidak sepenuhnya dikembangkan, ia menegaskan bahwa ini  jenis definisi yang paling benar. Formula yang berkaitan dengan  jenis definisi ini menetapkan nama (ism), dan jika seseorang  yang menggunakan nama, mengartikannya sebagai kolektivitas  sifat dari sesuatu yang dilambangkan, maka formula seperti itu  bermakna jenis definisi yang paling benar. </w:t>
      </w:r>
      <w:r>
        <w:rPr>
          <w:rStyle w:val="FootnoteAnchor"/>
        </w:rPr>
        <w:footnoteReference w:id="260"/>
      </w:r>
      <w:r>
        <w:rPr>
          <w:rFonts w:eastAsia="Times New Roman" w:cs="Times New Roman" w:ascii="Times New Roman" w:hAnsi="Times New Roman"/>
          <w:color w:val="111111"/>
          <w:sz w:val="28"/>
          <w:szCs w:val="28"/>
          <w:lang w:val="en-US"/>
        </w:rPr>
        <w:t xml:space="preserve">Terdapat sebuah  elemen Platonik yang khas (yang kita sebut sebagai pengertian  pengenalan) dalam definisi semacam itu; ini pemahaman  batin seseorang tentang nama “manusia” atau “kebaikan ,  misalnya yang bisa mengantarkan pada definisi yang memadai  tentang sesuatu, “manusia , yang tidak bisa didiferensiasikan  ke dalam formula dengan berbagai jumlah ganda. Artinya,  orang itu mengenali esensi  manusia  atau kebaikan dalam  dirinya. Kemudian, formula untuk itu, seperti manusia atau   hewan yang rasional atau berpikir , bisa secara memadai  menggambarkan pengetahuan tentang esensinya. Pandangan </w:t>
      </w:r>
    </w:p>
    <w:p>
      <w:pPr>
        <w:pStyle w:val="BookText"/>
        <w:bidi w:val="0"/>
        <w:rPr/>
      </w:pPr>
      <w:r>
        <w:rPr>
          <w:rFonts w:eastAsia="Times New Roman" w:cs="Times New Roman" w:ascii="Times New Roman" w:hAnsi="Times New Roman"/>
          <w:color w:val="111111"/>
          <w:sz w:val="28"/>
          <w:szCs w:val="28"/>
          <w:lang w:val="en-US"/>
        </w:rPr>
        <w:t>ini meletakkan dasar bagi pandangan Suhrawardi tentang  teori Definisi, seperti yang dikembangkan dalam Hikmah Al-  Isyrāq, bahasannya ringkas sehingga hanya bisa dipahami  melalui argumen-argumen yang dikemukakan sebelumnya  dalam At-Talwīhāt dan Al-Masyāri' wa Al-Muthārahāt. Inti kritik  Suhrawardi, bahwa kolektivitas sifat (jami' ash-shifāt, majmū'  ash-shifāt) dari sesuatu tidak pernah bisa dirumuskan dengan  pernyataan tentang genera dan diferensia semata, sebab sesuatu  dan sifat-sifat esensialnya membentuk kesatuan yang harus  dipahami sebagai sebuah kesatuan. Adalah keliru, jika mencoba  mendiferensiasikan hal-hal esensial majemuk dengan harapan  bahwa melalui kemajemukan, kesatuan bisa dipahami. Kesatuan  harus diketahui sebagaimana adanya oleh subjek-subjek dalam  dirinya, yang terpisah dari kemajemukan. Kesatuan tidak  dideduksi dari sesuatu yang lain, kecuali dari sesuatu itu, dan  dalam skema Iluminasi, serta diketahui secara intuitif sebelum  membentuk sistem deduktif. Bentuk pengetahuan khusus ini  disebut oleh Suhrawardi sebagai iluminasi dan visi (isyrāq wa  musyāhadah).</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Sekarang kita mulai menelaah secara singkat bagian-  bagian yang tersisa. Dalam bagian * 3, Suhrawardi berbicara  ihwal problem-problem filsafat bahasa berkenaan dengan  penggunaan istilah-istilah teknis dalam ilmu (al-asmā' al-  ishthilahiyyah fī al-'ilm). Definisi dari berbagai istilah teknis  menunjukkan penggunaannya.</w:t>
      </w:r>
      <w:r>
        <w:rPr>
          <w:rStyle w:val="FootnoteAnchor"/>
        </w:rPr>
        <w:footnoteReference w:id="261"/>
      </w:r>
      <w:r>
        <w:rPr>
          <w:rFonts w:eastAsia="Times New Roman" w:cs="Times New Roman" w:ascii="Times New Roman" w:hAnsi="Times New Roman"/>
          <w:color w:val="111111"/>
          <w:sz w:val="28"/>
          <w:szCs w:val="28"/>
          <w:lang w:val="en-US"/>
        </w:rPr>
        <w:t xml:space="preserve"> Dalam bagian * 4, lagi-lagi Suhrawardi bertentangan  dengan posisi Ibn Sina, dengan menilai secara khusus formula  bagi definisi esensialis. Untuk pertama kalinya dalam bagian  logikanya ini, ia mengutip dari karya Ibn Sina, Al-Isyārāt wa At-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Tanbihāt, di mana Ibn Sina mengatakan bahwa definisi esensialis  sangat penting untuk menentukan genus dan diferensia. </w:t>
      </w:r>
      <w:r>
        <w:rPr>
          <w:rStyle w:val="FootnoteAnchor"/>
        </w:rPr>
        <w:footnoteReference w:id="262"/>
      </w:r>
      <w:r>
        <w:rPr>
          <w:rFonts w:eastAsia="Times New Roman" w:cs="Times New Roman" w:ascii="Times New Roman" w:hAnsi="Times New Roman"/>
          <w:color w:val="111111"/>
          <w:sz w:val="28"/>
          <w:szCs w:val="28"/>
          <w:lang w:val="en-US"/>
        </w:rPr>
        <w:t xml:space="preserve"> Suhrawardi memandangnya sebagai kekeliruan, karena Ibn  Sina telah menerapkan penggunaannya yang tidak tepat pada  sesuatu, sementara hal itu hanya bisa diterapkan pada sesuatu  yang benar-benar mempunyai genus dan diferensia.</w:t>
      </w:r>
      <w:r>
        <w:rPr>
          <w:rStyle w:val="FootnoteAnchor"/>
        </w:rPr>
        <w:footnoteReference w:id="263"/>
      </w:r>
      <w:r>
        <w:rPr>
          <w:rFonts w:eastAsia="Times New Roman" w:cs="Times New Roman" w:ascii="Times New Roman" w:hAnsi="Times New Roman"/>
          <w:color w:val="111111"/>
          <w:sz w:val="28"/>
          <w:szCs w:val="28"/>
          <w:lang w:val="en-US"/>
        </w:rPr>
        <w:t xml:space="preserve">Sekali  lagi, kritik ini mengantarkan Suhrawardi mempertimbangkan  hubungan antara sesuatu dan sifat-sifatnya. Ia menyatakan  bahwa sekiranya sesuatu tidak mempunyai genus dan diferensia  yang nyata, maka formula bagi sesuatu itu mesti disintesiskan  dengan sifat-sifat aksidentalnya, atau sesuatu itu dikaitkan  dengan sifat-sifatnya sebagai agen, atau bentuk, atau formula  yang dihubungkan dengan hasil. Harus dicatat bahwa bagian  terbesar dari argumen-argumen Suhrawardi diambil dari  Manthiq al-Masyriqiyyin karya Ibn Sina. </w:t>
      </w:r>
      <w:r>
        <w:rPr>
          <w:rStyle w:val="FootnoteAnchor"/>
        </w:rPr>
        <w:footnoteReference w:id="264"/>
      </w:r>
      <w:r>
        <w:rPr>
          <w:rFonts w:eastAsia="Times New Roman" w:cs="Times New Roman" w:ascii="Times New Roman" w:hAnsi="Times New Roman"/>
          <w:color w:val="111111"/>
          <w:sz w:val="28"/>
          <w:szCs w:val="28"/>
          <w:lang w:val="en-US"/>
        </w:rPr>
        <w:t xml:space="preserve"> Dalam bagian 85 dan bagian S6, Suhrawardi mengembangkan  sejenis definisi yang bisa kita sebut ostensif. Jenis definisi ini  berperan dalam membedakan berbagai hal dan merupakan jenis  definisi yang memadai bagi penggunaan umum.</w:t>
      </w:r>
      <w:r>
        <w:rPr>
          <w:rStyle w:val="FootnoteAnchor"/>
        </w:rPr>
        <w:footnoteReference w:id="265"/>
      </w:r>
      <w:r>
        <w:rPr>
          <w:rFonts w:eastAsia="Times New Roman" w:cs="Times New Roman" w:ascii="Times New Roman" w:hAnsi="Times New Roman"/>
          <w:color w:val="111111"/>
          <w:sz w:val="28"/>
          <w:szCs w:val="28"/>
          <w:lang w:val="en-US"/>
        </w:rPr>
        <w:t>Dalam bagian  $ 7, Suhrawardi membedakan antara “rasional” dan “kemampuan  menalar  (isti'dād li an-nuthq), dan kemudian, ia menggunakan  pembedaan ini dalam formulasi teorinya tentang definisi dalam  Hikmah Al-Isyrāq.</w:t>
      </w:r>
      <w:r>
        <w:rPr>
          <w:rStyle w:val="FootnoteAnchor"/>
        </w:rPr>
        <w:footnoteReference w:id="266"/>
      </w:r>
      <w:r>
        <w:rPr>
          <w:rFonts w:eastAsia="Times New Roman" w:cs="Times New Roman" w:ascii="Times New Roman" w:hAnsi="Times New Roman"/>
          <w:color w:val="111111"/>
          <w:sz w:val="28"/>
          <w:szCs w:val="28"/>
          <w:lang w:val="en-US"/>
        </w:rPr>
        <w:t xml:space="preserve">Suhrawardi menganalisis pembedaan ini  dengan terlebih dahulu menilai bahwa kemampuan menalar  sama dengan aktivitas-aktivitas intelek, yakni penalaran atau  pemikiran (ta'aqqul wa tafakkur). Ia menganggap jenis-jenis  “kemampuan” bersifat posterior bagi  realitas substansial  (al-  haqā'iq al-jauhariyyah). Selanjutnya, ia membedakan antara “jiwa  rasional” (an-nafs an-nāthiqah), yang menentukan rasionalitas,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esensi hakiki dan tertentu, serta kemampuan menalar, yang  merupakan konsep mental.</w:t>
      </w:r>
      <w:r>
        <w:rPr>
          <w:rStyle w:val="FootnoteAnchor"/>
        </w:rPr>
        <w:footnoteReference w:id="267"/>
      </w:r>
      <w:r>
        <w:rPr>
          <w:rFonts w:eastAsia="Times New Roman" w:cs="Times New Roman" w:ascii="Times New Roman" w:hAnsi="Times New Roman"/>
          <w:color w:val="111111"/>
          <w:sz w:val="28"/>
          <w:szCs w:val="28"/>
          <w:lang w:val="en-US"/>
        </w:rPr>
        <w:t xml:space="preserve"> Dari sini, Suhrawardi kemudian menilai pandangan-  pandangan baku mengenai gagasan ihwal kesamaan dan  perbedaan berbagai definisi dan penggunaannya. Dalam bagian *  8 hingga bagian* 12, topik-topik yang berhubungan dengan  definisi seperti deskripsi, definisi nominal, definisi dengan  analogi, definisi sebagai subjek proposisi-proposisi, serta  berbagai persoalan ihwal apa itu genus dan apa itu diferensia  dibahasnya, dan tidak menjadi perhatian kita di sini. Akan tetapi,  harus dicatat bahwa sebagian besar argumen-argumennya  ini diambil langsung dari – atau berpijak pada – karya Ibn  Sina yang berjudul Manthiq al-Masyriqiyyīn. </w:t>
      </w:r>
      <w:r>
        <w:rPr>
          <w:rStyle w:val="FootnoteAnchor"/>
        </w:rPr>
        <w:footnoteReference w:id="268"/>
      </w:r>
      <w:r>
        <w:rPr>
          <w:rFonts w:eastAsia="Times New Roman" w:cs="Times New Roman" w:ascii="Times New Roman" w:hAnsi="Times New Roman"/>
          <w:color w:val="111111"/>
          <w:sz w:val="28"/>
          <w:szCs w:val="28"/>
          <w:lang w:val="en-US"/>
        </w:rPr>
        <w:t>Sejauh ini, kita  telah berkonsentrasi pada Bab 2 logika dalam Al-Masyāri' wa  Al-Muthārahāt, dan telah mengamati bahwa bab ini, yang  sepenuhnya membahas definisi, memberi kita sejumlah besar  problem yang berkaitan dengan kritik Suhrawardi atas formula  definisi Peripatetik. Bab 8 berjudul Tentang Demonstrasi, dari  buku yang sama dan pada dasarnya, adalah sebuah ikhtisar  selektif dari Al-Burhān, dan bisa disamakan dengan struktur  Asy-Syifā' Ibn Sina.</w:t>
      </w:r>
      <w:r>
        <w:rPr>
          <w:rStyle w:val="FootnoteAnchor"/>
        </w:rPr>
        <w:footnoteReference w:id="269"/>
      </w:r>
      <w:r>
        <w:rPr>
          <w:rFonts w:eastAsia="Times New Roman" w:cs="Times New Roman" w:ascii="Times New Roman" w:hAnsi="Times New Roman"/>
          <w:color w:val="111111"/>
          <w:sz w:val="28"/>
          <w:szCs w:val="28"/>
          <w:lang w:val="en-US"/>
        </w:rPr>
        <w:t xml:space="preserve">Bab ini memuat bagian-bagian yang  membahas beberapa komponen biasa yang berkaitan dengan  problem definisi; bagian * 10, membahas berbagai problem  seperti argumen-argumen sirkuler dan ide-ide fitri sebagai  dasar pengetahuan; bab 11-13, membahas dikotomi atau  pembagian definisi, yakni metode definisi Plato, dan juga berbagai  problem lainnya. Kebanyakan argumen dalam bagian-bagian ini  adalah argumen-argumen baku Peripatetik, tetapi memberikan  pengetahuan dan wawasan yang sangat bernilai ihwal pandangan </w:t>
      </w:r>
    </w:p>
    <w:p>
      <w:pPr>
        <w:pStyle w:val="BookText"/>
        <w:bidi w:val="0"/>
        <w:rPr/>
      </w:pPr>
      <w:r>
        <w:rPr>
          <w:rFonts w:eastAsia="Times New Roman" w:cs="Times New Roman" w:ascii="Times New Roman" w:hAnsi="Times New Roman"/>
          <w:color w:val="111111"/>
          <w:sz w:val="28"/>
          <w:szCs w:val="28"/>
          <w:lang w:val="en-US"/>
        </w:rPr>
        <w:t>Suhrawardi, yang akhirnya berpuncak pada Filsafat Iluminasi.</w:t>
      </w:r>
    </w:p>
    <w:p>
      <w:pPr>
        <w:pStyle w:val="BookText"/>
        <w:bidi w:val="0"/>
        <w:jc w:val="both"/>
        <w:rPr/>
      </w:pPr>
      <w:r>
        <w:rPr>
          <w:rFonts w:eastAsia="Times New Roman" w:cs="Times New Roman" w:ascii="Times New Roman" w:hAnsi="Times New Roman"/>
          <w:color w:val="111111"/>
          <w:sz w:val="28"/>
          <w:szCs w:val="28"/>
          <w:lang w:val="en-US"/>
        </w:rPr>
        <w:t>Beberapa isu yang diangkat di sini juga dikaitkan dengan Bab 2, dan  saya akan berusaha menganalisisnya dengan tujuan memberikan  informasi lebih jauh ihwal teori baru Suhrawardi tentang formulasi  definisi esensialis.</w:t>
      </w:r>
    </w:p>
    <w:p>
      <w:pPr>
        <w:pStyle w:val="BookText"/>
        <w:bidi w:val="0"/>
        <w:jc w:val="both"/>
        <w:rPr/>
      </w:pPr>
      <w:r>
        <w:rPr>
          <w:rFonts w:eastAsia="Times New Roman" w:cs="Times New Roman" w:ascii="Times New Roman" w:hAnsi="Times New Roman"/>
          <w:color w:val="111111"/>
          <w:sz w:val="28"/>
          <w:szCs w:val="28"/>
          <w:lang w:val="en-US"/>
        </w:rPr>
        <w:t>Hal penting pertama, diangkat Suhrawardi dalam bagian *  10, tempat ia menunjukkan bahwa gagasan-gagasan fitri adalah  dasar pengetahuan, dan dengan demikian, dari sudut pandang  epistemologi berperan sebagai dasar definisi. Ini berarti bahwa harus  ada sesuatu yang paling dahulu berkenaan dengan pengetahuan  dalam hubungannya dengan sesuatu yang didefinisikan. Sebagai  contoh dari hal-hal yang diketahui secara fitri itu, Suhrawardi  mengutip segenap inspirasi personal dan pengalaman mistis para  filsuf, semisal Ibn Sina dan Abu Al-Barakat Al-Baghdadi. Agaknya,  ini perubahan Suhrawardi vis-avis Ibn Sina, yang pada satu titik, ia  tertawakan karena mengklaim sebagai salah seorang filsuf Timur.</w:t>
      </w:r>
    </w:p>
    <w:p>
      <w:pPr>
        <w:pStyle w:val="BookText"/>
        <w:bidi w:val="0"/>
        <w:jc w:val="both"/>
        <w:rPr/>
      </w:pPr>
      <w:r>
        <w:rPr>
          <w:rFonts w:eastAsia="Times New Roman" w:cs="Times New Roman" w:ascii="Times New Roman" w:hAnsi="Times New Roman"/>
          <w:color w:val="111111"/>
          <w:sz w:val="28"/>
          <w:szCs w:val="28"/>
          <w:lang w:val="en-US"/>
        </w:rPr>
        <w:t xml:space="preserve">Dari sudut pandang sejarah filsafat dalam periode Islam, menarik  bahwa Suhrawardi menilai Al-Baghdadi sebagai seorang filsuf  yang membangun metodologi Plato dalam bidang-bidang filsafat  tertentu. </w:t>
      </w:r>
      <w:r>
        <w:rPr>
          <w:rStyle w:val="FootnoteAnchor"/>
        </w:rPr>
        <w:footnoteReference w:id="270"/>
      </w:r>
      <w:r>
        <w:rPr>
          <w:rFonts w:eastAsia="Times New Roman" w:cs="Times New Roman" w:ascii="Times New Roman" w:hAnsi="Times New Roman"/>
          <w:color w:val="111111"/>
          <w:sz w:val="28"/>
          <w:szCs w:val="28"/>
          <w:lang w:val="en-US"/>
        </w:rPr>
        <w:t xml:space="preserve"> Demi pemahaman kita tentang teori Suhrawardi, bagian $ 12  adalah bagian paling penting. Dalam bagian ini, ia mengutip argumen  berkenaan dengan formula definisi yang mengombinasikan seluruh  sifat dari sesuatu, yakni jenis definisi esensialis sempurna yang  dipandangnya sebagai satu-satunya jenis definisi yang paling valid.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menyatakan,   Engkau tidak bisa mengatakan, “Aku akan  mengombinasikan semua sifat dan menentukan semuanya,'  dan kemudian mengatakan, “Inilah sebuah formula yang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menunjukkan esensi, dan karenanya, menjadi sebuah  definisi esensialis (yang sempurna).' Sebab, pernyataan  seperti itu adalah sebuah petitio principii. </w:t>
      </w:r>
      <w:r>
        <w:rPr>
          <w:rStyle w:val="FootnoteAnchor"/>
        </w:rPr>
        <w:footnoteReference w:id="271"/>
      </w:r>
      <w:r>
        <w:rPr>
          <w:rFonts w:eastAsia="Times New Roman" w:cs="Times New Roman" w:ascii="Times New Roman" w:hAnsi="Times New Roman"/>
          <w:color w:val="111111"/>
          <w:sz w:val="28"/>
          <w:szCs w:val="28"/>
          <w:lang w:val="en-US"/>
        </w:rPr>
        <w:t xml:space="preserve"> Suhrawardi menunjukkan ketidakmungkinan formula  definisi, di mana kemajemukan sifat-sifat (yang esensial maupun  yang aksidental) dari sesuatu yang didefinisikan bisa dikombinasikan  (entah sekadar diuraikan, ditambah, atau disintesis). Ini adalah  problem yang memusingkan. Jika formula tidak mengombinasikan  sifat-sifat, maka ia tidak menunjukkan esensi. Akan tetapi,  bagi formula apa pun yang harus berbuat demikian, ia harus  mengombinasikan sejumlah (mungkin tak terhitung) besar hal  yang tidak mungkin bisa dilakukan dengan uraian yang sempurna,  leluasa, dan satu demi satu. Solusinya terletak dalam cara di  mana kemajemukan bisa dikombinasikan dalam suatu formula  utuh dan juga dalam bentuk pemikiran lain yang langsung  menyentuh kesatuan esensi. Sekarang, ihwal apakah bentuk  pemikiran alternatif itu adalah metode dialektis yang bertujuan  membiarkan subjek untuk menyingkap kebenaran-kebenaran  abadi dalam kesadaran dirinya, yang kemudian berperan sebagai  dasar bagi pengetahuan yang dirumuskan dan didemonstrasikan,  atau sesuatu yang lain, tetap tampak dan bisa dilihat? Apakah  definisi X terletak pada intuisi tentangnya atau sesuatu yang  lain yang mendahului usaha memposisikan rumusannya dalam  struktur yang telah dibangun? Problem ini akan dibahas dalam bab  berikutnya. Namun di sini, saya hanya akan menekankan tuntutan  Suhrawardi bahwa hanya “kolektivitas hal-hal esensisal dari  sesuatu saja yang menjadi definisi yang valid tentangnya , dan  meninggalkan pertanyaan ihwal seperti apa kolektivitas itu, dan  metode dalam mendapatkannya, untuk pertimbangan selanjutnya. </w:t>
      </w:r>
      <w:bookmarkStart w:id="156" w:name="pg6442_57412"/>
    </w:p>
    <w:p>
      <w:pPr>
        <w:pStyle w:val="Heading3"/>
        <w:numPr>
          <w:ilvl w:val="2"/>
          <w:numId w:val="1"/>
        </w:numPr>
        <w:bidi w:val="0"/>
        <w:jc w:val="left"/>
        <w:rPr/>
      </w:pPr>
      <w:bookmarkStart w:id="157" w:name="__RefHeading___Toc924682_653776707"/>
      <w:bookmarkStart w:id="158" w:name="_Toc54"/>
      <w:bookmarkEnd w:id="156"/>
      <w:bookmarkEnd w:id="157"/>
      <w:r>
        <w:rPr/>
        <w:t>4. TEORI DEFINISI ILUMINASI</w:t>
      </w:r>
      <w:bookmarkEnd w:id="158"/>
    </w:p>
    <w:p>
      <w:pPr>
        <w:pStyle w:val="Heading4"/>
        <w:numPr>
          <w:ilvl w:val="3"/>
          <w:numId w:val="1"/>
        </w:numPr>
        <w:bidi w:val="0"/>
        <w:jc w:val="left"/>
        <w:rPr/>
      </w:pPr>
      <w:bookmarkStart w:id="159" w:name="__RefHeading___Toc924684_653776707"/>
      <w:bookmarkStart w:id="160" w:name="_Toc55"/>
      <w:bookmarkEnd w:id="159"/>
      <w:r>
        <w:rPr/>
        <w:t>Point</w:t>
      </w:r>
      <w:bookmarkEnd w:id="160"/>
    </w:p>
    <w:p>
      <w:pPr>
        <w:pStyle w:val="BookText"/>
        <w:bidi w:val="0"/>
        <w:jc w:val="both"/>
        <w:rPr/>
      </w:pPr>
      <w:r>
        <w:rPr>
          <w:rFonts w:eastAsia="Times New Roman" w:cs="Times New Roman" w:ascii="Times New Roman" w:hAnsi="Times New Roman"/>
          <w:color w:val="111111"/>
          <w:sz w:val="28"/>
          <w:szCs w:val="28"/>
          <w:lang w:val="en-US"/>
        </w:rPr>
        <w:t xml:space="preserve">Gaya Filsafat Suhrawardi yang pendek dan tepat dalam  Hikmah Al-Isyrāq sangat membingungkan pembaca yang  berusaha menyingkap  teori  yang koheren dan konsisten  berdasarkan pernyataan-pernyataan aneh dan singkat. </w:t>
      </w:r>
      <w:r>
        <w:rPr>
          <w:rStyle w:val="FootnoteAnchor"/>
        </w:rPr>
        <w:footnoteReference w:id="272"/>
      </w:r>
      <w:r>
        <w:rPr>
          <w:rFonts w:eastAsia="Times New Roman" w:cs="Times New Roman" w:ascii="Times New Roman" w:hAnsi="Times New Roman"/>
          <w:color w:val="111111"/>
          <w:sz w:val="28"/>
          <w:szCs w:val="28"/>
          <w:lang w:val="en-US"/>
        </w:rPr>
        <w:t>Usaha  untuk menelaah karya ini saja akan gagal menyingkap makna  yang diinginkan Suhrawardi. Oleh sebab itu, kita harus mengingat  hasil-hasil kajian dan telaah kita atas pandangan Suhrawardi  tentang definisi dalam Al-Masyāri' wa Al-Muthārahāt karena kita  menganalisis segenap pandangannya dalam Hikmah Al-Isyrāq.</w:t>
      </w:r>
    </w:p>
    <w:p>
      <w:pPr>
        <w:pStyle w:val="BookText"/>
        <w:bidi w:val="0"/>
        <w:jc w:val="both"/>
        <w:rPr/>
      </w:pPr>
      <w:r>
        <w:rPr>
          <w:rFonts w:eastAsia="Times New Roman" w:cs="Times New Roman" w:ascii="Times New Roman" w:hAnsi="Times New Roman"/>
          <w:color w:val="111111"/>
          <w:sz w:val="28"/>
          <w:szCs w:val="28"/>
          <w:lang w:val="en-US"/>
        </w:rPr>
        <w:t>Harus jelas bahwa Suhrawardi tidak puas dengan teori Definisi  Peripatetik. Pandangan ini ditelaah dalam Hikmah Al-Isyrāq,  tetapi terlebih dahulu dibahas dalam At-Talwihāt, dan berikutnya  dianalisis sepenuhnya dalam Al-Masyāri' wa Al-Muthārahāt. Juga  sama-sama harus jelas bahwa usaha mengkaji dan menelaah  Filsafat lluminasi tidak bisa mengabaikan logika Iluminasi,  seperti semua kajian yang telah dilakukan sampai sekarang.</w:t>
      </w:r>
    </w:p>
    <w:p>
      <w:pPr>
        <w:pStyle w:val="BookText"/>
        <w:bidi w:val="0"/>
        <w:jc w:val="both"/>
        <w:rPr/>
      </w:pPr>
      <w:r>
        <w:rPr>
          <w:rFonts w:eastAsia="Times New Roman" w:cs="Times New Roman" w:ascii="Times New Roman" w:hAnsi="Times New Roman"/>
          <w:color w:val="111111"/>
          <w:sz w:val="28"/>
          <w:szCs w:val="28"/>
          <w:lang w:val="en-US"/>
        </w:rPr>
        <w:t>Problem definisi ini membimbing kita untuk memahami ihwal  apakah Filsafat Iluminasi itu, dan inilah problem yang bisa  sepenuhnya dibahas hanya dalam logika.</w:t>
      </w:r>
    </w:p>
    <w:p>
      <w:pPr>
        <w:pStyle w:val="BookText"/>
        <w:bidi w:val="0"/>
        <w:jc w:val="both"/>
        <w:rPr/>
      </w:pPr>
      <w:r>
        <w:rPr>
          <w:rFonts w:eastAsia="Times New Roman" w:cs="Times New Roman" w:ascii="Times New Roman" w:hAnsi="Times New Roman"/>
          <w:color w:val="111111"/>
          <w:sz w:val="28"/>
          <w:szCs w:val="28"/>
          <w:lang w:val="en-US"/>
        </w:rPr>
        <w:t xml:space="preserve">Hikmah Al-Isyrāq, Bagian Satu, I, 7 berjudul Tentang  Definisi dan Syarat-Syaratnya. </w:t>
      </w:r>
      <w:r>
        <w:rPr>
          <w:rStyle w:val="FootnoteAnchor"/>
        </w:rPr>
        <w:footnoteReference w:id="273"/>
      </w:r>
      <w:r>
        <w:rPr>
          <w:rFonts w:eastAsia="Times New Roman" w:cs="Times New Roman" w:ascii="Times New Roman" w:hAnsi="Times New Roman"/>
          <w:color w:val="111111"/>
          <w:sz w:val="28"/>
          <w:szCs w:val="28"/>
          <w:lang w:val="en-US"/>
        </w:rPr>
        <w:t>Bagian ini terdiri dari tiga bagian,  dan dimasukkan dalam skema umum semiotika Suhrawardi.</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buku ini, definisi hanya diperlakukan sebagai bagian  dari semantik. Dalam bagian pertama dari bab ini, Suhrawardi  membahas syarat-syarat yang harus dipenuhi agar definisi  dari sesuatu bisa bermakna, yakni harus menggambarkan  pengetahuan tentang sesuatu yang didefinisikan. Di sini,  Suhrawardi sepenuhnya merumuskan pandangannya tentang </w:t>
      </w:r>
    </w:p>
    <w:p>
      <w:pPr>
        <w:pStyle w:val="BookText"/>
        <w:bidi w:val="0"/>
        <w:rPr/>
      </w:pPr>
      <w:r>
        <w:rPr>
          <w:rFonts w:eastAsia="Times New Roman" w:cs="Times New Roman" w:ascii="Times New Roman" w:hAnsi="Times New Roman"/>
          <w:color w:val="111111"/>
          <w:sz w:val="28"/>
          <w:szCs w:val="28"/>
          <w:lang w:val="en-US"/>
        </w:rPr>
        <w:t>definisi dengan menyatakan bahwa untuk mendefinisikan  sesuatu, entah semua unit (al-ahād) dari sesuatu itu, beberapa  unit darinya, atau keseluruhan dari sesuatu (ijtimā', yang juga  menyiratkan keseluruhan organis yang didiferensiasikan),  harus dirinci.</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Lihat, Al-Baghdadi, Al-Mu'tabar I, hlm. 55-57. Istilah ijtima'  merujuk pada jenis “keseluruhan  yang disebut jam' tarkibi,  di mana bagian-bagian atau unit-unit tidak dibedakan satu  sama lain, dan secara kolektif mereka tidak dibedakan dari  keseluruhan. Bandingkan, Aristoteles, Metaphysics V.26,  1024a1-10. Istilah Yunani oúvolos, Qúykpiois, obornua  harus dibandingkan dengan istilah ijtimā'. Lihat, Tsabit bin  Qurrah, Al-Madkhal, hlm. 299. Mengenai hubungan antara  jāmi' dan lov, yang dianggap sebagai jenis ovúðɛoic.Lihat,  Ibid., Alfred Irvy, Al-Kindi's Metaphysics. (Albany: SUNY Press,  1974), hlm. 17. Bandingkan, Aristoteles, Topics VI. 14, 151430.</w:t>
      </w:r>
    </w:p>
    <w:p>
      <w:pPr>
        <w:pStyle w:val="BookText"/>
        <w:bidi w:val="0"/>
        <w:jc w:val="both"/>
        <w:rPr/>
      </w:pPr>
      <w:r>
        <w:rPr>
          <w:rFonts w:eastAsia="Times New Roman" w:cs="Times New Roman" w:ascii="Times New Roman" w:hAnsi="Times New Roman"/>
          <w:color w:val="111111"/>
          <w:sz w:val="28"/>
          <w:szCs w:val="28"/>
          <w:lang w:val="en-US"/>
        </w:rPr>
        <w:t>Untuk pemahaman lebih jauh tentang implikasi istilah āhād,  harus dibandingkan dengan μονάδες dan μουαδιστίYunani.</w:t>
      </w:r>
    </w:p>
    <w:p>
      <w:pPr>
        <w:pStyle w:val="BookText"/>
        <w:bidi w:val="0"/>
        <w:jc w:val="both"/>
        <w:rPr/>
      </w:pPr>
      <w:r>
        <w:rPr>
          <w:rFonts w:eastAsia="Times New Roman" w:cs="Times New Roman" w:ascii="Times New Roman" w:hAnsi="Times New Roman"/>
          <w:color w:val="111111"/>
          <w:sz w:val="28"/>
          <w:szCs w:val="28"/>
          <w:lang w:val="en-US"/>
        </w:rPr>
        <w:t>Signifikansi istilah-istilah dalam metafisika bisa dilihat dalam  Al-Baghdadi, Al-Mu'tabar, hlm. I dan 55. Untuk signifikansi  istilah matematika dan implikasinya dalam filsafat, lihat,  Tsabit bin Qurrah, Al-Madkhal, hlm. 218, 222, 223, serta  299. Perlu diingat bahwa hubungan antara unit, āhād, dan  keseluruhan ijtimā', bergantung pada gagasan kombinasi  sintesis, jam' tarkibi, yang merupakan ijtimā' yang berkaitan  dengan sesuatu yang didefinisikan. Ini juga berarti bahwa  unit, āhād, tidak bisa ditentukan dalam realitas keseluruhan  ijtima' di luar pikiran secara independen. Lihat, Apendiks C  berikut, di mana saya menganalisis kaidah matematika Al-  Baghdadi untuk definisi. Posisi Suhrawardi bisa diringkas  sebagai berikut: yang Esa (unit, urutan, pokok, sesuatu)    tidak bisa diketahui secara independen melalui yang banyak,  dan begitu juga sebaliknya. Untuk mendefinisikan “yang  banyak ,  yang Satu  harus didefinisikan terlebih dahulu,  yang definisinya berpijak pada intuisi primer  jumlah  dan  bukan pada definisi formal yang berdasarkan anggapan apa  pun tentang realitas sehingga subjek yang mengetahui ingin  membuat definisinya.</w:t>
      </w:r>
    </w:p>
    <w:p>
      <w:pPr>
        <w:pStyle w:val="BookText"/>
        <w:bidi w:val="0"/>
        <w:jc w:val="both"/>
        <w:rPr/>
      </w:pPr>
      <w:r>
        <w:rPr>
          <w:rFonts w:eastAsia="Times New Roman" w:cs="Times New Roman" w:ascii="Times New Roman" w:hAnsi="Times New Roman"/>
          <w:color w:val="111111"/>
          <w:sz w:val="28"/>
          <w:szCs w:val="28"/>
          <w:lang w:val="en-US"/>
        </w:rPr>
        <w:t>Dalam pernyataan ini, istilah yang digunakan  untuk definisi adalah taʼrif, yang meliputi, baik jenis definisi  esensialis maupun deskriptif. Bila dipahami, pernyataan ini  sangat membingungkan, tetapi berdasarkan apa yang dikatakan  Suhrawardi dalam Al-Masyāri' wa Al-Muthārahāt – bahwa  agar valid, definisi harus mengombinasikan semua sifat dari  sesuatu yang didefinisikan, pernyataan itu bisa dipahami.</w:t>
      </w:r>
    </w:p>
    <w:p>
      <w:pPr>
        <w:pStyle w:val="BookText"/>
        <w:bidi w:val="0"/>
        <w:jc w:val="both"/>
        <w:rPr/>
      </w:pPr>
      <w:r>
        <w:rPr>
          <w:rFonts w:eastAsia="Times New Roman" w:cs="Times New Roman" w:ascii="Times New Roman" w:hAnsi="Times New Roman"/>
          <w:color w:val="111111"/>
          <w:sz w:val="28"/>
          <w:szCs w:val="28"/>
          <w:lang w:val="en-US"/>
        </w:rPr>
        <w:t>Semula, terminologi matematika yang digunakan Suhrawardi  mencengangkan, tetapi sesudah direnungkan dan ditelaah  lebih jauh, teka-teki itu bisa dipecahkan dan ternyata menjadi  penting dalam memahami keseluruhan Filsafat Iluminasi.</w:t>
      </w:r>
    </w:p>
    <w:p>
      <w:pPr>
        <w:pStyle w:val="BookText"/>
        <w:bidi w:val="0"/>
        <w:jc w:val="both"/>
        <w:rPr/>
      </w:pPr>
      <w:r>
        <w:rPr>
          <w:rFonts w:eastAsia="Times New Roman" w:cs="Times New Roman" w:ascii="Times New Roman" w:hAnsi="Times New Roman"/>
          <w:color w:val="111111"/>
          <w:sz w:val="28"/>
          <w:szCs w:val="28"/>
          <w:lang w:val="en-US"/>
        </w:rPr>
        <w:t>Sumber langsung terminologi matematika Suhrawardi adalah  Al-Mu'tabar, I, I, 13, karya Al-Baghdadi, di mana penggunaan  kaidah matematika dalam membangun definisi diuraikan secara  rinci.</w:t>
      </w:r>
      <w:r>
        <w:rPr>
          <w:rStyle w:val="FootnoteAnchor"/>
        </w:rPr>
        <w:footnoteReference w:id="275"/>
      </w:r>
      <w:r>
        <w:rPr>
          <w:rFonts w:eastAsia="Times New Roman" w:cs="Times New Roman" w:ascii="Times New Roman" w:hAnsi="Times New Roman"/>
          <w:color w:val="111111"/>
          <w:sz w:val="28"/>
          <w:szCs w:val="28"/>
          <w:lang w:val="en-US"/>
        </w:rPr>
        <w:t>Pentingnya menyebutkan kaidah-kaidah matematika  Al-Baghdadi untuk membangun definisi ditunjukkan oleh  Suhrawardi (seperti kita lihat di atas), yang memandang Al-  Baghdadi sebagai penyumbang elemen-elemen berbagai dalil  Plato. Penting bagi kita untuk memahami formula Suhrawardi  bagi definisi dan hubungannya dengan kaidah-kaidah  matematika. Karena itu, sesudah menyuguhkan paparan umum  tentang Kaidah Ketujuh, saya akan kembali kepada problem ini  dan menganalisisnya secara lebih rinci.</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Problem-problem tambahan yang dibahas dalam  bagian * 13, berkaitan dengan dua syarat (sebagian darinya </w:t>
      </w:r>
    </w:p>
    <w:p>
      <w:pPr>
        <w:pStyle w:val="BookText"/>
        <w:bidi w:val="0"/>
        <w:rPr/>
      </w:pPr>
      <w:r>
        <w:rPr>
          <w:rFonts w:eastAsia="Times New Roman" w:cs="Times New Roman" w:ascii="Times New Roman" w:hAnsi="Times New Roman"/>
          <w:color w:val="111111"/>
          <w:sz w:val="28"/>
          <w:szCs w:val="28"/>
          <w:lang w:val="en-US"/>
        </w:rPr>
        <w:t>diberikan dalam al-Jadal) yang harus dipenuhi agar definisi  menjadi bermakna. Inilah syarat-syarat yang harus dipenuhi  dalam hubungannya dengan sesuatu yang melaluinya, sesuatu  yang lain bisa didefinisikan, yakni: [1] bahwa sesuatu yang  melaluinya, sesuatu yang lain didefinisikan harus lebih jelas  (azhhar) ketimbang sesuatu yang didefinisikan; dan [2] ia harus  diketahui terlebih dahulu sebelum sesuatu yang didefinisikan.</w:t>
      </w:r>
    </w:p>
    <w:p>
      <w:pPr>
        <w:pStyle w:val="BookText"/>
        <w:bidi w:val="0"/>
        <w:jc w:val="both"/>
        <w:rPr/>
      </w:pPr>
      <w:r>
        <w:rPr>
          <w:rFonts w:eastAsia="Times New Roman" w:cs="Times New Roman" w:ascii="Times New Roman" w:hAnsi="Times New Roman"/>
          <w:color w:val="111111"/>
          <w:sz w:val="28"/>
          <w:szCs w:val="28"/>
          <w:lang w:val="en-US"/>
        </w:rPr>
        <w:t xml:space="preserve">Implikasi dua syarat tersebut jelas, bahwa agar sesuatu diketahui  (dengan mendefinisikannya, atau lainnya), sesuatu yang lain  pun harus diketahui terlebih dahulu. Ini berarti bahwa harus ada  sesuatu yang paling jelas dan paling dahulu berkenaan dengan  pengetahuan, yang dalam hubungan dengannya sesuatu yang  lain bisa diketahui. Sesuatu yang diketahui paling dahulu (dan  juga paling jelas), menurut Suhrawardi adalah pengetahuan  bawaan. </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Pembedaan antara bawaan dan perolehan adalah ciri penting  dari karya Al-Baghdadi. Ia “dibangun melalui refleksi personal   oleh filsuf yang pengetahuannya berdasarkan intuisi apriori.</w:t>
      </w:r>
    </w:p>
    <w:p>
      <w:pPr>
        <w:pStyle w:val="BookText"/>
        <w:bidi w:val="0"/>
        <w:jc w:val="both"/>
        <w:rPr/>
      </w:pPr>
      <w:r>
        <w:rPr>
          <w:rFonts w:eastAsia="Times New Roman" w:cs="Times New Roman" w:ascii="Times New Roman" w:hAnsi="Times New Roman"/>
          <w:color w:val="111111"/>
          <w:sz w:val="28"/>
          <w:szCs w:val="28"/>
          <w:lang w:val="en-US"/>
        </w:rPr>
        <w:t>Lihat, S. Pines, Nouvelles Etudes sur Auhad Al-Zamān Abu  Al-Barakat al-Baghdadi, hlm. 8-17.</w:t>
      </w:r>
    </w:p>
    <w:p>
      <w:pPr>
        <w:pStyle w:val="BookText"/>
        <w:bidi w:val="0"/>
        <w:jc w:val="both"/>
        <w:rPr/>
      </w:pPr>
      <w:r>
        <w:rPr>
          <w:rFonts w:eastAsia="Times New Roman" w:cs="Times New Roman" w:ascii="Times New Roman" w:hAnsi="Times New Roman"/>
          <w:color w:val="111111"/>
          <w:sz w:val="28"/>
          <w:szCs w:val="28"/>
          <w:lang w:val="en-US"/>
        </w:rPr>
        <w:t>(Sebagaimana akan kita lihat nanti, pengetahuan  bawaan disebut sebagai “bagian” dari kesadaran diri manusia).</w:t>
      </w:r>
    </w:p>
    <w:p>
      <w:pPr>
        <w:pStyle w:val="BookText"/>
        <w:bidi w:val="0"/>
        <w:jc w:val="both"/>
        <w:rPr/>
      </w:pPr>
      <w:r>
        <w:rPr>
          <w:rFonts w:eastAsia="Times New Roman" w:cs="Times New Roman" w:ascii="Times New Roman" w:hAnsi="Times New Roman"/>
          <w:color w:val="111111"/>
          <w:sz w:val="28"/>
          <w:szCs w:val="28"/>
          <w:lang w:val="en-US"/>
        </w:rPr>
        <w:t>Menurut Suhrawardi, “Sesuatu yang paling tampak dalam  realitas adalah cahaya (nūr), yang diketahui secara langsung  dan tidak perlu didefinisikan.  Nah, istilah-istilah “lebih jelas   dan “lebih diketahui , dan “paling jelas  dan  paling diketahui   tampak berhubungan, dan barangkali identik. Hubungan antara  “kejelasan  dan pengetahuan adalah komponen penting dalam  Filsafat Iluminasi. Persoalan ihwal apa yang paling dahulu dan  paling diketahui berkaitan dengan gagasan psikologis tentang  diri dan kesadaran. Posisi epistemologi dasar Suhrawardi adalah  modifikasi gagasan Aristoteles tentang  pra-ada,  pengetahuan  dan pandangan Plato tentang ide-ide yang bersifat bawaan dan  harus “disingkap  dalam subjek yang mengetahui dan sadar diri.</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menetapkan syarat-syarat di atas, Suhrawardi </w:t>
      </w:r>
    </w:p>
    <w:p>
      <w:pPr>
        <w:pStyle w:val="BookText"/>
        <w:bidi w:val="0"/>
        <w:rPr/>
      </w:pPr>
      <w:r>
        <w:rPr>
          <w:rFonts w:eastAsia="Times New Roman" w:cs="Times New Roman" w:ascii="Times New Roman" w:hAnsi="Times New Roman"/>
          <w:color w:val="111111"/>
          <w:sz w:val="28"/>
          <w:szCs w:val="28"/>
          <w:lang w:val="en-US"/>
        </w:rPr>
        <w:t>membedakan definisi hakiki dari definisi nominal. Ia juga  mempertimbangkan jenis khusus dari definisi leksikal (tabdil  al-lafzh), yang disebutnya berguna bagi orang-orang yang  mengetahui realitas sesuatu, tetapi tidak mengetahui makna  ujarannya.</w:t>
      </w:r>
    </w:p>
    <w:p>
      <w:pPr>
        <w:pStyle w:val="BookText"/>
        <w:bidi w:val="0"/>
        <w:jc w:val="both"/>
        <w:rPr/>
      </w:pPr>
      <w:r>
        <w:rPr>
          <w:rFonts w:eastAsia="Times New Roman" w:cs="Times New Roman" w:ascii="Times New Roman" w:hAnsi="Times New Roman"/>
          <w:color w:val="111111"/>
          <w:sz w:val="28"/>
          <w:szCs w:val="28"/>
          <w:lang w:val="en-US"/>
        </w:rPr>
        <w:t xml:space="preserve">Dalam bagian kedua * 14, tentang Kaidah Ketujuh,  Suhrawardi membahas definisi esensial dan deskripsi. Saat  memperkenalkan definisi esensialis, Suhrawardi menisbatkan  dengan cermat formulasinya, dikatakan sebagai formula  yang bisa menunjukkan esensi dari sesuatu – kepada sumber  dengan menyebut “seseorang tertentu . </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Lihat, Ibn Sina, Kitāb Al-Isyārāt, hlm. 11-13.</w:t>
      </w:r>
    </w:p>
    <w:p>
      <w:pPr>
        <w:pStyle w:val="BookText"/>
        <w:bidi w:val="0"/>
        <w:jc w:val="both"/>
        <w:rPr/>
      </w:pPr>
      <w:r>
        <w:rPr>
          <w:rFonts w:eastAsia="Times New Roman" w:cs="Times New Roman" w:ascii="Times New Roman" w:hAnsi="Times New Roman"/>
          <w:color w:val="111111"/>
          <w:sz w:val="28"/>
          <w:szCs w:val="28"/>
          <w:lang w:val="en-US"/>
        </w:rPr>
        <w:t>Definisi esensialis  dilambangkan dengan jenis definisi yang bisa menunjukkan  hal-hal esensial (adz-dzātiyyāt), sementara deskripsi hanya  menjadikan hal-hal eksternal (al-khārijiyyāt) dari sesuatu yang  bisa diketahui. Oleh karena itu, perbedaannya adalah definisi  esensialis menunjukkan sifat-sifat esensial dari sesuatu,  sementara deskripsi menunjukkan sifat-sifat nonesensialisnya.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Pembedaan ini krusial karena seperti terlihat di atas, Suhrawardi  telah menentukan dalam Al-Masyāri' wa Al-Muthārahāt bahwa  agar menjadi definisi esensialis yang bermakna, sebuah definisi  harus mengombinasikan semua sifat dari sesuatu ke dalam  formula, yakni sifat-sifat esensial dan nonesensial. Jelas bahwa  bagi Suhrawardi, baik definisi esensialis maupun deskripsi  adalah definisi-definisi hakiki karena keduanya digunakan untuk  mendefinisikan wujud “manusia  dan bukan kata manusia;  tampak bahwa kedua jenis itu harus dikombinasikan agar  definisi menjadi valid. Ini menunjukkan bahwa pengetahuan  tentang sesuatu bergantung sepenuhnya pada persepsi  tentang ide sesuatu itu, yang pada giliran berikutnya hanya </w:t>
      </w:r>
    </w:p>
    <w:p>
      <w:pPr>
        <w:pStyle w:val="BookText"/>
        <w:bidi w:val="0"/>
        <w:rPr/>
      </w:pPr>
      <w:r>
        <w:rPr>
          <w:rFonts w:eastAsia="Times New Roman" w:cs="Times New Roman" w:ascii="Times New Roman" w:hAnsi="Times New Roman"/>
          <w:color w:val="111111"/>
          <w:sz w:val="28"/>
          <w:szCs w:val="28"/>
          <w:lang w:val="en-US"/>
        </w:rPr>
        <w:t>ditentukan melalui ide bawaan yang ada pada subjek yang  mendahului penyelidikan oleh intuisi. Penggunaan definisi formal  Peripatetik dikritik oleh Suhrawardi karena tidak menyampaikan  pengetahuan sebenarnya tentang sesuatu, tetapi hanya  menunjukkan bagian-bagian abstrak bentuk eksistensinya yang  dikombinasikan.</w:t>
      </w:r>
    </w:p>
    <w:p>
      <w:pPr>
        <w:pStyle w:val="BookText"/>
        <w:bidi w:val="0"/>
        <w:jc w:val="both"/>
        <w:rPr/>
      </w:pPr>
      <w:r>
        <w:rPr>
          <w:rFonts w:eastAsia="Times New Roman" w:cs="Times New Roman" w:ascii="Times New Roman" w:hAnsi="Times New Roman"/>
          <w:color w:val="111111"/>
          <w:sz w:val="28"/>
          <w:szCs w:val="28"/>
          <w:lang w:val="en-US"/>
        </w:rPr>
        <w:t>Argumen-argumen Suhrawardi yang diarahkan kepada  kaum Peripatetik tidak terus terang dan juga tidak sederhana.</w:t>
      </w:r>
    </w:p>
    <w:p>
      <w:pPr>
        <w:pStyle w:val="BookText"/>
        <w:bidi w:val="0"/>
        <w:jc w:val="both"/>
        <w:rPr/>
      </w:pPr>
      <w:r>
        <w:rPr>
          <w:rFonts w:eastAsia="Times New Roman" w:cs="Times New Roman" w:ascii="Times New Roman" w:hAnsi="Times New Roman"/>
          <w:color w:val="111111"/>
          <w:sz w:val="28"/>
          <w:szCs w:val="28"/>
          <w:lang w:val="en-US"/>
        </w:rPr>
        <w:t xml:space="preserve">Untuk memahaminya, kita harus punya gagasan yang komprehensif  tentang dasar Filsafat Iluminasi. Dalam bagian * 14, argumen-  argumennya adalah sebagai berikut: ada sesuatu dalam realitas  objektif manusia, manusia ini dan manusia itu, yang melaluinya,  ide manusia (kemanusiaan, insāniyyah) ditentukan, dan ia  berperan sebagai dasar bagi pengetahuan kita tentang manusia  apa pun itu. Kaum Peripatetik memandang “sesuatu  itu, tegas  Suhrawardi, sebagai definisi esensialis manusia, yakni “hewan  yang berpikir”. </w:t>
      </w:r>
      <w:r>
        <w:rPr>
          <w:rStyle w:val="FootnoteAnchor"/>
        </w:rPr>
        <w:footnoteReference w:id="278"/>
      </w:r>
      <w:r>
        <w:rPr>
          <w:rFonts w:eastAsia="Times New Roman" w:cs="Times New Roman" w:ascii="Times New Roman" w:hAnsi="Times New Roman"/>
          <w:color w:val="111111"/>
          <w:sz w:val="28"/>
          <w:szCs w:val="28"/>
          <w:lang w:val="en-US"/>
        </w:rPr>
        <w:t>Akan tetapi, Suhrawardi berpandangan bahwa  kemampuan menalar adalah aksidental dan bersifat posterior  bagi realitas manusia, dan karenanya  hewan yang berpikir   tidak menunjukkan esensi manusia. Ini berarti bahwa formula  untuk definisi esensialis tentang manusia hanya valid secara  formal, dan hanya demikian menurut kaum Peripatetik. Dalam  kenyataannya, formula ini adalah sebuah tautologi dan tanpa  nilai hakiki bagi seseorang yang berusaha mengetahui hal itu,  yang melaluinya wujud manusia pun diketahui, yakni ide “manusia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titik ini, Suhrawardi memperkenalkan secara singkat  argumen yang dianggap sebagai sebuah komponen mendasar  dalam pandangannya tentang pengetahuan, dan menyatakan  bahwa karena jiwa adalah asal-usul sesuatu yang melaluinya </w:t>
      </w:r>
    </w:p>
    <w:p>
      <w:pPr>
        <w:pStyle w:val="BookText"/>
        <w:bidi w:val="0"/>
        <w:rPr/>
      </w:pPr>
      <w:r>
        <w:rPr>
          <w:rFonts w:eastAsia="Times New Roman" w:cs="Times New Roman" w:ascii="Times New Roman" w:hAnsi="Times New Roman"/>
          <w:color w:val="111111"/>
          <w:sz w:val="28"/>
          <w:szCs w:val="28"/>
          <w:lang w:val="en-US"/>
        </w:rPr>
        <w:t xml:space="preserve">ide manusia ditentukan, dan karena jiwa adalah sesuatu yang  “terdekat  (aqrab) dengan manusia, maka melalui jiwa ini orang  menyadari esensi manusia, dan akhirnya juga, segala sesuatu. </w:t>
      </w:r>
      <w:r>
        <w:rPr>
          <w:rStyle w:val="FootnoteAnchor"/>
        </w:rPr>
        <w:footnoteReference w:id="279"/>
      </w:r>
      <w:r>
        <w:rPr>
          <w:rFonts w:eastAsia="Times New Roman" w:cs="Times New Roman" w:ascii="Times New Roman" w:hAnsi="Times New Roman"/>
          <w:color w:val="111111"/>
          <w:sz w:val="28"/>
          <w:szCs w:val="28"/>
          <w:lang w:val="en-US"/>
        </w:rPr>
        <w:t xml:space="preserve"> Akibatnya, dan berdasarkan pengetahuan diri subjek, ilmu-ilmu  hakiki dibangun dengan menggunakan metode demonstrasi. </w:t>
      </w:r>
      <w:r>
        <w:rPr>
          <w:rStyle w:val="FootnoteAnchor"/>
        </w:rPr>
        <w:footnoteReference w:id="280"/>
      </w:r>
      <w:r>
        <w:rPr>
          <w:rFonts w:eastAsia="Times New Roman" w:cs="Times New Roman" w:ascii="Times New Roman" w:hAnsi="Times New Roman"/>
          <w:color w:val="111111"/>
          <w:sz w:val="28"/>
          <w:szCs w:val="28"/>
          <w:lang w:val="en-US"/>
        </w:rPr>
        <w:t xml:space="preserve"> Suhrawardi menunjukkan suatu prefensi bagi metode khusus  dalam memperoleh esensi segala sesuatu dengan berpijak pada  intuisi utama subjek yang mengetahui dalam jiwa itu, yang  kemudian berperan sebagai dasar bagi pembentukan definisi-  definisi. Pada dasarnya,  definisi-definisi  semacam itu digunakan  dalam pembentukan berbagai demonstrasi selanjutnya.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bagian terakhir Kaidah Ketujuh ($ 15), yang berjudul  Teori Iluminasi dan memuat anak judul Tentang Destruksi Dalil  Definisi Peripatetik, Suhrawardi terlebih dahulu membahas  metode yang digunakan kaum Peripatetik dalam membentuk  definisi esensialis, dan menunjukkan bagaimana pembentukan  semacam itu tidak memadai untuk memperoleh pengetahuan  tentang esensi dari sesuatu. Suhrawardi mulai dengan  menyatakan bahwa kaum Peripatetik merasa puas dengan hanya  “menyebutkan  hal esensial yang paling umum (adz-dzāti al-  ‘āmm), hal esensial yang paling khusus (adz-dzāti al-khāshsh),  dan mereka menyebutnya sebagai definisi esensialis. Suhrawardi  menekan penggunaan kata “menyebutkan”, yang bertentangan  dengan formulanya yang mensyaratkan, seperti kita lihat di atas,  bahwa hal-hal esensial harus  disintesiskan  (atau disatukan  dengan cara tertentu lainnya) ke dalam sebuah kesatuan. Ini  hanya mungkin bisa dilakukan dalam jiwa subjek dan dalam  hubungannya dengan objek. Suhrawardi, dalam gaya filsafatnya  yang tidak biasa, kemudian menjelaskan istilah-istilah yang </w:t>
      </w:r>
    </w:p>
    <w:p>
      <w:pPr>
        <w:pStyle w:val="BookText"/>
        <w:bidi w:val="0"/>
        <w:rPr/>
      </w:pPr>
      <w:r>
        <w:rPr>
          <w:rFonts w:eastAsia="Times New Roman" w:cs="Times New Roman" w:ascii="Times New Roman" w:hAnsi="Times New Roman"/>
          <w:color w:val="111111"/>
          <w:sz w:val="28"/>
          <w:szCs w:val="28"/>
          <w:lang w:val="en-US"/>
        </w:rPr>
        <w:t>digunakan. Hal esensial paling umum dari sesuatu, yang disebut  genus adalah sebuah hal esensial yang harus saling menafikan hal  esensial umum lainnya, dan berkaitan dengan realitas universal  (al-haqiqah al-kulliyyah) yang sama dengan jawaban yang  diberikan atas pertanyaan “Apakah itu?  Hal esensial khusus-  yang khas bagi sesuatu yang berkaitan dengan pertanyaan  “Apakah itu?  — disebut diferensia. Genus dan diferensia adalah  dua komponen dasar definisi Esensialis Peripatetik. Suhrawardi  memberitahu kita bahwa ia mengikuti cara lain dalam menata  genus dan diferensia daripada kaum Peripatetik. Menurutnya,  hal ini telah ditegaskannnya dalam karya-karyanya lain, yakni  At-Talwībāt dan Al-Masyāri' wa Al-Muthārahāt, di mana seperti  dianalisis di atas, Suhrawardi mengemukakan gagasan bahwa  genus dan diferensia majemuk dari sesuatu, dan semua sifatnya  secara umum harus dikombinasikan ke dalam suatu formula  sedemikian rupa untuk menyampaikan kesatuan esensi.</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ia mengatakan bahwa kaum Peripatetik  berpendapat bahwa yang tidak diketahui hanya bisa ditentukan  dalam hubungannya dengan sesuatu yang diketahui, suatu  pandangan yang dianggap Suhrawardi bersifat fundamental  bagi pandangan kaum Peripatetaik tentang ilmu. Sewaktu kaum  Peripatetik mendefinisikan sesuatu dalam hubungannya dengan  hal-hal esensialnya (yang telah diabstraksikan darinya), mereka  membiarkan hal-hal esensial itu lebih diketahui daripada  sesuatu yang ingin mereka definisikan; sementara Suhrawardi  berpendapat bahwa hal-hal esensial sesuatu tidak dapat  diketahui seperti apa adanya. Akibatnya, ia berpandangan bahwa  hubungan antara sesuatu yang diambil secara keseluruhan, yakni  kesatuan, dan hal-hal esensial majemuk adalah suatu hubungan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organis  karena hal-hal esensial tidak bisa dipisahkan dari  keseluruhan sesuatu, dan karenanya, diselidiki. Argumen-  argumen Suhrawardi dalam hal ini, adalah kita andaikan bahwa  sesuatu punya hal esensial khusus yang berkaitan dengannya.</w:t>
      </w:r>
    </w:p>
    <w:p>
      <w:pPr>
        <w:pStyle w:val="BookText"/>
        <w:bidi w:val="0"/>
        <w:jc w:val="both"/>
        <w:rPr/>
      </w:pPr>
      <w:r>
        <w:rPr>
          <w:rFonts w:eastAsia="Times New Roman" w:cs="Times New Roman" w:ascii="Times New Roman" w:hAnsi="Times New Roman"/>
          <w:color w:val="111111"/>
          <w:sz w:val="28"/>
          <w:szCs w:val="28"/>
          <w:lang w:val="en-US"/>
        </w:rPr>
        <w:t>Nah, hal esensial khusus ini diketahui dengan sesuatu itu atau  dalam sesuatu yang lain (yakni dengan mengetahuinya ada dalam  sesuatu yang lain), atau tidak diketahui sama sekali. Kemungkinan  ketiga, tidak mendapat perhatian. Akan tetapi, jika hal esensial  diketahui dalam sesuatu yang lain, maka ia bukan sebuah hal  esensial dari sesuatu itu, dan jika hal esensial diketahui dengan  sesuatu itu, maka ia adalah “bagian  yang terindra dan tidak  terdiferensiasi dari sesuatu itu. Oleh sebab itu, ketika sesuatu  yang diketahui dipahami, dan ketika diketahui dengan cara  persepsi indra, maka hal-hal esensialnya pun juga diketahui.</w:t>
      </w:r>
    </w:p>
    <w:p>
      <w:pPr>
        <w:pStyle w:val="BookText"/>
        <w:bidi w:val="0"/>
        <w:jc w:val="both"/>
        <w:rPr/>
      </w:pPr>
      <w:r>
        <w:rPr>
          <w:rFonts w:eastAsia="Times New Roman" w:cs="Times New Roman" w:ascii="Times New Roman" w:hAnsi="Times New Roman"/>
          <w:color w:val="111111"/>
          <w:sz w:val="28"/>
          <w:szCs w:val="28"/>
          <w:lang w:val="en-US"/>
        </w:rPr>
        <w:t>Yang jelas sekarang, mekanika persepsi indra menjadi penting  karena harus bekerja sedemikian rupa untuk memberi “subjek   pengetahuan terpadu tentang “objek  saat terjadi tindak persepsi.</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Tindak persepsi semisal itu, seperti akan kita lihat adalah salah  satu komponen dari teori Suhrawardi tentang Kognisi Iluminasi,   (Orang bisa mencapai definisi hanya) dengan  menggunakan hal-hal yang kasat mata atau terindra dengan  cara lain (yakni, yang berbeda dari formula definisi kaum  Peripatetik), dan (hanya) jika (dan ketika) sesuatu itu  berkaitan secara khusus dengan keseluruhan jumlah (dari  hal-hal yang terindra dan kasat mata) sebagai keseluruhan  organis. </w:t>
      </w:r>
      <w:r>
        <w:rPr>
          <w:rStyle w:val="FootnoteAnchor"/>
        </w:rPr>
        <w:footnoteReference w:id="281"/>
      </w:r>
      <w:r>
        <w:rPr>
          <w:rFonts w:eastAsia="Times New Roman" w:cs="Times New Roman" w:ascii="Times New Roman" w:hAnsi="Times New Roman"/>
          <w:color w:val="111111"/>
          <w:sz w:val="28"/>
          <w:szCs w:val="28"/>
          <w:lang w:val="en-US"/>
        </w:rPr>
        <w:t xml:space="preserve"> Nah, inilah teori khusus tentang Kognisi dan teori khusus  tentang Wujud yang dimaksudkan untuk menjelaskan pengetahuan  tentang keseluruhan dari sesuatu sebagaimana adanya. </w:t>
      </w:r>
    </w:p>
    <w:p>
      <w:pPr>
        <w:pStyle w:val="BookText"/>
        <w:bidi w:val="0"/>
        <w:rPr/>
      </w:pPr>
      <w:r>
        <w:rPr>
          <w:rFonts w:eastAsia="Times New Roman" w:cs="Times New Roman" w:ascii="Times New Roman" w:hAnsi="Times New Roman"/>
          <w:color w:val="111111"/>
          <w:sz w:val="28"/>
          <w:szCs w:val="28"/>
          <w:lang w:val="en-US"/>
        </w:rPr>
        <w:t>Dalam paragraf terakhir dari bagian * 15, barangkali  inti kritiknya atas teori Peripatetik, Suhrawardi menyerang  formula definisi Peripatetik dari sudut pandang yang lain.</w:t>
      </w:r>
    </w:p>
    <w:p>
      <w:pPr>
        <w:pStyle w:val="BookText"/>
        <w:bidi w:val="0"/>
        <w:jc w:val="both"/>
        <w:rPr/>
      </w:pPr>
      <w:r>
        <w:rPr>
          <w:rFonts w:eastAsia="Times New Roman" w:cs="Times New Roman" w:ascii="Times New Roman" w:hAnsi="Times New Roman"/>
          <w:color w:val="111111"/>
          <w:sz w:val="28"/>
          <w:szCs w:val="28"/>
          <w:lang w:val="en-US"/>
        </w:rPr>
        <w:t xml:space="preserve">Juga serangannya, sebagian berhubungan dengan kritiknya  atas induksi. </w:t>
      </w:r>
      <w:r>
        <w:rPr>
          <w:rStyle w:val="FootnoteAnchor"/>
        </w:rPr>
        <w:footnoteReference w:id="282"/>
      </w:r>
      <w:r>
        <w:rPr>
          <w:rFonts w:eastAsia="Times New Roman" w:cs="Times New Roman" w:ascii="Times New Roman" w:hAnsi="Times New Roman"/>
          <w:color w:val="111111"/>
          <w:sz w:val="28"/>
          <w:szCs w:val="28"/>
          <w:lang w:val="en-US"/>
        </w:rPr>
        <w:t xml:space="preserve">Suhrawardi mengulangi posisi fundamentalnya  mengenai definisi dengan menyatakan bahwa untuk mengetahui  sesuatu melalui hal-hal esensialnya, orang harus bisa  menguraikan semuanya itu secara rinci. Ia berpendapat bahwa  realitas dari sesuatu hanya bisa diketahui dengan pasti jika dan  hanya jika keseluruhan jumlah dari hal-hal esensial diketahui. </w:t>
      </w:r>
      <w:r>
        <w:rPr>
          <w:rStyle w:val="FootnoteAnchor"/>
        </w:rPr>
        <w:footnoteReference w:id="283"/>
      </w:r>
      <w:r>
        <w:rPr>
          <w:rFonts w:eastAsia="Times New Roman" w:cs="Times New Roman" w:ascii="Times New Roman" w:hAnsi="Times New Roman"/>
          <w:color w:val="111111"/>
          <w:sz w:val="28"/>
          <w:szCs w:val="28"/>
          <w:lang w:val="en-US"/>
        </w:rPr>
        <w:t xml:space="preserve"> Suhrawardi menyatakan secara eksplisit untuk pertama kalinya  bahwa pengetahuan tentang keseluruhan hal esensial seperti  itu, melalui metode penguraian, bagaimanapun juga, tidak  mungkin. Sebab, sesuatu yang didefinisikan boleh jadi memiliki  kemajemukan sifat-sifat yang tidak tampak (ghair zhāhir).</w:t>
      </w:r>
    </w:p>
    <w:p>
      <w:pPr>
        <w:pStyle w:val="BookText"/>
        <w:bidi w:val="0"/>
        <w:jc w:val="both"/>
        <w:rPr/>
      </w:pPr>
      <w:r>
        <w:rPr>
          <w:rFonts w:eastAsia="Times New Roman" w:cs="Times New Roman" w:ascii="Times New Roman" w:hAnsi="Times New Roman"/>
          <w:color w:val="111111"/>
          <w:sz w:val="28"/>
          <w:szCs w:val="28"/>
          <w:lang w:val="en-US"/>
        </w:rPr>
        <w:t>Suhrawardi sebelumnya mengatakan bahwa definisi esensialis  yang valid adalah definisi yang mengombinasikan seluruh sifat  dari sesuatu yang didefiniskkan, tetapi kini ia mengatakan  bahwa tidak mungkin menguraikan semuanya itu secara rinci,  apalagi mengetahui semuanya. Selanjutnya, ia menegaskan  bahwa tidak cukup seseorang mengaku bahwa ia mengetahui  seluruh hal esensial dan sanggup merincinya, karena selalu ada  sesuatu yang mungkin tidak pernah diketahuinya, atau ia tidak  bisa mengetahuinya. Selalu ada elemen yang tidak diketahui  dalam upaya menguraikan sifat-sifat pokok sesuatu secara  terpisah dari keseluruhan hakikat sesuatu itu.</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bisa menafsirkan kata-kata Suhrawardi itu sebagai  berikut: perangkat hal-hal esensial dari sesuatu mungkin tidak  terikat, dan elemen-elemen dari perangkat itu boleh jadi tidak </w:t>
      </w:r>
      <w:bookmarkStart w:id="161" w:name="pg6442_57421"/>
    </w:p>
    <w:p>
      <w:pPr>
        <w:pStyle w:val="BookText"/>
        <w:bidi w:val="0"/>
        <w:rPr/>
      </w:pPr>
      <w:bookmarkEnd w:id="161"/>
      <w:r>
        <w:rPr>
          <w:rFonts w:eastAsia="Times New Roman" w:cs="Times New Roman" w:ascii="Times New Roman" w:hAnsi="Times New Roman"/>
          <w:color w:val="111111"/>
          <w:sz w:val="28"/>
          <w:szCs w:val="28"/>
          <w:lang w:val="en-US"/>
        </w:rPr>
        <w:t>bisa dibedakan secara jelas dari perangkat itu; pengetahuan  tentang perangkat itu mengimplikasikan pengetahuan tentang  elemen-elemen, tetapi tidak mungkin mengetahui ihwal apa  perangkat itu dengan mengetahui elemen-elemennya secara  terpisah. Pandangan Suhrawardi – yang menyatakan bahwa  hal-hal esensial hanya bisa dipastikan bila sesuatu itu sudah  ditentukan, adalah dasar dari kritiknya atas teori Peripatetik.</w:t>
      </w:r>
    </w:p>
    <w:p>
      <w:pPr>
        <w:pStyle w:val="BookText"/>
        <w:bidi w:val="0"/>
        <w:jc w:val="both"/>
        <w:rPr/>
      </w:pPr>
      <w:r>
        <w:rPr>
          <w:rFonts w:eastAsia="Times New Roman" w:cs="Times New Roman" w:ascii="Times New Roman" w:hAnsi="Times New Roman"/>
          <w:color w:val="111111"/>
          <w:sz w:val="28"/>
          <w:szCs w:val="28"/>
          <w:lang w:val="en-US"/>
        </w:rPr>
        <w:t xml:space="preserve">la berperan sebagai daya pendorong dalam merumuskan teori  pengganti lainnya. Ia menyatakan,  “Kita hanya memperoleh definisi melalui segala sesuatu  yang berkaitan secara khusus dengan keseluruhan (yakni,  keseluruhan organis) dari sesuatu. </w:t>
      </w:r>
      <w:r>
        <w:rPr>
          <w:rStyle w:val="FootnoteAnchor"/>
        </w:rPr>
        <w:footnoteReference w:id="284"/>
      </w:r>
      <w:r>
        <w:rPr>
          <w:rFonts w:eastAsia="Times New Roman" w:cs="Times New Roman" w:ascii="Times New Roman" w:hAnsi="Times New Roman"/>
          <w:color w:val="111111"/>
          <w:sz w:val="28"/>
          <w:szCs w:val="28"/>
          <w:lang w:val="en-US"/>
        </w:rPr>
        <w:t xml:space="preserve"> Akhirnya, di ujung kritiknya Suhrawardi menyatakan  bahwa kaum Peripatetik tidak bisa, dalam pengertian ilmiah  yang paling ketat, mendefinisikan sesuatu apa pun, dan ini  meruntuhkan dasar demonstrasi. Inilah dilema yang dilacak  oleh Suhrawardi kepada Aristoteles. </w:t>
      </w:r>
      <w:r>
        <w:rPr>
          <w:rStyle w:val="FootnoteAnchor"/>
        </w:rPr>
        <w:footnoteReference w:id="285"/>
      </w:r>
    </w:p>
    <w:p>
      <w:pPr>
        <w:pStyle w:val="Heading4"/>
        <w:numPr>
          <w:ilvl w:val="3"/>
          <w:numId w:val="1"/>
        </w:numPr>
        <w:bidi w:val="0"/>
        <w:jc w:val="left"/>
        <w:rPr/>
      </w:pPr>
      <w:bookmarkStart w:id="162" w:name="__RefHeading___Toc924686_653776707"/>
      <w:bookmarkStart w:id="163" w:name="_Toc56"/>
      <w:bookmarkEnd w:id="162"/>
      <w:r>
        <w:rPr/>
        <w:t>4.1. Rumusan Teori Definisi Iluminasi</w:t>
      </w:r>
      <w:bookmarkEnd w:id="163"/>
    </w:p>
    <w:p>
      <w:pPr>
        <w:pStyle w:val="BookText"/>
        <w:bidi w:val="0"/>
        <w:jc w:val="both"/>
        <w:rPr/>
      </w:pPr>
      <w:r>
        <w:rPr>
          <w:rFonts w:eastAsia="Times New Roman" w:cs="Times New Roman" w:ascii="Times New Roman" w:hAnsi="Times New Roman"/>
          <w:color w:val="111111"/>
          <w:sz w:val="28"/>
          <w:szCs w:val="28"/>
          <w:lang w:val="en-US"/>
        </w:rPr>
        <w:t>4.1. Rumusan Teori Definisi Iluminasi  Sejauh ini, kita sudah memusatkan diri dengan  mengemukakan berbagai pandangan filsuf-filsuf sebelumnya  dan sebelum Suhrawardi tentang problem definisi. Kita juga  telah menunjukkan argumen-argumen Suhrawardi dalam  bagian-bagian khusus atau karya-karya utamanya. Sekarang,  kita meninjau teori Definisi Suhrawardi dari perspektif teoretis  dan metodologis yang lebih luas, dan kita akan berusaha menilai  berbagai implikasi teori itu.</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bahwa definisi memainkan peran penting dalam </w:t>
      </w:r>
    </w:p>
    <w:p>
      <w:pPr>
        <w:pStyle w:val="BookText"/>
        <w:bidi w:val="0"/>
        <w:rPr/>
      </w:pPr>
      <w:r>
        <w:rPr>
          <w:rFonts w:eastAsia="Times New Roman" w:cs="Times New Roman" w:ascii="Times New Roman" w:hAnsi="Times New Roman"/>
          <w:color w:val="111111"/>
          <w:sz w:val="28"/>
          <w:szCs w:val="28"/>
          <w:lang w:val="en-US"/>
        </w:rPr>
        <w:t>membangun Filsafat Iluminasi. Usaha apa pun untuk membahas  perkembangan filsafat dalam periode Islam tanpa mengetahui  segenap rincian teori dan signifikansi epistemologinya tidak  akan sempurna dan bahkan bisa menyesatkan. Teori Definisi  Suhrawardi adalah penyempurnaan metodologis, dan formal  atas teori-teori sebelumnya, serta dengan pantas mendapat  tempat dalam sejarah logika dan filsafat secara umum.</w:t>
      </w:r>
    </w:p>
    <w:p>
      <w:pPr>
        <w:pStyle w:val="BookText"/>
        <w:bidi w:val="0"/>
        <w:jc w:val="both"/>
        <w:rPr/>
      </w:pPr>
      <w:r>
        <w:rPr>
          <w:rFonts w:eastAsia="Times New Roman" w:cs="Times New Roman" w:ascii="Times New Roman" w:hAnsi="Times New Roman"/>
          <w:color w:val="111111"/>
          <w:sz w:val="28"/>
          <w:szCs w:val="28"/>
          <w:lang w:val="en-US"/>
        </w:rPr>
        <w:t>Dalam At-Talwīhāt, Al-Masyāri' wa Al-Muthārahāt, dan  Hikmah Al-Isyrāq, beberapa faktor bisa dipandang sebagai  bagian dari teori Definisi yang utuh dan terpadu. Definisi  yang secara tradisional dibahas dalam Al-Burhān dan Al-Jadal,  diuraikan oleh Suhrawardi dalam  buku  tersendiri dan terpisah  tentang struktur baru logikanya, yang membagi logika ke dalam  semiotika, logika formal, dan logika materiel. Kaidah-kaidah  formal yang mengatur definisi dimodifikasi dan diperluas oleh  Suhrawardi dalam ketiga karyanya itu. Kita tidak bisa melihat  formulasi Peripatetik yang jelas dalam At-Talwīhāt atau dalam  Al-Masyāri' wa Al-Muthārahāt. Sebaliknya, kita bisa melihat  formulasi Iluminasi yang jelas dalam Hikmah Al-Isyrāq. Ada  hubungan yang jelas di antara karya-karya tersebut sehingga  kritik atas definisi yang dikemukakan dalam Hikmah Al-Isyrāg  hanya bisa dipahami manakala kita mempertimbangkan At-  Talwīhāt dan Al-Masyāri' wa Al-Muthārahāt. Kita tahu bahwa At-  Talwihāt memuat pendahuluan singkat tentang subjek-subjek  itu, diikuti dengan analisis rincinya dalam Al-Masyāri' wa Al-  Muthārahāt, yang akhirnya dirumuskan, meski tidak rinci dalam  Hikmah Al-Isyrāq.</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sudut pandang formal, teori Suhrawardi adalah  penyempurnaan teori lama. Formulanya yang luas dan lebih </w:t>
      </w:r>
    </w:p>
    <w:p>
      <w:pPr>
        <w:pStyle w:val="BookText"/>
        <w:bidi w:val="0"/>
        <w:rPr/>
      </w:pPr>
      <w:r>
        <w:rPr>
          <w:rFonts w:eastAsia="Times New Roman" w:cs="Times New Roman" w:ascii="Times New Roman" w:hAnsi="Times New Roman"/>
          <w:color w:val="111111"/>
          <w:sz w:val="28"/>
          <w:szCs w:val="28"/>
          <w:lang w:val="en-US"/>
        </w:rPr>
        <w:t xml:space="preserve">rinci untuk definisi esensialis (baik yang sempurna maupun yang  tidak sempurna) – yang menuntut agar sifat-sifat esensial dari  sesuatu yang didefinisikan harus diuraikan secara memadai dan   dikombinasikan  menjadi sebuah formula utuh atau terpadu-  sebuah analisis yang jelas atas problem definisi esensialis, dan  jawaban atas problem-problem yang ditemukan dalam formula  Peripatetik. Kita telaah pembagian Suhrawardi atas definisi hakiki  ke dalam lima jenis, yang harus dinilai sebagai sumbangannya  bagi klasifikasi Peripatetik yang membagi definisi hakiki ke  dalam empat jenis. </w:t>
      </w:r>
      <w:r>
        <w:rPr>
          <w:rStyle w:val="FootnoteAnchor"/>
        </w:rPr>
        <w:footnoteReference w:id="286"/>
      </w:r>
      <w:r>
        <w:rPr>
          <w:rFonts w:eastAsia="Times New Roman" w:cs="Times New Roman" w:ascii="Times New Roman" w:hAnsi="Times New Roman"/>
          <w:color w:val="111111"/>
          <w:sz w:val="28"/>
          <w:szCs w:val="28"/>
          <w:lang w:val="en-US"/>
        </w:rPr>
        <w:t>Teori formal yang dielaborasi, Suhrawardi  mengombinasikan metode pembagian dan sintesis dengan  metode demonstrasi, dan karenanya lebih bercorak Platonis  ketimbang teori apa pun sebelumnya dalam sejarah Filsafat Islam.</w:t>
      </w:r>
    </w:p>
    <w:p>
      <w:pPr>
        <w:pStyle w:val="BookText"/>
        <w:bidi w:val="0"/>
        <w:jc w:val="both"/>
        <w:rPr/>
      </w:pPr>
      <w:r>
        <w:rPr>
          <w:rFonts w:eastAsia="Times New Roman" w:cs="Times New Roman" w:ascii="Times New Roman" w:hAnsi="Times New Roman"/>
          <w:color w:val="111111"/>
          <w:sz w:val="28"/>
          <w:szCs w:val="28"/>
          <w:lang w:val="en-US"/>
        </w:rPr>
        <w:t>Namun, keberatan-keberatan Suhrawardi atas kaum Peripatetik  diajukan dalam sebuah kerangka konseptual dan metodologis  Peripatetik. Seperti diakui Suhrawardi, Filsafat Iluminasi bukan  metode yang sama sekali terpisah dari Filsafat Peripatetik.</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juga telah melihat bahwa kritik atas definisi, yang  diawali dari kaidah-kaidah formal, pada akhirnya pun menyentuh  persoalan-persoalan epistemologi mendasar. Ketika Suhrawardi  mensyaratkan bahwa kita hanya bisa mengetahui sesuatu  dengan mengetahui seluruh sifatnya, dan bahwa definisi-definisi  Iluminasi diperoleh hanya dengan memastikan totalitas atau  keseluruhan organis dari sesuatu, maka kita bisa menyimpulkan  bahwa inti teorinya terletak dalam dua hal: sikap Platonis yang  menuntut bahwa hanya pengetahuan saja yang bisa berperan  sebagai dasar bagi pengetahuan; dan satu hal mendasar dari  metodologi yang mensyaratkan bahwa definisi harus berusaha  mendefinisikan bentuk-bentuk, atau mengetahuinya melalui </w:t>
      </w:r>
    </w:p>
    <w:p>
      <w:pPr>
        <w:pStyle w:val="BookText"/>
        <w:bidi w:val="0"/>
        <w:rPr/>
      </w:pPr>
      <w:r>
        <w:rPr>
          <w:rFonts w:eastAsia="Times New Roman" w:cs="Times New Roman" w:ascii="Times New Roman" w:hAnsi="Times New Roman"/>
          <w:color w:val="111111"/>
          <w:sz w:val="28"/>
          <w:szCs w:val="28"/>
          <w:lang w:val="en-US"/>
        </w:rPr>
        <w:t>Iluminasi visi. Nah, syarat bahwa pengetahuan harus berdiri  sebagai dasar pengetahuan dipenuhi oleh Suhrawardi melalui  ide bawaan yang berperan sebagai dasar pengetahuan dan “bisa  disingkap” dalam kesadaran diri subjek. Hanya saja, ada dilema  bahwa dari pandangan yang benar-benar formal, bentuk-  bentuk tidak bisa didefinisikan, seperti yang ditekankan oleh  Aristoteles. Dilema ini membuat Suhrawardi merumuskan  bentuk ekspresi simbolis yang dimaksudkan bagi kelompok  pilihan, yang dengannya sesuatu bisa ditunjukkan sebagaimana  adanya kepada sang “murid  (seperti kepada Meno, dalam  dialog Plato yang terkenal), yang dibimbing untuk memahami  makna esensinya. Karena itu, kita bisa membagi teori definisi  Suhrawardi menjadi dua bagian yang saling melengkapi: formal  dan psikologis, atau eksperiensial. Bagian formal terdiri dari  kritiknya atas teori Peripatetik dan berusaha memperbaikinya  dari sudut pandang Peripatetik itu. Bagian psikologis atau  eksperiensial meliputi beberapa faktor. Dari syarat dasar yang  dituntut dari sesuatu yang melaluinya definisi dibangun, yakni  keterdahuluan dan kejelasan (dua syarat paling penting menurut  Aristoteles),</w:t>
      </w:r>
      <w:r>
        <w:rPr>
          <w:rStyle w:val="FootnoteAnchor"/>
        </w:rPr>
        <w:footnoteReference w:id="287"/>
      </w:r>
      <w:r>
        <w:rPr>
          <w:rFonts w:eastAsia="Times New Roman" w:cs="Times New Roman" w:ascii="Times New Roman" w:hAnsi="Times New Roman"/>
          <w:color w:val="111111"/>
          <w:sz w:val="28"/>
          <w:szCs w:val="28"/>
          <w:lang w:val="en-US"/>
        </w:rPr>
        <w:t>kita diarahkan pada apa yang paling dahulu dan  yang paling jelas. Ternyata, “sesuatu  ini adalah “cahaya  yang  menjadi dasar fundamental realitas dalam Filsafat Iluminasi  dan bahan kesadaran diri manusia. cahaya adalah definisinya;  “melihat -nya berarti mengetahuinya:</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Dalam realitas, jika ada sesuatu yang tidak perlu  didefinisikan atau dijelaskan, maka sesuatu itu berarti  sudah jelas dan karena tidak ada sesuatu yang lebih jelas  dari cahaya serta melebihi sesuatu yang lainnya, maka ia  pun tidak perlu didefinisikan. </w:t>
      </w:r>
      <w:r>
        <w:rPr>
          <w:rStyle w:val="FootnoteAnchor"/>
        </w:rPr>
        <w:footnoteReference w:id="288"/>
      </w:r>
    </w:p>
    <w:p>
      <w:pPr>
        <w:pStyle w:val="BookText"/>
        <w:bidi w:val="0"/>
        <w:rPr/>
      </w:pPr>
      <w:r>
        <w:rPr>
          <w:rFonts w:eastAsia="Times New Roman" w:cs="Times New Roman" w:ascii="Times New Roman" w:hAnsi="Times New Roman"/>
          <w:color w:val="111111"/>
          <w:sz w:val="28"/>
          <w:szCs w:val="28"/>
          <w:lang w:val="en-US"/>
        </w:rPr>
        <w:t>Mencari definisi bagi Suhrawardi, melibatkan faktor  tambahan. Inilah usaha yang dilakukan oleh “syaikh  atau guru,</w:t>
      </w:r>
      <w:r>
        <w:rPr>
          <w:rStyle w:val="FootnoteAnchor"/>
        </w:rPr>
        <w:footnoteReference w:id="289"/>
      </w:r>
      <w:r>
        <w:rPr>
          <w:rFonts w:eastAsia="Times New Roman" w:cs="Times New Roman" w:ascii="Times New Roman" w:hAnsi="Times New Roman"/>
          <w:color w:val="111111"/>
          <w:sz w:val="28"/>
          <w:szCs w:val="28"/>
          <w:lang w:val="en-US"/>
        </w:rPr>
        <w:t xml:space="preserve"> yang mengarahkan murid melalui wacana-wacana yang berpijak  pada pilar diskursif Filsafat Iluminasi dan juga pilar intuitif.</w:t>
      </w:r>
    </w:p>
    <w:p>
      <w:pPr>
        <w:pStyle w:val="BookText"/>
        <w:bidi w:val="0"/>
        <w:jc w:val="both"/>
        <w:rPr/>
      </w:pPr>
      <w:r>
        <w:rPr>
          <w:rFonts w:eastAsia="Times New Roman" w:cs="Times New Roman" w:ascii="Times New Roman" w:hAnsi="Times New Roman"/>
          <w:color w:val="111111"/>
          <w:sz w:val="28"/>
          <w:szCs w:val="28"/>
          <w:lang w:val="en-US"/>
        </w:rPr>
        <w:t>Ini terjadi ketika hakikat simbolis dan metaforis karya-karya  Iluminasi diungkapkan kepadanya sehingga murid menyadari  realitas dari segenap kebenaran yang abadi dan tidak berubah,  yakni bentuk-bentuk.</w:t>
      </w:r>
    </w:p>
    <w:p>
      <w:pPr>
        <w:pStyle w:val="BookText"/>
        <w:bidi w:val="0"/>
        <w:jc w:val="both"/>
        <w:rPr/>
      </w:pPr>
      <w:r>
        <w:rPr>
          <w:rFonts w:eastAsia="Times New Roman" w:cs="Times New Roman" w:ascii="Times New Roman" w:hAnsi="Times New Roman"/>
          <w:color w:val="111111"/>
          <w:sz w:val="28"/>
          <w:szCs w:val="28"/>
          <w:lang w:val="en-US"/>
        </w:rPr>
        <w:t>Teori definisi yang dikemukakan Suhrawardi berusaha  menjawab pertanyaan “Apakah X itu?  dalam dua pendekatan  komplementer atau saling melengkapi. Pertama, melalui seperangkat  definisi parsial X, berkenaan dengan hal-hal esensial X, suatu definisi  formal pun dibangun. Namun, definisi formal ini, kita sebut saja  d, hanyalah definisi parsial. Berikutnya, dengan metode psikologi,  subjek diarahkan pada pemahaman tentang X berdasarkan da,  yang disadari oleh subjek, tetapi tidak diartikulasikan sepenuhnya.</w:t>
      </w:r>
    </w:p>
    <w:p>
      <w:pPr>
        <w:pStyle w:val="BookText"/>
        <w:bidi w:val="0"/>
        <w:jc w:val="both"/>
        <w:rPr/>
      </w:pPr>
      <w:r>
        <w:rPr>
          <w:rFonts w:eastAsia="Times New Roman" w:cs="Times New Roman" w:ascii="Times New Roman" w:hAnsi="Times New Roman"/>
          <w:color w:val="111111"/>
          <w:sz w:val="28"/>
          <w:szCs w:val="28"/>
          <w:lang w:val="en-US"/>
        </w:rPr>
        <w:t>Tingkat pengetahuan yang lebih tinggi tentang X ini sama dengan  definisi “baru” X. Proses ini dilanjutkan sedemikian rupa sehingga  terbentuk sebuah definisi formal baru d,, yang, pada gilirannya-  dilengkapi dengan pengalaman tentang sebuah intuisi apa X itu.</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serangkaian definisi d, diperoleh. Berdasarkan  hal ini, definisi X yang valid, sebutlah D, yang mencakup semua d,  pun diperoleh. Tentu saja, dilema ini adalah ihwal apakah D bisa  diartikulasikan dalam hal d, atau apakah pengetahuan tentang X  melalui D hanya ada dalam kesadaran diri subjek? Jika demikian  halnya, maka D hanya bisa diekspresikan secara simbolis. Karena  itu, pengetahuan tentang X bergantung pada seperangkat definisi  formal X yang parsial plus pengalaman X sebagai intuisi primer  yang menjadi pijakan X. Metodologi formal berikut komponen </w:t>
      </w:r>
    </w:p>
    <w:p>
      <w:pPr>
        <w:pStyle w:val="BookText"/>
        <w:bidi w:val="0"/>
        <w:rPr/>
      </w:pPr>
      <w:r>
        <w:rPr>
          <w:rFonts w:eastAsia="Times New Roman" w:cs="Times New Roman" w:ascii="Times New Roman" w:hAnsi="Times New Roman"/>
          <w:color w:val="111111"/>
          <w:sz w:val="28"/>
          <w:szCs w:val="28"/>
          <w:lang w:val="en-US"/>
        </w:rPr>
        <w:t>eksperiensial menjadi bentuk ekspresi simbolis final dari “hasil-  hasil” Iluminasi, dan ini adalah tujuan terpenting rekonstruksi  filsafat Suhrawardi.</w:t>
      </w:r>
      <w:r>
        <w:rPr>
          <w:rStyle w:val="FootnoteAnchor"/>
        </w:rPr>
        <w:footnoteReference w:id="290"/>
      </w:r>
      <w:r>
        <w:rPr>
          <w:rFonts w:eastAsia="Times New Roman" w:cs="Times New Roman" w:ascii="Times New Roman" w:hAnsi="Times New Roman"/>
          <w:color w:val="111111"/>
          <w:sz w:val="28"/>
          <w:szCs w:val="28"/>
          <w:lang w:val="en-US"/>
        </w:rPr>
        <w:t>Melalui simbol atau metafora, pengetahuan  hakiki tentang X yang ada “dalam  diri manusia ditemukan kembali,  dan karenanya diketahui.</w:t>
      </w:r>
    </w:p>
    <w:p>
      <w:pPr>
        <w:pStyle w:val="BookText"/>
        <w:bidi w:val="0"/>
        <w:jc w:val="both"/>
        <w:rPr/>
      </w:pPr>
      <w:r>
        <w:rPr>
          <w:rFonts w:eastAsia="Times New Roman" w:cs="Times New Roman" w:ascii="Times New Roman" w:hAnsi="Times New Roman"/>
          <w:color w:val="111111"/>
          <w:sz w:val="28"/>
          <w:szCs w:val="28"/>
          <w:lang w:val="en-US"/>
        </w:rPr>
        <w:t>Kritik Suhrawardi atas formula Peripatetik juga mengacu  pada pandangan tentang wujud yang berpendapat bahwa esensi  dari sesuatu sesungguhnya tidak terpisah dari sifat-sifat sesuatu  itu; artinya, segenap esensi dan sifat adalah satu sebagaimana  terlihat dalam realitas eksternal. Karena itu, definisi hakiki pada  akhirnya juga gagal, bila subjek mempertimbangkan hanya  aspek formal saja dan bukan faktor-faktor pengalaman subjektif  lain, atau yang diketahui secara intuitif.</w:t>
      </w:r>
    </w:p>
    <w:p>
      <w:pPr>
        <w:pStyle w:val="BookText"/>
        <w:bidi w:val="0"/>
        <w:jc w:val="both"/>
        <w:rPr/>
      </w:pPr>
      <w:r>
        <w:rPr>
          <w:rFonts w:eastAsia="Times New Roman" w:cs="Times New Roman" w:ascii="Times New Roman" w:hAnsi="Times New Roman"/>
          <w:color w:val="111111"/>
          <w:sz w:val="28"/>
          <w:szCs w:val="28"/>
          <w:lang w:val="en-US"/>
        </w:rPr>
        <w:t xml:space="preserve">Dilema yang dihadapi filsafat berkenaan dengan definisi  hakiki sudah lama ada di kalangan para filsuf. Yang lebih mutakhir,  Kant menaruh banyak perhatian pada problem definisi dan  pemikirannya mengenai definisi analitis dan sintetis, menandai  babak baru formula Aristotelian murni untuk definisi hakiki. </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Schwartz, (New York: Library of Liberal Arts, 1974), hlm.141-146; N.K. Smith, A Commentary to Kant's Critique of  Pure Reason. (New York: Humanities Press, 1971), hlm. 564-  565; Lewis W. Beck, “Kant's Teheory of Definition , dalam  The Philosophica  Review, vol. 65, 374. (April, 1956), hlm.</w:t>
      </w:r>
    </w:p>
    <w:p>
      <w:pPr>
        <w:pStyle w:val="BookText"/>
        <w:bidi w:val="0"/>
        <w:jc w:val="both"/>
        <w:rPr/>
      </w:pPr>
      <w:r>
        <w:rPr>
          <w:rFonts w:eastAsia="Times New Roman" w:cs="Times New Roman" w:ascii="Times New Roman" w:hAnsi="Times New Roman"/>
          <w:color w:val="111111"/>
          <w:sz w:val="28"/>
          <w:szCs w:val="28"/>
          <w:lang w:val="en-US"/>
        </w:rPr>
        <w:t>179-191.</w:t>
      </w:r>
    </w:p>
    <w:p>
      <w:pPr>
        <w:pStyle w:val="BookText"/>
        <w:bidi w:val="0"/>
        <w:jc w:val="both"/>
        <w:rPr/>
      </w:pPr>
      <w:r>
        <w:rPr>
          <w:rFonts w:eastAsia="Times New Roman" w:cs="Times New Roman" w:ascii="Times New Roman" w:hAnsi="Times New Roman"/>
          <w:color w:val="111111"/>
          <w:sz w:val="28"/>
          <w:szCs w:val="28"/>
          <w:lang w:val="en-US"/>
        </w:rPr>
        <w:t>Pada abad ke-20, logika Intuisionis E. 1. J. Brouwer telah membuka  jalan dalam mempertimbangkan persoalan definisi jumlah, dan  karena itu, metodologi definisi secara umum juga didasarkan  pada intuisi utama.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(Oxford: Oxford University Press, 1976). Lihat juga, A.</w:t>
      </w:r>
    </w:p>
    <w:p>
      <w:pPr>
        <w:pStyle w:val="BookText"/>
        <w:bidi w:val="0"/>
        <w:jc w:val="both"/>
        <w:rPr/>
      </w:pPr>
      <w:r>
        <w:rPr>
          <w:rFonts w:eastAsia="Times New Roman" w:cs="Times New Roman" w:ascii="Times New Roman" w:hAnsi="Times New Roman"/>
          <w:color w:val="111111"/>
          <w:sz w:val="28"/>
          <w:szCs w:val="28"/>
          <w:lang w:val="en-US"/>
        </w:rPr>
        <w:t>Heyting, Intuitionism: An Introduction. (Amsterdam: North-  Holland Publishing Company, 1956).</w:t>
      </w:r>
    </w:p>
    <w:p>
      <w:pPr>
        <w:pStyle w:val="BookText"/>
        <w:bidi w:val="0"/>
        <w:jc w:val="both"/>
        <w:rPr/>
      </w:pPr>
      <w:r>
        <w:rPr>
          <w:rFonts w:eastAsia="Times New Roman" w:cs="Times New Roman" w:ascii="Times New Roman" w:hAnsi="Times New Roman"/>
          <w:color w:val="111111"/>
          <w:sz w:val="28"/>
          <w:szCs w:val="28"/>
          <w:lang w:val="en-US"/>
        </w:rPr>
        <w:t>Membandingkan teori Definisi Suhrawardi  dengan berbagai pandangan modern tentang subjek ini berada  di luar lingkup bahasan karya ini, tetapi harus diperhatikan bahwa  teori Iluminasi adalah sebuah pandangan baru tentang problem  tersebut dalam hubungannya dengan teori Peripatetik yang  kaku.</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Diakui, satu aspek dari teori Suhrawardi, yakni tuntutannya  untuk memberikan secara lengkap dan sempurna hal-hal esensial </w:t>
      </w:r>
    </w:p>
    <w:p>
      <w:pPr>
        <w:pStyle w:val="BookText"/>
        <w:bidi w:val="0"/>
        <w:rPr/>
      </w:pPr>
      <w:r>
        <w:rPr>
          <w:rFonts w:eastAsia="Times New Roman" w:cs="Times New Roman" w:ascii="Times New Roman" w:hAnsi="Times New Roman"/>
          <w:color w:val="111111"/>
          <w:sz w:val="28"/>
          <w:szCs w:val="28"/>
          <w:lang w:val="en-US"/>
        </w:rPr>
        <w:t>dari sesuatu yang disintesiskan dalam sebuah formula yang utuh  dan terpadu, sekurang-kurangnya membingungkan. Akan tetapi,  jika kita mempertimbangkan karya-karya para filsuf Modern,  semisal Bertrand Russel dan Alfred J. Ayer, maka kekaburan  itu pun akan menjadi jelas. Ayer membedakan definisi eksplisit  dari definisi yang digunakan. Ia memandang definisi eksplisit  sebagai sejenis definisi leksikal, dan menegaskan bahwa definisi  Aristoteles per genus et differentiam hanya menghasilkan  definisi-definisi eksplisit; dan ia memandang definisi yang disebut  terakhir, yakni definisi yang digunakan, sebagai definisi yang  mereduksi seperangkat simbol yang bisa diterjemahkan menjadi  padanan-padanan.</w:t>
      </w:r>
      <w:r>
        <w:rPr>
          <w:rStyle w:val="FootnoteAnchor"/>
        </w:rPr>
        <w:footnoteReference w:id="292"/>
      </w:r>
      <w:r>
        <w:rPr>
          <w:rFonts w:eastAsia="Times New Roman" w:cs="Times New Roman" w:ascii="Times New Roman" w:hAnsi="Times New Roman"/>
          <w:color w:val="111111"/>
          <w:sz w:val="28"/>
          <w:szCs w:val="28"/>
          <w:lang w:val="en-US"/>
        </w:rPr>
        <w:t xml:space="preserve">Simbol-simbol yang bisa diterjemahkan  menjadi padanan-padanan harus memasukkan, sebagai sebuah  komponen integral, pengalaman tentang kebenaran di balik simbol  itu. Demikian, simbol “manusia  pun digunakan, yang untuknya  definisi esensialis Aristoteles ihwal “hewan yang berpikir  hanyalah  sebuah definisi eksplisit. Definisi ini adalah sebuah tautologi  (dalam pengertian nonmatematis yang ketat). Esensi manusia  (yakni, kebenaran di balik simbol  manusia') adalah sesuatu  yang hanya bisa ditemukan kembali, menurut teori Iluminasi,  dalam diri subjek. Tindakan “menemukan kembali” ini adalah  penerjemahan simbol menjadi padanannya dalam kesadaran  atau diri subjek. Teori Russel direduksi menjadi perbedaan  antara definisi dengan  ekstensi” (yakni, definisi yang berusaha  menguraikan anggota-anggota dari suatu “kelas ) </w:t>
      </w:r>
      <w:r>
        <w:rPr>
          <w:rStyle w:val="FootnoteAnchor"/>
        </w:rPr>
        <w:footnoteReference w:id="293"/>
      </w:r>
      <w:r>
        <w:rPr>
          <w:rFonts w:eastAsia="Times New Roman" w:cs="Times New Roman" w:ascii="Times New Roman" w:hAnsi="Times New Roman"/>
          <w:color w:val="111111"/>
          <w:sz w:val="28"/>
          <w:szCs w:val="28"/>
          <w:lang w:val="en-US"/>
        </w:rPr>
        <w:t>dan definisi  dengan  intensi  (yakni, definisi yang menyebutkan sifat dari apa  yang didefinisikan, atau sebagian darinya).</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(New York: Simon and Schuster, tanpa tahun), hlm. 12.</w:t>
      </w:r>
    </w:p>
    <w:p>
      <w:pPr>
        <w:pStyle w:val="BookText"/>
        <w:bidi w:val="0"/>
        <w:jc w:val="both"/>
        <w:rPr/>
      </w:pPr>
      <w:r>
        <w:rPr>
          <w:rFonts w:eastAsia="Times New Roman" w:cs="Times New Roman" w:ascii="Times New Roman" w:hAnsi="Times New Roman"/>
          <w:color w:val="111111"/>
          <w:sz w:val="28"/>
          <w:szCs w:val="28"/>
          <w:lang w:val="en-US"/>
        </w:rPr>
        <w:t>Bandingkan, Irving Copi, Symbolic Logic, (New York: The  Macmillan Co., 1965), Bab VI; Moritz Schlick, General  Theory of Knowledge, (New York and Wien: Springer-Verlag,  1975), hlm. 31-39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Teori Iluminasi bisa  dipandang untuk menggabungkan elemen-elemen dari definisi  dengan ekstensi dan definisi dengan intensi.</w:t>
      </w:r>
      <w:bookmarkStart w:id="164" w:name="pg6442_57428"/>
    </w:p>
    <w:p>
      <w:pPr>
        <w:pStyle w:val="Heading3"/>
        <w:numPr>
          <w:ilvl w:val="2"/>
          <w:numId w:val="1"/>
        </w:numPr>
        <w:bidi w:val="0"/>
        <w:jc w:val="left"/>
        <w:rPr/>
      </w:pPr>
      <w:bookmarkStart w:id="165" w:name="__RefHeading___Toc924688_653776707"/>
      <w:bookmarkStart w:id="166" w:name="_Toc57"/>
      <w:bookmarkEnd w:id="164"/>
      <w:bookmarkEnd w:id="165"/>
      <w:r>
        <w:rPr/>
        <w:t>Catatan:</w:t>
      </w:r>
      <w:bookmarkEnd w:id="16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Ada sejumlah jenis definisi yang dikenal dan diketahui. Saya tidak  bisa menguraikan semuanya di sini, atau menunjukkan sumber-  sumber klasifikasi berbagai definisi dan penggunaannya dalam  logika dan filsafat, tetapi saya akan menyebutkan beberapa  jenis definisi yang penting. Sebuah karya penting tentang  definisi adalah Definition, karya Richard Robinson, (Oxford:</w:t>
      </w:r>
    </w:p>
    <w:p>
      <w:pPr>
        <w:pStyle w:val="BookText"/>
        <w:bidi w:val="0"/>
        <w:jc w:val="both"/>
        <w:rPr/>
      </w:pPr>
      <w:r>
        <w:rPr>
          <w:rFonts w:eastAsia="Times New Roman" w:cs="Times New Roman" w:ascii="Times New Roman" w:hAnsi="Times New Roman"/>
          <w:color w:val="111111"/>
          <w:sz w:val="28"/>
          <w:szCs w:val="28"/>
          <w:lang w:val="en-US"/>
        </w:rPr>
        <w:t>Claendon Press, 1972). Robinson membagi definisi (Bab 2) ke  dalam dua jenis dasar: definisi sesuatu-sesuatu, atau definisi  hakiki, dan definisi nominal. Selanjutnya, ia membagi definisi  nominal ke dalam definisi kata per kata dan definisi kata  benda yang kemudian dibagi lagi ke dalam definisi leksikal  dan definisi stipulatif. Penulis yang sama menguraikan (Bab  1) 18 spesies definisi, yang diklasifikasikannya menurut  penggunaan berbagai ahli. Klasifikasi definisi yang lebih  tepat secara filsufis diberikan oleh Raziel Abelson, yang  mengklasifikasikan definisi berdasarkan posisi filosofis yang  digunakan ke dalam tiga jenis: esensialis atau “jenis-E",  preskriptif atau “jenis-P," dan linguistik atau “jenis-I". Abelson  tidak memandang klasifikasi ini sebagai bersifat historis,  melainkan sebagai sebuah “skema yang berguna". Lihat,  Raziel Abelson, “Definition," Encyclopedia of Philosophy II,  ed. Paul Edwards, (New York: Macmillan, 1967), hlm. 314-  324.</w:t>
      </w:r>
    </w:p>
    <w:p>
      <w:pPr>
        <w:pStyle w:val="BookText"/>
        <w:bidi w:val="0"/>
        <w:jc w:val="both"/>
        <w:rPr/>
      </w:pPr>
      <w:r>
        <w:rPr>
          <w:rFonts w:eastAsia="Times New Roman" w:cs="Times New Roman" w:ascii="Times New Roman" w:hAnsi="Times New Roman"/>
          <w:color w:val="111111"/>
          <w:sz w:val="28"/>
          <w:szCs w:val="28"/>
          <w:lang w:val="en-US"/>
        </w:rPr>
        <w:t>Suhrawardi, Opera II, hlm. 21.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Istilah proposisi penjelas sudah digunakan oleh para filsuf  sebelum Suhrawardi, tetapi dalam cara yang berbeda. Ibn Sina,  dan menyusul di belakangnya Al-Ghazali, menggunakannya  sebagai istilah equivokal untuk definisi esensialis (hadd bi at-  tasykik). Lihat, Ibn Sina, An-Najāh, hlm. 83; Al-Ghazali, Mi'yar  al-'ilm, ed. Sulaiman Dunya, (Kairo: t.p, 1961), hlm. 68, 271-  275. Filsuf pertama dalam periode Islam yang menekankan  penggunaan proposisi-proposisi penjelas sebagai sarana </w:t>
      </w:r>
    </w:p>
    <w:p>
      <w:pPr>
        <w:pStyle w:val="BookText"/>
        <w:bidi w:val="0"/>
        <w:rPr/>
      </w:pPr>
      <w:r>
        <w:rPr>
          <w:rFonts w:eastAsia="Times New Roman" w:cs="Times New Roman" w:ascii="Times New Roman" w:hAnsi="Times New Roman"/>
          <w:color w:val="111111"/>
          <w:sz w:val="28"/>
          <w:szCs w:val="28"/>
          <w:lang w:val="en-US"/>
        </w:rPr>
        <w:t>untuk membagi logika secara struktural ke dalam dua bagian  adalah filsuf Persia, “Umar bin Sahlan As-Sawi. Perhatikan,  misalnya pernyataan As-Sawi berikut, “Konsepsi bisa  diperoleh melalui metode (rāh) yang disebut oleh orang Arab  sebagai al-qaul ash-sharīh. Ini berarti guft-i rausyan-kunanda  (dalam bahasa Persia, yakni proposisi penjelas). (Ketahuilah  bahwa) sebagian proposisi penjelas adalah valid, yang disebut  definisi esensialis; beberapa yang lainnya hanya sebagian saja  yang valid (nazdik bi rasti) yang disebut deskripsi (rasm) ....</w:t>
      </w:r>
    </w:p>
    <w:p>
      <w:pPr>
        <w:pStyle w:val="BookText"/>
        <w:bidi w:val="0"/>
        <w:jc w:val="both"/>
        <w:rPr/>
      </w:pPr>
      <w:r>
        <w:rPr>
          <w:rFonts w:eastAsia="Times New Roman" w:cs="Times New Roman" w:ascii="Times New Roman" w:hAnsi="Times New Roman"/>
          <w:color w:val="111111"/>
          <w:sz w:val="28"/>
          <w:szCs w:val="28"/>
          <w:lang w:val="en-US"/>
        </w:rPr>
        <w:t>Tujuan (utama) logika sudah ditunjukkan, yakni memperoleh  pengetahuan ihwal: (1) proposisi-proposisi penjelas, dan (2)  bukti-bukti." (At-Tabshirah, hlm. 4-5). Bandingkan Ibn Sina,  Manthiq Al-Masyriqiyyin. (Kairo: t.p, 1910), hlm. 10, di mana  seseorang bisa melihat pandangan yang sama yang akrab  dengan Ibn Sina.</w:t>
      </w:r>
    </w:p>
    <w:p>
      <w:pPr>
        <w:pStyle w:val="BookText"/>
        <w:bidi w:val="0"/>
        <w:jc w:val="both"/>
        <w:rPr/>
      </w:pPr>
      <w:r>
        <w:rPr>
          <w:rFonts w:eastAsia="Times New Roman" w:cs="Times New Roman" w:ascii="Times New Roman" w:hAnsi="Times New Roman"/>
          <w:color w:val="111111"/>
          <w:sz w:val="28"/>
          <w:szCs w:val="28"/>
          <w:lang w:val="en-US"/>
        </w:rPr>
        <w:t>Bukti (hujjah) biasanya dibagi ke dalam tiga jenis: silogisme  (qiyās), induksi (istigrā”), dan analogi (tamtsil dan mitsāl).</w:t>
      </w:r>
    </w:p>
    <w:p>
      <w:pPr>
        <w:pStyle w:val="BookText"/>
        <w:bidi w:val="0"/>
        <w:jc w:val="both"/>
        <w:rPr/>
      </w:pPr>
      <w:r>
        <w:rPr>
          <w:rFonts w:eastAsia="Times New Roman" w:cs="Times New Roman" w:ascii="Times New Roman" w:hAnsi="Times New Roman"/>
          <w:color w:val="111111"/>
          <w:sz w:val="28"/>
          <w:szCs w:val="28"/>
          <w:lang w:val="en-US"/>
        </w:rPr>
        <w:t>Lihat, As-Sawi, At-Tabshirah, hlm. 5. Kemudian, Suhrawardi  menetapkan bahwa bukti-bukti yang berdasarkan pengalaman,  inspirasi, dan intuisi punya peringkat yang sama dengan-  kalau bukan malah lebih tinggi dari — bukti-bukti yang  berdasarkan demonstrasi Peripatetik. Lihat misalnya, Opera  II, hlm. 13.</w:t>
      </w:r>
    </w:p>
    <w:p>
      <w:pPr>
        <w:pStyle w:val="BookText"/>
        <w:bidi w:val="0"/>
        <w:jc w:val="both"/>
        <w:rPr/>
      </w:pPr>
      <w:r>
        <w:rPr>
          <w:rFonts w:eastAsia="Times New Roman" w:cs="Times New Roman" w:ascii="Times New Roman" w:hAnsi="Times New Roman"/>
          <w:color w:val="111111"/>
          <w:sz w:val="28"/>
          <w:szCs w:val="28"/>
          <w:lang w:val="en-US"/>
        </w:rPr>
        <w:t>Di beberapa tempat, definisi konseptualis dinyatakan sebagai  "formula yang menunjukkan konsep sesuatu" (al-qaul al-  mu'arraf bi hasab mafhūm asy-syai'). Al-Masyāri' wa Al-  Muthārahāt: Manthiq, fol. 15v.</w:t>
      </w:r>
    </w:p>
    <w:p>
      <w:pPr>
        <w:pStyle w:val="BookText"/>
        <w:bidi w:val="0"/>
        <w:jc w:val="both"/>
        <w:rPr/>
      </w:pPr>
      <w:r>
        <w:rPr>
          <w:rFonts w:eastAsia="Times New Roman" w:cs="Times New Roman" w:ascii="Times New Roman" w:hAnsi="Times New Roman"/>
          <w:color w:val="111111"/>
          <w:sz w:val="28"/>
          <w:szCs w:val="28"/>
          <w:lang w:val="en-US"/>
        </w:rPr>
        <w:t>Ibid., fol. 14r.</w:t>
      </w:r>
    </w:p>
    <w:p>
      <w:pPr>
        <w:pStyle w:val="BookText"/>
        <w:bidi w:val="0"/>
        <w:jc w:val="both"/>
        <w:rPr/>
      </w:pPr>
      <w:r>
        <w:rPr>
          <w:rFonts w:eastAsia="Times New Roman" w:cs="Times New Roman" w:ascii="Times New Roman" w:hAnsi="Times New Roman"/>
          <w:color w:val="111111"/>
          <w:sz w:val="28"/>
          <w:szCs w:val="28"/>
          <w:lang w:val="en-US"/>
        </w:rPr>
        <w:t>Lihat misalnya, Posterior Analytics II. hlm. 3, 7, 10; Topics VIII.</w:t>
      </w:r>
    </w:p>
    <w:p>
      <w:pPr>
        <w:pStyle w:val="BookText"/>
        <w:bidi w:val="0"/>
        <w:jc w:val="both"/>
        <w:rPr/>
      </w:pPr>
      <w:r>
        <w:rPr>
          <w:rFonts w:eastAsia="Times New Roman" w:cs="Times New Roman" w:ascii="Times New Roman" w:hAnsi="Times New Roman"/>
          <w:color w:val="111111"/>
          <w:sz w:val="28"/>
          <w:szCs w:val="28"/>
          <w:lang w:val="en-US"/>
        </w:rPr>
        <w:t>Istilah qaul mempunyai sejumlah makna, yang paling mendasar  adalah “ungkapan majemuk". Lihat, Ibn Sina, An-Najāh,  hlm. 17. Bandingkan Goichon, Lexique, hlm. 319. Seperti  dalam istilah Yunani loyos, ia digunakan dalam beberapa  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w:t>
      </w:r>
    </w:p>
    <w:p>
      <w:pPr>
        <w:pStyle w:val="BookText"/>
        <w:bidi w:val="0"/>
        <w:rPr/>
      </w:pPr>
      <w:r>
        <w:rPr>
          <w:rFonts w:eastAsia="Times New Roman" w:cs="Times New Roman" w:ascii="Times New Roman" w:hAnsi="Times New Roman"/>
          <w:color w:val="111111"/>
          <w:sz w:val="28"/>
          <w:szCs w:val="28"/>
          <w:lang w:val="en-US"/>
        </w:rPr>
        <w:t>pengertian. Sebagai contoh, penggunaan istilah lóyos oleh  Plato. Lihat G. Matthews, Plato's Epistemology and Related  Logical Problems. (London: Faber and Faber, 1972), hlm. 11.</w:t>
      </w:r>
    </w:p>
    <w:p>
      <w:pPr>
        <w:pStyle w:val="BookText"/>
        <w:bidi w:val="0"/>
        <w:jc w:val="both"/>
        <w:rPr/>
      </w:pPr>
      <w:r>
        <w:rPr>
          <w:rFonts w:eastAsia="Times New Roman" w:cs="Times New Roman" w:ascii="Times New Roman" w:hAnsi="Times New Roman"/>
          <w:color w:val="111111"/>
          <w:sz w:val="28"/>
          <w:szCs w:val="28"/>
          <w:lang w:val="en-US"/>
        </w:rPr>
        <w:t>Pengertian Aristoteles yang kaku tentang istilah lóyos (disebut  juga qaul) adalah “formula", yang digunakan khususnya  dalam kaitannya dengan definisi, misalnya dalam Aristoteles,  Metaphysics VII. 4, 1030a7-9: “ada definisi (ópious) kata yang  tidak sama dengan formula (Jóyos) karena dalam hal seperti  itu, semua formula adalah definisi". Tampak jelas bagi saya  bahwa pengertian “formula" untuk qaul secara logis sangat  semakna. Untuk berbagai pengertian lain dari istilah qaul lihat,  Ibn Sina, Livre des Directives et Remarques, terjemahan A. M.</w:t>
      </w:r>
    </w:p>
    <w:p>
      <w:pPr>
        <w:pStyle w:val="BookText"/>
        <w:bidi w:val="0"/>
        <w:jc w:val="both"/>
        <w:rPr/>
      </w:pPr>
      <w:r>
        <w:rPr>
          <w:rFonts w:eastAsia="Times New Roman" w:cs="Times New Roman" w:ascii="Times New Roman" w:hAnsi="Times New Roman"/>
          <w:color w:val="111111"/>
          <w:sz w:val="28"/>
          <w:szCs w:val="28"/>
          <w:lang w:val="en-US"/>
        </w:rPr>
        <w:t>Gichon, (Paris: J. Vrin, 1951), hlm. 84, 193, 211. Konsep yang  mendasari ungkapan “proposisi penjelas" (al-qaul ash-sharih)  kemungkinan bukan berasal dari Aristoteles. Bandingkan,  Afnan, Lexicon, hlm. 245; dan E. Zeller, Stoics, Epicureans,  and Sceptics, terjemahan O. J. Reichel, (New York: Russel and  Russel, 1962), hlm. 73, catatan 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Al-Masyāri' wa Al-Muthārahāt: Manthiq, fol. 1v.</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At-Talwīhāt, hlm. 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Untuk bahasan tentang pembedaan antara definisi realis  dari definisi nominalis. Lihat, Robinson, Definition, Bab VI.</w:t>
      </w:r>
    </w:p>
    <w:p>
      <w:pPr>
        <w:pStyle w:val="BookText"/>
        <w:bidi w:val="0"/>
        <w:jc w:val="both"/>
        <w:rPr/>
      </w:pPr>
      <w:r>
        <w:rPr>
          <w:rFonts w:eastAsia="Times New Roman" w:cs="Times New Roman" w:ascii="Times New Roman" w:hAnsi="Times New Roman"/>
          <w:color w:val="111111"/>
          <w:sz w:val="28"/>
          <w:szCs w:val="28"/>
          <w:lang w:val="en-US"/>
        </w:rPr>
        <w:t>Pembedaan ini juga dibuat oleh Plato dan Aristoteles, meskipun  dalam pengertian yang terbatas. Lihat, Plato, Theaetetus,  514b-515c, 547c-549c; Aritotle, Categories V, 2219-3524; VI,  66-84; Posterior Analytics 1.22, 11.3-10.</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Kedua jenis ini adalah formula yang disebut untuk  mengkhususkan esensi dari sesuatu yang didefinisikan.</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Pembedaan yang dibuat antara definisi esensialis sempurna,  sebagai formula yang mengombinasikan genus dan diferensia  terdekat yang menunjukkan esensi dan definisi esensialis  tak sempurna, adalah definisi esensialis tak sempurna hanya  melambangkan sebagian esensi. Pembedaan ini dibuat oleh </w:t>
      </w:r>
    </w:p>
    <w:p>
      <w:pPr>
        <w:pStyle w:val="BookText"/>
        <w:bidi w:val="0"/>
        <w:rPr/>
      </w:pPr>
      <w:r>
        <w:rPr>
          <w:rFonts w:eastAsia="Times New Roman" w:cs="Times New Roman" w:ascii="Times New Roman" w:hAnsi="Times New Roman"/>
          <w:color w:val="111111"/>
          <w:sz w:val="28"/>
          <w:szCs w:val="28"/>
          <w:lang w:val="en-US"/>
        </w:rPr>
        <w:t>Ibn Sina (misalnya, An-Najāh, hlm. 78). Akan tetapi, bagi  Aristoteles, definisi esensialis dianggap bisa mengungkapkan  hakikat esensial (Posterior Analytics II, 90b24) hanya bila sifat-  sifat dari sesuatu adalah terbatas (Posterior Analytics 1, 82b39,  84a27). Persoalan keterbatasan sifat-sifat dan problem definisi  juga sangat penting bagi Suhrawardi.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Lihat, Abelson, “Definition", Encyclopedia of Philosophy.</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Lihat, Ibn Sina, Livre des Definitions, disunting dan  diterjemahkan oleh A. M. Goichun, (Kairo: Publications de  L'Institut Francais d'Archeologie Orientale du Caire, 1963),  hlm. 6, catatan 1. Bandingkan, Ibn Sina, Kitāb Al-Hudūd,  terjemahan Muhammad M. Fouladvan, (Tehran: Iranian Centre  for the Study of Civilizations: Islamic Studies Series, 2), hlm.</w:t>
      </w:r>
    </w:p>
    <w:p>
      <w:pPr>
        <w:pStyle w:val="BookText"/>
        <w:bidi w:val="0"/>
        <w:jc w:val="both"/>
        <w:rPr/>
      </w:pPr>
      <w:r>
        <w:rPr>
          <w:rFonts w:eastAsia="Times New Roman" w:cs="Times New Roman" w:ascii="Times New Roman" w:hAnsi="Times New Roman"/>
          <w:color w:val="111111"/>
          <w:sz w:val="28"/>
          <w:szCs w:val="28"/>
          <w:lang w:val="en-US"/>
        </w:rPr>
        <w:t>58 dan 69. Padanan-padanan yang kurang terbatas, barangkali  περιγραφή dan διαγραφή, harus dipertimbangkan.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Deskripsi dianggap sebagai jenis definisi yang digunakan  untuk membedakan sesuatu (mutamayyiz); karenanya, ia  termasuk dalam jenis definisi ostensif. Lihat, Suhrawardi,  Al-Masyāri' wa Al-Muthārahāt: Manthiq, fol. 17r.; Ibn Sina,  An-Najāh, hlm. 79; idem., Livre des Definitions, hlm. 12; Al-  Ghazali, Mi'yar al-'ilm, hlm. 267.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Al-Masyāri' wa Al-Muthārahāt: Manthiq, fol. 15r.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Aristoteles, Posterior Analytics 11.3, 90b1-24.</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Ibid., 90b24. Tentang pandangan Aristoteles mengenai  hubungan antara definisi dan demonstrasi. Lihat, Posterior  Analytics 1.2, 27219-24; 1.8; 1.10; 1.22; 1.33. Problem ini  dibahas secara panjang lebar oleh Anfinn Stigen dalam kajian  filsafatnya, The Structure of Aristoteles's Thought, Bab IV.</w:t>
      </w:r>
    </w:p>
    <w:p>
      <w:pPr>
        <w:pStyle w:val="BookText"/>
        <w:bidi w:val="0"/>
        <w:jc w:val="both"/>
        <w:rPr/>
      </w:pPr>
      <w:r>
        <w:rPr>
          <w:rFonts w:eastAsia="Times New Roman" w:cs="Times New Roman" w:ascii="Times New Roman" w:hAnsi="Times New Roman"/>
          <w:color w:val="111111"/>
          <w:sz w:val="28"/>
          <w:szCs w:val="28"/>
          <w:lang w:val="en-US"/>
        </w:rPr>
        <w:t>(Oslo: Universitet forlaget, 1966), di mana Stigen menunjukkan  “mengapa, menurut Aristoteles, problem definisi menjadi  bahasan utama pengetahuan", (hlm. 78, catatan 2).</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Lihat, Suhrawardi, Opera II, hlm. 40: “Hanya demonstrasi saja  yang digunakan dalam ilmu-ilmu hakiki." Bandingkan, idem.,</w:t>
      </w:r>
    </w:p>
    <w:p>
      <w:pPr>
        <w:pStyle w:val="BookText"/>
        <w:bidi w:val="0"/>
        <w:rPr/>
      </w:pPr>
      <w:r>
        <w:rPr>
          <w:rFonts w:eastAsia="Times New Roman" w:cs="Times New Roman" w:ascii="Times New Roman" w:hAnsi="Times New Roman"/>
          <w:color w:val="111111"/>
          <w:sz w:val="28"/>
          <w:szCs w:val="28"/>
          <w:lang w:val="en-US"/>
        </w:rPr>
        <w:t>Al-Masyāri' wa Al-Muthārahāt: Manthiq, fol. 98r.; idem., At-  Talwihāt: Manthiq, hlm. 82; dan Ibn Sina, Livre des Directives  et Remarques, hlm. 47; idem., Livre des Definitions, hlm.</w:t>
      </w:r>
    </w:p>
    <w:p>
      <w:pPr>
        <w:pStyle w:val="BookText"/>
        <w:bidi w:val="0"/>
        <w:jc w:val="both"/>
        <w:rPr/>
      </w:pPr>
      <w:r>
        <w:rPr>
          <w:rFonts w:eastAsia="Times New Roman" w:cs="Times New Roman" w:ascii="Times New Roman" w:hAnsi="Times New Roman"/>
          <w:color w:val="111111"/>
          <w:sz w:val="28"/>
          <w:szCs w:val="28"/>
          <w:lang w:val="en-US"/>
        </w:rPr>
        <w:t>2-11; idem., Asy-Syifā': Al-Jadal, VI, hlm. 5.</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Metode definisi “formal” dasar yang digunakan Plato  biasanya disebut metode dikotomi (atau pembagian). Metode  ini secara khusus digunakan Plato dalam Phaedrus, 134a-c;  Sophist, 580a-608d; dan Philebus, 610d-613a. Aristoteles  juga menggunakan metode dikotomi, yang biasanya  dipertentangkan dengan berbagai metode definisi lainnya.</w:t>
      </w:r>
    </w:p>
    <w:p>
      <w:pPr>
        <w:pStyle w:val="BookText"/>
        <w:bidi w:val="0"/>
        <w:jc w:val="both"/>
        <w:rPr/>
      </w:pPr>
      <w:r>
        <w:rPr>
          <w:rFonts w:eastAsia="Times New Roman" w:cs="Times New Roman" w:ascii="Times New Roman" w:hAnsi="Times New Roman"/>
          <w:color w:val="111111"/>
          <w:sz w:val="28"/>
          <w:szCs w:val="28"/>
          <w:lang w:val="en-US"/>
        </w:rPr>
        <w:t>Lihat, Aristoteles, Prior Analytics II, hlm. 64-65; idem.,  Posterior Analytics 11.5, 13; idem, Topics V1.6, 143b11-14424;  Metaphysics VII.12, 1037b28-1038235; Parts of Animals 1.</w:t>
      </w:r>
    </w:p>
    <w:p>
      <w:pPr>
        <w:pStyle w:val="BookText"/>
        <w:bidi w:val="0"/>
        <w:jc w:val="both"/>
        <w:rPr/>
      </w:pPr>
      <w:r>
        <w:rPr>
          <w:rFonts w:eastAsia="Times New Roman" w:cs="Times New Roman" w:ascii="Times New Roman" w:hAnsi="Times New Roman"/>
          <w:color w:val="111111"/>
          <w:sz w:val="28"/>
          <w:szCs w:val="28"/>
          <w:lang w:val="en-US"/>
        </w:rPr>
        <w:t>hlm. 2-4. Plotinus juga menggunakan metode pembagian  atau dikotomi dalam definisi. Lihat Plotinus, The Enneads,  terjemahan S. Mac Kenna, (New York: Pantheon, 1969),  hlm. I, 3 dan 4, di mana ditegaskannya, “... ia menggunakan  pembagian Plato dan ketajaman bentuk-bentuk ideal,” dan  juga ibid., VI. hlm. 3 dan 16-18. Sebuah kajian komprehensif  tentang metode dikotomi Plato dilakukan oleh Kenneth M.</w:t>
      </w:r>
    </w:p>
    <w:p>
      <w:pPr>
        <w:pStyle w:val="BookText"/>
        <w:bidi w:val="0"/>
        <w:jc w:val="both"/>
        <w:rPr/>
      </w:pPr>
      <w:r>
        <w:rPr>
          <w:rFonts w:eastAsia="Times New Roman" w:cs="Times New Roman" w:ascii="Times New Roman" w:hAnsi="Times New Roman"/>
          <w:color w:val="111111"/>
          <w:sz w:val="28"/>
          <w:szCs w:val="28"/>
          <w:lang w:val="en-US"/>
        </w:rPr>
        <w:t>Sayre yang menyebut metode itu sebagai “Penyatuan dan  Pembagian" (Collection and Division). Lihat, Sayre, Plato's  Analytics Method, Bab IV. (Chicago: University of Chicago  Press, 1969).</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Metode definisi “formal" dasar yang digunakan Plato biasanya  disebut definisi melalui genera dan diferensia, yang terkadang  disebut sebagai sifat-sifat, baik esensial maupun nonesensial.</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Metode ini digunakan secara ekstensif atau luas oleh  Aristoteles dalam hampir semua karyanya. Lihat, Aristoteles,  Categories III, V, XIII; idem., Prior Analytics I, hlm. 27. Idem.,  Posterior Analytics, 1.22. 11.13-14; idem., Topics, 1.4.9, 1.18,  IV-VII; idem., Physics, 1.3; idem., Metaphysics, III.4, III 3, V.3;  idem., History of Animal, I 1; idem., Parts of Animal 1.1, 1.2.4. </w:t>
      </w:r>
    </w:p>
    <w:p>
      <w:pPr>
        <w:pStyle w:val="BookText"/>
        <w:bidi w:val="0"/>
        <w:rPr/>
      </w:pPr>
      <w:r>
        <w:rPr>
          <w:rFonts w:eastAsia="Times New Roman" w:cs="Times New Roman" w:ascii="Times New Roman" w:hAnsi="Times New Roman"/>
          <w:color w:val="111111"/>
          <w:sz w:val="28"/>
          <w:szCs w:val="28"/>
          <w:lang w:val="en-US"/>
        </w:rPr>
        <w:t>Kombinasi metode dikotomi dan metode definisi melalui  genera adalah dasar yang mungkin bagi teori Suhrawardi  yang mencakup apa yang harus disebut sebagai metode  “membidani", sesudah Plato. Lihat, Plato, Theaetetus, 150b-d.</w:t>
      </w:r>
    </w:p>
    <w:p>
      <w:pPr>
        <w:pStyle w:val="BookText"/>
        <w:bidi w:val="0"/>
        <w:jc w:val="both"/>
        <w:rPr/>
      </w:pPr>
      <w:r>
        <w:rPr>
          <w:rFonts w:eastAsia="Times New Roman" w:cs="Times New Roman" w:ascii="Times New Roman" w:hAnsi="Times New Roman"/>
          <w:color w:val="111111"/>
          <w:sz w:val="28"/>
          <w:szCs w:val="28"/>
          <w:lang w:val="en-US"/>
        </w:rPr>
        <w:t>Bandingkan, Plotinus, Enneads, VI.3. hlm. 1, 8-10, dan 16-18.</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Al-Farabi, Kitāb Al-Jam' baina Ra'yai Al-Hakāmain, disunting A.</w:t>
      </w:r>
    </w:p>
    <w:p>
      <w:pPr>
        <w:pStyle w:val="BookText"/>
        <w:bidi w:val="0"/>
        <w:jc w:val="both"/>
        <w:rPr/>
      </w:pPr>
      <w:r>
        <w:rPr>
          <w:rFonts w:eastAsia="Times New Roman" w:cs="Times New Roman" w:ascii="Times New Roman" w:hAnsi="Times New Roman"/>
          <w:color w:val="111111"/>
          <w:sz w:val="28"/>
          <w:szCs w:val="28"/>
          <w:lang w:val="en-US"/>
        </w:rPr>
        <w:t>N. Nader, (Beirut: Dan al-Masyriq, 1968), hlm. 87-88. Posisi  Al-Farabi, metode dikotomi (atau pembagian) serta metode  demonstrasi dan sintesis pun bersifat komplementer atau  saling melengkapi.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Lihat, A. Stigen, The Structure of Aristoteles's Thought, hlm.</w:t>
      </w:r>
    </w:p>
    <w:p>
      <w:pPr>
        <w:pStyle w:val="BookText"/>
        <w:bidi w:val="0"/>
        <w:jc w:val="both"/>
        <w:rPr/>
      </w:pPr>
      <w:r>
        <w:rPr>
          <w:rFonts w:eastAsia="Times New Roman" w:cs="Times New Roman" w:ascii="Times New Roman" w:hAnsi="Times New Roman"/>
          <w:color w:val="111111"/>
          <w:sz w:val="28"/>
          <w:szCs w:val="28"/>
          <w:lang w:val="en-US"/>
        </w:rPr>
        <w:t>138-139.</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"Definisi Plato" terdiri dari metode dikotomi "formal"  plus keseluruhan proses dialektis seperti dua metode yang  digunakan dalam dialog untuk menemukan “definisi” dari  apa yang hakiki, yakni bentuk-bentuk yang tidak berubah  dan tanpa batas waktu, yang bila bisa ditemukan menandai  puncak capaian filsafat. Lihat, Sayre, Plato's Analytics Method,  Bab II, IV; Matthews, Plato's Epistemology, hlm. 13-39.</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Lihat, bagian $2 sebelumnya.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Bandingkan, Robinson, Definition, hlm. 149.</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Aristoteles, Metaphysics XII. 1078b27-30: "Ini hanya untuk  memberikan penghargaan kepada Socrates karena dua  hal: argumen induktif dan pendefinisian secara universal,  yang keduanya berkenaan dengan prinsip-prinsip ilmu".</w:t>
      </w:r>
    </w:p>
    <w:p>
      <w:pPr>
        <w:pStyle w:val="BookText"/>
        <w:bidi w:val="0"/>
        <w:jc w:val="both"/>
        <w:rPr/>
      </w:pPr>
      <w:r>
        <w:rPr>
          <w:rFonts w:eastAsia="Times New Roman" w:cs="Times New Roman" w:ascii="Times New Roman" w:hAnsi="Times New Roman"/>
          <w:color w:val="111111"/>
          <w:sz w:val="28"/>
          <w:szCs w:val="28"/>
          <w:lang w:val="en-US"/>
        </w:rPr>
        <w:t>Bandingkan, Ibid., 1.987220-30; dan W. K. C. Guthrie, A  History of Greek Philosophy III. (Cambridge: Cambridge  University Press, 1969), hlm. 425.</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Guthrie, A History of Greek Philosophy III, hlm. 426.</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Ibid., hlm. 437.</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Ibid., hlm. 440.</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Lihat, Suhrawardi, Opera I, hlm. 401; idem., Al-Masyāri' wa  Al-Muthārahāt: Manthiq, fol. 15v. </w:t>
      </w:r>
    </w:p>
    <w:p>
      <w:pPr>
        <w:pStyle w:val="BookText"/>
        <w:bidi w:val="0"/>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Lihat, Matthews, Plato's Epistemology, hlm. 13.</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Lihat, Guthrie, A History of Greek Philosophy, IV, hlm. 242.</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Ibid., hlm. 243. Gagasan subjek yang mengenali atau “melihat"  objek, dan karena itu, mengetahuinya juga menjadi salah satu  gagasan epistemologi Suhrawardi yang penting. Lihat, bagian  $ 3.5 di bawah.</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Lihat, Matthews, Plato's Epistemology, hlm. 19; Sayre, Plato's  Analytics Method, Bab II, $11, Bab III.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Lihat, Matthews, Plato's Epistemology, hlm. 12-29; Sayre,  Plato's Analytics Method, Bab II.</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Lihat, Matthews, Plato's Epistemology, hlm. 19: “Jika Plato  menerima tesis bahwa pengetahuan identik dengan keyakinan,  yang benar berikut suatu penuturan, maka sebaiknya kita  melihat pemikirannya tentang definisi dan kaitan erat bentuk-  bentuk dalam Sophist, Politic, dan Philebus."  39. Lihat, Matthews, Ibid., hlm. 136-211.</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Lihat, Suhrawardi, Opera II, hlm. 20-21.</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Lihat, Sayre, Plato's Analytics Method, Bab IV; Matthews,  Plato's Epistemology, hlm. 36-40.</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Misalnya, Plato, Theaetetus, 202b-c: “Namun, kenyataannya  tidak terdapat formula, yang dengannya unsur-unsur dapat  diekspresikan; ia hanya dapat dinamai, karena nama meliputi  semua yang dimilikinya. Namun, ketika kita sampai pada  benda-benda yang tersusun dari unsur-unsur ini, karena benda-  benda tersebut juga kompleks, nama-nama dikombinasikan  untuk membentuk deskripsi (istilah di sini juga berarti  Jóyos), jelasnya deskripsi menjadi kombinasi nama-nama.”  Bandingkan, R. Robinson, Plato's Earlier Dialectic. (Oxford:</w:t>
      </w:r>
    </w:p>
    <w:p>
      <w:pPr>
        <w:pStyle w:val="BookText"/>
        <w:bidi w:val="0"/>
        <w:jc w:val="both"/>
        <w:rPr/>
      </w:pPr>
      <w:r>
        <w:rPr>
          <w:rFonts w:eastAsia="Times New Roman" w:cs="Times New Roman" w:ascii="Times New Roman" w:hAnsi="Times New Roman"/>
          <w:color w:val="111111"/>
          <w:sz w:val="28"/>
          <w:szCs w:val="28"/>
          <w:lang w:val="en-US"/>
        </w:rPr>
        <w:t>Clarendon Press, 1970), hlm. 1-49; Sayre, Plato's Analytics  Method, hlm. 230-238.</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Bandingkan, W. Kneale dan M. Kneale, The Development of  Logic, hlm. 21-22.</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Lihat, Aristoteles, Metaphysics I, 987b1-10: "Sekarang </w:t>
      </w:r>
    </w:p>
    <w:p>
      <w:pPr>
        <w:pStyle w:val="BookText"/>
        <w:bidi w:val="0"/>
        <w:rPr/>
      </w:pPr>
      <w:r>
        <w:rPr>
          <w:rFonts w:eastAsia="Times New Roman" w:cs="Times New Roman" w:ascii="Times New Roman" w:hAnsi="Times New Roman"/>
          <w:color w:val="111111"/>
          <w:sz w:val="28"/>
          <w:szCs w:val="28"/>
          <w:lang w:val="en-US"/>
        </w:rPr>
        <w:t>Socrates sibuk mengkaji masalah-masalah etika, tetapi tidak  mengkaji sama sekali alam secara keseluruhan, bahkan dalam  persoalan-persoalan etika, ia mencari yang universal dan yang  pertama menetapkan pikirannya adalah definisi. Plato di sisi  lain, dengan mempertimbangkan pemikiran Socrates, sampai  pada keyakinan, bahwa karena hal-hal indrawi selalu terus  menerus berubah, maka berbagai penyelidikan seperti itu pun  berkaitan hal-hal lainnya dan bukan dengan hal-hal indrawi;  karena tidak mungkin ada definisi umum tentang hal-hal  indrawi manakala semuanya ini selalu berubah. Ia menyebut  hal-hal jenis seperti ini sebagai ide-ide dan yakin bahwa hal-  hal indrawi ada terpisah dari ide-ide dan diberi nama sesuai  dengan ide-ide."  45. Lihat, Robinson, Plato's Earlier Dialectic, hlm. 49; Robinson,  Definition, hlm. 12 dan 27.</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Kneale dan Kneale, Development of Logic, hlm. 21.</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lbid.,  48. Lihat, Aristoteles, Posterior Analytics 11.17, 99a22-23. Cf.</w:t>
      </w:r>
    </w:p>
    <w:p>
      <w:pPr>
        <w:pStyle w:val="BookText"/>
        <w:bidi w:val="0"/>
        <w:jc w:val="both"/>
        <w:rPr/>
      </w:pPr>
      <w:r>
        <w:rPr>
          <w:rFonts w:eastAsia="Times New Roman" w:cs="Times New Roman" w:ascii="Times New Roman" w:hAnsi="Times New Roman"/>
          <w:color w:val="111111"/>
          <w:sz w:val="28"/>
          <w:szCs w:val="28"/>
          <w:lang w:val="en-US"/>
        </w:rPr>
        <w:t>Stigen, The Structure of Aristoteles's Thought, hlm. 78.</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Lihat, Aristoteles, Metaphysics XII1.4, 1078b11-13: "Sekarang  Socrates menyibukkan dirinya dengan kebaikan-kebaikan  moral, dan berkaitan dengan ini semua, ia adalah orang pertama  yang mencari definisi-definisi universal. Sebab di antara  para fisikawan, hanya Demokritus saja yang bisa menangkap  subjek definisi walaupun sedikit, dan dalam beberapa hal, ia  mendefinisikan panas dan dingin; sementara Pythagoras  sebelumnya telah memikirkan definisi dari beberapa hal."  50. Lihat, Aristoteles, Metaphysics 1.6, 978b1-4. Lihat juga, $2.3 di  atas. Cf. Stigen, The Structure of Aristoteles's Thought, hlm.</w:t>
      </w:r>
    </w:p>
    <w:p>
      <w:pPr>
        <w:pStyle w:val="BookText"/>
        <w:bidi w:val="0"/>
        <w:jc w:val="both"/>
        <w:rPr/>
      </w:pPr>
      <w:r>
        <w:rPr>
          <w:rFonts w:eastAsia="Times New Roman" w:cs="Times New Roman" w:ascii="Times New Roman" w:hAnsi="Times New Roman"/>
          <w:color w:val="111111"/>
          <w:sz w:val="28"/>
          <w:szCs w:val="28"/>
          <w:lang w:val="en-US"/>
        </w:rPr>
        <w:t>82-86.</w:t>
      </w:r>
    </w:p>
    <w:p>
      <w:pPr>
        <w:pStyle w:val="BookText"/>
        <w:bidi w:val="0"/>
        <w:jc w:val="both"/>
        <w:rPr/>
      </w:pPr>
      <w:r>
        <w:rPr>
          <w:rFonts w:eastAsia="Times New Roman" w:cs="Times New Roman" w:ascii="Times New Roman" w:hAnsi="Times New Roman"/>
          <w:color w:val="111111"/>
          <w:sz w:val="28"/>
          <w:szCs w:val="28"/>
          <w:lang w:val="en-US"/>
        </w:rPr>
        <w:t>51.</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Lihat, Aristoteles, Metaphysics, 1.6, 98764-8: “Namun,  Socrates tidak menempatkan hal-hal universal sebagai  terpisah, termasuk definisi. Namun, para pemikir ini [Socrates,</w:t>
      </w:r>
    </w:p>
    <w:p>
      <w:pPr>
        <w:pStyle w:val="BookText"/>
        <w:bidi w:val="0"/>
        <w:rPr/>
      </w:pPr>
      <w:r>
        <w:rPr>
          <w:rFonts w:eastAsia="Times New Roman" w:cs="Times New Roman" w:ascii="Times New Roman" w:hAnsi="Times New Roman"/>
          <w:color w:val="111111"/>
          <w:sz w:val="28"/>
          <w:szCs w:val="28"/>
          <w:lang w:val="en-US"/>
        </w:rPr>
        <w:t>Demokritus, dan Pythagoras] menganggap semua itu sebagai  tentang hal-hal lain, dan menyebut hal-hal seperti itu sebagai  ide-ide." Bandingkan, ibid., XIII.4, 1078b30-38.</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Lihat, Aristoteles, Metaphysics XIII.4, 1078630-107994.</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Lihat, Aristoteles, Metaphysics XIII.8,1050b34-1051a2.</w:t>
      </w:r>
    </w:p>
    <w:p>
      <w:pPr>
        <w:pStyle w:val="BookText"/>
        <w:bidi w:val="0"/>
        <w:jc w:val="both"/>
        <w:rPr/>
      </w:pPr>
      <w:r>
        <w:rPr>
          <w:rFonts w:eastAsia="Times New Roman" w:cs="Times New Roman" w:ascii="Times New Roman" w:hAnsi="Times New Roman"/>
          <w:color w:val="111111"/>
          <w:sz w:val="28"/>
          <w:szCs w:val="28"/>
          <w:lang w:val="en-US"/>
        </w:rPr>
        <w:t>Bandingkan, Stigen, The Structure of Aristoteles's Thought,  hlm. 78-103.</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Lihat, Bab IV bagian $3 berikut.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Meskipun tidak dibahas secara sistematis oleh Aristoteles, teori  Definisi disebutkan dalam karya-karya berikut, Poterior  Analytics II. hlm. 3-10 dan 13; Topics VI-VII; Metaphysics VII.</w:t>
      </w:r>
    </w:p>
    <w:p>
      <w:pPr>
        <w:pStyle w:val="BookText"/>
        <w:bidi w:val="0"/>
        <w:jc w:val="both"/>
        <w:rPr/>
      </w:pPr>
      <w:r>
        <w:rPr>
          <w:rFonts w:eastAsia="Times New Roman" w:cs="Times New Roman" w:ascii="Times New Roman" w:hAnsi="Times New Roman"/>
          <w:color w:val="111111"/>
          <w:sz w:val="28"/>
          <w:szCs w:val="28"/>
          <w:lang w:val="en-US"/>
        </w:rPr>
        <w:t>hlm. 4-6 dan 10-17, VIII.2-3, 6; Parts of Animals I. hlm.2-4.</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Lihat, Aristoteles, Posterior Analytics 11.2, 90°35.</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Lihat, Aristoteles, Posterior Analytics 11.3, 90b1-3.</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Lihat, Aristoteles, Posterior Analytics 11.3, 90b10-27. Cf. idem.,  Posterior Analytics 11.4, 9125-12: “Ia berkembang sehingga  tidak semua yang bisa didefinisikan dapat didemonstrasikan,  dan juga tidak semua yang bisa didemosntrasikan dapat  didefinisikan; dan kita dapat menarik kesimpulan umum  bahwa tidak ada objek identik yang mungkin memiliki definisi  sekaligus demonstrasi. Jelasnya, definisi dan demonstrasi  tidak identik, dan juga tidak saling memuat, serta juga di  dalam satu sama lain: jika memang demikian halnya, maka  objek-objeknya mesti dikaitkan entah sebagai identik atau  keseluruhan dan bagian.</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Lihat, Aristoteles, Metaphysics VII.4, 103045.</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Lihat, Aristoteles, Posterior Analytics 11.9, 93b29-31.</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Lihat, Aristoteles, Posterior Analytics 11.9, 93b29; 11.11, 94a11-  17; 11.7, 92b26.</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Ibid., 90616; idem, Topics V.3, 130b25-26, VI.3, 140934.</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Lihat, Aristoteles, Metaphysics VII.5, 1031011-12; idem.,  Topics, 1.2, 101638; VII.5, 154231-32.</w:t>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Lihat, Aristoteles, Posterior Analytics 11.9, 93b29-31; idem., </w:t>
      </w:r>
    </w:p>
    <w:p>
      <w:pPr>
        <w:pStyle w:val="BookText"/>
        <w:bidi w:val="0"/>
        <w:rPr/>
      </w:pPr>
      <w:r>
        <w:rPr>
          <w:rFonts w:eastAsia="Times New Roman" w:cs="Times New Roman" w:ascii="Times New Roman" w:hAnsi="Times New Roman"/>
          <w:color w:val="111111"/>
          <w:sz w:val="28"/>
          <w:szCs w:val="28"/>
          <w:lang w:val="en-US"/>
        </w:rPr>
        <w:t>Metaphysics IV.8, 1017621-22, VII.1, 1042a17. Dalam  beberapahal, Aristoteles mengombinasikan istilah Tóyos  dengan ovoía. Lihat juga, Stigen, The Structure of Aristoteles's  Thought, hlm. 138.</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Lihat, Aristoteles, Metaphysics VII.4, 1027217-102846.</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Lihat, Aristoteles, Metaphysics XIII.1, 1087b9-12. Cf. Stigen,  The Structure of Aristoteles's Thought, hlm. 133-135.</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Lihat, Aristoteles, Metaphysics XIII.8, 108462-23.</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Ibid., VII.4, 1030b7-11.</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Lihat, Aristoteles, Posterior Analytics 11.7, 92b26-34, 11.10,  93b29-37; idem., Metaphysics VIII.6, 1045b17-25; VII4,  103067-13.</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Lihat, Aristoteles, Metaphysics IX.1, 1087b9-12; VII.15,  1039620-104097; XIII.8, 108462-23. Bandingkan, ibid., VII.4,  103067-11: "Dengan demikian, hanya ada esensi dari hal-  hal yang punya formula yang disebut definisi. Namun, ada  sebuah definisi, bukan sekadar karena nama dan formulanya  mempunyai makna yang sama (karena semua formula akan  menjadi definisi, dan juga karena nama yang memiliki  makna yang sama sebagai formula tertentu sehingga Iliad  akan menjadi definisi), tetapi jika nama dan formulanya  melambangkan sesuatu yang utama."  71. Lihat, Aristoteles, Posterior Analytics 1.22, 11.13-14; idem.,  Topics 1.4-9, IV-VII.</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Ibn Sina, Asy-Syifā': Al-Manthiq, VI. 4.1, hlm. 241: “Al-hudud  qad nanzhūr min amrihā fi annahā kaifa tu'allaf wa kaifa  tuktasab... wa an-nazhar al-awwal fi kaifiyyah ījād al-hadd wa  ats-tsāni fi kaifa i'tibār al-hadd al-maujūd."  73. Tujuan banyak filsuf pasca-Ibn Sina dalam mengompilasi  filsafat “baru” bisa dicontohkan dengan karya Ibn Kammunah,  Al-Jadid fi Al-Hikmah.</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Lihat, Suhrawardi, Opera II, hlm. 36-39.</w:t>
      </w:r>
    </w:p>
    <w:p>
      <w:pPr>
        <w:pStyle w:val="BookText"/>
        <w:bidi w:val="0"/>
        <w:jc w:val="both"/>
        <w:rPr/>
      </w:pPr>
      <w:r>
        <w:rPr>
          <w:rFonts w:eastAsia="Times New Roman" w:cs="Times New Roman" w:ascii="Times New Roman" w:hAnsi="Times New Roman"/>
          <w:color w:val="111111"/>
          <w:sz w:val="28"/>
          <w:szCs w:val="28"/>
          <w:lang w:val="en-US"/>
        </w:rPr>
        <w:t>73.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Proposisi modalitas Suhrawardi yang berulang mengambil </w:t>
      </w:r>
    </w:p>
    <w:p>
      <w:pPr>
        <w:pStyle w:val="BookText"/>
        <w:bidi w:val="0"/>
        <w:rPr/>
      </w:pPr>
      <w:r>
        <w:rPr>
          <w:rFonts w:eastAsia="Times New Roman" w:cs="Times New Roman" w:ascii="Times New Roman" w:hAnsi="Times New Roman"/>
          <w:color w:val="111111"/>
          <w:sz w:val="28"/>
          <w:szCs w:val="28"/>
          <w:lang w:val="en-US"/>
        </w:rPr>
        <w:t>bentuk “la selalu mesti".</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Suhrawardi, At-Talwihāt: Al-Manthiq, hlm. 14.</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Ibid.,  78. Lihat, Ibn Sina, Livre des Definitions, $18. Bandingkan, Ibn  Sina, Asy-Syifā': Al-Manthiq: Al-Burhān, hlm. 233-237.</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Kita bisa berasumsi bahwa salah satu aspek teori Definisi  Suhrawardi dikaitkan dengan kritiknya atas induksi. la  membuat pembedan antara induksi yang sempurna dan yang  tidak sempurna (al-istiqrā' at-tamm wa an-nāqish). Misalnya,  Opera III, hlm. 5. Lihat, William Kneale, Probability and  Induction. (Oxford: Clarendon Press, 1966), hlm. 24-110.</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Ibn Sina, Asy-Syifā': Al-Manthiq: Al-Burhān, IV. hlm. 4 dan  217-224.</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Lihat, At-Talwībāt: Al-Manthiq, hlm. 14: “Mā lā tarkib fihi là  qaul dall 'alaih."  82. Lihat, Aristoteles, Posterior Analytics 1.22.</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Lihat, Ibn Sina, Manthiq Al-Masyriqiyyin, hlm. 34: “Sesuatu  yang disebut definisi apakah berdasarkan nama atau esensi?"  Bandingkan, idem., Asy-Syifā': Al-Manthiq: Al-Burhān, hlm.</w:t>
      </w:r>
    </w:p>
    <w:p>
      <w:pPr>
        <w:pStyle w:val="BookText"/>
        <w:bidi w:val="0"/>
        <w:jc w:val="both"/>
        <w:rPr/>
      </w:pPr>
      <w:r>
        <w:rPr>
          <w:rFonts w:eastAsia="Times New Roman" w:cs="Times New Roman" w:ascii="Times New Roman" w:hAnsi="Times New Roman"/>
          <w:color w:val="111111"/>
          <w:sz w:val="28"/>
          <w:szCs w:val="28"/>
          <w:lang w:val="en-US"/>
        </w:rPr>
        <w:t>217: “Di antara definisi, sebagian bersifat hakiki dan sesuai  dengan esensi, tetapi sebagian lainnya bersifat metaforis  (majāzī) dan berdasarkan nama (yakni, nominal)."  84. Suhrawardi, At-Talwihāt: Al-Manthiq, hlm. 14-15.</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Ibid., hlm. 7: “Tashawwur kunh asy-syai'."  86. Ibid., hlm. 15.</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Bandingkan, Ibn Sina, Livre des Definitions, $19.</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Lihat misalnya, At-Talwihāt: Al-Manthiq, hlm. 16: “Dan  Porphyry sudah sedemikian rupa sehingga genus perlu diambil  dalam definisi spesies dan spesies dalam definisi genus, dan  ini absurd." Pernyataan ini juga dipakai oleh Ibn Sina dalam  Kitāb Al-Hudud. Lihat, Livre des Definitions, hlm. 11.</w:t>
      </w:r>
    </w:p>
    <w:p>
      <w:pPr>
        <w:pStyle w:val="BookText"/>
        <w:bidi w:val="0"/>
        <w:jc w:val="both"/>
        <w:rPr/>
      </w:pPr>
      <w:r>
        <w:rPr>
          <w:rFonts w:eastAsia="Times New Roman" w:cs="Times New Roman" w:ascii="Times New Roman" w:hAnsi="Times New Roman"/>
          <w:color w:val="111111"/>
          <w:sz w:val="28"/>
          <w:szCs w:val="28"/>
          <w:lang w:val="en-US"/>
        </w:rPr>
        <w:t>88.</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menggunakan istilah tertentu dalam teori  definisinya, termasuk matematika yang sepenuhnya bisa </w:t>
      </w:r>
    </w:p>
    <w:p>
      <w:pPr>
        <w:pStyle w:val="BookText"/>
        <w:bidi w:val="0"/>
        <w:rPr/>
      </w:pPr>
      <w:r>
        <w:rPr>
          <w:rFonts w:eastAsia="Times New Roman" w:cs="Times New Roman" w:ascii="Times New Roman" w:hAnsi="Times New Roman"/>
          <w:color w:val="111111"/>
          <w:sz w:val="28"/>
          <w:szCs w:val="28"/>
          <w:lang w:val="en-US"/>
        </w:rPr>
        <w:t>dipahami dengan baik dalam pandangan karya Al-Baghdadi  sebelumnya. Lihat, Apendiks C berikut, di mana istilah-istilah  itu dianalisis.</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Lihat, Kneale, Probability and Induction, hlm. 25-30.</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Aristoteles, Posterior Analytics 1, 76b35-77a4; Metaphysics 1.3.</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At-Talwībāt: Al-Manthiq, hlm. 82.</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Ibid., hlm. 82-83.</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Lihat, Al-Masyāri' wa Al-Muthārahāt: Al-Manthiq, fol. 15v.-19r.</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Ibid., fol. 15v.</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14v.</w:t>
      </w:r>
    </w:p>
    <w:p>
      <w:pPr>
        <w:pStyle w:val="BookText"/>
        <w:bidi w:val="0"/>
        <w:jc w:val="both"/>
        <w:rPr/>
      </w:pPr>
      <w:r>
        <w:rPr>
          <w:rFonts w:eastAsia="Times New Roman" w:cs="Times New Roman" w:ascii="Times New Roman" w:hAnsi="Times New Roman"/>
          <w:color w:val="111111"/>
          <w:sz w:val="28"/>
          <w:szCs w:val="28"/>
          <w:lang w:val="en-US"/>
        </w:rPr>
        <w:t>Bandingkan, Ibn Sina, Livre des Definitions, $18: “Al-qaul ad-  dāll ‘alā māhiyyah asy-syai'."  97. Al-Masyāri' wa Al-Muthārahāt: Al-Manthiq, fol. 14v: “qaul  mufashshal dāll 'alā mahiyyah asy-syai'."  98. Bandingkan, Ibn Sina, Manthiq al-Masyriqiyyin, hlm. 34: “al-qaul  al-mufashshal al-mu'arraf li adz-dzāt bi māhiyyatihi.”  99. Al-Masyāri wa Al-Muthārahāt: Al-Manthiq, fol. 14r: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Mufashshal, ay kull juz' min al-lafzh yadullu 'alā juz' min  haqiqah asy-syai'."  100. Al-Masyāri' wa Al-Muthārahāt: Al-Manthiq, fol. 14r: “Al-  ladzī zāda fi al-hadd fa qāla: innahu al-qaul ad-dall 'alā kamal  māhiyyah asy-syai' ihtirāzan ‘an al-hadd an-nāqish, akhtha'a."  101. Ibn Sina, Livre des Definitions, $18: “Mā dzakarahu al-hakim  fi kitāb thubiqa annahu al-qaul ad-dāll ‘alā māhiyyah al-syai'  ay ‘alā kamāl wujūdihi adz-dzāti wa huwa mā yatahashshala  lahu min jinsihi al-qarīb wa fashlihi."  102. Al-Masyāri' wa Al-Muthārahāt: Al-Manthig, fol. 14v.</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Lihat, Suhrawardi, Opera II, hlm. 14; Asy-Syirazi, Syarh II,  hlm. 13-38; Al-Baghdadi, Al-Mu'tabar, 1,8; As-Sawi, At-  Tabshirah, hlm. 132; dan bandingkan, At-Talwihāt: Al-  Manthiq, hlm. 3.</w:t>
      </w:r>
    </w:p>
    <w:p>
      <w:pPr>
        <w:pStyle w:val="BookText"/>
        <w:bidi w:val="0"/>
        <w:jc w:val="both"/>
        <w:rPr/>
      </w:pPr>
      <w:r>
        <w:rPr>
          <w:rFonts w:eastAsia="Times New Roman" w:cs="Times New Roman" w:ascii="Times New Roman" w:hAnsi="Times New Roman"/>
          <w:color w:val="111111"/>
          <w:sz w:val="28"/>
          <w:szCs w:val="28"/>
          <w:lang w:val="en-US"/>
        </w:rPr>
        <w:t>104.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Al-Masyāri' wa Al-Muthārahāt: Al-Manthiq, fol. v: “Rubbama  yanqadhih fi syarh al-hadd al-madzkūr an yuqāla "qaulunā  Hossein Ziai 189 </w:t>
      </w:r>
    </w:p>
    <w:p>
      <w:pPr>
        <w:pStyle w:val="BookText"/>
        <w:bidi w:val="0"/>
        <w:rPr/>
      </w:pPr>
      <w:r>
        <w:rPr>
          <w:rFonts w:eastAsia="Times New Roman" w:cs="Times New Roman" w:ascii="Times New Roman" w:hAnsi="Times New Roman"/>
          <w:color w:val="111111"/>
          <w:sz w:val="28"/>
          <w:szCs w:val="28"/>
          <w:lang w:val="en-US"/>
        </w:rPr>
        <w:t>hayawān nāthiq dāll bi at-tadhammum 'alā māhiyyah al-  hayawān wa dalalah at-tadhammum mu'tabar," fa hādzā al-  qaul ad-dāll 'alā haqiqah al-hayawān wa laisa nahidd lahu  wajhahu daf'atan anna lafzh al-hayawān dāll 'alā haqiqah  al-hayawān wa al-qaul bi mā huwa qaul mā dalla ‘alā al-  hayawāniyyah bal an-nāthiq dalla ‘alā syai' lahu nafs nāthiqah,  tsumma qaul mā dalla naʻlam min khārij annahu hayawān."  105. Al-Masyāri' wa Al-Muthārahāt: Al-Manthiq, fol. 14v: “Syai' al-  basīth al-ladzilā juz' lahu lā qaul dāll 'alaih."  106. Ibid., “Māhiyyah asy-syai' majmū' muqawwimatihi.”  107. Bandingkan, Suhrawardi, Opera II, hlm. 5.</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15r: "I'lam  anna man i'tarafa bi anna as-sathh laisa miqdāran wa  laisa akhashsh mutahashshilan fi al-a'yān [akhtha'a] bal  miqdāriyyatuhu nafs sathhiyyatihi fi al-a'yān."  109. Al-Masyāri' wa Al-Muthārahāt: Al-Manthiq, fol. 15v.: "Laisa  al-laun fi al-a'yān mutahashshilan wa lahu fashl mustaqill  bi al-wujud majm ū‘ahumā sawād, bal huwa syai' wāhid; wa  idzā kāna lā juz' lahu fī al-a'yān fa lā juz' lahu fi adz-dzihn li  anna ash-shūrah adz-dzihniyyah wājib an tuthābiq al-'aini."  110. Al-Masyāri' wa Al-Muthārahāt: Al-Manthiq, fol 15v: "Anna al-  basā'ith tursam wa tuhadd."  111. Ibid.,: “Sarraha asy-Syaikh Abū ‘Ali, fikarāris yansubuhā ilā  al-masyriqiyyin."  112. Lihat, Ibn Sina, Manthiq Al-Mayriqiyyin, hlm. 1-4.</w:t>
      </w:r>
    </w:p>
    <w:p>
      <w:pPr>
        <w:pStyle w:val="BookText"/>
        <w:bidi w:val="0"/>
        <w:jc w:val="both"/>
        <w:rPr/>
      </w:pPr>
      <w:r>
        <w:rPr>
          <w:rFonts w:eastAsia="Times New Roman" w:cs="Times New Roman" w:ascii="Times New Roman" w:hAnsi="Times New Roman"/>
          <w:color w:val="111111"/>
          <w:sz w:val="28"/>
          <w:szCs w:val="28"/>
          <w:lang w:val="en-US"/>
        </w:rPr>
        <w:t>109.</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Al-Masyāri' wa Al-Muthārahāt: Al-Manthiq, fol. 15r: “Fa  hādzihi al-karāris wa in yansubuhā ilā al-masyriq fa hiya bi  ‘ainihā qawāʻid al-masysyā'īn wa al-hikmah al-'āmmah, illā  annahu ghayyara al-'ibārah au tasharrafa fi ba'dh al-furū“,  tasharrufan gharīban là tubayyin kutubuhā al-ukhrā ... wa  Tā yataqarraru bihi al-ashl al-masyriqi al-muqarrar fi 'ahd  al-'ulamā' al-khusrawaniyyah." Corbin sudah membahas  pandangan Suhrawardi tentang para filsuf Khusrawani dan  190 Hossein Ziai </w:t>
      </w:r>
    </w:p>
    <w:p>
      <w:pPr>
        <w:pStyle w:val="BookText"/>
        <w:bidi w:val="0"/>
        <w:rPr/>
      </w:pPr>
      <w:r>
        <w:rPr>
          <w:rFonts w:eastAsia="Times New Roman" w:cs="Times New Roman" w:ascii="Times New Roman" w:hAnsi="Times New Roman"/>
          <w:color w:val="111111"/>
          <w:sz w:val="28"/>
          <w:szCs w:val="28"/>
          <w:lang w:val="en-US"/>
        </w:rPr>
        <w:t>kebijaksanaan Iran Lama. Lihat, misalnya, Opera II, hlm. vi;  dan ibid., Prolegomena, hlm. 24-26.</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15r: “Wa  nahnu fi hādzā al-kitab la naqshud illā tatmīm tharā'iq al-  masysyā'in wa ta'rifahā wa tahdzibahā."  115. Al-Masyāri' wa Al-Muthārahāt: Al-Manthiq, fol. 15r.</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15v.: “Afa'in  'uniya bi al-ism nafs majmū' tilka ash-shifah wa hādzā ashahh  al-hudud." Ini tentu, hanya mungkin bila sifat-sifat dari  sesuatu yang didefinisikan terbatas. Bandingkan, Aristoteles,  Posterior Analytics, 1.22, 82b36-39; 84a27.</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15v.: “Al-  asmā' al-ishthilāhiyyah fī al-'ilm hudūduhā hiya al-aqwal ad-  dāllah ‘alā ghaira mā ishthalaha 'alaih."  118. Bandingkan, Ibn Sina, Kitāb Al-Isyārāt wa At-Tanbihāt, hlm.</w:t>
      </w:r>
    </w:p>
    <w:p>
      <w:pPr>
        <w:pStyle w:val="BookText"/>
        <w:bidi w:val="0"/>
        <w:jc w:val="both"/>
        <w:rPr/>
      </w:pPr>
      <w:r>
        <w:rPr>
          <w:rFonts w:eastAsia="Times New Roman" w:cs="Times New Roman" w:ascii="Times New Roman" w:hAnsi="Times New Roman"/>
          <w:color w:val="111111"/>
          <w:sz w:val="28"/>
          <w:szCs w:val="28"/>
          <w:lang w:val="en-US"/>
        </w:rPr>
        <w:t>11-12.</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Al-Masyāri' wa Al-Muthārahāt: Al-Manthig, fol. 17v.</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Bandingkan, Ibn Sina, Manthiq al-Mayriqiyyin, hlm. 42-44.</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16v-16r.</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16v. Bandingkan,  Opera II, hlm. 20.</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16v.</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Bandingkan, Ibn Sina, Manthiq Al-Mayriqiyyin, hlm. 34-36.</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88V-101r.</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Al-Masyāri' wa Al-Muthārahāt: Al-Manthiq, fol. 97r. Istilah  yang digunakan Suhrawardi adalah Madzhab Al-Aflathūn.</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Ibid., fol. 98r.</w:t>
      </w:r>
    </w:p>
    <w:p>
      <w:pPr>
        <w:pStyle w:val="BookText"/>
        <w:bidi w:val="0"/>
        <w:jc w:val="both"/>
        <w:rPr/>
      </w:pPr>
      <w:r>
        <w:rPr>
          <w:rFonts w:eastAsia="Times New Roman" w:cs="Times New Roman" w:ascii="Times New Roman" w:hAnsi="Times New Roman"/>
          <w:color w:val="111111"/>
          <w:sz w:val="28"/>
          <w:szCs w:val="28"/>
          <w:lang w:val="en-US"/>
        </w:rPr>
        <w:t>128.</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melihat bahwa Suhrawardi menyebut gayanya sebagai  metaforis (marmūzah, istilah yang berarti misterius atau  rahasia). Bandingkan, Suhrawardi, Al-Masyāri' wa Al-  Muthārahāt: Al-Manthiq, fol. 15r: "Wa hiya hikmah al-  khāshiyyah; wa al-khathb al-'azhīm al-marmūz fi kitābinā al-  musytamil 'alā al-ushūl asy-syarīfah al-musammā bi Hikmah </w:t>
      </w:r>
    </w:p>
    <w:p>
      <w:pPr>
        <w:pStyle w:val="BookText"/>
        <w:bidi w:val="0"/>
        <w:rPr/>
      </w:pPr>
      <w:r>
        <w:rPr>
          <w:rFonts w:eastAsia="Times New Roman" w:cs="Times New Roman" w:ascii="Times New Roman" w:hAnsi="Times New Roman"/>
          <w:color w:val="111111"/>
          <w:sz w:val="28"/>
          <w:szCs w:val="28"/>
          <w:lang w:val="en-US"/>
        </w:rPr>
        <w:t>Al-Isyrāq.” Selanjutnya, kita mencatat bahwa istilah ramz  yang digunakan dalam Hikmah Al-Isyrāq untuk menandai  gaya filsafat “kuno". Suhrawardi, Opera II, hlm. 10-11.</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Bagian ini, di antara bagian yang sangat penting dalam  buku ini, telah diterjemahkan sehingga pembaca bisa  memeriksanya langsung. Lihat, Apendiks B berikut.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Baik istilah āhād maupun ijtimā' keduanya adalah matematis.</w:t>
      </w:r>
    </w:p>
    <w:p>
      <w:pPr>
        <w:pStyle w:val="BookText"/>
        <w:bidi w:val="0"/>
        <w:jc w:val="both"/>
        <w:rPr/>
      </w:pPr>
      <w:r>
        <w:rPr>
          <w:rFonts w:eastAsia="Times New Roman" w:cs="Times New Roman" w:ascii="Times New Roman" w:hAnsi="Times New Roman"/>
          <w:color w:val="111111"/>
          <w:sz w:val="28"/>
          <w:szCs w:val="28"/>
          <w:lang w:val="en-US"/>
        </w:rPr>
        <w:t>Lihat, Al-Baghdadi, Al-Mu'tabar I, hlm. 55-57. Istilah ijtima'  merujuk pada jenis “keseluruhan" yang disebut jam' tarkibi,  di mana bagian-bagian atau unit-unit tidak dibedakan satu  sama lain, dan secara kolektif mereka tidak dibedakan dari  keseluruhan. Bandingkan, Aristoteles, Metaphysics V.26,  1024a1-10. Istilah Yunani oúvolos, Qúykpiois, obornua  harus dibandingkan dengan istilah ijtimā'. Lihat, Tsabit bin  Qurrah, Al-Madkhal, hlm. 299. Mengenai hubungan antara  jāmi' dan lov, yang dianggap sebagai jenis ovúðɛoic.Lihat,  Ibid., Alfred Irvy, Al-Kindi's Metaphysics. (Albany: SUNY Press,  1974), hlm. 17. Bandingkan, Aristoteles, Topics VI. 14, 151430.</w:t>
      </w:r>
    </w:p>
    <w:p>
      <w:pPr>
        <w:pStyle w:val="BookText"/>
        <w:bidi w:val="0"/>
        <w:jc w:val="both"/>
        <w:rPr/>
      </w:pPr>
      <w:r>
        <w:rPr>
          <w:rFonts w:eastAsia="Times New Roman" w:cs="Times New Roman" w:ascii="Times New Roman" w:hAnsi="Times New Roman"/>
          <w:color w:val="111111"/>
          <w:sz w:val="28"/>
          <w:szCs w:val="28"/>
          <w:lang w:val="en-US"/>
        </w:rPr>
        <w:t>Untuk pemahaman lebih jauh tentang implikasi istilah āhād,  harus dibandingkan dengan μονάδες dan μουαδιστίYunani.</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Signifikansi istilah-istilah dalam metafisika bisa dilihat dalam  Al-Baghdadi, Al-Mu'tabar, hlm. I dan 55. Untuk signifikansi  istilah matematika dan implikasinya dalam filsafat, lihat,  Tsabit bin Qurrah, Al-Madkhal, hlm. 218, 222, 223, serta  299. Perlu diingat bahwa hubungan antara unit, āhād, dan  keseluruhan ijtimā', bergantung pada gagasan kombinasi  sintesis, jam' tarkibi, yang merupakan ijtimā' yang berkaitan  dengan sesuatu yang didefinisikan. Ini juga berarti bahwa  unit, āhād, tidak bisa ditentukan dalam realitas keseluruhan  ijtima' di luar pikiran secara independen. Lihat, Apendiks C  berikut, di mana saya menganalisis kaidah matematika Al-  Baghdadi untuk definisi. Posisi Suhrawardi bisa diringkas  sebagai berikut: yang Esa (unit, urutan, pokok, sesuatu) </w:t>
      </w:r>
    </w:p>
    <w:p>
      <w:pPr>
        <w:pStyle w:val="BookText"/>
        <w:bidi w:val="0"/>
        <w:rPr/>
      </w:pPr>
      <w:r>
        <w:rPr>
          <w:rFonts w:eastAsia="Times New Roman" w:cs="Times New Roman" w:ascii="Times New Roman" w:hAnsi="Times New Roman"/>
          <w:color w:val="111111"/>
          <w:sz w:val="28"/>
          <w:szCs w:val="28"/>
          <w:lang w:val="en-US"/>
        </w:rPr>
        <w:t>tidak bisa diketahui secara independen melalui yang banyak,  dan begitu juga sebaliknya. Untuk mendefinisikan “yang  banyak", "yang Satu" harus didefinisikan terlebih dahulu,  yang definisinya berpijak pada intuisi primer "jumlah" dan  bukan pada definisi formal yang berdasarkan anggapan apa  pun tentang realitas sehingga subjek yang mengetahui ingin  membuat definisinya.</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Ini bagian dari karya Al-Baghdadi yang dianalisis dalam  Apendiks C.</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Lihat, Suhrawardi, Opera II, hlm. 18. Bandingkan, Al-  Baghdadi, Al-Mu'tabar, I. hlm. 8 dan 40-46; As-Sawi, At-  Tabshīrah, hlm. 3; Aristoteles, Posterior Analytics I, hlm. 1-3.</w:t>
      </w:r>
    </w:p>
    <w:p>
      <w:pPr>
        <w:pStyle w:val="BookText"/>
        <w:bidi w:val="0"/>
        <w:jc w:val="both"/>
        <w:rPr/>
      </w:pPr>
      <w:r>
        <w:rPr>
          <w:rFonts w:eastAsia="Times New Roman" w:cs="Times New Roman" w:ascii="Times New Roman" w:hAnsi="Times New Roman"/>
          <w:color w:val="111111"/>
          <w:sz w:val="28"/>
          <w:szCs w:val="28"/>
          <w:lang w:val="en-US"/>
        </w:rPr>
        <w:t>Pembedaan antara bawaan dan perolehan adalah ciri penting  dari karya Al-Baghdadi. Ia “dibangun melalui refleksi personal"  oleh filsuf yang pengetahuannya berdasarkan intuisi apriori.</w:t>
      </w:r>
    </w:p>
    <w:p>
      <w:pPr>
        <w:pStyle w:val="BookText"/>
        <w:bidi w:val="0"/>
        <w:jc w:val="both"/>
        <w:rPr/>
      </w:pPr>
      <w:r>
        <w:rPr>
          <w:rFonts w:eastAsia="Times New Roman" w:cs="Times New Roman" w:ascii="Times New Roman" w:hAnsi="Times New Roman"/>
          <w:color w:val="111111"/>
          <w:sz w:val="28"/>
          <w:szCs w:val="28"/>
          <w:lang w:val="en-US"/>
        </w:rPr>
        <w:t>Lihat, S. Pines, Nouvelles Etudes sur Auhad Al-Zamān Abu  Al-Barakat al-Baghdadi, hlm. 8-17.</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Kemungkinan besar mengacu pada Ibn Sina, yakni Al-Isyārāt.</w:t>
      </w:r>
    </w:p>
    <w:p>
      <w:pPr>
        <w:pStyle w:val="BookText"/>
        <w:bidi w:val="0"/>
        <w:jc w:val="both"/>
        <w:rPr/>
      </w:pPr>
      <w:r>
        <w:rPr>
          <w:rFonts w:eastAsia="Times New Roman" w:cs="Times New Roman" w:ascii="Times New Roman" w:hAnsi="Times New Roman"/>
          <w:color w:val="111111"/>
          <w:sz w:val="28"/>
          <w:szCs w:val="28"/>
          <w:lang w:val="en-US"/>
        </w:rPr>
        <w:t>Lihat, Ibn Sina, Kitāb Al-Isyārāt, hlm. 11-13.</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Lihat, Suhrawardi, Opera II, hlm. 19-20.</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Gedanken experiment Suhrawardi mengenai pengetahuan jiwa  atas dirinya, meskipun dalam konsepsi Ibn Sina menunjukkan  analisis lebih rinci dan digabungkan sepenuhnya ke dalam  pandangan komprehensif tentang psikologi. Lihat, Opera  III, hlm. 10-14. Bandingkan, Fazlur Rahman, Avicenna's  Psychology, hlm. 31.</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Suhrawardi, Opera II, hlm. 40-46.</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Suhrawardi, Opera II, hlm. 21.</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Lihat, Suhrawardi, Al-Masyāri' wa Al-Muthārahāt, fol. 98v.;  idem., Opera III, hlm. 5.</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Untuk bahasan tentang hubungan antara “bagian-bagian"  dan “jumlah", lihat, Apendiks C berikut.</w:t>
      </w:r>
    </w:p>
    <w:p>
      <w:pPr>
        <w:pStyle w:val="BookText"/>
        <w:bidi w:val="0"/>
        <w:jc w:val="both"/>
        <w:rPr/>
      </w:pPr>
      <w:r>
        <w:rPr>
          <w:rFonts w:eastAsia="Times New Roman" w:cs="Times New Roman" w:ascii="Times New Roman" w:hAnsi="Times New Roman"/>
          <w:color w:val="111111"/>
          <w:sz w:val="28"/>
          <w:szCs w:val="28"/>
          <w:lang w:val="en-US"/>
        </w:rPr>
        <w:t>140.</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Opera II, hlm. 21. </w:t>
      </w:r>
    </w:p>
    <w:p>
      <w:pPr>
        <w:pStyle w:val="BookText"/>
        <w:bidi w:val="0"/>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Aristoteles, Posterior Analytics 11.3, 90b15: “Tanpa  mendefinisikan sesuatu sebagai sifat esensial atau aksiden-  kita tidak mendapat pengetahuan tentangnya."  142. Bandingkan, Ibn Sina, Asy-Syifa': Al-Manthiq: Al-Burhān IV.4,  hlm. 217-224.</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Aristoteles, Topics VI.4, 141923-142b.</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Suhrawardi, Opera II, hlm. 106.</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Peran filsuf Ilahi (Al-Hakim Al-Muta'allih) dalam mengajarkan  hikmah yang diperoleh melalui kajian Filsafat Iluminasi  sangatlah penting. Guru semacam itu sama dengan seorang  “kutub" (quthb) dalam tasawuf. Orang yang demikian itu biasa  disebut "penegak hikmah Iluminasi” (al-qayyīm 'alā Al-  Isyrāq). Lihat, Suhrawardi, Opera II, hlm. 10-13, 244, 256,  serta 260.</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Suhrawardi, Opera I, hlm. 401.</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Lihat, Immanuel Kant, Logic, terjemahan R. Hartman dan W.</w:t>
      </w:r>
    </w:p>
    <w:p>
      <w:pPr>
        <w:pStyle w:val="BookText"/>
        <w:bidi w:val="0"/>
        <w:jc w:val="both"/>
        <w:rPr/>
      </w:pPr>
      <w:r>
        <w:rPr>
          <w:rFonts w:eastAsia="Times New Roman" w:cs="Times New Roman" w:ascii="Times New Roman" w:hAnsi="Times New Roman"/>
          <w:color w:val="111111"/>
          <w:sz w:val="28"/>
          <w:szCs w:val="28"/>
          <w:lang w:val="en-US"/>
        </w:rPr>
        <w:t>Schwartz, (New York: Library of Liberal Arts, 1974), hlm.</w:t>
      </w:r>
    </w:p>
    <w:p>
      <w:pPr>
        <w:pStyle w:val="BookText"/>
        <w:bidi w:val="0"/>
        <w:jc w:val="both"/>
        <w:rPr/>
      </w:pPr>
      <w:r>
        <w:rPr>
          <w:rFonts w:eastAsia="Times New Roman" w:cs="Times New Roman" w:ascii="Times New Roman" w:hAnsi="Times New Roman"/>
          <w:color w:val="111111"/>
          <w:sz w:val="28"/>
          <w:szCs w:val="28"/>
          <w:lang w:val="en-US"/>
        </w:rPr>
        <w:t>141-146; N.K. Smith, A Commentary to Kant's Critique of  Pure Reason. (New York: Humanities Press, 1971), hlm. 564-  565; Lewis W. Beck, “Kant's Teheory of Definition", dalam  The Philosophica Review, vol. 65, 2 (374) (April, 1956), hlm.</w:t>
      </w:r>
    </w:p>
    <w:p>
      <w:pPr>
        <w:pStyle w:val="BookText"/>
        <w:bidi w:val="0"/>
        <w:jc w:val="both"/>
        <w:rPr/>
      </w:pPr>
      <w:r>
        <w:rPr>
          <w:rFonts w:eastAsia="Times New Roman" w:cs="Times New Roman" w:ascii="Times New Roman" w:hAnsi="Times New Roman"/>
          <w:color w:val="111111"/>
          <w:sz w:val="28"/>
          <w:szCs w:val="28"/>
          <w:lang w:val="en-US"/>
        </w:rPr>
        <w:t>179-191.</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Dasar intuisi matematika kini sudah banyak peroleh perhatian  setelah terbitnya karya Dummet, Elements of Intuitionism.</w:t>
      </w:r>
    </w:p>
    <w:p>
      <w:pPr>
        <w:pStyle w:val="BookText"/>
        <w:bidi w:val="0"/>
        <w:jc w:val="both"/>
        <w:rPr/>
      </w:pPr>
      <w:r>
        <w:rPr>
          <w:rFonts w:eastAsia="Times New Roman" w:cs="Times New Roman" w:ascii="Times New Roman" w:hAnsi="Times New Roman"/>
          <w:color w:val="111111"/>
          <w:sz w:val="28"/>
          <w:szCs w:val="28"/>
          <w:lang w:val="en-US"/>
        </w:rPr>
        <w:t>(Oxford: Oxford University Press, 1976). Lihat juga, A.</w:t>
      </w:r>
    </w:p>
    <w:p>
      <w:pPr>
        <w:pStyle w:val="BookText"/>
        <w:bidi w:val="0"/>
        <w:jc w:val="both"/>
        <w:rPr/>
      </w:pPr>
      <w:r>
        <w:rPr>
          <w:rFonts w:eastAsia="Times New Roman" w:cs="Times New Roman" w:ascii="Times New Roman" w:hAnsi="Times New Roman"/>
          <w:color w:val="111111"/>
          <w:sz w:val="28"/>
          <w:szCs w:val="28"/>
          <w:lang w:val="en-US"/>
        </w:rPr>
        <w:t>Heyting, Intuitionism: An Introduction. (Amsterdam: North-  Holland Publishing Company, 1956).</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Alfred J. Ayer, Language, Truth, and Logic. (London: V. Cictor  Gollanz Ltd., 1950), hlm. 59-71. Bandingkan, Paul T. Sagal,  "Implicit Definition," dalam The Monist, vol. 57, no. 3 (Juli,  1973), hlm. 443-450.</w:t>
      </w:r>
    </w:p>
    <w:p>
      <w:pPr>
        <w:pStyle w:val="BookText"/>
        <w:bidi w:val="0"/>
        <w:jc w:val="both"/>
        <w:rPr/>
      </w:pPr>
      <w:r>
        <w:rPr>
          <w:rFonts w:eastAsia="Times New Roman" w:cs="Times New Roman" w:ascii="Times New Roman" w:hAnsi="Times New Roman"/>
          <w:color w:val="111111"/>
          <w:sz w:val="28"/>
          <w:szCs w:val="28"/>
          <w:lang w:val="en-US"/>
        </w:rPr>
        <w:t>150.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Istilah-istilah lain semisal himpunan, perangkat, kumpulan,  dan majemuk, juga digunakan dan mungkin ini yang </w:t>
      </w:r>
    </w:p>
    <w:p>
      <w:pPr>
        <w:pStyle w:val="BookText"/>
        <w:bidi w:val="0"/>
        <w:rPr/>
      </w:pPr>
      <w:r>
        <w:rPr>
          <w:rFonts w:eastAsia="Times New Roman" w:cs="Times New Roman" w:ascii="Times New Roman" w:hAnsi="Times New Roman"/>
          <w:color w:val="111111"/>
          <w:sz w:val="28"/>
          <w:szCs w:val="28"/>
          <w:lang w:val="en-US"/>
        </w:rPr>
        <w:t>dimaksud oleh Suhrawardi dengan Al-ijtima'.</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Bertrand Russel, Introduction to Mathematical Philosophy.</w:t>
      </w:r>
    </w:p>
    <w:p>
      <w:pPr>
        <w:pStyle w:val="BookText"/>
        <w:bidi w:val="0"/>
        <w:jc w:val="both"/>
        <w:rPr/>
      </w:pPr>
      <w:r>
        <w:rPr>
          <w:rFonts w:eastAsia="Times New Roman" w:cs="Times New Roman" w:ascii="Times New Roman" w:hAnsi="Times New Roman"/>
          <w:color w:val="111111"/>
          <w:sz w:val="28"/>
          <w:szCs w:val="28"/>
          <w:lang w:val="en-US"/>
        </w:rPr>
        <w:t>(New York: Simon and Schuster, tanpa tahun), hlm. 12.</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Bandingkan, Irving Copi, Symbolic Logic, (New York: The  Macmillan Co., 1965), Bab VI; Moritz Schlick, General  Theory of Knowledge, (New York and Wien: Springer-Verlag,  1975), hlm. 31-39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7" w:name="pg6442_57447"/>
      <w:bookmarkStart w:id="168" w:name="pg6442_57447"/>
      <w:bookmarkEnd w:id="168"/>
    </w:p>
    <w:p>
      <w:pPr>
        <w:pStyle w:val="Heading2"/>
        <w:numPr>
          <w:ilvl w:val="1"/>
          <w:numId w:val="1"/>
        </w:numPr>
        <w:bidi w:val="0"/>
        <w:jc w:val="left"/>
        <w:rPr/>
      </w:pPr>
      <w:bookmarkStart w:id="169" w:name="pg6442_57447"/>
      <w:bookmarkStart w:id="170" w:name="__RefHeading___Toc924690_653776707"/>
      <w:bookmarkStart w:id="171" w:name="_Toc58"/>
      <w:bookmarkEnd w:id="169"/>
      <w:bookmarkEnd w:id="170"/>
      <w:r>
        <w:rPr/>
        <w:t>BAB 4: PENGETAHUAN, ILUMINASI, DAN KOSMOLOGI</w:t>
      </w:r>
      <w:bookmarkEnd w:id="171"/>
    </w:p>
    <w:p>
      <w:pPr>
        <w:pStyle w:val="Heading3"/>
        <w:numPr>
          <w:ilvl w:val="2"/>
          <w:numId w:val="1"/>
        </w:numPr>
        <w:bidi w:val="0"/>
        <w:jc w:val="left"/>
        <w:rPr/>
      </w:pPr>
      <w:bookmarkStart w:id="172" w:name="__RefHeading___Toc924692_653776707"/>
      <w:bookmarkStart w:id="173" w:name="_Toc59"/>
      <w:bookmarkEnd w:id="172"/>
      <w:r>
        <w:rPr/>
        <w:t>1. MUNGKINKAH MENGETAHUI PENILAIAN SUHRAWARDI ATAS PANDANGAN PERIPATETIK?</w:t>
      </w:r>
      <w:bookmarkEnd w:id="173"/>
    </w:p>
    <w:p>
      <w:pPr>
        <w:pStyle w:val="Heading4"/>
        <w:numPr>
          <w:ilvl w:val="3"/>
          <w:numId w:val="1"/>
        </w:numPr>
        <w:bidi w:val="0"/>
        <w:jc w:val="left"/>
        <w:rPr/>
      </w:pPr>
      <w:bookmarkStart w:id="174" w:name="__RefHeading___Toc924694_653776707"/>
      <w:bookmarkStart w:id="175" w:name="_Toc60"/>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Telah saya tunjukkan dalam Bab 3, bahwa Suhrawardi  memandang metode Definisi Peripatetik sebagai cara yang  tidak valid untuk memperoleh pengetahuan. Kita melihat bahwa  tujuan yang diinginkan dari epistemologi Iluminasi adalah jenis  pengetahuan sesungguhnya yang diketahui melalui keyakinan  (yaqin).</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Istilah yagini mungkin dapat disamakan dengan επιστήμη,  misalnya, Tsabit bin Qurrah, Al-Madkhal, hlm. 4, 14 dan 185.</w:t>
      </w:r>
    </w:p>
    <w:p>
      <w:pPr>
        <w:pStyle w:val="BookText"/>
        <w:bidi w:val="0"/>
        <w:jc w:val="both"/>
        <w:rPr/>
      </w:pPr>
      <w:r>
        <w:rPr>
          <w:rFonts w:eastAsia="Times New Roman" w:cs="Times New Roman" w:ascii="Times New Roman" w:hAnsi="Times New Roman"/>
          <w:color w:val="111111"/>
          <w:sz w:val="28"/>
          <w:szCs w:val="28"/>
          <w:lang w:val="en-US"/>
        </w:rPr>
        <w:t>Di satu sisi, jenis pengetahuan ini adalah pengetahuan  tentang esensi saja, dan di sisi lain, ia adalah pengetahuan  yang menggabungkan bentuk-bentuk abadi yang tidak berubah.</w:t>
      </w:r>
    </w:p>
    <w:p>
      <w:pPr>
        <w:pStyle w:val="BookText"/>
        <w:bidi w:val="0"/>
        <w:jc w:val="both"/>
        <w:rPr/>
      </w:pPr>
      <w:r>
        <w:rPr>
          <w:rFonts w:eastAsia="Times New Roman" w:cs="Times New Roman" w:ascii="Times New Roman" w:hAnsi="Times New Roman"/>
          <w:color w:val="111111"/>
          <w:sz w:val="28"/>
          <w:szCs w:val="28"/>
          <w:lang w:val="en-US"/>
        </w:rPr>
        <w:t>Syarat-syarat kaku yang ditetapkan Suhrawardi bagi kemungkinan  mengetahui ini, sepenuhnya bukan tanpa preseden sebelumnya  dalam filsafat. Melalui filsafat diskursif, menurut Suhrawardi  validitas formal bisa dipastikan. Akan tetapi, ia membedakan  antara pengetahuan diskursif, pengetahuan yang berdasarkan  intuisi, dan memandang jenis pengetahuan yang disebut terakhir  ini memiliki keunggulan epistemologi. Pembedaan ini adalah  modifikasi Suhrawardi atas pandangan Aristoteles tentang  pengetahuan yang digambarkan dalam Posterior Analitics.</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(Leiden: E.J. Brill, 1988), terutama hlm. 44-53.</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Menurut pandangan Suhrawardi, jenis pengetahuan paling valid  adalah sejenis “pengalaman" oleh subjek mengenai apa yang  disebutnya sebagai “cahaya-cahaya apokaliptik" (ash-shawānih</w:t>
      </w:r>
    </w:p>
    <w:p>
      <w:pPr>
        <w:pStyle w:val="BookText"/>
        <w:bidi w:val="0"/>
        <w:rPr/>
      </w:pPr>
      <w:r>
        <w:rPr>
          <w:rFonts w:eastAsia="Times New Roman" w:cs="Times New Roman" w:ascii="Times New Roman" w:hAnsi="Times New Roman"/>
          <w:color w:val="111111"/>
          <w:sz w:val="28"/>
          <w:szCs w:val="28"/>
          <w:lang w:val="en-US"/>
        </w:rPr>
        <w:t>an-nūriyyah). Secara umum, inilah pengetahuan yang diperoleh  melalui suatu cara kognisi yang disebut pengalaman “mistis".</w:t>
      </w:r>
    </w:p>
    <w:p>
      <w:pPr>
        <w:pStyle w:val="BookText"/>
        <w:bidi w:val="0"/>
        <w:jc w:val="both"/>
        <w:rPr/>
      </w:pPr>
      <w:r>
        <w:rPr>
          <w:rFonts w:eastAsia="Times New Roman" w:cs="Times New Roman" w:ascii="Times New Roman" w:hAnsi="Times New Roman"/>
          <w:color w:val="111111"/>
          <w:sz w:val="28"/>
          <w:szCs w:val="28"/>
          <w:lang w:val="en-US"/>
        </w:rPr>
        <w:t>Suhrawardi memandang pengalaman-pengalaman seperti  itu sebagai dasar untuk membangun filsafat diskursif secara  sistematis melalui berbagai metode, semisal demonstrasi.</w:t>
      </w:r>
    </w:p>
    <w:p>
      <w:pPr>
        <w:pStyle w:val="BookText"/>
        <w:bidi w:val="0"/>
        <w:jc w:val="both"/>
        <w:rPr/>
      </w:pPr>
      <w:r>
        <w:rPr>
          <w:rFonts w:eastAsia="Times New Roman" w:cs="Times New Roman" w:ascii="Times New Roman" w:hAnsi="Times New Roman"/>
          <w:color w:val="111111"/>
          <w:sz w:val="28"/>
          <w:szCs w:val="28"/>
          <w:lang w:val="en-US"/>
        </w:rPr>
        <w:t>Validitas segenap uraian diskursif semacam ini  bergantung sepenuhnya pada pengalaman subjek. Suhrawardi  memandang visi mistis, intuisi, dan secara umum. Bentuk  pengetahuan eksperiensial atau dialami sebagai berstatus  sama dengan pengetahuan yang berpijak pada premis-premis  demonstrasi primer dan terbukti dengan sendirinya (badihī).</w:t>
      </w:r>
    </w:p>
    <w:p>
      <w:pPr>
        <w:pStyle w:val="BookText"/>
        <w:bidi w:val="0"/>
        <w:jc w:val="both"/>
        <w:rPr/>
      </w:pPr>
      <w:r>
        <w:rPr>
          <w:rFonts w:eastAsia="Times New Roman" w:cs="Times New Roman" w:ascii="Times New Roman" w:hAnsi="Times New Roman"/>
          <w:color w:val="111111"/>
          <w:sz w:val="28"/>
          <w:szCs w:val="28"/>
          <w:lang w:val="en-US"/>
        </w:rPr>
        <w:t>Suhrawardi menggunakan sebuah analogi kegemarannya  untuk menggambarkan pandangannya tentang pengetahuan.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membandingkan observasi fisik (irsyād jismani) dengan  observasi spiritual (irsyād rūhāni), dan menegaskan bahwa  jenis keyakinan yang sama, kalau bukan malah lebih tinggi,  sebagaimana diperoleh dari dunia data indrawi (al-mahsūsāt)  juga bisa diperoleh dari mengamati atau “melihat" yang  nonjasmani.</w:t>
      </w:r>
      <w:r>
        <w:rPr>
          <w:rStyle w:val="FootnoteAnchor"/>
        </w:rPr>
        <w:footnoteReference w:id="297"/>
      </w:r>
      <w:r>
        <w:rPr>
          <w:rFonts w:eastAsia="Times New Roman" w:cs="Times New Roman" w:ascii="Times New Roman" w:hAnsi="Times New Roman"/>
          <w:color w:val="111111"/>
          <w:sz w:val="28"/>
          <w:szCs w:val="28"/>
          <w:lang w:val="en-US"/>
        </w:rPr>
        <w:t>la gunakan analogi ini dalam berbagai bentuknya  dan di banyak tempat dalam karya-karyanya, serta para  komentatornya juga menggunakannya untuk mengilustrasikan  dasar-dasar teori pengetahuan Iluminasi.</w:t>
      </w:r>
      <w:r>
        <w:rPr>
          <w:rStyle w:val="FootnoteAnchor"/>
        </w:rPr>
        <w:footnoteReference w:id="298"/>
      </w:r>
      <w:r>
        <w:rPr>
          <w:rFonts w:eastAsia="Times New Roman" w:cs="Times New Roman" w:ascii="Times New Roman" w:hAnsi="Times New Roman"/>
          <w:color w:val="111111"/>
          <w:sz w:val="28"/>
          <w:szCs w:val="28"/>
          <w:lang w:val="en-US"/>
        </w:rPr>
        <w:t xml:space="preserve"> Bagi Suhrawardi, seseorang tidak bisa beranjak mengetahui  sesuatu dengan menganalisisnya menggunakan metode  konsepsi ſtashawwur] dan penilaian [tashdiq) yang akan kita  bahas nanti), tetapi dengan mempunyai pemahaman intuitif  ihwal keseluruhan realistas dan kemudian menganalisis intuisi  itu. Ini berarti bahwa Filsafat Iluminasi dibangun dengan berbagai  visi dan pengalaman mistis tentang keseluruhan realitas dan </w:t>
      </w:r>
      <w:bookmarkStart w:id="176" w:name="pg6442_57449"/>
    </w:p>
    <w:p>
      <w:pPr>
        <w:pStyle w:val="BookText"/>
        <w:bidi w:val="0"/>
        <w:rPr/>
      </w:pPr>
      <w:bookmarkEnd w:id="176"/>
      <w:r>
        <w:rPr>
          <w:rFonts w:eastAsia="Times New Roman" w:cs="Times New Roman" w:ascii="Times New Roman" w:hAnsi="Times New Roman"/>
          <w:color w:val="111111"/>
          <w:sz w:val="28"/>
          <w:szCs w:val="28"/>
          <w:lang w:val="en-US"/>
        </w:rPr>
        <w:t>bukan dengan mendefinisikan hal-hal majemuk dalam realitas.</w:t>
      </w:r>
    </w:p>
    <w:p>
      <w:pPr>
        <w:pStyle w:val="BookText"/>
        <w:bidi w:val="0"/>
        <w:jc w:val="both"/>
        <w:rPr/>
      </w:pPr>
      <w:r>
        <w:rPr>
          <w:rFonts w:eastAsia="Times New Roman" w:cs="Times New Roman" w:ascii="Times New Roman" w:hAnsi="Times New Roman"/>
          <w:color w:val="111111"/>
          <w:sz w:val="28"/>
          <w:szCs w:val="28"/>
          <w:lang w:val="en-US"/>
        </w:rPr>
        <w:t>Teori Definisi Suhrawardi, seperti telah kita lihat dalam bab  sebelumnya, pada dasarnya merefleksikan posisi epistemologi  dasar ini.</w:t>
      </w:r>
      <w:r>
        <w:rPr>
          <w:rStyle w:val="FootnoteAnchor"/>
        </w:rPr>
        <w:footnoteReference w:id="299"/>
      </w:r>
    </w:p>
    <w:p>
      <w:pPr>
        <w:pStyle w:val="Heading4"/>
        <w:numPr>
          <w:ilvl w:val="3"/>
          <w:numId w:val="1"/>
        </w:numPr>
        <w:bidi w:val="0"/>
        <w:jc w:val="left"/>
        <w:rPr/>
      </w:pPr>
      <w:bookmarkStart w:id="177" w:name="__RefHeading___Toc924696_653776707"/>
      <w:bookmarkStart w:id="178" w:name="_Toc61"/>
      <w:bookmarkEnd w:id="177"/>
      <w:r>
        <w:rPr/>
        <w:t>1.1. Dasar Ontologis ketidakpastian Epistemologi Peripatetik</w:t>
      </w:r>
      <w:bookmarkEnd w:id="178"/>
    </w:p>
    <w:p>
      <w:pPr>
        <w:pStyle w:val="BookText"/>
        <w:bidi w:val="0"/>
        <w:jc w:val="both"/>
        <w:rPr/>
      </w:pPr>
      <w:r>
        <w:rPr>
          <w:rFonts w:eastAsia="Times New Roman" w:cs="Times New Roman" w:ascii="Times New Roman" w:hAnsi="Times New Roman"/>
          <w:color w:val="111111"/>
          <w:sz w:val="28"/>
          <w:szCs w:val="28"/>
          <w:lang w:val="en-US"/>
        </w:rPr>
        <w:t>Terlepas dari kritik formal atas metodologi Peripatetik,  Suhrawardi menyerang pandangan Peripatetik tentang  pengetahuan berdasarkan pandangannya tentang wujud juga.</w:t>
      </w:r>
    </w:p>
    <w:p>
      <w:pPr>
        <w:pStyle w:val="BookText"/>
        <w:bidi w:val="0"/>
        <w:jc w:val="both"/>
        <w:rPr/>
      </w:pPr>
      <w:r>
        <w:rPr>
          <w:rFonts w:eastAsia="Times New Roman" w:cs="Times New Roman" w:ascii="Times New Roman" w:hAnsi="Times New Roman"/>
          <w:color w:val="111111"/>
          <w:sz w:val="28"/>
          <w:szCs w:val="28"/>
          <w:lang w:val="en-US"/>
        </w:rPr>
        <w:t>Kita akan membahas teori Suhrawardi tentang wujud agak lebih  rinci di akhir bab ini. Secara singkat, ini adalah sebuah teori yang  menurutnya, eksistensi hakiki atau esensi dari entitas "yang  terlihat" (yang diindra atau dipahami secara intelektual) adalah  dasar wujud. Teori ini menganggap wujud dalam pengertian  univokal sebagai bersifat murni abstrak, atau mental, atau bisa  disebut bersifat ideal. Entitas ideal ini ada hanya dalam pikiran  saja, dan tidak bisa berperan sebagai dasar bagi wujud dari hal-  hal "yang terlihat". Esensi dari entitas-entitas ini menentukan  apa sesungguhnya semuanya itu, dan apa yang kita lihat di  dunia nyata ditentukan oleh esensi dari entitas-entitas itu. Jadi,  esensi-esensi dari segala sesuatu adalah yang paling hakiki,  dan dengan demikian, paling bisa diketahui. Bagi Suhrawardi,  hanya esensi-esensi hakiki dari segala sesuatu saja, sebagai  entitas-entitas dasar dan dipahami - yang menjadi dasar sebuah  ontologi yang berperan menjelaskan proses mengetahui segala  sesuatu.</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akhir kritik umumnya atas teori Peripatetik tentang  wujud, dalam Bagian Ketiga Hikmah Al-Isyrāq yang penting dan </w:t>
      </w:r>
    </w:p>
    <w:p>
      <w:pPr>
        <w:pStyle w:val="BookText"/>
        <w:bidi w:val="0"/>
        <w:rPr/>
      </w:pPr>
      <w:r>
        <w:rPr>
          <w:rFonts w:eastAsia="Times New Roman" w:cs="Times New Roman" w:ascii="Times New Roman" w:hAnsi="Times New Roman"/>
          <w:color w:val="111111"/>
          <w:sz w:val="28"/>
          <w:szCs w:val="28"/>
          <w:lang w:val="en-US"/>
        </w:rPr>
        <w:t>terkenal,6 Suhrawardi mencurahkan hukum kedua dari sepuluh  hukum, $70, untuk menyerang pandangan Peripatetik tentang  dasar pengetahuan. Bagian itu berjudul Tentang Penjelasan  Bahwa (Posisi] Peripatetik Membuat Sesuatu Tidak Mungkin  Diketahui.</w:t>
      </w:r>
      <w:r>
        <w:rPr>
          <w:rStyle w:val="FootnoteAnchor"/>
        </w:rPr>
        <w:footnoteReference w:id="300"/>
      </w:r>
      <w:r>
        <w:rPr>
          <w:rFonts w:eastAsia="Times New Roman" w:cs="Times New Roman" w:ascii="Times New Roman" w:hAnsi="Times New Roman"/>
          <w:color w:val="111111"/>
          <w:sz w:val="28"/>
          <w:szCs w:val="28"/>
          <w:lang w:val="en-US"/>
        </w:rPr>
        <w:t>Bagian ini dibagi menjadi dua; dalam bagian pertama,  Suhrawardi menyebutkan argumen-argumennya menentang  Peripatetik, dan dalam bagian kedua, ia mengemukakan  dasar Iluminasi alternatif untuk pengetahuan. Dalam berbagai  argumennya menentang kaum Peripatetik, Suhrawardi berbicara  tentang enam isu: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Menurut kaum Peripatetik, substansi-substansi (al-jawāhir)  mempunyai diferensia yang tidak diketahui (fushül majhūlah).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Substansialitas (al-jauhariyyah) menurut kaum Peripatetik,  hanya bisa diketahui melalui sifat-sifat negatif, yakni tidak  menunjukkan realitas dari sesuatu.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Menurut kaum Peripatetik, jiwa dan substansi-substansi  terpisah (al-mufāraqāt), yakni semua bentuk substansi  semisal intelek, adalah diferensia yang tidak bisa diketahui.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Menurut kaum Peripatetik, aksiden-aksiden dan sifat-  sifat sesuatu yang digolongkan ke dalam berbagai kategori  hanyalah konsep-konsep mental. Ini berarti, misalnya idea  warna (al-launiyyah) adalah konsep mental (amr i'tibārī)  dan tidak punya wujud empiris (lā wujūd fi al-a'yān); ini  mengimplikasikan bahwa kaum Peripatetik tidak bisa  “membangun" konsep-konsep dasar tentang segi-segi  jasmani (ajsām) atau aksiden-aksiden dari sesuatu di dunia  nyata. </w:t>
      </w:r>
      <w:r>
        <w:rPr>
          <w:rStyle w:val="FootnoteAnchor"/>
        </w:rPr>
        <w:footnoteReference w:id="301"/>
      </w:r>
      <w:r>
        <w:rPr>
          <w:rFonts w:eastAsia="Times New Roman" w:cs="Times New Roman" w:ascii="Times New Roman" w:hAnsi="Times New Roman"/>
          <w:color w:val="111111"/>
          <w:sz w:val="28"/>
          <w:szCs w:val="28"/>
          <w:lang w:val="en-US"/>
        </w:rPr>
        <w:t xml:space="preserve"> 5. Kaum Peripatetik memandang wujud dalam pengertian  univokal (seperti disebutkan dalam metaphysica generalis),</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ed. (The Hagues: Martinus Nijhoff. 1968), hlm 160-220. Dalam  Filsafat Persia Kontemporer, pembedaan dilakukan antara 1. metaphysica generalis ('umūr 'āmmah); 2. substansi dan aksiden; 3. teologi dan metaphysica specialis (ilāhi bi ma'nā-yi      akhashsh). Lihat, Muhammad H. F. Tuni, Ilāhiyyāt. (Tehran: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Tehran University Press, 1333 H), hlm. 1-4. Pembedaan  ini juga dilakukan oleh Suhrawardi. Lihat, Bab III, $3.2  sebelumnya.</w:t>
      </w:r>
    </w:p>
    <w:p>
      <w:pPr>
        <w:pStyle w:val="BookText"/>
        <w:bidi w:val="0"/>
        <w:rPr/>
      </w:pPr>
      <w:r>
        <w:rPr>
          <w:rFonts w:eastAsia="Times New Roman" w:cs="Times New Roman" w:ascii="Times New Roman" w:hAnsi="Times New Roman"/>
          <w:color w:val="111111"/>
          <w:sz w:val="28"/>
          <w:szCs w:val="28"/>
          <w:lang w:val="en-US"/>
        </w:rPr>
        <w:t xml:space="preserve">sebagai sesuatu yang paling jelas (azhhar). Menurut  Suhrawardi, wujud dalam pengertian univokal adalah konsep  mental yang tidak hadir dalam entitas-entitas hakiki di  dunia, di luar sana. Perhatikan bahwa ketika menelaah teori  Suhrawardi tentang definisi, kita telah menunjukkan bahwa  sesuatu yang paling jelas menjadi dasar definisi. Jika wujud  dalam pengertian univokal dipandang oleh kaum Peripatetik  sebagai sesuatu yang paling jelas, </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(Masyhad: Khurasan Press, 1379 H), hlm. 7-12; Mahmud  Shahabi, Būd va Nam ūd. (Tehran: Theran University Press, 1335H), hlm. 10-15.</w:t>
      </w:r>
    </w:p>
    <w:p>
      <w:pPr>
        <w:pStyle w:val="BookText"/>
        <w:bidi w:val="0"/>
        <w:jc w:val="both"/>
        <w:rPr/>
      </w:pPr>
      <w:r>
        <w:rPr>
          <w:rFonts w:eastAsia="Times New Roman" w:cs="Times New Roman" w:ascii="Times New Roman" w:hAnsi="Times New Roman"/>
          <w:color w:val="111111"/>
          <w:sz w:val="28"/>
          <w:szCs w:val="28"/>
          <w:lang w:val="en-US"/>
        </w:rPr>
        <w:t>maka ia harus berfungsi  sebagai dasar definisi. Akan tetapi, menurut Suhrawardi,  definisi semisal itu tidak bisa “ilmiah" karena yang demikian  itu akan berarti konsep abstrak yang eksistensinya bergantung  pada pikiran subjek yang diterima sebagai dasar bagi ilmu-  ilmu hakiki atau sesungguhnya, dan ini absurd sekaligus  bertentangan dengan realisme Iluminasi.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Kesamaan-kesamaan sifat (lawāzim) sesuatu, yakni sifat-  sifat dan aksiden-aksiden atau sifat-sifat nonesensial yang  digunakan untuk menggambarkan sesuatu adalah juga  konsep-konsep mental. Ini berarti, gambaran-gambaran  semacam itu tidak membuat sesuatu bisa diketahui  sebagaimana adanya dalam dunia nyata, yang menjadi tujuan  teori Iluminasi tentang pengetahuan.</w:t>
      </w:r>
    </w:p>
    <w:p>
      <w:pPr>
        <w:pStyle w:val="BookText"/>
        <w:bidi w:val="0"/>
        <w:jc w:val="both"/>
        <w:rPr/>
      </w:pPr>
      <w:r>
        <w:rPr>
          <w:rFonts w:eastAsia="Times New Roman" w:cs="Times New Roman" w:ascii="Times New Roman" w:hAnsi="Times New Roman"/>
          <w:color w:val="111111"/>
          <w:sz w:val="28"/>
          <w:szCs w:val="28"/>
          <w:lang w:val="en-US"/>
        </w:rPr>
        <w:t>Keenam pandangan Suhrawardi yang bertentangan  dengan kaum Peripatetik di atas, semuanya berpijak pada teori  Iluminasi tentang wujud. Teori ini mengganggap, segala sesuatu  dan esensi-esensi yang ada dalam dirinya sebagai realitas.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kata lain, “jelas” atau “tampak" adalah sifat esensial,  yang kalau dalam esensi akan menentukan tingkat sejauh  mana sesuatu bisa diketahui. Semakin “terlihat" (diindra atau  dipahami secara intelektual) sesuatu maka semakin lebih baik </w:t>
      </w:r>
    </w:p>
    <w:p>
      <w:pPr>
        <w:pStyle w:val="BookText"/>
        <w:bidi w:val="0"/>
        <w:rPr/>
      </w:pPr>
      <w:r>
        <w:rPr>
          <w:rFonts w:eastAsia="Times New Roman" w:cs="Times New Roman" w:ascii="Times New Roman" w:hAnsi="Times New Roman"/>
          <w:color w:val="111111"/>
          <w:sz w:val="28"/>
          <w:szCs w:val="28"/>
          <w:lang w:val="en-US"/>
        </w:rPr>
        <w:t>ia diketahui. Argumen-argumen Suhrawardi yang bertentangan  dan bertolak belakang dengan kaum Peripatetik menunjukkan  bahwa ia mengganggap sesuatu seperti “rasionalitas" (yang  dengan demikian, kaum Peripatetik mengaku dan mengetahui  ihwal apa “manusia" itu) sebagai abstraksi mental yang sama  sekali tidak menunjukkan apa manusia itu, karena realitas  manusia harus “dilihat" agar bisa diketahui.</w:t>
      </w:r>
    </w:p>
    <w:p>
      <w:pPr>
        <w:pStyle w:val="BookText"/>
        <w:bidi w:val="0"/>
        <w:jc w:val="both"/>
        <w:rPr/>
      </w:pPr>
      <w:r>
        <w:rPr>
          <w:rFonts w:eastAsia="Times New Roman" w:cs="Times New Roman" w:ascii="Times New Roman" w:hAnsi="Times New Roman"/>
          <w:color w:val="111111"/>
          <w:sz w:val="28"/>
          <w:szCs w:val="28"/>
          <w:lang w:val="en-US"/>
        </w:rPr>
        <w:t>Dalam bagian kedua ($ 70), Suhrawardi mengemukakan  dasar-dasar pandangannya tentang bagaimana pengetahuan  diperoleh. Menurut kaum Peripatetik, segala sesuatu yang  sederhana, yang esensinya tunggal dan tidak tersusun dari  dua elemen atau lebih, tidak diketahui, tetapi bisa diketahui  oleh para praktisi Filsafat Iluminasi. Prinsip yang ditekankan  Suhrawardi adalah agar bisa diketahui, sesuatu harus “terlihat"  (menggunakan musyāhadah) sebagaimana adanya (kamā  huwa), khususnya bila sesuatu itu bersifat sederhana (basith).</w:t>
      </w:r>
      <w:r>
        <w:rPr>
          <w:rStyle w:val="FootnoteAnchor"/>
        </w:rPr>
        <w:footnoteReference w:id="304"/>
      </w:r>
      <w:r>
        <w:rPr>
          <w:rFonts w:eastAsia="Times New Roman" w:cs="Times New Roman" w:ascii="Times New Roman" w:hAnsi="Times New Roman"/>
          <w:color w:val="111111"/>
          <w:sz w:val="28"/>
          <w:szCs w:val="28"/>
          <w:lang w:val="en-US"/>
        </w:rPr>
        <w:t xml:space="preserve"> Dengan demikian, pengetahuan yang diperoleh orang yang  “melihat" sesuatu sebagaimana adanya akan memungkinkannya  untuk tidak memerlukan lagi definisi (istighnā 'an at-taʻrīt). </w:t>
      </w:r>
      <w:r>
        <w:rPr>
          <w:rStyle w:val="FootnoteAnchor"/>
        </w:rPr>
        <w:footnoteReference w:id="305"/>
      </w:r>
      <w:r>
        <w:rPr>
          <w:rFonts w:eastAsia="Times New Roman" w:cs="Times New Roman" w:ascii="Times New Roman" w:hAnsi="Times New Roman"/>
          <w:color w:val="111111"/>
          <w:sz w:val="28"/>
          <w:szCs w:val="28"/>
          <w:lang w:val="en-US"/>
        </w:rPr>
        <w:t xml:space="preserve"> Argumen-argumen ini menyuguhkan suatu transisi antara apa  yang kita sebut sebagai pendekatan mental pada pengetahuan,  pendekatan yang menekankan sejenis "visi" langsung pada  esensi dari segala sesuatu yang hakiki, dan menegaskan bahwa  pengetahuan dipandang valid hanya bila objek-objeknya bisa  "diindra".</w:t>
      </w:r>
      <w:r>
        <w:rPr>
          <w:rStyle w:val="FootnoteAnchor"/>
        </w:rPr>
        <w:footnoteReference w:id="306"/>
      </w:r>
      <w:r>
        <w:rPr>
          <w:rFonts w:eastAsia="Times New Roman" w:cs="Times New Roman" w:ascii="Times New Roman" w:hAnsi="Times New Roman"/>
          <w:color w:val="111111"/>
          <w:sz w:val="28"/>
          <w:szCs w:val="28"/>
          <w:lang w:val="en-US"/>
        </w:rPr>
        <w:t xml:space="preserve"> Mari kita kaji dan telaah argumen-argumen Suhrawardi.</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mengawali dengan sebuah contoh, “Hitam" tegasnya, adalah  suatu “wujud tunggal sederhana" (syai' wāhid basith) yang  manakala diketahui sebagaimana adanya; ia tidak punya bagian-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bagian, yang sebagian darinya mungkin bisa dan mungkin  tidak bisa diketahui. “Hitam", tidak bisa didefinisikan sama  sekali oleh orang yang tidak melihat sebagaimana adanya (lā  yumkin taʻrīfuhu li man lā yusyāhiduhu kamā huwa). Artinya,  jika sesuatu yang tunggal “hitam" itu "terlihat", maka ia bisa  diketahui, sebaliknya, jika tidak, maka tidak ada definisi  tentangnya yang bisa menggambarkan pengetahuan tentangnya  secara keseluruhan atau secara benar. Tuntutan Suhrawardi  adalah ini hanya berkenaan dengan entitas-entitas tunggal dan  bukan majemuk sejalan dan sesuai dengan pandangan kaum  Peripatetik. </w:t>
      </w:r>
      <w:r>
        <w:rPr>
          <w:rStyle w:val="FootnoteAnchor"/>
        </w:rPr>
        <w:footnoteReference w:id="307"/>
      </w:r>
      <w:r>
        <w:rPr>
          <w:rFonts w:eastAsia="Times New Roman" w:cs="Times New Roman" w:ascii="Times New Roman" w:hAnsi="Times New Roman"/>
          <w:color w:val="111111"/>
          <w:sz w:val="28"/>
          <w:szCs w:val="28"/>
          <w:lang w:val="en-US"/>
        </w:rPr>
        <w:t xml:space="preserve">Akan tetapi, pandangannya yang mensyaratkan  subjek harus memahami keseluruhan objek agar dapat diketahui,  dikemukakan dengan proposisi umum bahwa pengetahuan  tentang segala sesuatu pun bertumpu pada hubungan antara  objek dan subjek yang mengetahui, dan seterusnya. Pengetahuan  ini menuntut bahwa subjek yang mengetahui ada dalam posisi  di mana pengetahuan itu memahami sesuatu secara langsung,  dengan cara menghubungkan pandangan sebagai suatu pertemuan  aktual antara subjek yang melihat dan objek yang terlihat, suatu  hubungan antara dua hal tanpa halangan apa pun, dan yang  diperoleh adalah hubungan antara keduanya. Jenis “hubungan  Iluminasi" (idhāfah isyrāqiyyah) inilah yang menjadi ciri  pandangan Suhrawardi tentang dasar pengetahuan. Karenanya,  Suhrawardi menetapkan, "Sekiranya sesuatu sudah terlihat,  maka orang tidak memerlukan lagi definisi," (man syahidahu  [asy-syai') istaghnā 'an at-taʻrīt), dan dalam hal ini, “bentuk  sesuatu dalam pikiran adalah sama bentuknya dalam persepsi  indra", (shūratuhu fi al-'aql ka shūratihi fi al-hiss). </w:t>
      </w:r>
      <w:r>
        <w:rPr>
          <w:rStyle w:val="FootnoteAnchor"/>
        </w:rPr>
        <w:footnoteReference w:id="308"/>
      </w:r>
      <w:r>
        <w:rPr>
          <w:rFonts w:eastAsia="Times New Roman" w:cs="Times New Roman" w:ascii="Times New Roman" w:hAnsi="Times New Roman"/>
          <w:color w:val="111111"/>
          <w:sz w:val="28"/>
          <w:szCs w:val="28"/>
          <w:lang w:val="en-US"/>
        </w:rPr>
        <w:t xml:space="preserve">Pandangan  tentang pengetahuan ini adalah prinsip utama dalam dasar </w:t>
      </w:r>
    </w:p>
    <w:p>
      <w:pPr>
        <w:pStyle w:val="BookText"/>
        <w:bidi w:val="0"/>
        <w:rPr/>
      </w:pPr>
      <w:r>
        <w:rPr>
          <w:rFonts w:eastAsia="Times New Roman" w:cs="Times New Roman" w:ascii="Times New Roman" w:hAnsi="Times New Roman"/>
          <w:color w:val="111111"/>
          <w:sz w:val="28"/>
          <w:szCs w:val="28"/>
          <w:lang w:val="en-US"/>
        </w:rPr>
        <w:t xml:space="preserve">Filsafat Iluminasi. </w:t>
      </w:r>
      <w:r>
        <w:rPr>
          <w:rStyle w:val="FootnoteAnchor"/>
        </w:rPr>
        <w:footnoteReference w:id="309"/>
      </w:r>
      <w:r>
        <w:rPr>
          <w:rFonts w:eastAsia="Times New Roman" w:cs="Times New Roman" w:ascii="Times New Roman" w:hAnsi="Times New Roman"/>
          <w:color w:val="111111"/>
          <w:sz w:val="28"/>
          <w:szCs w:val="28"/>
          <w:lang w:val="en-US"/>
        </w:rPr>
        <w:t xml:space="preserve"> Suhrawardi selanjutnya menegaskan bahwa pengetahuan  tentang segala suatu yang majemuk diperoleh sebagai konsekuensi  dari pengetahuan tentang entitas-entitas sederhana. Ia menjelaskan hal  ini dengan terlebih dahulu menempatkan adanya hubungan antara  hal-hal sederhana yang hakiki (al-basā'ith al-haqiqiyyah) dengan  imbangan mental sederhana (al-basā'ith adz-dzihniyyah)-nya  dengan jalan persepsi indra, seperti pengetahuan tentang warna,  suara, bayangan, rasa, bau, dan lain sebagainya. Ia berargumen  dengan menggeneralisasi prinsip ini: seseorang bisa menciptakan  dasar pengetahuan yang universal. Karena itu, pengetahuan  tentang hal-hal sederhana adalah melalui esensinya, sementara  pengetahuan tentang hal-hal majemuk adalah melalui sifat-sifat  esensinya. Akibatnya yang pasti adalah substansi (suatu entitas  tunggal, yang menurut Suhrawardi adalah sesuatu yang hakiki)  bisa diketahui melalui dirinya, tetapi hanya dengan cara hubungan  Iluminasi dengan subjek yang memahami, yang “memahami" dan  “melihat”-nya sebagai esensi sifat-sifat dari hal yang hakiki itu.</w:t>
      </w:r>
    </w:p>
    <w:p>
      <w:pPr>
        <w:pStyle w:val="BookText"/>
        <w:bidi w:val="0"/>
        <w:jc w:val="both"/>
        <w:rPr/>
      </w:pPr>
      <w:r>
        <w:rPr>
          <w:rFonts w:eastAsia="Times New Roman" w:cs="Times New Roman" w:ascii="Times New Roman" w:hAnsi="Times New Roman"/>
          <w:color w:val="111111"/>
          <w:sz w:val="28"/>
          <w:szCs w:val="28"/>
          <w:lang w:val="en-US"/>
        </w:rPr>
        <w:t>Bagi Suhrawardi, pengetahuan pada dasarnya diperoleh  melalui bentuk persepsi khusus, yang disebut “melihat" atau  "visi" (musyāhadah). Bentuk persepsi ini, yang dikatakan sebagai  pengetahuan yang lebih tinggi dan lebih penting daripada  pengetahuan predikatif, menekankan pengetahuan intuitif, di  mana subjek mempunyai penangkapan langsung atas objek tanpa  perantara predikat.</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(Leighton, Man and Cosmos. [Appleton, 1922]), hlm. 51.</w:t>
      </w:r>
    </w:p>
    <w:p>
      <w:pPr>
        <w:pStyle w:val="BookText"/>
        <w:bidi w:val="0"/>
        <w:jc w:val="both"/>
        <w:rPr/>
      </w:pPr>
      <w:r>
        <w:rPr>
          <w:rFonts w:eastAsia="Times New Roman" w:cs="Times New Roman" w:ascii="Times New Roman" w:hAnsi="Times New Roman"/>
          <w:color w:val="111111"/>
          <w:sz w:val="28"/>
          <w:szCs w:val="28"/>
          <w:lang w:val="en-US"/>
        </w:rPr>
        <w:t>Bandingkan, pembedaan antara tteidu dan áváykŋ (secara  literal: persuasi versus kemestian logis, yakni pembedaan  antara pengetahuan Diskursif dan langsung), dalam Plotinus,  Enneads, V.3.6.</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Jadi, jika bagi kaum Peripatetik pengetahuan  mengambil bentuk proposisi predikatif (X adalah Y), maka  pengetahuan intuitif Suhrawardi dapat direduksi ke dalam, apa  yang dewasa ini disebut proposisi eksistensial (X adalah), di mana  “adalah" menandakan esensi.</w:t>
      </w:r>
      <w:bookmarkStart w:id="179" w:name="pg6442_57455"/>
    </w:p>
    <w:p>
      <w:pPr>
        <w:pStyle w:val="BookText"/>
        <w:bidi w:val="0"/>
        <w:rPr/>
      </w:pPr>
      <w:bookmarkEnd w:id="179"/>
      <w:r>
        <w:rPr>
          <w:rFonts w:eastAsia="Times New Roman" w:cs="Times New Roman" w:ascii="Times New Roman" w:hAnsi="Times New Roman"/>
          <w:color w:val="111111"/>
          <w:sz w:val="28"/>
          <w:szCs w:val="28"/>
          <w:lang w:val="en-US"/>
        </w:rPr>
        <w:t xml:space="preserve">Kita akan menganalisis bentuk persepsi dan pengetahuan  yang khas ini secara lebih rinci. Akan tetapi, kita terlebih  dahulu akan mengkaji dan menelaah secara singkat pembagian  pengetahuan ke dalam konsepsi ſtashawwur] dan penilaian  [tashdiq] untuk menjelaskan rincian-rincian berbagai keberatan  Suhrawardi atas epistemologi Peripatetik, seperti akan dijelaskan  berikut di bawah ini, kekukuhan Suhrawardi untuk merumuskan  kembali pandangan baku kaum Peripatetik tentang konsepsi  [tashawwur] dan penilaian [tashdiq] mengisyaratkan atau  menunjukkan posisi epistemologi Iluminasi dalam filsafat. Hal  ini tidak sekadar menunjukkan preferensi dalam terminologi  logika, seperti ditafsirkan sang komentator, Asy-Syirazi. </w:t>
      </w:r>
      <w:r>
        <w:rPr>
          <w:rStyle w:val="FootnoteAnchor"/>
        </w:rPr>
        <w:footnoteReference w:id="311"/>
      </w:r>
    </w:p>
    <w:p>
      <w:pPr>
        <w:pStyle w:val="Heading3"/>
        <w:numPr>
          <w:ilvl w:val="2"/>
          <w:numId w:val="1"/>
        </w:numPr>
        <w:bidi w:val="0"/>
        <w:jc w:val="left"/>
        <w:rPr/>
      </w:pPr>
      <w:bookmarkStart w:id="180" w:name="__RefHeading___Toc924698_653776707"/>
      <w:bookmarkStart w:id="181" w:name="_Toc62"/>
      <w:bookmarkEnd w:id="180"/>
      <w:r>
        <w:rPr/>
        <w:t>2. KONSEPSI (TASHAWWUR) DAN PENILAIAN (TASHDĪQ): PEMBAGIAN EPISTEMOLOGI PERTAMA</w:t>
      </w:r>
      <w:bookmarkEnd w:id="181"/>
    </w:p>
    <w:p>
      <w:pPr>
        <w:pStyle w:val="Heading4"/>
        <w:numPr>
          <w:ilvl w:val="3"/>
          <w:numId w:val="1"/>
        </w:numPr>
        <w:bidi w:val="0"/>
        <w:jc w:val="left"/>
        <w:rPr/>
      </w:pPr>
      <w:bookmarkStart w:id="182" w:name="__RefHeading___Toc924700_653776707"/>
      <w:bookmarkStart w:id="183" w:name="_Toc63"/>
      <w:bookmarkEnd w:id="182"/>
      <w:r>
        <w:rPr/>
        <w:t>2.1. Keberatan-keberatan Suhrawardi atas kaum Peripatetik</w:t>
      </w:r>
      <w:bookmarkEnd w:id="1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bagian paling awal Al-Masyāri' wa Al-Muthārahāt,  Suhrawardi mengemukakan posisinya mengenai pembagian  pengetahuan ke dalam konsepsi (tashawwur) dan penilaian  (tashdiq). Posisi filosofis ini berbeda dari posisi kaum Peripatetik  berkenaan dengan tiga hal: [1] Kaum Peripatetik membagi  pengetahuan secara umum ke dalam konsepsi (tashawwur) dan  penilaian (tashdiq),</w:t>
      </w:r>
      <w:r>
        <w:rPr>
          <w:rStyle w:val="FootnoteAnchor"/>
        </w:rPr>
        <w:footnoteReference w:id="312"/>
      </w:r>
      <w:r>
        <w:rPr>
          <w:rFonts w:eastAsia="Times New Roman" w:cs="Times New Roman" w:ascii="Times New Roman" w:hAnsi="Times New Roman"/>
          <w:color w:val="111111"/>
          <w:sz w:val="28"/>
          <w:szCs w:val="28"/>
          <w:lang w:val="en-US"/>
        </w:rPr>
        <w:t>sementara bagi Suhrawardi, setiap “objek  pencarian" (mathlūb) itu, yakni, problem atau persoalan-  yang harus dibagi.</w:t>
      </w:r>
      <w:r>
        <w:rPr>
          <w:rStyle w:val="FootnoteAnchor"/>
        </w:rPr>
        <w:footnoteReference w:id="313"/>
      </w:r>
      <w:r>
        <w:rPr>
          <w:rFonts w:eastAsia="Times New Roman" w:cs="Times New Roman" w:ascii="Times New Roman" w:hAnsi="Times New Roman"/>
          <w:color w:val="111111"/>
          <w:sz w:val="28"/>
          <w:szCs w:val="28"/>
          <w:lang w:val="en-US"/>
        </w:rPr>
        <w:t xml:space="preserve">Tidak jelas mengapa Suhrawardi bersiteguh  pada pendapat ini, kecuali untuk menunjukkan keyakinannya  bahwa dalam beberapa hal, pengetahuan intuitif tentang “objek  pencairan" adalah konsepsi (tashawwur) yang mengandung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penilaian (tashdiq), sementara dalam berbagai hal lainnya,  penilaian (tashdiq) mungkin terpisah dari dan mengikuti konsepsi  [tashawwur]; [2] Kaum Peripatetik menguraikan pembagian  ini secara panjang lebar, dan membahas berbagai syarat yang  harus dipenuhi oleh konsepsi (tashawwur) dan penilaian  (tashdiq) dalam predikasi. Sebaliknya, pembahasan Suhrawardi  singkat, terutama pembahasan deskriptif yang ditujukan untuk  menjelaskan berbagai kesalahan dan kekeliruan kaum Peripatetik; </w:t>
      </w:r>
      <w:r>
        <w:rPr>
          <w:rStyle w:val="FootnoteAnchor"/>
        </w:rPr>
        <w:footnoteReference w:id="314"/>
      </w:r>
      <w:r>
        <w:rPr>
          <w:rFonts w:eastAsia="Times New Roman" w:cs="Times New Roman" w:ascii="Times New Roman" w:hAnsi="Times New Roman"/>
          <w:color w:val="111111"/>
          <w:sz w:val="28"/>
          <w:szCs w:val="28"/>
          <w:lang w:val="en-US"/>
        </w:rPr>
        <w:t xml:space="preserve"> [3] Definisi konsepsi (tashawwur) sebagai “pencapaian bentuk-  bentuk wujud dalam pikiran yang ditunjukkan dengan ungkapan  sederhana", dan penilaian (tashdiq) sebagai “penilaian atas  dua hal ihwal apakah yang satu adalah yang lain atau tidak",  dikatakan salah oleh Suhrawardi.</w:t>
      </w:r>
      <w:r>
        <w:rPr>
          <w:rStyle w:val="FootnoteAnchor"/>
        </w:rPr>
        <w:footnoteReference w:id="315"/>
      </w:r>
      <w:r>
        <w:rPr>
          <w:rFonts w:eastAsia="Times New Roman" w:cs="Times New Roman" w:ascii="Times New Roman" w:hAnsi="Times New Roman"/>
          <w:color w:val="111111"/>
          <w:sz w:val="28"/>
          <w:szCs w:val="28"/>
          <w:lang w:val="en-US"/>
        </w:rPr>
        <w:t xml:space="preserve"> Suhrawardi menerima pembagian formal pengetahuan  oleh kaum Peripatetik ke dalam konsepsi (tashawwur) dan  penilaian (tashdiq). Akan tetapi, agar pengetahuan tentang  sesuatu memiliki lebih dari sekadar validitas formal belaka,  ia harus dibangun berdasarkan inspirasi Ilahi. Posisi Iluminasi  menegaskan bahwa pertolongan Tuhan memungkinkan seseorang  mengetahui sesuatu sebagaimana adanya.</w:t>
      </w:r>
      <w:r>
        <w:rPr>
          <w:rStyle w:val="FootnoteAnchor"/>
        </w:rPr>
        <w:footnoteReference w:id="316"/>
      </w:r>
      <w:r>
        <w:rPr>
          <w:rFonts w:eastAsia="Times New Roman" w:cs="Times New Roman" w:ascii="Times New Roman" w:hAnsi="Times New Roman"/>
          <w:color w:val="111111"/>
          <w:sz w:val="28"/>
          <w:szCs w:val="28"/>
          <w:lang w:val="en-US"/>
        </w:rPr>
        <w:t xml:space="preserve">Karakteristik epistemologi  pengetahuan yang dibangun berdasarkan inspirasi ini, adalah  pengetahuan dengan kehadiran (yakni, al-'ilm al-hudhūrī–  peny.) dan terdiri atas konsepsi (tashawwur) tentang sesuatu  berikut penilaian (tashdiq) langsungnya. Pengetahuan dengan  kehadiran ini membedakan epistemologi Iluminasi dari teori  Peripatetik. Lebih jauh, pembagian pengetahuan ke dalam  pengetahuan yang terbukti dengan sendirinya (badihi) — yang  juga disebut pengetahuan primer (awwali) — dan pengetahuan  spekulatif (nazhari) atau perolehan (muktasab), yakni </w:t>
      </w:r>
    </w:p>
    <w:p>
      <w:pPr>
        <w:pStyle w:val="BookText"/>
        <w:bidi w:val="0"/>
        <w:rPr/>
      </w:pPr>
      <w:r>
        <w:rPr>
          <w:rFonts w:eastAsia="Times New Roman" w:cs="Times New Roman" w:ascii="Times New Roman" w:hAnsi="Times New Roman"/>
          <w:color w:val="111111"/>
          <w:sz w:val="28"/>
          <w:szCs w:val="28"/>
          <w:lang w:val="en-US"/>
        </w:rPr>
        <w:t>pembagian Peripatetik ke dalam konsepsi (tashawwur) dan  penilaian (tashdiq) pun ditinggalkan oleh Suhrawardi, dan  beralih ke pembagian menjadi pengetahuan fitri dan pengetahuan  perolehan.</w:t>
      </w:r>
      <w:r>
        <w:rPr>
          <w:rStyle w:val="FootnoteAnchor"/>
        </w:rPr>
        <w:footnoteReference w:id="317"/>
      </w:r>
      <w:r>
        <w:rPr>
          <w:rFonts w:eastAsia="Times New Roman" w:cs="Times New Roman" w:ascii="Times New Roman" w:hAnsi="Times New Roman"/>
          <w:color w:val="111111"/>
          <w:sz w:val="28"/>
          <w:szCs w:val="28"/>
          <w:lang w:val="en-US"/>
        </w:rPr>
        <w:t xml:space="preserve">Pembagian ini menunjukkan arah epistemologi  yang berbeda dari epistemologi kaum Peripatetik. Hal-hal yang  bisa diketahui secara fitri berperan sebagai dasar “penglihatan"  atau “visi” (musyahadah) khusus yang melaluinya, hal-hal itu  benar-benar bisa diketahui. </w:t>
      </w:r>
      <w:r>
        <w:rPr>
          <w:rStyle w:val="FootnoteAnchor"/>
        </w:rPr>
        <w:footnoteReference w:id="318"/>
      </w:r>
      <w:r>
        <w:rPr>
          <w:rFonts w:eastAsia="Times New Roman" w:cs="Times New Roman" w:ascii="Times New Roman" w:hAnsi="Times New Roman"/>
          <w:color w:val="111111"/>
          <w:sz w:val="28"/>
          <w:szCs w:val="28"/>
          <w:lang w:val="en-US"/>
        </w:rPr>
        <w:t>Oleh karena itu, kepastian dalam  pengetahuan, yakni tujuan ilmu, didasarkan pada segenap visi  dan intuisi fitri, yang di satu sisi berperan sebagai dasar logis  bagi validitas formal ilmu, dan di sisi lain berperan sebagai  dasar-dasar psikologis kepastian dalam pengetahuan.</w:t>
      </w:r>
      <w:r>
        <w:rPr>
          <w:rStyle w:val="FootnoteAnchor"/>
        </w:rPr>
        <w:footnoteReference w:id="319"/>
      </w:r>
      <w:r>
        <w:rPr>
          <w:rFonts w:eastAsia="Times New Roman" w:cs="Times New Roman" w:ascii="Times New Roman" w:hAnsi="Times New Roman"/>
          <w:color w:val="111111"/>
          <w:sz w:val="28"/>
          <w:szCs w:val="28"/>
          <w:lang w:val="en-US"/>
        </w:rPr>
        <w:t xml:space="preserve"> Suhrawardi menentang subordinasi yang dilakukan  kaum Peripatetik atas lingkup dan fungsi konsepsi (tashawwur)  kepada penilaian (tashdiq), karena hal ini membatasi  bentuk pengetahuan tertinggi ('ilm atau maʼrifah)</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Istilah 'ilm dan ma'rifah, keduanya digunakan oleh Peripatetik  untuk melambangkan pengetahuan dalam pengertian umum,        yang oleh Suhrawardi disebut idrāk, dan ini mempunyai  pengertian persepsi atau kognisi sebagai proses mengetahui,  kecuali Al-Ghazali yang membedakan antara maʼrifah yang  berkaitan dengan tashdiq, dan 'ilm yang berkaitan dengan  tashawwur , (Al-Ghazali, Mihak an-Nazhar, disunting oleh An-  Na'sani, [Beirut: Dār al-Masyriq, 1965), hlm. 8-10.</w:t>
      </w:r>
    </w:p>
    <w:p>
      <w:pPr>
        <w:pStyle w:val="BookText"/>
        <w:bidi w:val="0"/>
        <w:jc w:val="both"/>
        <w:rPr/>
      </w:pPr>
      <w:r>
        <w:rPr>
          <w:rFonts w:eastAsia="Times New Roman" w:cs="Times New Roman" w:ascii="Times New Roman" w:hAnsi="Times New Roman"/>
          <w:color w:val="111111"/>
          <w:sz w:val="28"/>
          <w:szCs w:val="28"/>
          <w:lang w:val="en-US"/>
        </w:rPr>
        <w:t>menjadi  sekadar formula definisi esensialis.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Suhrawardi berargumen  bahwa metode Peripatetik semacam itu gagal mengantarkan  kepada dasar kepastian yang kuat dalam hal pengetahuan. Ia  menegaskan bahwa pengetahuan ini adalah korespondensi  yang benar dan lebih tinggi (muthābaqah) antara subjek dan  objek sebagai akibat dari adanya hubungan antara keduanya  dalam kesadaran diri ('anā'iyyah) subjek.</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"Plotinus menganggap pengetahuan sebagai hasil dari metode  analisis dan sintesis manusia yang tidak sempurna, sementara  intuisi adalah penyempurnaan pengetahuan diri manakala ada  identitas yang sempurna antara subjek dan objek pengetahuan  semcam itu." Lihat, Plotinus, Enneads V.3, hlm. 2-3.</w:t>
      </w:r>
    </w:p>
    <w:p>
      <w:pPr>
        <w:pStyle w:val="BookText"/>
        <w:bidi w:val="0"/>
        <w:jc w:val="both"/>
        <w:rPr/>
      </w:pPr>
      <w:r>
        <w:rPr>
          <w:rFonts w:eastAsia="Times New Roman" w:cs="Times New Roman" w:ascii="Times New Roman" w:hAnsi="Times New Roman"/>
          <w:color w:val="111111"/>
          <w:sz w:val="28"/>
          <w:szCs w:val="28"/>
          <w:lang w:val="en-US"/>
        </w:rPr>
        <w:t>Posisi Iluminasi ini  mensyaratkan bahwa penilaian (tashdiq) harus disubordinasikan  kepada konsepsi (tashawwur, dalam pengertian intuitif).</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juga memperkenalkan seluruh bagian konsepsi  [tashawwur] (yang mengandung penilaian [tashdiq] yang  melampaui berbagai konsepsi yang terbukti dengan sendirinya  dalam skema Peripatetik, dan yang mengandung pengetahuan </w:t>
      </w:r>
      <w:bookmarkStart w:id="184" w:name="pg6442_57458"/>
    </w:p>
    <w:p>
      <w:pPr>
        <w:pStyle w:val="BookText"/>
        <w:bidi w:val="0"/>
        <w:rPr/>
      </w:pPr>
      <w:bookmarkEnd w:id="184"/>
      <w:r>
        <w:rPr>
          <w:rFonts w:eastAsia="Times New Roman" w:cs="Times New Roman" w:ascii="Times New Roman" w:hAnsi="Times New Roman"/>
          <w:color w:val="111111"/>
          <w:sz w:val="28"/>
          <w:szCs w:val="28"/>
          <w:lang w:val="en-US"/>
        </w:rPr>
        <w:t>tertinggi tentang "diri" yang mengetahui, serta esensi dari segala  sesuatu sebagaimana adanya.</w:t>
      </w:r>
    </w:p>
    <w:p>
      <w:pPr>
        <w:pStyle w:val="BookText"/>
        <w:bidi w:val="0"/>
        <w:jc w:val="both"/>
        <w:rPr/>
      </w:pPr>
      <w:r>
        <w:rPr>
          <w:rFonts w:eastAsia="Times New Roman" w:cs="Times New Roman" w:ascii="Times New Roman" w:hAnsi="Times New Roman"/>
          <w:color w:val="111111"/>
          <w:sz w:val="28"/>
          <w:szCs w:val="28"/>
          <w:lang w:val="en-US"/>
        </w:rPr>
        <w:t>Melalui kritiknya atas kaum Peripatetik, Suhrawardi  mengarahkan perhatian pembaca kepada rumusan baru,  pembagian ganda pengetahuan. Ini, seperti akan kita lihat nanti,  mengantisipasi “pengetahuan lluminasi" (al-'ilm Al-Isyrāqi),  suatu jenis pengetahuan yang hanya didasarkan pada konsepsi  atau kondisi diri di mana konsepsi (tashawwur] dan penilaian  [tashdiq] berjalan secara simultan.</w:t>
      </w:r>
    </w:p>
    <w:p>
      <w:pPr>
        <w:pStyle w:val="Heading4"/>
        <w:numPr>
          <w:ilvl w:val="3"/>
          <w:numId w:val="1"/>
        </w:numPr>
        <w:bidi w:val="0"/>
        <w:jc w:val="left"/>
        <w:rPr/>
      </w:pPr>
      <w:bookmarkStart w:id="185" w:name="__RefHeading___Toc924702_653776707"/>
      <w:bookmarkStart w:id="186" w:name="_Toc64"/>
      <w:bookmarkEnd w:id="185"/>
      <w:r>
        <w:rPr/>
        <w:t>2.2 Pembagian Pengetahuan Menurut Kaum Iluminasionis</w:t>
      </w:r>
      <w:bookmarkEnd w:id="186"/>
    </w:p>
    <w:p>
      <w:pPr>
        <w:pStyle w:val="BookText"/>
        <w:bidi w:val="0"/>
        <w:jc w:val="both"/>
        <w:rPr/>
      </w:pPr>
      <w:r>
        <w:rPr>
          <w:rFonts w:eastAsia="Times New Roman" w:cs="Times New Roman" w:ascii="Times New Roman" w:hAnsi="Times New Roman"/>
          <w:color w:val="111111"/>
          <w:sz w:val="28"/>
          <w:szCs w:val="28"/>
          <w:lang w:val="en-US"/>
        </w:rPr>
        <w:t>Kriteria Suhrawardi bagi pengetahuan yang benar dan  pasti hanya bisa ditemukan dengan sebuah metode yang  dengannya sesuatu "dilihat" agar bisa diketahui sebagaimana  adanya. “Melihat" sesuatu dalam pengertian ini sama artinya  dengan memperoleh esensi dari sesuatu itu. Kita melihat bahwa  Suhrawardi memegang posisi filsafat bahwa definisi (sebagaimana  dipahami kaum Paripatetik) tidak bisa mengantarkan pada  konsepsi yang valid, dan karenanya juga tidak bisa mengetahui  esensi dari sesuatu.</w:t>
      </w:r>
      <w:r>
        <w:rPr>
          <w:rStyle w:val="FootnoteAnchor"/>
        </w:rPr>
        <w:footnoteReference w:id="321"/>
      </w:r>
      <w:r>
        <w:rPr>
          <w:rFonts w:eastAsia="Times New Roman" w:cs="Times New Roman" w:ascii="Times New Roman" w:hAnsi="Times New Roman"/>
          <w:color w:val="111111"/>
          <w:sz w:val="28"/>
          <w:szCs w:val="28"/>
          <w:lang w:val="en-US"/>
        </w:rPr>
        <w:t>Sejauh ini, ia telah mengkritik kaum  Peripatetik, dan seperti telah kita lihat, menegaskan pentingnya  pertolongan spirit Ilahi dalam memperoleh pengetahuan.</w:t>
      </w:r>
      <w:r>
        <w:rPr>
          <w:rStyle w:val="FootnoteAnchor"/>
        </w:rPr>
        <w:footnoteReference w:id="322"/>
      </w:r>
      <w:r>
        <w:rPr>
          <w:rFonts w:eastAsia="Times New Roman" w:cs="Times New Roman" w:ascii="Times New Roman" w:hAnsi="Times New Roman"/>
          <w:color w:val="111111"/>
          <w:sz w:val="28"/>
          <w:szCs w:val="28"/>
          <w:lang w:val="en-US"/>
        </w:rPr>
        <w:t xml:space="preserve"> Telah kita lihat lebih jauh, ini benar-benar menunjukkan teori  epistemologi alternatif yang disebut sebagai pengetahuan  dengan kehadiran (al-'ilm al-hudhūrī).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kita mulai menelaah Hikmah Al-Isyrāq tentang  persoalan dasar pengetahuan, dan di sini kaidah kedua (* 8)  dari Bab Pertama I, sangat penting secara khusus. Dalam bagian  ini, Suhrawardi mengemukakan kembali persoalan yang sudah </w:t>
      </w:r>
    </w:p>
    <w:p>
      <w:pPr>
        <w:pStyle w:val="BookText"/>
        <w:bidi w:val="0"/>
        <w:rPr/>
      </w:pPr>
      <w:r>
        <w:rPr>
          <w:rFonts w:eastAsia="Times New Roman" w:cs="Times New Roman" w:ascii="Times New Roman" w:hAnsi="Times New Roman"/>
          <w:color w:val="111111"/>
          <w:sz w:val="28"/>
          <w:szCs w:val="28"/>
          <w:lang w:val="en-US"/>
        </w:rPr>
        <w:t xml:space="preserve">diangkatnya dalam At-Talwihat berkenaan dengan pembagian  Peripatetik tentang pengetahuan ke dalam konsepsi (tashawwur]  dan penilaian [tashdiq]. Yang juga menarik secara khusus adalah  pandangan-pandangan komentatornya, yakni Asy-Syahrazuri  dan Asy-Syirazi. </w:t>
      </w:r>
      <w:r>
        <w:rPr>
          <w:rStyle w:val="FootnoteAnchor"/>
        </w:rPr>
        <w:footnoteReference w:id="323"/>
      </w:r>
      <w:r>
        <w:rPr>
          <w:rFonts w:eastAsia="Times New Roman" w:cs="Times New Roman" w:ascii="Times New Roman" w:hAnsi="Times New Roman"/>
          <w:color w:val="111111"/>
          <w:sz w:val="28"/>
          <w:szCs w:val="28"/>
          <w:lang w:val="en-US"/>
        </w:rPr>
        <w:t xml:space="preserve"> Bagian yang kita kaji dan telaah berjudul Tentang Pembagian  [Pengetahuan]: Konsepsi [Tashawwur] dan Penilaian [Tashdiq)  dalam Hikmah Al-Isyrāq edisi Corbin. Judul ini adalah tambahan  Corbin dan juga komentatornya, Asy-Syirazi, tetapi tidak  diberikan oleh Asy-Syahrazuri dalam komentarnya.</w:t>
      </w:r>
      <w:r>
        <w:rPr>
          <w:rStyle w:val="FootnoteAnchor"/>
        </w:rPr>
        <w:footnoteReference w:id="324"/>
      </w:r>
      <w:r>
        <w:rPr>
          <w:rFonts w:eastAsia="Times New Roman" w:cs="Times New Roman" w:ascii="Times New Roman" w:hAnsi="Times New Roman"/>
          <w:color w:val="111111"/>
          <w:sz w:val="28"/>
          <w:szCs w:val="28"/>
          <w:lang w:val="en-US"/>
        </w:rPr>
        <w:t>Istilah  “konsepsi" [tashawwur] dan “penilaian" [tashdiq] bukan istilah  di kalangan kaum Iluminasionis; dua istilah ini tidak digunakan  Suhrawardi dalam Hikmah Al-Isyrāq.</w:t>
      </w:r>
      <w:r>
        <w:rPr>
          <w:rStyle w:val="FootnoteAnchor"/>
        </w:rPr>
        <w:footnoteReference w:id="325"/>
      </w:r>
      <w:r>
        <w:rPr>
          <w:rFonts w:eastAsia="Times New Roman" w:cs="Times New Roman" w:ascii="Times New Roman" w:hAnsi="Times New Roman"/>
          <w:color w:val="111111"/>
          <w:sz w:val="28"/>
          <w:szCs w:val="28"/>
          <w:lang w:val="en-US"/>
        </w:rPr>
        <w:t>Komentator-komentator  yang kemudian, dalam usaha mereka memodifikasi pandangan-  pandangan Suhrawardi dengan tujuan menyesuaikan pandangan-  pandangan itu dengan skema Peripatetik Tradisional - yang  mengidentifikasi bagian dari karya Suhrawardi ini dengan  pembagian pengetahuan ke dalam “konsepsi" [tashawwur]  dan “penilaian" [tashdiq]. Namun, ini menjadi sebutan yang  tidak tepat atas bagian ini dan harus ditolak. Asy-Syahrazuri,  yang karyanya berjudul Syarh Hikmah Al-Isyrāq lebih setia  kepada segenap maksud atau tujuan Iluminasionis Suhrawardi  ketimbang komentar karya Asy-Syirazi, menghindari istilah-  stilah konsepsi (tashawwur] dan penilaian [tashdiq). Karena  itu, dengan mengkaji dan menelaah bagian ini, akan menjadi  jelas bahwa Suhrawardi berusaha merumuskan kembali teori  Peripatetik dan dengan sengaja menghindari penggunaan  istilah-istilah konsepsi (tashawwur] dan penilaian (tashdiq).</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mengawali bagian ini dengan menegaskan </w:t>
      </w:r>
    </w:p>
    <w:p>
      <w:pPr>
        <w:pStyle w:val="BookText"/>
        <w:bidi w:val="0"/>
        <w:rPr/>
      </w:pPr>
      <w:r>
        <w:rPr>
          <w:rFonts w:eastAsia="Times New Roman" w:cs="Times New Roman" w:ascii="Times New Roman" w:hAnsi="Times New Roman"/>
          <w:color w:val="111111"/>
          <w:sz w:val="28"/>
          <w:szCs w:val="28"/>
          <w:lang w:val="en-US"/>
        </w:rPr>
        <w:t>bahwa "persepsi" (idrāk)</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Tentang berbagai perbedaan makna istilah “persepsi” seperti  digunakan dalam filsafat. Lihat, H. J. Hirst, “Perception",  Encyclopedia of Philosophy, VI, hlm. 79-87. Tentang berbagai  persamaan istilah Yunani dengan idrāk serta modifikasinya,  seperti idrāk bi al-'aql, idrāk bi al-fahm, idrāk bi al-hiss, dan  sebagainya. Lihat, Afnan, Lexicon, hlm. 98-99. Bandingkan, F.</w:t>
      </w:r>
    </w:p>
    <w:p>
      <w:pPr>
        <w:pStyle w:val="BookText"/>
        <w:bidi w:val="0"/>
        <w:jc w:val="both"/>
        <w:rPr/>
      </w:pPr>
      <w:r>
        <w:rPr>
          <w:rFonts w:eastAsia="Times New Roman" w:cs="Times New Roman" w:ascii="Times New Roman" w:hAnsi="Times New Roman"/>
          <w:color w:val="111111"/>
          <w:sz w:val="28"/>
          <w:szCs w:val="28"/>
          <w:lang w:val="en-US"/>
        </w:rPr>
        <w:t>Rahman, Avicenna's De Anima. (London: Oxford University  Press, 1959), hlm. 278; Ibn Sina, An-Najāh, hlm. 277-279.</w:t>
      </w:r>
    </w:p>
    <w:p>
      <w:pPr>
        <w:pStyle w:val="BookText"/>
        <w:bidi w:val="0"/>
        <w:jc w:val="both"/>
        <w:rPr/>
      </w:pPr>
      <w:r>
        <w:rPr>
          <w:rFonts w:eastAsia="Times New Roman" w:cs="Times New Roman" w:ascii="Times New Roman" w:hAnsi="Times New Roman"/>
          <w:color w:val="111111"/>
          <w:sz w:val="28"/>
          <w:szCs w:val="28"/>
          <w:lang w:val="en-US"/>
        </w:rPr>
        <w:t>Tentang sejarah "persepsi" dalam Filsafat Yunani. Lihat, D.</w:t>
      </w:r>
    </w:p>
    <w:p>
      <w:pPr>
        <w:pStyle w:val="BookText"/>
        <w:bidi w:val="0"/>
        <w:jc w:val="both"/>
        <w:rPr/>
      </w:pPr>
      <w:r>
        <w:rPr>
          <w:rFonts w:eastAsia="Times New Roman" w:cs="Times New Roman" w:ascii="Times New Roman" w:hAnsi="Times New Roman"/>
          <w:color w:val="111111"/>
          <w:sz w:val="28"/>
          <w:szCs w:val="28"/>
          <w:lang w:val="en-US"/>
        </w:rPr>
        <w:t>W. Hamlyn, Sensation and Perception. (London: Routledge and  Kegan Paul, 1961), hlm. 1-39.</w:t>
      </w:r>
    </w:p>
    <w:p>
      <w:pPr>
        <w:pStyle w:val="BookText"/>
        <w:bidi w:val="0"/>
        <w:jc w:val="both"/>
        <w:rPr/>
      </w:pPr>
      <w:r>
        <w:rPr>
          <w:rFonts w:eastAsia="Times New Roman" w:cs="Times New Roman" w:ascii="Times New Roman" w:hAnsi="Times New Roman"/>
          <w:color w:val="111111"/>
          <w:sz w:val="28"/>
          <w:szCs w:val="28"/>
          <w:lang w:val="en-US"/>
        </w:rPr>
        <w:t>sebagai tindakan mengetahui  “sesuatu yang tidak hadir" (asy-syai' al-ghā'ib), terjadi ketika  ide (mitsāl) dan realitas (haqiqah)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dari sesuatu diperoleh  orang, yakni dalam diri subjek yang mengetahui.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Suhrawardi  menganggap yang demikian ini sebagai pandangan tentang  pengetahuan yang lebih umum daripada yang dilambangkan  oleh Peripatetik dengan istilah maʼrifah atau 'ilm.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Istilah idrāk,  yang diterjemahkan sebagai “persepsi", menunjukkan berbagai  cara atau tingkat pengetahuan, termasuk persepsi indra (idrāk  hissi) dan persepsi intelektual (idrāk ‘aqli),</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begitu juga intuisi  dan visi. Di samping itu, bagi Suhrawardi, istilah idrāk berlaku  pada bentuk pengetahuan yang lebih terbatas ketimbang bentuk  “menyadari" atau “memperoleh” (hushūl), sebuah istilah yang  digunakan untuk menggambarkan atau melambangkan tindakan  mengetahui dalam pengertian yang paling luas.</w:t>
      </w:r>
    </w:p>
    <w:p>
      <w:pPr>
        <w:pStyle w:val="BookText"/>
        <w:bidi w:val="0"/>
        <w:jc w:val="both"/>
        <w:rPr/>
      </w:pPr>
      <w:r>
        <w:rPr>
          <w:rFonts w:eastAsia="Times New Roman" w:cs="Times New Roman" w:ascii="Times New Roman" w:hAnsi="Times New Roman"/>
          <w:color w:val="111111"/>
          <w:sz w:val="28"/>
          <w:szCs w:val="28"/>
          <w:lang w:val="en-US"/>
        </w:rPr>
        <w:t>Suhrawardi mengemukakan alasan sebagai berikut: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mengetahui suatu objek (mengetahui dalam pengertian paling  luas), berarti bahwa subjek “memperoleh" ide realitas atau hakikat  (haqiqah) dari objek. Proposisi ini, tegas komentator Asy-Syirazi,  menunjukkan bahwa “pengetahuan yang berdasarkan Iluminasi  dan kehadiran" (al-'ilm Al-Isyrāqi al-hudhūrī) yang dengannya  dijalin "hubungan Iluminasi” (idhāfah isyrāqiyyah) antara  subjek dan objek, yang membuahkan pengetahuan tentang  esensi. </w:t>
      </w:r>
      <w:r>
        <w:rPr>
          <w:rStyle w:val="FootnoteAnchor"/>
        </w:rPr>
        <w:footnoteReference w:id="327"/>
      </w:r>
      <w:r>
        <w:rPr>
          <w:rFonts w:eastAsia="Times New Roman" w:cs="Times New Roman" w:ascii="Times New Roman" w:hAnsi="Times New Roman"/>
          <w:color w:val="111111"/>
          <w:sz w:val="28"/>
          <w:szCs w:val="28"/>
          <w:lang w:val="en-US"/>
        </w:rPr>
        <w:t xml:space="preserve">Pengetahuan Iluminasionis (berbeda dari pengetahuan  Peripatetik, yang berbentuk konsepsi (tashawwur), dan kemudian  penilaian [tashdiq]) bercorak nonpredikatif. Pengetahuan jenis  ini berpijak pada hubungan yang diperoleh tanpa ekstensi  waktu – antara "objek" yang hadir dan subjek yang mengetahui,  dan ini diyakini Suhrawardi sebagai jalan yang paling valid dalam </w:t>
      </w:r>
    </w:p>
    <w:p>
      <w:pPr>
        <w:pStyle w:val="BookText"/>
        <w:bidi w:val="0"/>
        <w:rPr/>
      </w:pPr>
      <w:r>
        <w:rPr>
          <w:rFonts w:eastAsia="Times New Roman" w:cs="Times New Roman" w:ascii="Times New Roman" w:hAnsi="Times New Roman"/>
          <w:color w:val="111111"/>
          <w:sz w:val="28"/>
          <w:szCs w:val="28"/>
          <w:lang w:val="en-US"/>
        </w:rPr>
        <w:t>memperoleh pengetahuan. Posisi epistemologi ini juga menjadi  dasar bagi kritik Suhrawardi atas teori Definisi Peripatetik.</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Sekali lagi, ini adalah jenis pengetahuan yang melaluinya,  esensi-esensi segala sesuatu (yakni, segala sesuatu sebagaimana  adanya) bisa "diperoleh". Jenis pengetahuan Iluminasi ini  diperkuat oleh pengalaman tentang “kehadiran” (hudhūr) objek,  yakni tidak mensyaratkan adanya konsepsi ſtashawwur] dan  kemudian penilaian [tashdiq]; ia bersifat nonpredikatif dan tidak  melibatkan proses waktu. Ia langsung dan terjadi dalam durasi  waktu yang singkat (ān). Contoh-contoh yang dikemukakan Asy-  Syirazi ihwal pengetahuan Iluminasi seperti itu adalah sebagai  berikut: pengetahuan tentang Tuhan (‘ilm al-bārī), pengetahuan  ihwal entitas-entitas terpisah jasmani ('ilm al-mujarradāt al-  mufāraqah), dan pengetahuan tentang diri ('ilm bi-anfusinā).</w:t>
      </w:r>
      <w:r>
        <w:rPr>
          <w:rStyle w:val="FootnoteAnchor"/>
        </w:rPr>
        <w:footnoteReference w:id="328"/>
      </w:r>
      <w:r>
        <w:rPr>
          <w:rFonts w:eastAsia="Times New Roman" w:cs="Times New Roman" w:ascii="Times New Roman" w:hAnsi="Times New Roman"/>
          <w:color w:val="111111"/>
          <w:sz w:val="28"/>
          <w:szCs w:val="28"/>
          <w:lang w:val="en-US"/>
        </w:rPr>
        <w:t xml:space="preserve"> Dari perspektif posisi epistemologi Iluminasi, tidak semua jenis  pengetahuan bisa dibatasi ke dalam konsepsi ſtashawwur] dan  penilaian [tashdiq) predikatif. Posisi ini lebih jauh berpendapat  bahwa "pengetahuan dengan kehadiran" (al-'ilm al-hudhūrī atau  pengetahuan yang hadir) lebih dahulu dari “pengetahuan formal"  (al-'ilm ash-shūrī), tetapi kedudukan ini bisa “dibuktikan” hanya  melalui pengetahuan Iluminasi itu, ketika hubungan Iluminasi  antara subjek dan objek juga dicapai. </w:t>
      </w:r>
      <w:r>
        <w:rPr>
          <w:rStyle w:val="FootnoteAnchor"/>
        </w:rPr>
        <w:footnoteReference w:id="329"/>
      </w:r>
      <w:r>
        <w:rPr>
          <w:rFonts w:eastAsia="Times New Roman" w:cs="Times New Roman" w:ascii="Times New Roman" w:hAnsi="Times New Roman"/>
          <w:color w:val="111111"/>
          <w:sz w:val="28"/>
          <w:szCs w:val="28"/>
          <w:lang w:val="en-US"/>
        </w:rPr>
        <w:t xml:space="preserve"> Kita telah lihat bahwa Suhrawardi memandang  pengetahuan bergantung pada hubungan antara subjek dan  objek. Argumen-argumennya untuk mendukung pandangannya  itu adalah sebagai berikut: sekiranya esensi dari sesuatu  diperoleh oleh subjek, barulah sesuatu itu bisa diketahui; jika  tidak demikian, maka keadaan (hāl) subjek sebelum pengetahuan  dan sesudahnya akan menjadi sama, yang dalam kasus ini bisa </w:t>
      </w:r>
    </w:p>
    <w:p>
      <w:pPr>
        <w:pStyle w:val="BookText"/>
        <w:bidi w:val="0"/>
        <w:rPr/>
      </w:pPr>
      <w:r>
        <w:rPr>
          <w:rFonts w:eastAsia="Times New Roman" w:cs="Times New Roman" w:ascii="Times New Roman" w:hAnsi="Times New Roman"/>
          <w:color w:val="111111"/>
          <w:sz w:val="28"/>
          <w:szCs w:val="28"/>
          <w:lang w:val="en-US"/>
        </w:rPr>
        <w:t>dikatakan bahwa tak ada sesuatu pun yang diperoleh. Karenanya,  keadaan (respon psikologis) subjek pada objek adalah salah  satu faktor yang menentukan ihwal apakah pengetahuan  diperoleh atau tidak. Kondisi subjektif yang ditempatkan  Suhrawardi pada pengetahuan dengan pengalaman, dengan  kehadiran, dan dengan intuisi ini sebenarnya bukan bagian dari  teori pengetahuan Peripatetik formal, dan secara fundamental  predikatif, seperti dikemukakan dan ditekankan Suhrawardi.</w:t>
      </w:r>
    </w:p>
    <w:p>
      <w:pPr>
        <w:pStyle w:val="BookText"/>
        <w:bidi w:val="0"/>
        <w:jc w:val="both"/>
        <w:rPr/>
      </w:pPr>
      <w:r>
        <w:rPr>
          <w:rFonts w:eastAsia="Times New Roman" w:cs="Times New Roman" w:ascii="Times New Roman" w:hAnsi="Times New Roman"/>
          <w:color w:val="111111"/>
          <w:sz w:val="28"/>
          <w:szCs w:val="28"/>
          <w:lang w:val="en-US"/>
        </w:rPr>
        <w:t>Salah satu pernyataan penting Suhrawardi dalam bagian  ini adalah harus ada suatu korespondensi sempurna antara “ide"  yang diperoleh dalam subjek dan objek; hanya korespondensi  seperti ini yang menunjukkan bahwa pengetahuan tentang  sesuatu sebagaimana adanya diperoleh.</w:t>
      </w:r>
      <w:r>
        <w:rPr>
          <w:rStyle w:val="FootnoteAnchor"/>
        </w:rPr>
        <w:footnoteReference w:id="330"/>
      </w:r>
      <w:r>
        <w:rPr>
          <w:rFonts w:eastAsia="Times New Roman" w:cs="Times New Roman" w:ascii="Times New Roman" w:hAnsi="Times New Roman"/>
          <w:color w:val="111111"/>
          <w:sz w:val="28"/>
          <w:szCs w:val="28"/>
          <w:lang w:val="en-US"/>
        </w:rPr>
        <w:t>Ini berarti bahwa  untuk memperoleh pengetahuan, harus dibangun sebentuk  “kesatuan" antara subjek dan objek, dan keadaan psikologis  subjek adalah faktor yang menentukan dalam membangun  kesatuan ini. Sebelumnya, sudah kita tunjukkan bahwa bagi  kaum Peripatetik, pengetahuan pada dasarnya dibangun oleh  jenis “kesatuan" (ittihād) atau hubungan (ittishāl) dengan  akal aktif sesudah keterpisahan (infishāl). Yang pertama kali,  gagasan ihwal kesatuan dan atau hubungan dengan akal aktif  ini, seperti akan kita lihat nanti, diserang habis-habisan oleh  Suhrawardi. Ia menegaskan bahwa kesatuan objek dan subjek  diperoleh dalam diri orang yang mengetahui dengan melakukan  tindak penyadaran diri, dan ini bisa terjadi karena tidak ada  keterpisahan dalam realitas, melainkan hanya gradasi manifestasi  dari esensi.</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berkesimpulan bahwa posisi Suhrawardi ihwal apa  yang merupakan pengetahuan Iluminasi berpijak pada kesatuan </w:t>
      </w:r>
      <w:bookmarkStart w:id="187" w:name="pg6442_57463"/>
    </w:p>
    <w:p>
      <w:pPr>
        <w:pStyle w:val="BookText"/>
        <w:bidi w:val="0"/>
        <w:rPr/>
      </w:pPr>
      <w:bookmarkEnd w:id="187"/>
      <w:r>
        <w:rPr>
          <w:rFonts w:eastAsia="Times New Roman" w:cs="Times New Roman" w:ascii="Times New Roman" w:hAnsi="Times New Roman"/>
          <w:color w:val="111111"/>
          <w:sz w:val="28"/>
          <w:szCs w:val="28"/>
          <w:lang w:val="en-US"/>
        </w:rPr>
        <w:t>antara subjek dan objek melalui “ide" tentang objek yang  diperoleh dalam kesadaran subjek. Sangat penting bahwa kita  memahami posisi Iluminasi yang mendasar ini. Pengalaman  langsung subjek ihwal "kehadiran" objek menentukan validitas  atau kesahihan pengetahuan itu. Dengan demikian, pengalaman  tentang berbagai hal seperti Tuhan, jiwa atau diri, dan entitas-  entitas terpisah lainnya adalah sama dengan semuanya itu.</w:t>
      </w:r>
    </w:p>
    <w:p>
      <w:pPr>
        <w:pStyle w:val="Heading3"/>
        <w:numPr>
          <w:ilvl w:val="2"/>
          <w:numId w:val="1"/>
        </w:numPr>
        <w:bidi w:val="0"/>
        <w:jc w:val="left"/>
        <w:rPr/>
      </w:pPr>
      <w:bookmarkStart w:id="188" w:name="__RefHeading___Toc924704_653776707"/>
      <w:bookmarkStart w:id="189" w:name="_Toc65"/>
      <w:bookmarkEnd w:id="188"/>
      <w:r>
        <w:rPr/>
        <w:t>3. PENGETAHUAN MELALUI ILUMINASI</w:t>
      </w:r>
      <w:bookmarkEnd w:id="189"/>
    </w:p>
    <w:p>
      <w:pPr>
        <w:pStyle w:val="Heading4"/>
        <w:numPr>
          <w:ilvl w:val="3"/>
          <w:numId w:val="1"/>
        </w:numPr>
        <w:bidi w:val="0"/>
        <w:jc w:val="left"/>
        <w:rPr/>
      </w:pPr>
      <w:bookmarkStart w:id="190" w:name="__RefHeading___Toc924706_653776707"/>
      <w:bookmarkStart w:id="191" w:name="_Toc66"/>
      <w:bookmarkEnd w:id="190"/>
      <w:r>
        <w:rPr/>
        <w:t>3.1. Kritik Suhrawardi atas Pandangan Peripatetik Ihwal...............</w:t>
      </w:r>
      <w:bookmarkEnd w:id="191"/>
    </w:p>
    <w:p>
      <w:pPr>
        <w:pStyle w:val="BookText"/>
        <w:bidi w:val="0"/>
        <w:jc w:val="both"/>
        <w:rPr/>
      </w:pPr>
      <w:r>
        <w:rPr>
          <w:rFonts w:eastAsia="Times New Roman" w:cs="Times New Roman" w:ascii="Times New Roman" w:hAnsi="Times New Roman"/>
          <w:color w:val="111111"/>
          <w:sz w:val="28"/>
          <w:szCs w:val="28"/>
          <w:lang w:val="en-US"/>
        </w:rPr>
        <w:t>3.1. Kritik Suhrawardi atas Pandangan Peripatetik Ihwal  Pengetahuan sebagai Kesatuan dengan Akal aktif  Dalam At-Talwībāt, Suhrawardi mengidentifikasi dua  pandangan tentang pengetahuan dalam pengertian umum  (yakni, idrāk). Pandangan pertama, dinyatakan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Sebagian orang berpandangan bahwa ketika seseorang  mengetahui sesuatu, ini berarti bahwa subjek dan objek menjadi  satu. "</w:t>
      </w:r>
      <w:r>
        <w:rPr>
          <w:rStyle w:val="FootnoteAnchor"/>
        </w:rPr>
        <w:footnoteReference w:id="331"/>
      </w:r>
      <w:r>
        <w:rPr>
          <w:rFonts w:eastAsia="Times New Roman" w:cs="Times New Roman" w:ascii="Times New Roman" w:hAnsi="Times New Roman"/>
          <w:color w:val="111111"/>
          <w:sz w:val="28"/>
          <w:szCs w:val="28"/>
          <w:lang w:val="en-US"/>
        </w:rPr>
        <w:t>Pandangan kedua, dinyatakan sebagai berikut: “Sebagian  lainnya berpandangan bahwa ketika jiwa mengetahui (sesuatu),  ini berarti bahwa ia telah bersatu dengan akal aktif. "</w:t>
      </w:r>
      <w:r>
        <w:rPr>
          <w:rStyle w:val="FootnoteAnchor"/>
        </w:rPr>
        <w:footnoteReference w:id="332"/>
      </w:r>
      <w:r>
        <w:rPr>
          <w:rFonts w:eastAsia="Times New Roman" w:cs="Times New Roman" w:ascii="Times New Roman" w:hAnsi="Times New Roman"/>
          <w:color w:val="111111"/>
          <w:sz w:val="28"/>
          <w:szCs w:val="28"/>
          <w:lang w:val="en-US"/>
        </w:rPr>
        <w:t xml:space="preserve"> Kedua pandangan di atas, ditolak berdasarkan argumen-  argumen yang diambil dari fisika, yakni dua benda menjadi  satu entah melalui campuran (imtizāj), hubungan (ittishāl) atau  melalui kombinasi (tarkib majmūʻī), yang semuanya itu berlaku  dalam segi jasmani saja.</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Lihat, Suhrawardi, Kitāb At-Talwīhāt (Al-'Ilm ats-Tsānī). (MS,  Berlin, 5062). Selanjutnya disebut At-Talwīhāt: Aht-Thabi'ah),  fol. 43r, v; lihat juga, idem., Al-Masyāri' wa Al-Muthārahāt:</w:t>
      </w:r>
    </w:p>
    <w:p>
      <w:pPr>
        <w:pStyle w:val="BookText"/>
        <w:bidi w:val="0"/>
        <w:jc w:val="both"/>
        <w:rPr/>
      </w:pPr>
      <w:r>
        <w:rPr>
          <w:rFonts w:eastAsia="Times New Roman" w:cs="Times New Roman" w:ascii="Times New Roman" w:hAnsi="Times New Roman"/>
          <w:color w:val="111111"/>
          <w:sz w:val="28"/>
          <w:szCs w:val="28"/>
          <w:lang w:val="en-US"/>
        </w:rPr>
        <w:t>Ath-Thabi'ah, fol. 1110-112v, 115v.</w:t>
      </w:r>
    </w:p>
    <w:p>
      <w:pPr>
        <w:pStyle w:val="BookText"/>
        <w:bidi w:val="0"/>
        <w:jc w:val="both"/>
        <w:rPr/>
      </w:pPr>
      <w:r>
        <w:rPr>
          <w:rFonts w:eastAsia="Times New Roman" w:cs="Times New Roman" w:ascii="Times New Roman" w:hAnsi="Times New Roman"/>
          <w:color w:val="111111"/>
          <w:sz w:val="28"/>
          <w:szCs w:val="28"/>
          <w:lang w:val="en-US"/>
        </w:rPr>
        <w:t>Karenanya, Suhrawardi menolak  pandangan klasik tentang kesatuan dengan akal aktif sebagai  dasar bagi pengetahuan.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Tehran University Press, 1332 H), hlm. 112-117. Merlan  berpendapat bahwa Ibn Sina telah mengkritik Porphyry,  (Merlan, Monopsychism), hlm. 25-26. Ironisnya, Merlan      menganggap kesatuan sebagai “tonggak khas Filsafat Timur"  Suhrawardi, (Merlan, Monopsychism), hlm. 25.</w:t>
      </w:r>
    </w:p>
    <w:p>
      <w:pPr>
        <w:pStyle w:val="BookText"/>
        <w:bidi w:val="0"/>
        <w:jc w:val="both"/>
        <w:rPr/>
      </w:pPr>
      <w:r>
        <w:rPr>
          <w:rFonts w:eastAsia="Times New Roman" w:cs="Times New Roman" w:ascii="Times New Roman" w:hAnsi="Times New Roman"/>
          <w:color w:val="111111"/>
          <w:sz w:val="28"/>
          <w:szCs w:val="28"/>
          <w:lang w:val="en-US"/>
        </w:rPr>
        <w:t>Dalam Al-Masyāri wa Al-Muthārahāt, Suhrawardi  membahas problem pengetahuan dan persepsi dengan cara  yang sama dalam At-Talwihāt.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Ath-Thabi'ah, fol. 194v.</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Namun, pembahasan itu</w:t>
      </w:r>
    </w:p>
    <w:p>
      <w:pPr>
        <w:pStyle w:val="BookText"/>
        <w:bidi w:val="0"/>
        <w:rPr/>
      </w:pPr>
      <w:r>
        <w:rPr>
          <w:rFonts w:eastAsia="Times New Roman" w:cs="Times New Roman" w:ascii="Times New Roman" w:hAnsi="Times New Roman"/>
          <w:color w:val="111111"/>
          <w:sz w:val="28"/>
          <w:szCs w:val="28"/>
          <w:lang w:val="en-US"/>
        </w:rPr>
        <w:t xml:space="preserve">lebih rinci dan memberikan kepada kita pernyataan yang jelas  tentang teori Pengetahuan lluminasi. Dalam bagian $ 201,  Suhrawardi mencemooh pendapat yang mengatakan bahwa  pengetahuan secara umum tercapai ketika subjek menjadi  satu dengan “bentuk" (shūrah) objek. </w:t>
      </w:r>
      <w:r>
        <w:rPr>
          <w:rStyle w:val="FootnoteAnchor"/>
        </w:rPr>
        <w:footnoteReference w:id="334"/>
      </w:r>
      <w:r>
        <w:rPr>
          <w:rFonts w:eastAsia="Times New Roman" w:cs="Times New Roman" w:ascii="Times New Roman" w:hAnsi="Times New Roman"/>
          <w:color w:val="111111"/>
          <w:sz w:val="28"/>
          <w:szCs w:val="28"/>
          <w:lang w:val="en-US"/>
        </w:rPr>
        <w:t>Argumen-argmen yang  menentang pendapat ini juga berdasarkan kemustahilan atau  ketidakmungkinan fisik dari dua hal yang berbeda menjadi satu.</w:t>
      </w:r>
    </w:p>
    <w:p>
      <w:pPr>
        <w:pStyle w:val="BookText"/>
        <w:bidi w:val="0"/>
        <w:jc w:val="both"/>
        <w:rPr/>
      </w:pPr>
      <w:r>
        <w:rPr>
          <w:rFonts w:eastAsia="Times New Roman" w:cs="Times New Roman" w:ascii="Times New Roman" w:hAnsi="Times New Roman"/>
          <w:color w:val="111111"/>
          <w:sz w:val="28"/>
          <w:szCs w:val="28"/>
          <w:lang w:val="en-US"/>
        </w:rPr>
        <w:t xml:space="preserve">Argumen yang diajukan di sini, mengambil dimensi tambahan  ketika Suhrawardi memperkenalkan gagasan bahwa manusia  adalah substansi yang sadar akan esensinya (al-jauhar asy-syāʻir  bi-dzātih). Karena itu, ia dapat melepaskan dari bentuk-bentuk,  dan yang tetap adalah dirinya (atau seperti ia tegaskan, “Engkau  adalah engkau," anta anta), tanpa mempertimbangkan tindak  persepsi atau tindak mengetahui. </w:t>
      </w:r>
      <w:r>
        <w:rPr>
          <w:rStyle w:val="FootnoteAnchor"/>
        </w:rPr>
        <w:footnoteReference w:id="335"/>
      </w:r>
      <w:r>
        <w:rPr>
          <w:rFonts w:eastAsia="Times New Roman" w:cs="Times New Roman" w:ascii="Times New Roman" w:hAnsi="Times New Roman"/>
          <w:color w:val="111111"/>
          <w:sz w:val="28"/>
          <w:szCs w:val="28"/>
          <w:lang w:val="en-US"/>
        </w:rPr>
        <w:t>Ini mengasumsikan bahwa  kesadaran diri adalah realitas tertinggi, sebuah persoalan yang  akan kita bahas kemudian.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Setelah mempertimbangkan pandangan Peripatetik  tentang pengetahuan dan persepsi yang ditolaknya,</w:t>
      </w:r>
      <w:r>
        <w:rPr>
          <w:rStyle w:val="FootnoteAnchor"/>
        </w:rPr>
        <w:footnoteReference w:id="336"/>
      </w:r>
      <w:r>
        <w:rPr>
          <w:rFonts w:eastAsia="Times New Roman" w:cs="Times New Roman" w:ascii="Times New Roman" w:hAnsi="Times New Roman"/>
          <w:color w:val="111111"/>
          <w:sz w:val="28"/>
          <w:szCs w:val="28"/>
          <w:lang w:val="en-US"/>
        </w:rPr>
        <w:t xml:space="preserve">Suhrawardi  lantas menegaskan pandangannya (bagian * 208). Terlebih  dahulu, ia meminta pembaca mengacu pada Hikmah Al-Isyrāq,  yang di dalamnya bisa ditemukan ajarannya. </w:t>
      </w:r>
      <w:r>
        <w:rPr>
          <w:rStyle w:val="FootnoteAnchor"/>
        </w:rPr>
        <w:footnoteReference w:id="337"/>
      </w:r>
      <w:r>
        <w:rPr>
          <w:rFonts w:eastAsia="Times New Roman" w:cs="Times New Roman" w:ascii="Times New Roman" w:hAnsi="Times New Roman"/>
          <w:color w:val="111111"/>
          <w:sz w:val="28"/>
          <w:szCs w:val="28"/>
          <w:lang w:val="en-US"/>
        </w:rPr>
        <w:t>Lebih jauh, ia  menegaskan perlunya para pembaca akrab dengan metode  At-Tawihāt sebelum mempelajari Hikmah Al-Isyrāq. Metode  ini diperoleh Suhrawardi, tegasnya, dalam “perbincangannya"  dengan Aristoteles,</w:t>
      </w:r>
      <w:r>
        <w:rPr>
          <w:rStyle w:val="FootnoteAnchor"/>
        </w:rPr>
        <w:footnoteReference w:id="338"/>
      </w:r>
      <w:r>
        <w:rPr>
          <w:rFonts w:eastAsia="Times New Roman" w:cs="Times New Roman" w:ascii="Times New Roman" w:hAnsi="Times New Roman"/>
          <w:color w:val="111111"/>
          <w:sz w:val="28"/>
          <w:szCs w:val="28"/>
          <w:lang w:val="en-US"/>
        </w:rPr>
        <w:t>dan dinyatakan sebagai berikut, “Terlebih  dahulu orang harus menyelidiki pengetahuan tentang esensinya  dan kemudian naik menuju apa yang lebih tinggi. "</w:t>
      </w:r>
      <w:r>
        <w:rPr>
          <w:rStyle w:val="FootnoteAnchor"/>
        </w:rPr>
        <w:footnoteReference w:id="339"/>
      </w:r>
      <w:r>
        <w:rPr>
          <w:rFonts w:eastAsia="Times New Roman" w:cs="Times New Roman" w:ascii="Times New Roman" w:hAnsi="Times New Roman"/>
          <w:color w:val="111111"/>
          <w:sz w:val="28"/>
          <w:szCs w:val="28"/>
          <w:lang w:val="en-US"/>
        </w:rPr>
        <w:t>Rujukannya  adalah visi mimpi Suhrawardi yang terkenal, tentang Aristoteles,</w:t>
      </w:r>
      <w:r>
        <w:rPr>
          <w:rStyle w:val="FootnoteAnchor"/>
        </w:rPr>
        <w:footnoteReference w:id="340"/>
      </w:r>
      <w:r>
        <w:rPr>
          <w:rFonts w:eastAsia="Times New Roman" w:cs="Times New Roman" w:ascii="Times New Roman" w:hAnsi="Times New Roman"/>
          <w:color w:val="111111"/>
          <w:sz w:val="28"/>
          <w:szCs w:val="28"/>
          <w:lang w:val="en-US"/>
        </w:rPr>
        <w:t xml:space="preserve"> yang diceritakan kembali oleh Suhrawardi secara keseluruhan </w:t>
      </w:r>
      <w:bookmarkStart w:id="192" w:name="pg6442_57465"/>
    </w:p>
    <w:p>
      <w:pPr>
        <w:pStyle w:val="BookText"/>
        <w:bidi w:val="0"/>
        <w:rPr/>
      </w:pPr>
      <w:bookmarkEnd w:id="192"/>
      <w:r>
        <w:rPr>
          <w:rFonts w:eastAsia="Times New Roman" w:cs="Times New Roman" w:ascii="Times New Roman" w:hAnsi="Times New Roman"/>
          <w:color w:val="111111"/>
          <w:sz w:val="28"/>
          <w:szCs w:val="28"/>
          <w:lang w:val="en-US"/>
        </w:rPr>
        <w:t>dalam At-Talwihāt,</w:t>
      </w:r>
      <w:r>
        <w:rPr>
          <w:rStyle w:val="FootnoteAnchor"/>
        </w:rPr>
        <w:footnoteReference w:id="341"/>
      </w:r>
      <w:r>
        <w:rPr>
          <w:rFonts w:eastAsia="Times New Roman" w:cs="Times New Roman" w:ascii="Times New Roman" w:hAnsi="Times New Roman"/>
          <w:color w:val="111111"/>
          <w:sz w:val="28"/>
          <w:szCs w:val="28"/>
          <w:lang w:val="en-US"/>
        </w:rPr>
        <w:t>tetapi juga disebutkan di tempat-tempat  lain.</w:t>
      </w:r>
      <w:r>
        <w:rPr>
          <w:rStyle w:val="FootnoteAnchor"/>
        </w:rPr>
        <w:footnoteReference w:id="342"/>
      </w:r>
      <w:r>
        <w:rPr>
          <w:rFonts w:eastAsia="Times New Roman" w:cs="Times New Roman" w:ascii="Times New Roman" w:hAnsi="Times New Roman"/>
          <w:color w:val="111111"/>
          <w:sz w:val="28"/>
          <w:szCs w:val="28"/>
          <w:lang w:val="en-US"/>
        </w:rPr>
        <w:t>Dalam visi mimpi ini, yang akan dianalisis kemudian di  bawah, Suhrawardi menunjukkan pentingnya pengetahuan diri  dalam pandangan Iluminasi tentang pengetahuan, dan persepsi  yang bertentangan dengan pandangan Peripatetik tentang  pengetahuan yang berdasarkan kesatuan dengan akal aktif.</w:t>
      </w:r>
    </w:p>
    <w:p>
      <w:pPr>
        <w:pStyle w:val="Heading4"/>
        <w:numPr>
          <w:ilvl w:val="3"/>
          <w:numId w:val="1"/>
        </w:numPr>
        <w:bidi w:val="0"/>
        <w:jc w:val="left"/>
        <w:rPr/>
      </w:pPr>
      <w:bookmarkStart w:id="193" w:name="__RefHeading___Toc924708_653776707"/>
      <w:bookmarkStart w:id="194" w:name="_Toc67"/>
      <w:bookmarkEnd w:id="193"/>
      <w:r>
        <w:rPr/>
        <w:t>3.2. Visi Mimpi Suhrawardi Berjumpa Aristoteles</w:t>
      </w:r>
      <w:bookmarkEnd w:id="194"/>
    </w:p>
    <w:p>
      <w:pPr>
        <w:pStyle w:val="BookText"/>
        <w:bidi w:val="0"/>
        <w:jc w:val="both"/>
        <w:rPr/>
      </w:pPr>
      <w:r>
        <w:rPr>
          <w:rFonts w:eastAsia="Times New Roman" w:cs="Times New Roman" w:ascii="Times New Roman" w:hAnsi="Times New Roman"/>
          <w:color w:val="111111"/>
          <w:sz w:val="28"/>
          <w:szCs w:val="28"/>
          <w:lang w:val="en-US"/>
        </w:rPr>
        <w:t>Visi mimpi, sebagaimana dibahas dalam At-Talwihāt,  adalah sebuah alegori yang di dalamnya Suhrawardi bertukar  pendapat [dengan Aristoteles] tentang pengetahuan.</w:t>
      </w:r>
      <w:r>
        <w:rPr>
          <w:rStyle w:val="FootnoteAnchor"/>
        </w:rPr>
        <w:footnoteReference w:id="343"/>
      </w:r>
      <w:r>
        <w:rPr>
          <w:rFonts w:eastAsia="Times New Roman" w:cs="Times New Roman" w:ascii="Times New Roman" w:hAnsi="Times New Roman"/>
          <w:color w:val="111111"/>
          <w:sz w:val="28"/>
          <w:szCs w:val="28"/>
          <w:lang w:val="en-US"/>
        </w:rPr>
        <w:t>Kisah ini  punya sejumlah komponen khas yang perlu dianalisis.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Visi. Visi ini muncul pada Suhrawardi pada suatu malam  selama kurun waktu yang menggambarkan dirinya sebagai  seseorang yang sangat asyik berpikir dan melakukan praktik  asketis (riyādhāt). Visi itu digambarkan menyerupai tidur (syibh  naum) dan menyebabkan ekstase (khalsah), suatu keadaan yang  disertai dengan kenikmatan yang melimpah (ladzdzah), cahaya  kilat (barq), cahaya gemerlap, serta dinyatakan sebagai salah  satu tahap perantara dalam pengalaman visioner Iluminasi. </w:t>
      </w:r>
      <w:r>
        <w:rPr>
          <w:rStyle w:val="FootnoteAnchor"/>
        </w:rPr>
        <w:footnoteReference w:id="344"/>
      </w:r>
      <w:r>
        <w:rPr>
          <w:rFonts w:eastAsia="Times New Roman" w:cs="Times New Roman" w:ascii="Times New Roman" w:hAnsi="Times New Roman"/>
          <w:color w:val="111111"/>
          <w:sz w:val="28"/>
          <w:szCs w:val="28"/>
          <w:lang w:val="en-US"/>
        </w:rPr>
        <w:t xml:space="preserve"> Dalam visi itu, Aristoteles, “Guru Filsafat" dan "seorang yang  menjadi penolong jiwa", muncul di hadapan Suhrawardi, yang  semula dilanda rasa takut dan kekaguman. Ketakutannya pun  kemudian berubah menjadi persahabatan ketika Aristoteles  menyalami dan menyambutnya dengan hangat.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Problem yang diajukan dalam visi. Persoalan yang  ditanyakan kepada Aristoteles, yang sudah lama mengharu biru  dan mengusik Suhrawardi, adalah persoalan ihwal pengetahuan  (mas’alah al-'ilm). Aristoteles ditanya ihwal apa pengetahuan </w:t>
      </w:r>
    </w:p>
    <w:p>
      <w:pPr>
        <w:pStyle w:val="BookText"/>
        <w:bidi w:val="0"/>
        <w:rPr/>
      </w:pPr>
      <w:r>
        <w:rPr>
          <w:rFonts w:eastAsia="Times New Roman" w:cs="Times New Roman" w:ascii="Times New Roman" w:hAnsi="Times New Roman"/>
          <w:color w:val="111111"/>
          <w:sz w:val="28"/>
          <w:szCs w:val="28"/>
          <w:lang w:val="en-US"/>
        </w:rPr>
        <w:t>itu, bagaimana diperoleh, apa yang dikandung, dan bagaimana  ia dinilai?  3. Solusi. Solusi Aristoteles adalah “kembalilah kepada  jiwa (diri)-mu”.</w:t>
      </w:r>
      <w:r>
        <w:rPr>
          <w:rStyle w:val="FootnoteAnchor"/>
        </w:rPr>
        <w:footnoteReference w:id="345"/>
      </w:r>
      <w:r>
        <w:rPr>
          <w:rFonts w:eastAsia="Times New Roman" w:cs="Times New Roman" w:ascii="Times New Roman" w:hAnsi="Times New Roman"/>
          <w:color w:val="111111"/>
          <w:sz w:val="28"/>
          <w:szCs w:val="28"/>
          <w:lang w:val="en-US"/>
        </w:rPr>
        <w:t>Penting dicamkan bahwa solusi atas persoalan  ihwal apa pengetahuan itu adalah melalui jiwa subjek, hakikat  dirinya. Pengetahuan diri adalah sebuah komponen penting  teori pengetahuan lluminasi. Pengetahuan (sebagai persepsi,  idrāk) tentang jiwa adalah penting dan berpusat pada dirinya  karena seorang individu menyadari esensi dirinya melalui  esensi.</w:t>
      </w:r>
      <w:r>
        <w:rPr>
          <w:rStyle w:val="FootnoteAnchor"/>
        </w:rPr>
        <w:footnoteReference w:id="346"/>
      </w:r>
      <w:r>
        <w:rPr>
          <w:rFonts w:eastAsia="Times New Roman" w:cs="Times New Roman" w:ascii="Times New Roman" w:hAnsi="Times New Roman"/>
          <w:color w:val="111111"/>
          <w:sz w:val="28"/>
          <w:szCs w:val="28"/>
          <w:lang w:val="en-US"/>
        </w:rPr>
        <w:t>Kesadaran diri dan konsep tentang “aku", yakni diri  sebagai jiwa atau hakikat diri adalah dasar-dasar pengetahuan.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benar-benar diperoleh melalui kesadaran awal akan esensi  diri adalah jalan menuju pengetahuan, </w:t>
      </w:r>
      <w:r>
        <w:rPr>
          <w:rStyle w:val="FootnoteAnchor"/>
        </w:rPr>
        <w:footnoteReference w:id="347"/>
      </w:r>
      <w:r>
        <w:rPr>
          <w:rFonts w:eastAsia="Times New Roman" w:cs="Times New Roman" w:ascii="Times New Roman" w:hAnsi="Times New Roman"/>
          <w:color w:val="111111"/>
          <w:sz w:val="28"/>
          <w:szCs w:val="28"/>
          <w:lang w:val="en-US"/>
        </w:rPr>
        <w:t xml:space="preserve">yang disebut "ilmu  yang berdasarkan kehadiran dan visi” (al-'ilm al-hudhūri asy-  syuhūdi), yang bisa dibilang lebih tinggi dari jenis pengetahuan  yang diperoleh para filsuf melalui kesatuan dengan akal aktif. </w:t>
      </w:r>
      <w:r>
        <w:rPr>
          <w:rStyle w:val="FootnoteAnchor"/>
        </w:rPr>
        <w:footnoteReference w:id="348"/>
      </w:r>
      <w:r>
        <w:rPr>
          <w:rFonts w:eastAsia="Times New Roman" w:cs="Times New Roman" w:ascii="Times New Roman" w:hAnsi="Times New Roman"/>
          <w:color w:val="111111"/>
          <w:sz w:val="28"/>
          <w:szCs w:val="28"/>
          <w:lang w:val="en-US"/>
        </w:rPr>
        <w:t xml:space="preserve"> Dengan menuturkan ihwal visi mimpi bertemu  Aristoteles, Suhrawardi mengemukakan sebuah metafora  yang dimaksudkan untuk memecahkan problem-problem  epistemologi yang dihadapi dan ditentangnya dalam kritiknya  atas kaum Peripatetik. Solusi atas problem-problem ini adalah  melalui pengetahuan diri yang menjadi dasar pengetahuan. Kita  tahu bahwa jenis pengetahuan ini diperoleh kaum Iluminasionis  saat mereka terus beranjak naik menuju kedudukan spiritual  (maqām) kesempurnaan psikologis tertinggi, yang disebut  sebagai kondisi Persaudaraan Abstraksi (Ikhwān at-Tajrid). </w:t>
      </w:r>
      <w:r>
        <w:rPr>
          <w:rStyle w:val="FootnoteAnchor"/>
        </w:rPr>
        <w:footnoteReference w:id="349"/>
      </w:r>
      <w:r>
        <w:rPr>
          <w:rFonts w:eastAsia="Times New Roman" w:cs="Times New Roman" w:ascii="Times New Roman" w:hAnsi="Times New Roman"/>
          <w:color w:val="111111"/>
          <w:sz w:val="28"/>
          <w:szCs w:val="28"/>
          <w:lang w:val="en-US"/>
        </w:rPr>
        <w:t xml:space="preserve"> “Maqam Abstraksi” (Maqām at-Tajrid) atau kesucian, yang  mengingatkan pada kondisi kaum Sufi, dinyatakan dalam At-  Talwihāt, sebagai suatu keadaan di mana individu melepaskan </w:t>
      </w:r>
      <w:bookmarkStart w:id="195" w:name="pg6442_57467"/>
    </w:p>
    <w:p>
      <w:pPr>
        <w:pStyle w:val="BookText"/>
        <w:bidi w:val="0"/>
        <w:rPr/>
      </w:pPr>
      <w:bookmarkEnd w:id="195"/>
      <w:r>
        <w:rPr>
          <w:rFonts w:eastAsia="Times New Roman" w:cs="Times New Roman" w:ascii="Times New Roman" w:hAnsi="Times New Roman"/>
          <w:color w:val="111111"/>
          <w:sz w:val="28"/>
          <w:szCs w:val="28"/>
          <w:lang w:val="en-US"/>
        </w:rPr>
        <w:t>diri dari semua kesibukan duniawi.</w:t>
      </w:r>
      <w:r>
        <w:rPr>
          <w:rStyle w:val="FootnoteAnchor"/>
        </w:rPr>
        <w:footnoteReference w:id="350"/>
      </w:r>
      <w:r>
        <w:rPr>
          <w:rFonts w:eastAsia="Times New Roman" w:cs="Times New Roman" w:ascii="Times New Roman" w:hAnsi="Times New Roman"/>
          <w:color w:val="111111"/>
          <w:sz w:val="28"/>
          <w:szCs w:val="28"/>
          <w:lang w:val="en-US"/>
        </w:rPr>
        <w:t>Dalam keadaan seperti ini,  seseorang bisa “melihat" esensi dirinya dan mengetahui "aku"  sebagai yang mengetahui zatnya, yang kemudian pengetahuan  itu berperan sebagai dasar pengetahuan yang diperoleh dan  bangunan bagi filsafat berikutnya.</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Ath-Thabī'ah, fol. 198r-201v.</w:t>
      </w:r>
    </w:p>
    <w:p>
      <w:pPr>
        <w:pStyle w:val="BookText"/>
        <w:bidi w:val="0"/>
        <w:jc w:val="both"/>
        <w:rPr/>
      </w:pPr>
      <w:r>
        <w:rPr>
          <w:rFonts w:eastAsia="Times New Roman" w:cs="Times New Roman" w:ascii="Times New Roman" w:hAnsi="Times New Roman"/>
          <w:color w:val="111111"/>
          <w:sz w:val="28"/>
          <w:szCs w:val="28"/>
          <w:lang w:val="en-US"/>
        </w:rPr>
        <w:t>Sekarang, mari kita beralih pada kajian dan telaah atas  problem pengetahuan diri, asal-usul, dan perkembangannya  dalam karya-karya Suhrawardi.</w:t>
      </w:r>
    </w:p>
    <w:p>
      <w:pPr>
        <w:pStyle w:val="Heading4"/>
        <w:numPr>
          <w:ilvl w:val="3"/>
          <w:numId w:val="1"/>
        </w:numPr>
        <w:bidi w:val="0"/>
        <w:jc w:val="left"/>
        <w:rPr/>
      </w:pPr>
      <w:bookmarkStart w:id="196" w:name="__RefHeading___Toc924710_653776707"/>
      <w:bookmarkStart w:id="197" w:name="_Toc68"/>
      <w:bookmarkEnd w:id="196"/>
      <w:r>
        <w:rPr/>
        <w:t>3.3. Pandangan Iluminasi Tentang Pengetahuan Diri</w:t>
      </w:r>
      <w:bookmarkEnd w:id="197"/>
    </w:p>
    <w:p>
      <w:pPr>
        <w:pStyle w:val="BookText"/>
        <w:bidi w:val="0"/>
        <w:jc w:val="both"/>
        <w:rPr/>
      </w:pPr>
      <w:r>
        <w:rPr>
          <w:rFonts w:eastAsia="Times New Roman" w:cs="Times New Roman" w:ascii="Times New Roman" w:hAnsi="Times New Roman"/>
          <w:color w:val="111111"/>
          <w:sz w:val="28"/>
          <w:szCs w:val="28"/>
          <w:lang w:val="en-US"/>
        </w:rPr>
        <w:t>Dalam “buku" keempat tentang fisika dalam At-Talwīhāt,  yang bisa disamakan dengan De Anima, Suhrawardi mencurahkan  keseluruhan bab (Bab IV)</w:t>
      </w:r>
      <w:r>
        <w:rPr>
          <w:rStyle w:val="FootnoteAnchor"/>
        </w:rPr>
        <w:footnoteReference w:id="352"/>
      </w:r>
      <w:r>
        <w:rPr>
          <w:rFonts w:eastAsia="Times New Roman" w:cs="Times New Roman" w:ascii="Times New Roman" w:hAnsi="Times New Roman"/>
          <w:color w:val="111111"/>
          <w:sz w:val="28"/>
          <w:szCs w:val="28"/>
          <w:lang w:val="en-US"/>
        </w:rPr>
        <w:t>untuk membahas pengetahuan diri  individu, pengetahuan tentang esensinya, dan juga kesadaran  diri.</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Problem itu diperkenalkan dengan pertanyaan, “Bukankah  engkau tak pernah, tidak menyadari esensi dirimu (dzātuka) di  saat tidur maupun terjaga?"</w:t>
      </w:r>
      <w:r>
        <w:rPr>
          <w:rStyle w:val="FootnoteAnchor"/>
        </w:rPr>
        <w:footnoteReference w:id="353"/>
      </w:r>
      <w:r>
        <w:rPr>
          <w:rFonts w:eastAsia="Times New Roman" w:cs="Times New Roman" w:ascii="Times New Roman" w:hAnsi="Times New Roman"/>
          <w:color w:val="111111"/>
          <w:sz w:val="28"/>
          <w:szCs w:val="28"/>
          <w:lang w:val="en-US"/>
        </w:rPr>
        <w:t>Pertanyaan ini langsung dijawab  sebagai berikut, “Jika seseorang mengajukan postulat atau  dalil dalam pikiran ihwal seorang manusia yang secara tiba-  tiba (daf'atan) diciptakan dalam keadaan sempurna, tanpa  menggunakan segenap anggota badan atau persepsi indrawinya,  maka manusia ini tidak akan menyadari apa pun, kecuali wujud  dirinya (inniyyah)."</w:t>
      </w:r>
      <w:r>
        <w:rPr>
          <w:rStyle w:val="FootnoteAnchor"/>
        </w:rPr>
        <w:footnoteReference w:id="354"/>
      </w:r>
      <w:r>
        <w:rPr>
          <w:rFonts w:eastAsia="Times New Roman" w:cs="Times New Roman" w:ascii="Times New Roman" w:hAnsi="Times New Roman"/>
          <w:color w:val="111111"/>
          <w:sz w:val="28"/>
          <w:szCs w:val="28"/>
          <w:lang w:val="en-US"/>
        </w:rPr>
        <w:t>Suhrawardi mengelaborasi lebih jauh bahwa  pengetahuan tentang esensi diri seseorang adalah penting dan  mesti sifatnya (wājib).</w:t>
      </w:r>
      <w:r>
        <w:rPr>
          <w:rStyle w:val="FootnoteAnchor"/>
        </w:rPr>
        <w:footnoteReference w:id="355"/>
      </w:r>
      <w:r>
        <w:rPr>
          <w:rFonts w:eastAsia="Times New Roman" w:cs="Times New Roman" w:ascii="Times New Roman" w:hAnsi="Times New Roman"/>
          <w:color w:val="111111"/>
          <w:sz w:val="28"/>
          <w:szCs w:val="28"/>
          <w:lang w:val="en-US"/>
        </w:rPr>
        <w:t xml:space="preserve">Apa yang dikatakan Suhrawardi sejauh  ini tentang fisika dalam At-Talwihāt (IV, 3.1) adalah uraian dari  apa yang menjadi ajaran Ibn Sina yang menempatkan sejenis  cogito yang berperan sebagai dasar pengetahuan individu </w:t>
      </w:r>
    </w:p>
    <w:p>
      <w:pPr>
        <w:pStyle w:val="BookText"/>
        <w:bidi w:val="0"/>
        <w:rPr/>
      </w:pPr>
      <w:r>
        <w:rPr>
          <w:rFonts w:eastAsia="Times New Roman" w:cs="Times New Roman" w:ascii="Times New Roman" w:hAnsi="Times New Roman"/>
          <w:color w:val="111111"/>
          <w:sz w:val="28"/>
          <w:szCs w:val="28"/>
          <w:lang w:val="en-US"/>
        </w:rPr>
        <w:t>tentang dirinya.</w:t>
      </w:r>
      <w:r>
        <w:rPr>
          <w:rStyle w:val="FootnoteAnchor"/>
        </w:rPr>
        <w:footnoteReference w:id="356"/>
      </w:r>
      <w:r>
        <w:rPr>
          <w:rFonts w:eastAsia="Times New Roman" w:cs="Times New Roman" w:ascii="Times New Roman" w:hAnsi="Times New Roman"/>
          <w:color w:val="111111"/>
          <w:sz w:val="28"/>
          <w:szCs w:val="28"/>
          <w:lang w:val="en-US"/>
        </w:rPr>
        <w:t xml:space="preserve"> Dalam bagian berikutnya (IV, 3.2), Suhrawardi menegaskan  ketidakjasmanian esensi subjek, dan menyamakan bagian  nonjasmani wujud subjek itu dengan jiwa rasional (IV, 3.3).</w:t>
      </w:r>
    </w:p>
    <w:p>
      <w:pPr>
        <w:pStyle w:val="BookText"/>
        <w:bidi w:val="0"/>
        <w:jc w:val="both"/>
        <w:rPr/>
      </w:pPr>
      <w:r>
        <w:rPr>
          <w:rFonts w:eastAsia="Times New Roman" w:cs="Times New Roman" w:ascii="Times New Roman" w:hAnsi="Times New Roman"/>
          <w:color w:val="111111"/>
          <w:sz w:val="28"/>
          <w:szCs w:val="28"/>
          <w:lang w:val="en-US"/>
        </w:rPr>
        <w:t>Terlepas dari penekanan khusus yang diberikan Suhrawardi pada  kesadaran diri, sisa Bab IV tentang fisika dalam At-Talwīhāt  adalah ringkasan De Anima yang diketahuinya melalui karya Ibn  Sina. Dalam fisika Al-Masyāri' wa Al-Muthārahāt juga, problem  kesadaran diri ditekankan oleh Suhrawardi saat ia membahas  berbagai problem tentang jiwa, dan dikatakan sebagai jenis  esensi (dzāt) objektif: engkau (anta), aku, dan dia dari subjek  dan disamakan dengan tindakan subjek yang mengetahui  esensinya.</w:t>
      </w:r>
      <w:r>
        <w:rPr>
          <w:rStyle w:val="FootnoteAnchor"/>
        </w:rPr>
        <w:footnoteReference w:id="357"/>
      </w:r>
      <w:r>
        <w:rPr>
          <w:rFonts w:eastAsia="Times New Roman" w:cs="Times New Roman" w:ascii="Times New Roman" w:hAnsi="Times New Roman"/>
          <w:color w:val="111111"/>
          <w:sz w:val="28"/>
          <w:szCs w:val="28"/>
          <w:lang w:val="en-US"/>
        </w:rPr>
        <w:t xml:space="preserve"> Psikologi pengetahuan diri ini dibahas Suhrawardi secara  rinci di bagian fisika dalam At-Talwībāt </w:t>
      </w:r>
      <w:r>
        <w:rPr>
          <w:rStyle w:val="FootnoteAnchor"/>
        </w:rPr>
        <w:footnoteReference w:id="358"/>
      </w:r>
      <w:r>
        <w:rPr>
          <w:rFonts w:eastAsia="Times New Roman" w:cs="Times New Roman" w:ascii="Times New Roman" w:hAnsi="Times New Roman"/>
          <w:color w:val="111111"/>
          <w:sz w:val="28"/>
          <w:szCs w:val="28"/>
          <w:lang w:val="en-US"/>
        </w:rPr>
        <w:t>dan Al-Masyāri' wa  Al-Muthārahāt.</w:t>
      </w:r>
      <w:r>
        <w:rPr>
          <w:rStyle w:val="FootnoteAnchor"/>
        </w:rPr>
        <w:footnoteReference w:id="359"/>
      </w:r>
      <w:r>
        <w:rPr>
          <w:rFonts w:eastAsia="Times New Roman" w:cs="Times New Roman" w:ascii="Times New Roman" w:hAnsi="Times New Roman"/>
          <w:color w:val="111111"/>
          <w:sz w:val="28"/>
          <w:szCs w:val="28"/>
          <w:lang w:val="en-US"/>
        </w:rPr>
        <w:t>Intinya yang terpenting adalah dengan posisi  yang diberikan pada pengetahuan diri, Suhrawardi mampu  membangun validitas pengetahuan, yakni pengetahuan tentang  esensi (yang tidak bisa diperoleh melalui definisi esensialis)  mungkin bisa diperoleh melalui pengetahuan diri oleh jiwa.</w:t>
      </w:r>
    </w:p>
    <w:p>
      <w:pPr>
        <w:pStyle w:val="BookText"/>
        <w:bidi w:val="0"/>
        <w:jc w:val="both"/>
        <w:rPr/>
      </w:pPr>
      <w:r>
        <w:rPr>
          <w:rFonts w:eastAsia="Times New Roman" w:cs="Times New Roman" w:ascii="Times New Roman" w:hAnsi="Times New Roman"/>
          <w:color w:val="111111"/>
          <w:sz w:val="28"/>
          <w:szCs w:val="28"/>
          <w:lang w:val="en-US"/>
        </w:rPr>
        <w:t>Barangkali, hasil paling penting dari pandangan  Suhrawardi tentang pengetahuan diri adalah identifikasi dua  arah yang dibuat di antara berbagai “tingkat” kesadaran.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Kesadaran akan esensi-esensi diidentifikasi sebagai komponen  penting dari jiwa rasional.</w:t>
      </w:r>
      <w:r>
        <w:rPr>
          <w:rStyle w:val="FootnoteAnchor"/>
        </w:rPr>
        <w:footnoteReference w:id="360"/>
      </w:r>
      <w:r>
        <w:rPr>
          <w:rFonts w:eastAsia="Times New Roman" w:cs="Times New Roman" w:ascii="Times New Roman" w:hAnsi="Times New Roman"/>
          <w:color w:val="111111"/>
          <w:sz w:val="28"/>
          <w:szCs w:val="28"/>
          <w:lang w:val="en-US"/>
        </w:rPr>
        <w:t>Selanjutnya, dikatakan dalam  Hikmah Al-Isyrāq bahwa segala sesuatu yang menyadari esensi  dirinya adalah “cahaya abstrak” (nūr mujarrad).</w:t>
      </w:r>
      <w:r>
        <w:rPr>
          <w:rStyle w:val="FootnoteAnchor"/>
        </w:rPr>
        <w:footnoteReference w:id="361"/>
      </w:r>
      <w:r>
        <w:rPr>
          <w:rFonts w:eastAsia="Times New Roman" w:cs="Times New Roman" w:ascii="Times New Roman" w:hAnsi="Times New Roman"/>
          <w:color w:val="111111"/>
          <w:sz w:val="28"/>
          <w:szCs w:val="28"/>
          <w:lang w:val="en-US"/>
        </w:rPr>
        <w:t>Kemudian,  "cahaya abstrak" disebut “cahaya yang hidup".</w:t>
      </w:r>
      <w:r>
        <w:rPr>
          <w:rStyle w:val="FootnoteAnchor"/>
        </w:rPr>
        <w:footnoteReference w:id="362"/>
      </w:r>
      <w:r>
        <w:rPr>
          <w:rFonts w:eastAsia="Times New Roman" w:cs="Times New Roman" w:ascii="Times New Roman" w:hAnsi="Times New Roman"/>
          <w:color w:val="111111"/>
          <w:sz w:val="28"/>
          <w:szCs w:val="28"/>
          <w:lang w:val="en-US"/>
        </w:rPr>
        <w:t xml:space="preserve">Karena itu,  melalui "aktivitas" kesadaran diri, jiwa rasional diidentifikasi </w:t>
      </w:r>
    </w:p>
    <w:p>
      <w:pPr>
        <w:pStyle w:val="BookText"/>
        <w:bidi w:val="0"/>
        <w:rPr/>
      </w:pPr>
      <w:r>
        <w:rPr>
          <w:rFonts w:eastAsia="Times New Roman" w:cs="Times New Roman" w:ascii="Times New Roman" w:hAnsi="Times New Roman"/>
          <w:color w:val="111111"/>
          <w:sz w:val="28"/>
          <w:szCs w:val="28"/>
          <w:lang w:val="en-US"/>
        </w:rPr>
        <w:t>sebagai – atau disamakan dengan konsep "cahaya abstrak”,  yang menghubungkan tatanan kosmis dengan tatanan fisik  melalui prinsip kesadaran perantaraan berikut berbagai tingkat  intensitasnya; hal ini akan dirinci di akhir bab ini.</w:t>
      </w:r>
      <w:r>
        <w:rPr>
          <w:rStyle w:val="FootnoteAnchor"/>
        </w:rPr>
        <w:footnoteReference w:id="363"/>
      </w:r>
      <w:r>
        <w:rPr>
          <w:rFonts w:eastAsia="Times New Roman" w:cs="Times New Roman" w:ascii="Times New Roman" w:hAnsi="Times New Roman"/>
          <w:color w:val="111111"/>
          <w:sz w:val="28"/>
          <w:szCs w:val="28"/>
          <w:lang w:val="en-US"/>
        </w:rPr>
        <w:t xml:space="preserve"> Identifikasi yang baru saja dilakukan sangat penting untuk  memahami Filsafat lluminasi. Kesadaran diri, baik sebagai  prinsip kosmis maupun sebagai prinsip psikologis menjadi  dasar pengetahuan Iluminasi. Pengetahuan lluminasi yang pada  dasarnya berpijak pada aktivitas jiwa,</w:t>
      </w:r>
      <w:r>
        <w:rPr>
          <w:rStyle w:val="FootnoteAnchor"/>
        </w:rPr>
        <w:footnoteReference w:id="364"/>
      </w:r>
      <w:r>
        <w:rPr>
          <w:rFonts w:eastAsia="Times New Roman" w:cs="Times New Roman" w:ascii="Times New Roman" w:hAnsi="Times New Roman"/>
          <w:color w:val="111111"/>
          <w:sz w:val="28"/>
          <w:szCs w:val="28"/>
          <w:lang w:val="en-US"/>
        </w:rPr>
        <w:t xml:space="preserve">direalisasikan melalui  pengetahuan diri dan berkaitan dengan bentuk persepsi tertentu  yang disebut sebagai “penglihatan" atau "visi” (musyāhadah). </w:t>
      </w:r>
      <w:r>
        <w:rPr>
          <w:rStyle w:val="FootnoteAnchor"/>
        </w:rPr>
        <w:footnoteReference w:id="365"/>
      </w:r>
      <w:r>
        <w:rPr>
          <w:rFonts w:eastAsia="Times New Roman" w:cs="Times New Roman" w:ascii="Times New Roman" w:hAnsi="Times New Roman"/>
          <w:color w:val="111111"/>
          <w:sz w:val="28"/>
          <w:szCs w:val="28"/>
          <w:lang w:val="en-US"/>
        </w:rPr>
        <w:t xml:space="preserve"> Lagi-lagi, prinsip dasar pengetahuan diri adalah hubungan antara  "aku" (ana, esensi subjek) dengan esensi sesuatu melalui "wujūd"  (huwa, esensi terobjektivikasi, keituan dari) sesuatu baik yang  sadar "akan" dan "dalam" mereka maupun yang mengetahui ihwal  apa sebenarnya mereka. </w:t>
      </w:r>
      <w:r>
        <w:rPr>
          <w:rStyle w:val="FootnoteAnchor"/>
        </w:rPr>
        <w:footnoteReference w:id="366"/>
      </w:r>
      <w:r>
        <w:rPr>
          <w:rFonts w:eastAsia="Times New Roman" w:cs="Times New Roman" w:ascii="Times New Roman" w:hAnsi="Times New Roman"/>
          <w:color w:val="111111"/>
          <w:sz w:val="28"/>
          <w:szCs w:val="28"/>
          <w:lang w:val="en-US"/>
        </w:rPr>
        <w:t>Prinsip visi lluminasi (al-musyāhadah  Al-Isyrāqiyyah) memungkinkan subjek mengetahui sesuatu  sebagaimana adanya, yakni mengetahui esensinya.</w:t>
      </w:r>
      <w:r>
        <w:rPr>
          <w:rStyle w:val="FootnoteAnchor"/>
        </w:rPr>
        <w:footnoteReference w:id="367"/>
      </w:r>
      <w:r>
        <w:rPr>
          <w:rFonts w:eastAsia="Times New Roman" w:cs="Times New Roman" w:ascii="Times New Roman" w:hAnsi="Times New Roman"/>
          <w:color w:val="111111"/>
          <w:sz w:val="28"/>
          <w:szCs w:val="28"/>
          <w:lang w:val="en-US"/>
        </w:rPr>
        <w:t xml:space="preserve">Dengan  demikian, pengetahuan Iluminasi (al-‘ilm Al-Isyrāqi) bergantung  pada pengalaman tentang “kehadiran sesuatu" (hudhur asy-  syai'), yang bukan berupa jenis pengetahuan predikatif,  melainkan semata-mata karena hubungan antara subjek dan  objek, pengetahuan ini disebut “pengetahuan yang berdasarkan  Iluminasi dan kehadiran" (al-'ilm Al-Isyrāqi al-hudhūrī). </w:t>
      </w:r>
      <w:r>
        <w:rPr>
          <w:rStyle w:val="FootnoteAnchor"/>
        </w:rPr>
        <w:footnoteReference w:id="368"/>
      </w:r>
      <w:r>
        <w:rPr>
          <w:rFonts w:eastAsia="Times New Roman" w:cs="Times New Roman" w:ascii="Times New Roman" w:hAnsi="Times New Roman"/>
          <w:color w:val="111111"/>
          <w:sz w:val="28"/>
          <w:szCs w:val="28"/>
          <w:lang w:val="en-US"/>
        </w:rPr>
        <w:t>Subjek  yang mengetahui, saat berhubungan dengan objek, menangkap  esensi objek karena buktinya.</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Bentuk kognisi atau pengetahuan khusus ini, sebagai  jawaban Suhrawardi atas “ketidakmampuan" kaum Peripatetik  mengetahui sesuatu, melampaui bentuk pengetahuan predikatif </w:t>
      </w:r>
      <w:bookmarkStart w:id="198" w:name="pg6442_57470"/>
    </w:p>
    <w:p>
      <w:pPr>
        <w:pStyle w:val="BookText"/>
        <w:bidi w:val="0"/>
        <w:rPr/>
      </w:pPr>
      <w:bookmarkEnd w:id="198"/>
      <w:r>
        <w:rPr>
          <w:rFonts w:eastAsia="Times New Roman" w:cs="Times New Roman" w:ascii="Times New Roman" w:hAnsi="Times New Roman"/>
          <w:color w:val="111111"/>
          <w:sz w:val="28"/>
          <w:szCs w:val="28"/>
          <w:lang w:val="en-US"/>
        </w:rPr>
        <w:t xml:space="preserve">dan merupakan bentuk kognisi intuitif yang bergantung  hanya pada hubungan Iluminasi (al-idhāfah Al-Isyrāqiyyah)  antara subjek dan objek. Bentuk kognisi ini mengandung  penangkapan langsung, atemporal atas esensi objek, </w:t>
      </w:r>
      <w:r>
        <w:rPr>
          <w:rStyle w:val="FootnoteAnchor"/>
        </w:rPr>
        <w:footnoteReference w:id="369"/>
      </w:r>
      <w:r>
        <w:rPr>
          <w:rFonts w:eastAsia="Times New Roman" w:cs="Times New Roman" w:ascii="Times New Roman" w:hAnsi="Times New Roman"/>
          <w:color w:val="111111"/>
          <w:sz w:val="28"/>
          <w:szCs w:val="28"/>
          <w:lang w:val="en-US"/>
        </w:rPr>
        <w:t>dan  mungkin juga karena pengetahuan diri. Ketika harus berkaitan  dengan “hal-hal universal" (kulliyyāt), jenis pengetahuan terjadi  melalui “kehadiran bentuk” yang tertanam dalam esensi jiwa.</w:t>
      </w:r>
    </w:p>
    <w:p>
      <w:pPr>
        <w:pStyle w:val="BookText"/>
        <w:bidi w:val="0"/>
        <w:jc w:val="both"/>
        <w:rPr/>
      </w:pPr>
      <w:r>
        <w:rPr>
          <w:rFonts w:eastAsia="Times New Roman" w:cs="Times New Roman" w:ascii="Times New Roman" w:hAnsi="Times New Roman"/>
          <w:color w:val="111111"/>
          <w:sz w:val="28"/>
          <w:szCs w:val="28"/>
          <w:lang w:val="en-US"/>
        </w:rPr>
        <w:t xml:space="preserve">Berkenaan dengan hal-hal individual, pengetahuan tentangnya  berlangsung melalui “kehadiran" esensi hal-hal individual yang  disatukan dengan lluminasi yang diterima jiwa (isyrāq li an-  nafs). Pengetahuan ini juga bisa diperoleh manakala bentuknya  diaktualisasikan dalam sesuatu (misalnya, dalam bentuk-bentuk  imajiner [ash-shuwar al-khayāliyyah]) yang hadir di depan jiwa,  dan kemudian disinari oleh jiwa. </w:t>
      </w:r>
      <w:r>
        <w:rPr>
          <w:rStyle w:val="FootnoteAnchor"/>
        </w:rPr>
        <w:footnoteReference w:id="370"/>
      </w:r>
    </w:p>
    <w:p>
      <w:pPr>
        <w:pStyle w:val="Heading4"/>
        <w:numPr>
          <w:ilvl w:val="3"/>
          <w:numId w:val="1"/>
        </w:numPr>
        <w:bidi w:val="0"/>
        <w:jc w:val="left"/>
        <w:rPr/>
      </w:pPr>
      <w:bookmarkStart w:id="199" w:name="__RefHeading___Toc924712_653776707"/>
      <w:bookmarkStart w:id="200" w:name="_Toc69"/>
      <w:bookmarkEnd w:id="199"/>
      <w:r>
        <w:rPr/>
        <w:t>3.4. Kesadaran Diri dan Iluminasi</w:t>
      </w:r>
      <w:bookmarkEnd w:id="2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Suhrawardi mengidentifikasi setiap entitas yang menyadari  esensinya dengan cahaya abstrak, dan dengan demikian,  mengaitkan jiwa seorang individu dengan berbagai prinsip  kosmis atau cahaya.</w:t>
      </w:r>
      <w:r>
        <w:rPr>
          <w:rStyle w:val="FootnoteAnchor"/>
        </w:rPr>
        <w:footnoteReference w:id="371"/>
      </w:r>
      <w:r>
        <w:rPr>
          <w:rFonts w:eastAsia="Times New Roman" w:cs="Times New Roman" w:ascii="Times New Roman" w:hAnsi="Times New Roman"/>
          <w:color w:val="111111"/>
          <w:sz w:val="28"/>
          <w:szCs w:val="28"/>
          <w:lang w:val="en-US"/>
        </w:rPr>
        <w:t>Karena sekarang, kita menelaah teori  Iluminasi tentang kesadaran diri, kita akan mempertimbangkan  pernyataan Suhrawardi dalam Hikmah Al-Isyrāq II, 1.6, bahwa  persepsi seseorang tentang kesadaran dirinya (al-idrāk al-  anā'iyyah) sama dengan persepsi langsung tentang apa sesuatu  itu dalam dirinya (idrāk mā huwa huwa), dan bukan persepsi  melalui ide (mitsāl) kesadaran diri.</w:t>
      </w:r>
      <w:r>
        <w:rPr>
          <w:rStyle w:val="FootnoteAnchor"/>
        </w:rPr>
        <w:footnoteReference w:id="372"/>
      </w:r>
      <w:r>
        <w:rPr>
          <w:rFonts w:eastAsia="Times New Roman" w:cs="Times New Roman" w:ascii="Times New Roman" w:hAnsi="Times New Roman"/>
          <w:color w:val="111111"/>
          <w:sz w:val="28"/>
          <w:szCs w:val="28"/>
          <w:lang w:val="en-US"/>
        </w:rPr>
        <w:t xml:space="preserve">Ini berlaku untuk semua  hal yang menjadi dan menyadari esensinya. “Engkau" tegas  Suhrawardi, “Tak pernah tidak menyadari esensimu." la  “membuktikan" ini dengan menegaskan bahwa kesadaran diri </w:t>
      </w:r>
    </w:p>
    <w:p>
      <w:pPr>
        <w:pStyle w:val="BookText"/>
        <w:bidi w:val="0"/>
        <w:rPr/>
      </w:pPr>
      <w:r>
        <w:rPr>
          <w:rFonts w:eastAsia="Times New Roman" w:cs="Times New Roman" w:ascii="Times New Roman" w:hAnsi="Times New Roman"/>
          <w:color w:val="111111"/>
          <w:sz w:val="28"/>
          <w:szCs w:val="28"/>
          <w:lang w:val="en-US"/>
        </w:rPr>
        <w:t>tidak bisa dibenarkan melalui sesuatu yang jasmani, yang-  pada giliran selanjutnya, menunjukkan “bahwa yang dengan  caranya ‘engkau adalah engkau' adalah sesuatu yang mengetahui  esensinya, dan bahwa sesuatu itu adalah kesadaran dirimu."</w:t>
      </w:r>
      <w:r>
        <w:rPr>
          <w:rStyle w:val="FootnoteAnchor"/>
        </w:rPr>
        <w:footnoteReference w:id="373"/>
      </w:r>
      <w:r>
        <w:rPr>
          <w:rFonts w:eastAsia="Times New Roman" w:cs="Times New Roman" w:ascii="Times New Roman" w:hAnsi="Times New Roman"/>
          <w:color w:val="111111"/>
          <w:sz w:val="28"/>
          <w:szCs w:val="28"/>
          <w:lang w:val="en-US"/>
        </w:rPr>
        <w:t xml:space="preserve"> Dari prinsip dasar epistemologi Iluminasi, Suhrawardi menarik  kesimpulan umum, yakni segala sesuatu yang menyadari  esensinya memberikan kesadaran kepada segala sesuatu lainnya  yang ada dalam tingkat yang sama. Jadi, kesadaran menjadi  prinsip pengetahuan Iluminasi yang berlaku benar bagi semua  wujud yang menyadari diri, yang berawal dari kesadaran kosmis  dan berkembang menuju kesadaran individu.</w:t>
      </w:r>
      <w:r>
        <w:rPr>
          <w:rStyle w:val="FootnoteAnchor"/>
        </w:rPr>
        <w:footnoteReference w:id="374"/>
      </w:r>
      <w:r>
        <w:rPr>
          <w:rFonts w:eastAsia="Times New Roman" w:cs="Times New Roman" w:ascii="Times New Roman" w:hAnsi="Times New Roman"/>
          <w:color w:val="111111"/>
          <w:sz w:val="28"/>
          <w:szCs w:val="28"/>
          <w:lang w:val="en-US"/>
        </w:rPr>
        <w:t>Selanjutnya,  ia berkesimpulan bahwa kesadaran diri sama artinya dengan  tampak atau jelas (zhāhir), yang diidentifikasi dengan “cahaya  murni" (nūt mahdh).</w:t>
      </w:r>
      <w:r>
        <w:rPr>
          <w:rStyle w:val="FootnoteAnchor"/>
        </w:rPr>
        <w:footnoteReference w:id="375"/>
      </w:r>
      <w:r>
        <w:rPr>
          <w:rFonts w:eastAsia="Times New Roman" w:cs="Times New Roman" w:ascii="Times New Roman" w:hAnsi="Times New Roman"/>
          <w:color w:val="111111"/>
          <w:sz w:val="28"/>
          <w:szCs w:val="28"/>
          <w:lang w:val="en-US"/>
        </w:rPr>
        <w:t>Dengan demikian, kesadaran diri  diidentifikasikan dengan “ketampakan (atau manifestasi)  dan cahaya" (nafs azh-zhuhūr wa an-nūriyyah).</w:t>
      </w:r>
      <w:r>
        <w:rPr>
          <w:rStyle w:val="FootnoteAnchor"/>
        </w:rPr>
        <w:footnoteReference w:id="376"/>
      </w:r>
      <w:r>
        <w:rPr>
          <w:rFonts w:eastAsia="Times New Roman" w:cs="Times New Roman" w:ascii="Times New Roman" w:hAnsi="Times New Roman"/>
          <w:color w:val="111111"/>
          <w:sz w:val="28"/>
          <w:szCs w:val="28"/>
          <w:lang w:val="en-US"/>
        </w:rPr>
        <w:t>Selanjutnya,  Suhrawardi bisa merumuskan prinsip pengetahuan diri lluminasi  dan hubungannya dengan cahaya kosmis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Setiap orang yang memahami esensinya adalah  cahaya murni, dan setiap cahaya murni tampak oleh,  dan memahami, esensinya."</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Asy-Syirazi, Syarh II, hlm. 297: 2-3: “Fa al-mudrik wa al-  mudrak wa al-idrāk hāhuna wāhid."</w:t>
      </w:r>
    </w:p>
    <w:p>
      <w:pPr>
        <w:pStyle w:val="BookText"/>
        <w:bidi w:val="0"/>
        <w:jc w:val="both"/>
        <w:rPr/>
      </w:pPr>
      <w:r>
        <w:rPr>
          <w:rFonts w:eastAsia="Times New Roman" w:cs="Times New Roman" w:ascii="Times New Roman" w:hAnsi="Times New Roman"/>
          <w:color w:val="111111"/>
          <w:sz w:val="28"/>
          <w:szCs w:val="28"/>
          <w:lang w:val="en-US"/>
        </w:rPr>
        <w:t>Prinsip ini didukung oleh pernyataan Suhrawardi yang  membedakan posisinya dari kaum Peripatetik sebagai berikut: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"Memahami sesuatu berdasarkan dirinya adalah  (sama dengan) tampak oleh esensinya, bukan terabstraksi  dari materinya seperti teori Peripatetik."</w:t>
      </w:r>
      <w:r>
        <w:rPr>
          <w:rStyle w:val="FootnoteAnchor"/>
        </w:rPr>
        <w:footnoteReference w:id="378"/>
      </w:r>
      <w:r>
        <w:rPr>
          <w:rFonts w:eastAsia="Times New Roman" w:cs="Times New Roman" w:ascii="Times New Roman" w:hAnsi="Times New Roman"/>
          <w:color w:val="111111"/>
          <w:sz w:val="28"/>
          <w:szCs w:val="28"/>
          <w:lang w:val="en-US"/>
        </w:rPr>
        <w:t xml:space="preserve"> Suhrawardi mereduksi teori Peripatetik, bahwa sesuatu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memahami dirinya dengan proses menjadi bebas dari materi  dan jasmani ke absurditas. Teori Peripatetik sebenarnya  mengimplikasikan bahwa materi pertama, yang bukan sesuatu  yang lain dan bebas dari materi lain, menyadari esensi dirinya  yang absurd. </w:t>
      </w:r>
      <w:r>
        <w:rPr>
          <w:rStyle w:val="FootnoteAnchor"/>
        </w:rPr>
        <w:footnoteReference w:id="379"/>
      </w:r>
      <w:r>
        <w:rPr>
          <w:rFonts w:eastAsia="Times New Roman" w:cs="Times New Roman" w:ascii="Times New Roman" w:hAnsi="Times New Roman"/>
          <w:color w:val="111111"/>
          <w:sz w:val="28"/>
          <w:szCs w:val="28"/>
          <w:lang w:val="en-US"/>
        </w:rPr>
        <w:t xml:space="preserve"> Ada dua hal penting yang mengiringi teori Pengetahuan  Diri Iluminasi dan berkaitan dengan persoalan manifestasi dan  hakikat cahaya-cahaya abstrak. Hal terpenting adalah “cahaya  abstrak" tidak berbeda berkenaan dengan esensi (atau realitas  [haqiqah]),</w:t>
      </w:r>
      <w:r>
        <w:rPr>
          <w:rStyle w:val="FootnoteAnchor"/>
        </w:rPr>
        <w:footnoteReference w:id="380"/>
      </w:r>
      <w:r>
        <w:rPr>
          <w:rFonts w:eastAsia="Times New Roman" w:cs="Times New Roman" w:ascii="Times New Roman" w:hAnsi="Times New Roman"/>
          <w:color w:val="111111"/>
          <w:sz w:val="28"/>
          <w:szCs w:val="28"/>
          <w:lang w:val="en-US"/>
        </w:rPr>
        <w:t xml:space="preserve">tetapi hanya berkenaan dengan tingkat "intensitas"  (syaddah) tampak. </w:t>
      </w:r>
      <w:r>
        <w:rPr>
          <w:rStyle w:val="FootnoteAnchor"/>
        </w:rPr>
        <w:footnoteReference w:id="381"/>
      </w:r>
      <w:r>
        <w:rPr>
          <w:rFonts w:eastAsia="Times New Roman" w:cs="Times New Roman" w:ascii="Times New Roman" w:hAnsi="Times New Roman"/>
          <w:color w:val="111111"/>
          <w:sz w:val="28"/>
          <w:szCs w:val="28"/>
          <w:lang w:val="en-US"/>
        </w:rPr>
        <w:t xml:space="preserve">Oleh sebab itu, dalam hal kesadaran, bisa  dikatakan bahwa setiap “aku" pada dasarnya sama dengan “aku"  yang lain, karena pada prinsipnya masing-masing dari mereka  pun sadar diri. Akan tetapi, mereka bisa berbeda sesuai dengan  tingkat kesadaran diri masing-masing. Berikutnya, bahwa  karena “cahaya-cahaya abstrak" tidak berbeda sesuai dengan  realitas mereka satu sama lain, mereka membentuk suatu  rangkaian kesatuan. Karena itu, “keseluruhan" (al-kull), simpul  Suhrawardi, juga harus menyadari esensinya. </w:t>
      </w:r>
      <w:r>
        <w:rPr>
          <w:rStyle w:val="FootnoteAnchor"/>
        </w:rPr>
        <w:footnoteReference w:id="382"/>
      </w:r>
      <w:r>
        <w:rPr>
          <w:rFonts w:eastAsia="Times New Roman" w:cs="Times New Roman" w:ascii="Times New Roman" w:hAnsi="Times New Roman"/>
          <w:color w:val="111111"/>
          <w:sz w:val="28"/>
          <w:szCs w:val="28"/>
          <w:lang w:val="en-US"/>
        </w:rPr>
        <w:t>"Cahaya" paling  signifikan dalam kosmologi Filsafat Iluminasi adalah cahaya yang  disebut Isfahbad an-Nāsūt. Cahaya ini, yang disebut "cahaya  pengatur” (an-nūr al-mudabbir),</w:t>
      </w:r>
      <w:r>
        <w:rPr>
          <w:rStyle w:val="FootnoteAnchor"/>
        </w:rPr>
        <w:footnoteReference w:id="383"/>
      </w:r>
      <w:r>
        <w:rPr>
          <w:rFonts w:eastAsia="Times New Roman" w:cs="Times New Roman" w:ascii="Times New Roman" w:hAnsi="Times New Roman"/>
          <w:color w:val="111111"/>
          <w:sz w:val="28"/>
          <w:szCs w:val="28"/>
          <w:lang w:val="en-US"/>
        </w:rPr>
        <w:t>adalah cahaya abstrak yang  “mengontrol” apa yang berada di bawah peringkatnya;</w:t>
      </w:r>
      <w:r>
        <w:rPr>
          <w:rStyle w:val="FootnoteAnchor"/>
        </w:rPr>
        <w:footnoteReference w:id="384"/>
      </w:r>
      <w:r>
        <w:rPr>
          <w:rFonts w:eastAsia="Times New Roman" w:cs="Times New Roman" w:ascii="Times New Roman" w:hAnsi="Times New Roman"/>
          <w:color w:val="111111"/>
          <w:sz w:val="28"/>
          <w:szCs w:val="28"/>
          <w:lang w:val="en-US"/>
        </w:rPr>
        <w:t xml:space="preserve">ia  mengendalikan aktivitas-aktivistas jasmani hewan dan fakultas  jiwa mereka, </w:t>
      </w:r>
      <w:r>
        <w:rPr>
          <w:rStyle w:val="FootnoteAnchor"/>
        </w:rPr>
        <w:footnoteReference w:id="385"/>
      </w:r>
      <w:r>
        <w:rPr>
          <w:rFonts w:eastAsia="Times New Roman" w:cs="Times New Roman" w:ascii="Times New Roman" w:hAnsi="Times New Roman"/>
          <w:color w:val="111111"/>
          <w:sz w:val="28"/>
          <w:szCs w:val="28"/>
          <w:lang w:val="en-US"/>
        </w:rPr>
        <w:t>mengarahkan kembali pancaran cahaya yang  diberikan kepadanya dengan cahaya-cahaya pengendali (al-  anwār al-qāhirah) ke jasmani manusia,</w:t>
      </w:r>
      <w:r>
        <w:rPr>
          <w:rStyle w:val="FootnoteAnchor"/>
        </w:rPr>
        <w:footnoteReference w:id="386"/>
      </w:r>
      <w:r>
        <w:rPr>
          <w:rFonts w:eastAsia="Times New Roman" w:cs="Times New Roman" w:ascii="Times New Roman" w:hAnsi="Times New Roman"/>
          <w:color w:val="111111"/>
          <w:sz w:val="28"/>
          <w:szCs w:val="28"/>
          <w:lang w:val="en-US"/>
        </w:rPr>
        <w:t xml:space="preserve">dan selanjutnya,  memberikan kendali (qahr) </w:t>
      </w:r>
      <w:r>
        <w:rPr>
          <w:rStyle w:val="FootnoteAnchor"/>
        </w:rPr>
        <w:footnoteReference w:id="387"/>
      </w:r>
      <w:r>
        <w:rPr>
          <w:rFonts w:eastAsia="Times New Roman" w:cs="Times New Roman" w:ascii="Times New Roman" w:hAnsi="Times New Roman"/>
          <w:color w:val="111111"/>
          <w:sz w:val="28"/>
          <w:szCs w:val="28"/>
          <w:lang w:val="en-US"/>
        </w:rPr>
        <w:t xml:space="preserve">dan cinta (mahabbah). </w:t>
      </w:r>
      <w:r>
        <w:rPr>
          <w:rStyle w:val="FootnoteAnchor"/>
        </w:rPr>
        <w:footnoteReference w:id="388"/>
      </w:r>
      <w:r>
        <w:rPr>
          <w:rFonts w:eastAsia="Times New Roman" w:cs="Times New Roman" w:ascii="Times New Roman" w:hAnsi="Times New Roman"/>
          <w:color w:val="111111"/>
          <w:sz w:val="28"/>
          <w:szCs w:val="28"/>
          <w:lang w:val="en-US"/>
        </w:rPr>
        <w:t xml:space="preserve">Aktivitas  cahaya ini menyerupai akal aktif dalam kosmologi Peripatetik </w:t>
      </w:r>
    </w:p>
    <w:p>
      <w:pPr>
        <w:pStyle w:val="BookText"/>
        <w:bidi w:val="0"/>
        <w:rPr/>
      </w:pPr>
      <w:r>
        <w:rPr>
          <w:rFonts w:eastAsia="Times New Roman" w:cs="Times New Roman" w:ascii="Times New Roman" w:hAnsi="Times New Roman"/>
          <w:color w:val="111111"/>
          <w:sz w:val="28"/>
          <w:szCs w:val="28"/>
          <w:lang w:val="en-US"/>
        </w:rPr>
        <w:t>dan diidentifikasi oleh Suhrawardi dengan menyebutnya sebagai  Ruh Kudus, dator scientiae (wāhib al-'ilm) dan dator spiritus  (ravān bakhsh). Cahaya ini selanjutnya disamakan dengan dator  formarum (wāhib al-'ilm),</w:t>
      </w:r>
      <w:r>
        <w:rPr>
          <w:rStyle w:val="FootnoteAnchor"/>
        </w:rPr>
        <w:footnoteReference w:id="389"/>
      </w:r>
      <w:r>
        <w:rPr>
          <w:rFonts w:eastAsia="Times New Roman" w:cs="Times New Roman" w:ascii="Times New Roman" w:hAnsi="Times New Roman"/>
          <w:color w:val="111111"/>
          <w:sz w:val="28"/>
          <w:szCs w:val="28"/>
          <w:lang w:val="en-US"/>
        </w:rPr>
        <w:t xml:space="preserve">dan menjadi penghubung antara  manusia dan alam kosmis (yakni, antara yang jasmani dan  yang nonjasmani). Boleh dikata, cahaya ini, Isfahbad an-Nāsūt,  menunjukkan dirinya dengan kesadaran dirinya. </w:t>
      </w:r>
      <w:r>
        <w:rPr>
          <w:rStyle w:val="FootnoteAnchor"/>
        </w:rPr>
        <w:footnoteReference w:id="390"/>
      </w:r>
      <w:r>
        <w:rPr>
          <w:rFonts w:eastAsia="Times New Roman" w:cs="Times New Roman" w:ascii="Times New Roman" w:hAnsi="Times New Roman"/>
          <w:color w:val="111111"/>
          <w:sz w:val="28"/>
          <w:szCs w:val="28"/>
          <w:lang w:val="en-US"/>
        </w:rPr>
        <w:t>Dengan  demikian, penghubung antara yang kosmis dan yang manusiawi  adalah prinsip kesadaran diri dan pengetahuan diri. Cahaya  Isfahbad ini disimbolkan dengan cahaya-cahaya majemuk yang  memancar dari satu sumber; cahaya-cahaya ini disebut cahaya-  cahaya Isfahbadiyyah.</w:t>
      </w:r>
      <w:r>
        <w:rPr>
          <w:rStyle w:val="FootnoteAnchor"/>
        </w:rPr>
        <w:footnoteReference w:id="391"/>
      </w:r>
      <w:r>
        <w:rPr>
          <w:rFonts w:eastAsia="Times New Roman" w:cs="Times New Roman" w:ascii="Times New Roman" w:hAnsi="Times New Roman"/>
          <w:color w:val="111111"/>
          <w:sz w:val="28"/>
          <w:szCs w:val="28"/>
          <w:lang w:val="en-US"/>
        </w:rPr>
        <w:t>Cahaya-cahaya majemuk ini bertindak  sesuai dengan “aktetip" (arbāb ash-shanam)-nya di semua  tingkatan, dan karena kesadaran diri manusia adalah seberkas  "cahaya abstrak", maka tidak ada keterputusan antara yang  kosmis dan yang manusiawi;</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"Wujud nūr min Nür al-Anwār laisa bi an yanfashil minhu  syai,” ibid., hlm. 137: "Isyrāq Nür an-Nür ‘alā al-anwār  al-mujarradah laisa bi infishāl syai' minhu." Bandingkan,  ibid., hlm. 146: “An-nur al-mujarrad la yaqbal al-ittishal  wa al-infishāl." Sumber Cahaya dan apa yang dipancarkan  darinya membentuk entitas-entitas berkesinambungan,  dan karena itu, tidak seperti kosmologi Peripatetik, entitas-  entitas non-jasmani dan terpisah tidak berlainan. Kiasan  "cahaya" dan keutamaannya dalam menyebarkan dari satu  sumber menggambarkan kosmologi Iluminasi dengan sangat  memadai.</w:t>
      </w:r>
    </w:p>
    <w:p>
      <w:pPr>
        <w:pStyle w:val="BookText"/>
        <w:bidi w:val="0"/>
        <w:jc w:val="both"/>
        <w:rPr/>
      </w:pPr>
      <w:r>
        <w:rPr>
          <w:rFonts w:eastAsia="Times New Roman" w:cs="Times New Roman" w:ascii="Times New Roman" w:hAnsi="Times New Roman"/>
          <w:color w:val="111111"/>
          <w:sz w:val="28"/>
          <w:szCs w:val="28"/>
          <w:lang w:val="en-US"/>
        </w:rPr>
        <w:t>alih-alih, keduanya membentuk  suatu keseluruhan berkesinambungan. Teori ini bertentangan  dengan pandangan Peripatetik tentang akal aktif, yang “satu",  dan bertindak bukan dalam berbagai manifestasi majemuk  berkesinambungan (seperti cahaya-cahaya Isfahbadiyyah dalam  hubungannya dengan “sumber"-nya, Isfahbad an-Nāsūt), tetapi  sebagai satu kesempurnaan puncak dari intelek.</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Pencarian kepastian Suhrawardi dalam pengetahuan  mengantarkannya melihat dasar pengetahuan sebagai keragaman  dari pengalaman tentang esensi (subjek dan juga objek) yang  dipandangnya sebagai dasar pengalaman langsung manusia  tentang objek sebagaimana adanya, dan menjadi dasar bagi  prinsip-prinsip kosmis kesadaran diri dan manifestasi diri. Kita  mengamati bahwa bentuk persepsi dan pengetahuan Iluminasi</w:t>
      </w:r>
      <w:bookmarkStart w:id="201" w:name="pg6442_57474"/>
    </w:p>
    <w:p>
      <w:pPr>
        <w:pStyle w:val="BookText"/>
        <w:bidi w:val="0"/>
        <w:rPr/>
      </w:pPr>
      <w:bookmarkEnd w:id="201"/>
      <w:r>
        <w:rPr>
          <w:rFonts w:eastAsia="Times New Roman" w:cs="Times New Roman" w:ascii="Times New Roman" w:hAnsi="Times New Roman"/>
          <w:color w:val="111111"/>
          <w:sz w:val="28"/>
          <w:szCs w:val="28"/>
          <w:lang w:val="en-US"/>
        </w:rPr>
        <w:t>khas bergantung pada: [1] subjek: pengalamannya tentang  esensi; [2] objek: ketampakan dan manifestasinya (zhuhūr sama  dengan Evidenz-nya Husserl) dan kehadirannya (hudhūr); [3]  hubungan Iluminasi (idhāfah Al-Isyrāqiyyah) antara subjek dan  objek yang aktif ketika subjek dan objek “hadir” dan “tampak” di  hadapan esensi mereka masing-masing. Ini kemudian menjadi  dasar teori pengetahuan Iluminasi yang direkonstruksinya,  dan ketidakakuratan definisi esensialis Peripatetik pun teratasi.</w:t>
      </w:r>
    </w:p>
    <w:p>
      <w:pPr>
        <w:pStyle w:val="BookText"/>
        <w:bidi w:val="0"/>
        <w:jc w:val="both"/>
        <w:rPr/>
      </w:pPr>
      <w:r>
        <w:rPr>
          <w:rFonts w:eastAsia="Times New Roman" w:cs="Times New Roman" w:ascii="Times New Roman" w:hAnsi="Times New Roman"/>
          <w:color w:val="111111"/>
          <w:sz w:val="28"/>
          <w:szCs w:val="28"/>
          <w:lang w:val="en-US"/>
        </w:rPr>
        <w:t>Sekarang, kita akan menyelidiki “proses-proses" aktual  epistemologi Iluminasi. Inilah proses yang berawal dengan dan  dalam subjek yang mengetahui dan menghasilkan pengetahuan  tentang objek, serta disifati dengan aktivitas dalam kesadaran  diri subjek. Ia mungkin mengintuisi dan mendeduksi sesuatu  atau, dalam cara lain, menjadi akrab dengan sesuatu yang tidak  diketahuinya sebelum proses itu digerakkan.</w:t>
      </w:r>
    </w:p>
    <w:p>
      <w:pPr>
        <w:pStyle w:val="Heading4"/>
        <w:numPr>
          <w:ilvl w:val="3"/>
          <w:numId w:val="1"/>
        </w:numPr>
        <w:bidi w:val="0"/>
        <w:jc w:val="left"/>
        <w:rPr/>
      </w:pPr>
      <w:bookmarkStart w:id="202" w:name="__RefHeading___Toc924714_653776707"/>
      <w:bookmarkStart w:id="203" w:name="_Toc70"/>
      <w:bookmarkEnd w:id="202"/>
      <w:r>
        <w:rPr/>
        <w:t>3.5. Epistemologi Iluminasi: Proses Intuisi dan Iluminasi Visi</w:t>
      </w:r>
      <w:bookmarkEnd w:id="20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3.5.1. Intuisi  Di beberapa tempat dalam berbagai karya Suhrawardi,  apa yang disebut “hukum-hukum intuisi" (ahkām al-hads,  hukm al-hads) digunakan sebagai bentuk-bentuk inferensi  atau penyimpulan yang valid.</w:t>
      </w:r>
      <w:r>
        <w:rPr>
          <w:rStyle w:val="FootnoteAnchor"/>
        </w:rPr>
        <w:footnoteReference w:id="393"/>
      </w:r>
      <w:r>
        <w:rPr>
          <w:rFonts w:eastAsia="Times New Roman" w:cs="Times New Roman" w:ascii="Times New Roman" w:hAnsi="Times New Roman"/>
          <w:color w:val="111111"/>
          <w:sz w:val="28"/>
          <w:szCs w:val="28"/>
          <w:lang w:val="en-US"/>
        </w:rPr>
        <w:t xml:space="preserve">Dalam masing-masing contoh,  validitas hukum intuisi tidak dipertanyakan dan diberi peringkat  yang sama dengan demonstrasi, karena dalam sebuah inferensi  yang valid berdasarkan hukum-hukum intuisi seperti itu,  orang tidak memerlukan lagi demonstrasi. </w:t>
      </w:r>
      <w:r>
        <w:rPr>
          <w:rStyle w:val="FootnoteAnchor"/>
        </w:rPr>
        <w:footnoteReference w:id="394"/>
      </w:r>
      <w:r>
        <w:rPr>
          <w:rFonts w:eastAsia="Times New Roman" w:cs="Times New Roman" w:ascii="Times New Roman" w:hAnsi="Times New Roman"/>
          <w:color w:val="111111"/>
          <w:sz w:val="28"/>
          <w:szCs w:val="28"/>
          <w:lang w:val="en-US"/>
        </w:rPr>
        <w:t>Intuisi dalam  pengertian yang digunakan Suhrawardi sangat mirip dengan  sifat "cepat mengerti" (quick wit [áyxívoia]) Aristoteles,</w:t>
      </w:r>
      <w:r>
        <w:rPr>
          <w:rStyle w:val="FootnoteAnchor"/>
        </w:rPr>
        <w:footnoteReference w:id="395"/>
      </w:r>
    </w:p>
    <w:p>
      <w:pPr>
        <w:pStyle w:val="BookText"/>
        <w:bidi w:val="0"/>
        <w:rPr/>
      </w:pPr>
      <w:r>
        <w:rPr>
          <w:rFonts w:eastAsia="Times New Roman" w:cs="Times New Roman" w:ascii="Times New Roman" w:hAnsi="Times New Roman"/>
          <w:color w:val="111111"/>
          <w:sz w:val="28"/>
          <w:szCs w:val="28"/>
          <w:lang w:val="en-US"/>
        </w:rPr>
        <w:t>tetapi Suhrawardi menggabungkan jenis penyimpulan yang  khas ini ke dalam epistemologi Filsafat Iluminasi. Dengan  menggunakan terminologi teknis Peripatetik yang dimodifikasi,  ia menyamakan intuisi: pertama, dengan aktivitas akal habituasi  ('aql bi al-malakah);</w:t>
      </w:r>
      <w:r>
        <w:rPr>
          <w:rStyle w:val="FootnoteAnchor"/>
        </w:rPr>
        <w:footnoteReference w:id="396"/>
      </w:r>
      <w:r>
        <w:rPr>
          <w:rFonts w:eastAsia="Times New Roman" w:cs="Times New Roman" w:ascii="Times New Roman" w:hAnsi="Times New Roman"/>
          <w:color w:val="111111"/>
          <w:sz w:val="28"/>
          <w:szCs w:val="28"/>
          <w:lang w:val="en-US"/>
        </w:rPr>
        <w:t>dan kedua, dengan aktivitas akal suci  (al-'aql al-qudsī);</w:t>
      </w:r>
      <w:r>
        <w:rPr>
          <w:rStyle w:val="FootnoteAnchor"/>
        </w:rPr>
        <w:footnoteReference w:id="397"/>
      </w:r>
      <w:r>
        <w:rPr>
          <w:rFonts w:eastAsia="Times New Roman" w:cs="Times New Roman" w:ascii="Times New Roman" w:hAnsi="Times New Roman"/>
          <w:color w:val="111111"/>
          <w:sz w:val="28"/>
          <w:szCs w:val="28"/>
          <w:lang w:val="en-US"/>
        </w:rPr>
        <w:t xml:space="preserve">tetapi ia memandang "tindakan" terpenting  intuisi sebagai kemampuan subjek dalam memahami sebagian  besar hal terpahami dalam waktu singkat tanpa guru. </w:t>
      </w:r>
      <w:r>
        <w:rPr>
          <w:rStyle w:val="FootnoteAnchor"/>
        </w:rPr>
        <w:footnoteReference w:id="398"/>
      </w:r>
      <w:r>
        <w:rPr>
          <w:rFonts w:eastAsia="Times New Roman" w:cs="Times New Roman" w:ascii="Times New Roman" w:hAnsi="Times New Roman"/>
          <w:color w:val="111111"/>
          <w:sz w:val="28"/>
          <w:szCs w:val="28"/>
          <w:lang w:val="en-US"/>
        </w:rPr>
        <w:t>Dalam  kasus seperti itu, intuisi bergerak menangkap term tengah  (al-hadd al-ausath) silogisme yang menyerupai penangkapan  langsung (tanpa ekstensi temporal) definisi esensialis, yakni  esensi sesuatu.</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3.5.2. Visi Iluminasi  Proses ganda visi Iluminasi (musyāhadah-isyrāq) berlaku  pada semua tingkat realitas. Ia berawal pada tataran manusia,  dalam persepsi indra luar, seperti penglihatan (ibshār). Mata  (al-bashār, atau subjek yang melihat, al-bashir) mampu melihat,  yakni melihat objek (al-mubshar) ketika objek itu disinari  (mustanīr) oleh matahari di langit.</w:t>
      </w:r>
      <w:r>
        <w:rPr>
          <w:rStyle w:val="FootnoteAnchor"/>
        </w:rPr>
        <w:footnoteReference w:id="399"/>
      </w:r>
      <w:r>
        <w:rPr>
          <w:rFonts w:eastAsia="Times New Roman" w:cs="Times New Roman" w:ascii="Times New Roman" w:hAnsi="Times New Roman"/>
          <w:color w:val="111111"/>
          <w:sz w:val="28"/>
          <w:szCs w:val="28"/>
          <w:lang w:val="en-US"/>
        </w:rPr>
        <w:t xml:space="preserve">Pada tataran kosmis, setiap  "cahaya abstrak melihat cahaya-cahaya", yang tingkatnya berada  di atasnya, sementara cahaya-cahaya lebih tinggi secara terus-  menerus pada saat visi, menyinari yang tingkatnya berada di  bawahnya". Cahaya Segala Cahaya (Nür al-Anwār) menyinari  segala sesuatu, dan Matahari Surgawi, “Hurākhsh Agung",  memungkinkan visi berlangsung. Akibatnya, pengetahuan  diperoleh melalui "sepasang" aktivitas visi Iluminasi ini, dan  daya pendorong yang mendasari prinsip ini adalah kesadaran  diri. Dengan demikian, setiap wujud mengetahui tingkat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kesempurnaannya, suatu tindakan mengetahui diri yang memicu  kerinduan (syauq) untuk “melihat" wujud di atasnya dalam  kesempurnaan, dan tindakan “melihat" ini menggerakkan proses  lluminasi. </w:t>
      </w:r>
      <w:r>
        <w:rPr>
          <w:rStyle w:val="FootnoteAnchor"/>
        </w:rPr>
        <w:footnoteReference w:id="400"/>
      </w:r>
      <w:r>
        <w:rPr>
          <w:rFonts w:eastAsia="Times New Roman" w:cs="Times New Roman" w:ascii="Times New Roman" w:hAnsi="Times New Roman"/>
          <w:color w:val="111111"/>
          <w:sz w:val="28"/>
          <w:szCs w:val="28"/>
          <w:lang w:val="en-US"/>
        </w:rPr>
        <w:t>Melalui proses Iluminasi, “cahaya" disebarkan dari  asal-usulnya yang tertinggi ke elemen-elemen yang terendah.</w:t>
      </w:r>
      <w:r>
        <w:rPr>
          <w:rStyle w:val="FootnoteAnchor"/>
        </w:rPr>
        <w:footnoteReference w:id="401"/>
      </w:r>
      <w:r>
        <w:rPr>
          <w:rFonts w:eastAsia="Times New Roman" w:cs="Times New Roman" w:ascii="Times New Roman" w:hAnsi="Times New Roman"/>
          <w:color w:val="111111"/>
          <w:sz w:val="28"/>
          <w:szCs w:val="28"/>
          <w:lang w:val="en-US"/>
        </w:rPr>
        <w:t xml:space="preserve"> Iluminasi adalah juga prinsip yang mengatur gerak  angkasa. </w:t>
      </w:r>
      <w:r>
        <w:rPr>
          <w:rStyle w:val="FootnoteAnchor"/>
        </w:rPr>
        <w:footnoteReference w:id="402"/>
      </w:r>
      <w:r>
        <w:rPr>
          <w:rFonts w:eastAsia="Times New Roman" w:cs="Times New Roman" w:ascii="Times New Roman" w:hAnsi="Times New Roman"/>
          <w:color w:val="111111"/>
          <w:sz w:val="28"/>
          <w:szCs w:val="28"/>
          <w:lang w:val="en-US"/>
        </w:rPr>
        <w:t xml:space="preserve">Melalui Iluminasi, sumber realitas Cahaya Segala  Cahaya bisa “terlihat" karena segala sesuatu menjadi tingkatan  intensitasnya, dan dengan demikian, berhubungan. Emanasi  atau pancaran cahaya-cahaya abstrak darinya tidak melibatkan  keterputusan (infishāl) dari sumbernya. </w:t>
      </w:r>
      <w:r>
        <w:rPr>
          <w:rStyle w:val="FootnoteAnchor"/>
        </w:rPr>
        <w:footnoteReference w:id="403"/>
      </w:r>
      <w:r>
        <w:rPr>
          <w:rFonts w:eastAsia="Times New Roman" w:cs="Times New Roman" w:ascii="Times New Roman" w:hAnsi="Times New Roman"/>
          <w:color w:val="111111"/>
          <w:sz w:val="28"/>
          <w:szCs w:val="28"/>
          <w:lang w:val="en-US"/>
        </w:rPr>
        <w:t>Iluminasi disebarkan  dari Cahaya Segala Cahaya ke tingkat manusia melalui prinsip-  prinsip perantara tertentu, yakni “cahaya-cahaya pengendali"  (al-anwār al-qāhirah) dan “cahaya-cahaya pengatur" (al-anwār  al-mudabbirah).</w:t>
      </w:r>
      <w:r>
        <w:rPr>
          <w:rStyle w:val="FootnoteAnchor"/>
        </w:rPr>
        <w:footnoteReference w:id="404"/>
      </w:r>
      <w:r>
        <w:rPr>
          <w:rFonts w:eastAsia="Times New Roman" w:cs="Times New Roman" w:ascii="Times New Roman" w:hAnsi="Times New Roman"/>
          <w:color w:val="111111"/>
          <w:sz w:val="28"/>
          <w:szCs w:val="28"/>
          <w:lang w:val="en-US"/>
        </w:rPr>
        <w:t>Di antara "cahaya-cahaya pengatur", ada  cahaya-cahaya penting yang secara langsung memengaruhi jiwa  manusia, yakni cahaya-cahaya Isfahbad.</w:t>
      </w:r>
      <w:r>
        <w:rPr>
          <w:rStyle w:val="FootnoteAnchor"/>
        </w:rPr>
        <w:footnoteReference w:id="405"/>
      </w:r>
      <w:r>
        <w:rPr>
          <w:rFonts w:eastAsia="Times New Roman" w:cs="Times New Roman" w:ascii="Times New Roman" w:hAnsi="Times New Roman"/>
          <w:color w:val="111111"/>
          <w:sz w:val="28"/>
          <w:szCs w:val="28"/>
          <w:lang w:val="en-US"/>
        </w:rPr>
        <w:t xml:space="preserve">Secara umum, semua  cahaya yang lebih tinggi mengendalikan dan menerangi cahaya  yang lebih rendah, yang pada gilirannya mampu “melihat"  yang lebih tinggi. Cahaya Segala Cahaya mengendalikan segala  sesuatu. </w:t>
      </w:r>
      <w:r>
        <w:rPr>
          <w:rStyle w:val="FootnoteAnchor"/>
        </w:rPr>
        <w:footnoteReference w:id="406"/>
      </w:r>
      <w:r>
        <w:rPr>
          <w:rFonts w:eastAsia="Times New Roman" w:cs="Times New Roman" w:ascii="Times New Roman" w:hAnsi="Times New Roman"/>
          <w:color w:val="111111"/>
          <w:sz w:val="28"/>
          <w:szCs w:val="28"/>
          <w:lang w:val="en-US"/>
        </w:rPr>
        <w:t xml:space="preserve">Inilah cahaya yang paling jelas atau paling tampak  oleh dirinya, dan dengan demikian, menjadi wujud yang  paling menyadari dirinya di alam semesta. </w:t>
      </w:r>
      <w:r>
        <w:rPr>
          <w:rStyle w:val="FootnoteAnchor"/>
        </w:rPr>
        <w:footnoteReference w:id="407"/>
      </w:r>
      <w:r>
        <w:rPr>
          <w:rFonts w:eastAsia="Times New Roman" w:cs="Times New Roman" w:ascii="Times New Roman" w:hAnsi="Times New Roman"/>
          <w:color w:val="111111"/>
          <w:sz w:val="28"/>
          <w:szCs w:val="28"/>
          <w:lang w:val="en-US"/>
        </w:rPr>
        <w:t xml:space="preserve">Semua "cahaya  abstrak" disinari langsung oleh Cahaya Segala Cahaya, yang  sinar (nürriyah), esensi (dzāt), dan kekuatannya adalah satu dan  sama. </w:t>
      </w:r>
      <w:r>
        <w:rPr>
          <w:rStyle w:val="FootnoteAnchor"/>
        </w:rPr>
        <w:footnoteReference w:id="408"/>
      </w:r>
      <w:r>
        <w:rPr>
          <w:rFonts w:eastAsia="Times New Roman" w:cs="Times New Roman" w:ascii="Times New Roman" w:hAnsi="Times New Roman"/>
          <w:color w:val="111111"/>
          <w:sz w:val="28"/>
          <w:szCs w:val="28"/>
          <w:lang w:val="en-US"/>
        </w:rPr>
        <w:t xml:space="preserve">Cahaya Segala Cahaya menyinari dirinya (fayyādh bi  adz-dzāt), serta sifat-sifat dan esensinya adalah satu. </w:t>
      </w:r>
      <w:r>
        <w:rPr>
          <w:rStyle w:val="FootnoteAnchor"/>
        </w:rPr>
        <w:footnoteReference w:id="409"/>
      </w:r>
      <w:r>
        <w:rPr>
          <w:rFonts w:eastAsia="Times New Roman" w:cs="Times New Roman" w:ascii="Times New Roman" w:hAnsi="Times New Roman"/>
          <w:color w:val="111111"/>
          <w:sz w:val="28"/>
          <w:szCs w:val="28"/>
          <w:lang w:val="en-US"/>
        </w:rPr>
        <w:t xml:space="preserve">Ketika  "Iluminasi-Iluminasi langit" (Al-Isyrāqāt al-'ulwiyyah) sampai  pada jiwa manusia melalui intervensi cahaya-cahaya Isfahbad, </w:t>
      </w:r>
    </w:p>
    <w:p>
      <w:pPr>
        <w:pStyle w:val="BookText"/>
        <w:bidi w:val="0"/>
        <w:rPr/>
      </w:pPr>
      <w:r>
        <w:rPr>
          <w:rFonts w:eastAsia="Times New Roman" w:cs="Times New Roman" w:ascii="Times New Roman" w:hAnsi="Times New Roman"/>
          <w:color w:val="111111"/>
          <w:sz w:val="28"/>
          <w:szCs w:val="28"/>
          <w:lang w:val="en-US"/>
        </w:rPr>
        <w:t xml:space="preserve">semua pengetahuan pun diberikan kepadanya. Saat-saat seperti  itu merupakan visi "cahaya-cahaya apokaliptik" (al-anwār  as-sānihah) yang berperan, dengan demikian, sebagai dasar  pengalaman visioner, dan dasar untuk memperoleh pengetahuan  yang tak terbatas. </w:t>
      </w:r>
      <w:r>
        <w:rPr>
          <w:rStyle w:val="FootnoteAnchor"/>
        </w:rPr>
        <w:footnoteReference w:id="410"/>
      </w:r>
      <w:r>
        <w:rPr>
          <w:rFonts w:eastAsia="Times New Roman" w:cs="Times New Roman" w:ascii="Times New Roman" w:hAnsi="Times New Roman"/>
          <w:color w:val="111111"/>
          <w:sz w:val="28"/>
          <w:szCs w:val="28"/>
          <w:lang w:val="en-US"/>
        </w:rPr>
        <w:t xml:space="preserve">Jiwa manusia yang telah mengalami “cahaya-  cahaya apokaliptik" disebut "jiwa-jiwa abstrak" (an-nufūs al-  mujarradah) karena telah melepaskan diri dari perbudakan  jasmani. Mereka memperoleh “ide cahaya Tuhan" (mitsāl min  nūr Allāh), di mana fakultas imajinasi melekat di atas “lembaran  indra umum" (lauh al-hiss al-musytarak). Melalui ide ini, mereka  memperoleh kendali atas “cahaya kreatif" (an-nūr al-khāliq)  yang akhirnya memberi mereka kekuatan untuk melihat. </w:t>
      </w:r>
      <w:r>
        <w:rPr>
          <w:rStyle w:val="FootnoteAnchor"/>
        </w:rPr>
        <w:footnoteReference w:id="411"/>
      </w:r>
      <w:r>
        <w:rPr>
          <w:rFonts w:eastAsia="Times New Roman" w:cs="Times New Roman" w:ascii="Times New Roman" w:hAnsi="Times New Roman"/>
          <w:color w:val="111111"/>
          <w:sz w:val="28"/>
          <w:szCs w:val="28"/>
          <w:lang w:val="en-US"/>
        </w:rPr>
        <w:t>Saat  penyinaran ini, seperti dialami Persaudaraan Abstraksi (Ikhwān  at-Tajrid)</w:t>
      </w:r>
      <w:r>
        <w:rPr>
          <w:rStyle w:val="FootnoteAnchor"/>
        </w:rPr>
        <w:footnoteReference w:id="412"/>
      </w:r>
      <w:r>
        <w:rPr>
          <w:rFonts w:eastAsia="Times New Roman" w:cs="Times New Roman" w:ascii="Times New Roman" w:hAnsi="Times New Roman"/>
          <w:color w:val="111111"/>
          <w:sz w:val="28"/>
          <w:szCs w:val="28"/>
          <w:lang w:val="en-US"/>
        </w:rPr>
        <w:t>dan Para Maestro Visi (Ashhāb al-Musyāhadah),</w:t>
      </w:r>
      <w:r>
        <w:rPr>
          <w:rStyle w:val="FootnoteAnchor"/>
        </w:rPr>
        <w:footnoteReference w:id="413"/>
      </w:r>
      <w:r>
        <w:rPr>
          <w:rFonts w:eastAsia="Times New Roman" w:cs="Times New Roman" w:ascii="Times New Roman" w:hAnsi="Times New Roman"/>
          <w:color w:val="111111"/>
          <w:sz w:val="28"/>
          <w:szCs w:val="28"/>
          <w:lang w:val="en-US"/>
        </w:rPr>
        <w:t xml:space="preserve"> digambarkan oleh Surawardi sebagai pengalaman gradual atas  "cahaya" dalam lima belas langkah, diawali dengan pengalaman  "cahaya kilat yang nikmat" (an-nūr al-bāriq al-ladzīdz) dan  berakhir dengan pengalaman “cahaya" yang demikian dahsyat  dan hebat sehingga dapat melepaskan diri dari badan yang  mengikat.</w:t>
      </w:r>
      <w:r>
        <w:rPr>
          <w:rStyle w:val="FootnoteAnchor"/>
        </w:rPr>
        <w:footnoteReference w:id="414"/>
      </w:r>
      <w:r>
        <w:rPr>
          <w:rFonts w:eastAsia="Times New Roman" w:cs="Times New Roman" w:ascii="Times New Roman" w:hAnsi="Times New Roman"/>
          <w:color w:val="111111"/>
          <w:sz w:val="28"/>
          <w:szCs w:val="28"/>
          <w:lang w:val="en-US"/>
        </w:rPr>
        <w:t>Dengan demikian, teori visi Suhrawardi adalah  salah satu dari dua komponen penting teori Iluminasi tentang  pengetahuan. Prinsip-prinsip teori yang dikembangkan  Suhrawardi sedemikian rupa sehingga bisa diterapkan pada visi  "eksternal" yakni penglihatan, dan juga visi "internal". Karena  itu, teorinya bisa diterapkan pada fisika maupun metafisika.</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Analisis atas teori ini diawali dengan bahasan visi eksternal  (ibshār), yakni yang disebut “visi, atau melihat melalui indra-  indra eksternal" (musyāhadah bi al-hiss azh-zhāhir), baik dalam  fisika maupun metafisika dalam berbagai karya Suhrawardi. </w:t>
      </w:r>
    </w:p>
    <w:p>
      <w:pPr>
        <w:pStyle w:val="BookText"/>
        <w:bidi w:val="0"/>
        <w:rPr/>
      </w:pPr>
      <w:r>
        <w:rPr>
          <w:rFonts w:eastAsia="Times New Roman" w:cs="Times New Roman" w:ascii="Times New Roman" w:hAnsi="Times New Roman"/>
          <w:color w:val="111111"/>
          <w:sz w:val="28"/>
          <w:szCs w:val="28"/>
          <w:lang w:val="en-US"/>
        </w:rPr>
        <w:t>Dalam fisika, Suhrawardi menolak kejasmanian sinar (jismiyyah  asy-syuſā'),</w:t>
      </w:r>
      <w:r>
        <w:rPr>
          <w:rStyle w:val="FootnoteAnchor"/>
        </w:rPr>
        <w:footnoteReference w:id="415"/>
      </w:r>
      <w:r>
        <w:rPr>
          <w:rFonts w:eastAsia="Times New Roman" w:cs="Times New Roman" w:ascii="Times New Roman" w:hAnsi="Times New Roman"/>
          <w:color w:val="111111"/>
          <w:sz w:val="28"/>
          <w:szCs w:val="28"/>
          <w:lang w:val="en-US"/>
        </w:rPr>
        <w:t xml:space="preserve">dan pandangan yang berpendapat sinar sebagai  warna (launiyyah al-syu‘ā”). </w:t>
      </w:r>
      <w:r>
        <w:rPr>
          <w:rStyle w:val="FootnoteAnchor"/>
        </w:rPr>
        <w:footnoteReference w:id="416"/>
      </w:r>
      <w:r>
        <w:rPr>
          <w:rFonts w:eastAsia="Times New Roman" w:cs="Times New Roman" w:ascii="Times New Roman" w:hAnsi="Times New Roman"/>
          <w:color w:val="111111"/>
          <w:sz w:val="28"/>
          <w:szCs w:val="28"/>
          <w:lang w:val="en-US"/>
        </w:rPr>
        <w:t>Selanjutnya, ia menolak teori visi  eksternal yang berpendapat bahwa “visi” (ibshār) terjadi semata-  mata karena sinar meninggalkan mata dan bertemu (yulāqi)  dengan berbagai objek penglihatan.</w:t>
      </w:r>
      <w:r>
        <w:rPr>
          <w:rStyle w:val="FootnoteAnchor"/>
        </w:rPr>
        <w:footnoteReference w:id="417"/>
      </w:r>
      <w:r>
        <w:rPr>
          <w:rFonts w:eastAsia="Times New Roman" w:cs="Times New Roman" w:ascii="Times New Roman" w:hAnsi="Times New Roman"/>
          <w:color w:val="111111"/>
          <w:sz w:val="28"/>
          <w:szCs w:val="28"/>
          <w:lang w:val="en-US"/>
        </w:rPr>
        <w:t>Suhrawardi juga menolak  pandangan yang berpendapat bahwa tindakan melihat (ru'yah)  terjadi ketika bentuk sesuatu (shūrah asy-syai') dilekatkan pada  "cairan tubuh seperti kaca” (ar-suthūbah al-jalīdiyyah).</w:t>
      </w:r>
      <w:r>
        <w:rPr>
          <w:rStyle w:val="FootnoteAnchor"/>
        </w:rPr>
        <w:footnoteReference w:id="418"/>
      </w:r>
      <w:r>
        <w:rPr>
          <w:rFonts w:eastAsia="Times New Roman" w:cs="Times New Roman" w:ascii="Times New Roman" w:hAnsi="Times New Roman"/>
          <w:color w:val="111111"/>
          <w:sz w:val="28"/>
          <w:szCs w:val="28"/>
          <w:lang w:val="en-US"/>
        </w:rPr>
        <w:t>Ini  karena bentuk objek yang besar tidak dapat ditempelkan pada  cairan tubuh. Untuk menganalisis secara keseluruhan teori  Suhrawardi tentang visi, dengan menunjukkan pemahaman  fenomenologis yang mendalam, penting kiranya menempatkan  teori ini dalam konteks historisnya, dan memberikan uraian  ringkas atas teori-teori yang ditolaknya.</w:t>
      </w:r>
    </w:p>
    <w:p>
      <w:pPr>
        <w:pStyle w:val="BookText"/>
        <w:bidi w:val="0"/>
        <w:jc w:val="both"/>
        <w:rPr/>
      </w:pPr>
      <w:r>
        <w:rPr>
          <w:rFonts w:eastAsia="Times New Roman" w:cs="Times New Roman" w:ascii="Times New Roman" w:hAnsi="Times New Roman"/>
          <w:color w:val="111111"/>
          <w:sz w:val="28"/>
          <w:szCs w:val="28"/>
          <w:lang w:val="en-US"/>
        </w:rPr>
        <w:t>Pandangan filsafat tentang penglihatan yang dikemukakan  Suhrawardi termasuk dalam prinsip-prinsip Filsafat Iluminasi  yang paling penting, dan pandangan ini juga diterapkan pada  prinsip visi Iluminasi. Hampir semua persoalan epistemologi  Iluminasi dan juga persoalan wujud dalam Filsafat Iluminasi  hanya bisa dipahami sepenuhnya bila dilakukan analisis yang  cermat atas prinsip-prinsip Iluminasi tentang penglihatan dan  visi. Bagaimana visi berlangsung?</w:t>
      </w:r>
      <w:r>
        <w:rPr>
          <w:rStyle w:val="FootnoteAnchor"/>
        </w:rPr>
        <w:footnoteReference w:id="419"/>
      </w:r>
      <w:r>
        <w:rPr>
          <w:rFonts w:eastAsia="Times New Roman" w:cs="Times New Roman" w:ascii="Times New Roman" w:hAnsi="Times New Roman"/>
          <w:color w:val="111111"/>
          <w:sz w:val="28"/>
          <w:szCs w:val="28"/>
          <w:lang w:val="en-US"/>
        </w:rPr>
        <w:t>Bagaimana visi bertindak?  Apakah visi tidak bisa terjadi tanpa adanya apa yang disebut  cahaya itu? Pertanyaan-pertanyaan ini, dan yang semisal harus  dicamkan kala menganalisis teori Iluminasi.</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Aristoteles, di bagian awal Metaphysics memandang  penglihatan sebagai derajat tertinggi dalam persepsi indra. Bagi  Suhrawardi, karena visi tidak punya ekstensi waktu dan tidak </w:t>
      </w:r>
    </w:p>
    <w:p>
      <w:pPr>
        <w:pStyle w:val="BookText"/>
        <w:bidi w:val="0"/>
        <w:rPr/>
      </w:pPr>
      <w:r>
        <w:rPr>
          <w:rFonts w:eastAsia="Times New Roman" w:cs="Times New Roman" w:ascii="Times New Roman" w:hAnsi="Times New Roman"/>
          <w:color w:val="111111"/>
          <w:sz w:val="28"/>
          <w:szCs w:val="28"/>
          <w:lang w:val="en-US"/>
        </w:rPr>
        <w:t>perlu ada hubungan materiel antara "yang melihat" dan "yang  dilihat", maka visi atau penglihatan pun lebih dahulu dan lebih  tinggi dari pemikiran. Sebab, menguraikan sifat-sifat esensial,  genus, dan diferensia memerlukan waktu. Konstruksi silogisme  dan induksi dialektis juga memerlukan waktu. Akan tetapi, visi  berlangsung dalam masa yang tidak berdurasi ('ān), dan inilah  momen Iluminasi. Kita mungkin bertanya, mengapa kiasan  "cahaya" begitu penting dalam Filsafat Iluminasi? Subjek yang  mengetahui — “aku yang bercahaya, yang sadar diri" – dan juga  objek sama-sama memiliki kualitas ketampakan (zhuhūr atau  evident) yang diukur dalam derajat tingkat intensitas cahaya.</w:t>
      </w:r>
    </w:p>
    <w:p>
      <w:pPr>
        <w:pStyle w:val="BookText"/>
        <w:bidi w:val="0"/>
        <w:jc w:val="both"/>
        <w:rPr/>
      </w:pPr>
      <w:r>
        <w:rPr>
          <w:rFonts w:eastAsia="Times New Roman" w:cs="Times New Roman" w:ascii="Times New Roman" w:hAnsi="Times New Roman"/>
          <w:color w:val="111111"/>
          <w:sz w:val="28"/>
          <w:szCs w:val="28"/>
          <w:lang w:val="en-US"/>
        </w:rPr>
        <w:t>Lebih jauh, harus ada "cahaya" untuk visi yang berlangsung:</w:t>
      </w:r>
    </w:p>
    <w:p>
      <w:pPr>
        <w:pStyle w:val="BookText"/>
        <w:bidi w:val="0"/>
        <w:jc w:val="both"/>
        <w:rPr/>
      </w:pPr>
      <w:r>
        <w:rPr>
          <w:rFonts w:eastAsia="Times New Roman" w:cs="Times New Roman" w:ascii="Times New Roman" w:hAnsi="Times New Roman"/>
          <w:color w:val="111111"/>
          <w:sz w:val="28"/>
          <w:szCs w:val="28"/>
          <w:lang w:val="en-US"/>
        </w:rPr>
        <w:t>entah cahaya itu di luar, cahaya jelas (an-nūr) yang diperlukan  untuk pelihatan, atau cahaya abstrak (an-nūr al-mujarrad) yang  diperlukan untuk visi.</w:t>
      </w:r>
    </w:p>
    <w:p>
      <w:pPr>
        <w:pStyle w:val="BookText"/>
        <w:bidi w:val="0"/>
        <w:jc w:val="both"/>
        <w:rPr/>
      </w:pPr>
      <w:r>
        <w:rPr>
          <w:rFonts w:eastAsia="Times New Roman" w:cs="Times New Roman" w:ascii="Times New Roman" w:hAnsi="Times New Roman"/>
          <w:color w:val="111111"/>
          <w:sz w:val="28"/>
          <w:szCs w:val="28"/>
          <w:lang w:val="en-US"/>
        </w:rPr>
        <w:t>Teori-teori visi yang ditolak Suhrawardi meliputi  teori Aristotelian, Platonis, dan juga Euclidian. Saya tidak  bermaksud memberikan uraian rinci tentang sejarah persoalan  ini di sini, tetapi kita bisa berasumsi dengan aman bahwa  ringkasan problem ini yang diberikan Al-Farabi sudah diketahui  Suhrawardi. Problem kedelapan, dalam Al-Jam' Baina Ra'yai Al-  Hakimain karya Al-Farabi membahas problem visi.</w:t>
      </w:r>
      <w:r>
        <w:rPr>
          <w:rStyle w:val="FootnoteAnchor"/>
        </w:rPr>
        <w:footnoteReference w:id="420"/>
      </w:r>
      <w:r>
        <w:rPr>
          <w:rFonts w:eastAsia="Times New Roman" w:cs="Times New Roman" w:ascii="Times New Roman" w:hAnsi="Times New Roman"/>
          <w:color w:val="111111"/>
          <w:sz w:val="28"/>
          <w:szCs w:val="28"/>
          <w:lang w:val="en-US"/>
        </w:rPr>
        <w:t>Al-Farabi  menegaskan prinsip pendapat Aristoteles sebagai berikut, “[la]  berpegang pada pendapat bahwa penglihatan berlangsung  melalui aksi yang terjadi pada mata;"</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Tampak bahwa pembahasan yang paling penting mengenai  masalah ini ditemukan dalam karyanya, De Annima (4181a).</w:t>
      </w:r>
    </w:p>
    <w:p>
      <w:pPr>
        <w:pStyle w:val="BookText"/>
        <w:bidi w:val="0"/>
        <w:jc w:val="both"/>
        <w:rPr/>
      </w:pPr>
      <w:r>
        <w:rPr>
          <w:rFonts w:eastAsia="Times New Roman" w:cs="Times New Roman" w:ascii="Times New Roman" w:hAnsi="Times New Roman"/>
          <w:color w:val="111111"/>
          <w:sz w:val="28"/>
          <w:szCs w:val="28"/>
          <w:lang w:val="en-US"/>
        </w:rPr>
        <w:t>"Risalah Hunain bin Ishāq”, yang berjudul Fi Dhau' wa  Haqiqatihi (diterbitkan dalam Al-Masyriq, 1899), hlm. 1105- 1113, adalah sebuah ikhtisar dan ringkasan pandangan  Aristoteles tentang masalah ini. Hunain menganggap  pandangan-pandangan Aristoteles sebagai yang terbaik.</w:t>
      </w:r>
    </w:p>
    <w:p>
      <w:pPr>
        <w:pStyle w:val="BookText"/>
        <w:bidi w:val="0"/>
        <w:jc w:val="both"/>
        <w:rPr/>
      </w:pPr>
      <w:r>
        <w:rPr>
          <w:rFonts w:eastAsia="Times New Roman" w:cs="Times New Roman" w:ascii="Times New Roman" w:hAnsi="Times New Roman"/>
          <w:color w:val="111111"/>
          <w:sz w:val="28"/>
          <w:szCs w:val="28"/>
          <w:lang w:val="en-US"/>
        </w:rPr>
        <w:t>Aristoteles percaya bahwa cahaya tidak dapat menjadi  jasmani, karena gerak badan jasmani memerlukan waktu,  sementara gerak cahaya tidak. Juga, apa yang dinisbatkan  kepada badan adalah aksiden, sementara cahaya bukan; karena  itu, cahaya bukan jasmani. Juga, badan ketika berdekatan  satu sama lain menjadi padat, sementara keragaman cahaya  tidak membuatnya padat. Karena itu, cahaya bukan jasad.</w:t>
      </w:r>
    </w:p>
    <w:p>
      <w:pPr>
        <w:pStyle w:val="BookText"/>
        <w:bidi w:val="0"/>
        <w:jc w:val="both"/>
        <w:rPr/>
      </w:pPr>
      <w:r>
        <w:rPr>
          <w:rFonts w:eastAsia="Times New Roman" w:cs="Times New Roman" w:ascii="Times New Roman" w:hAnsi="Times New Roman"/>
          <w:color w:val="111111"/>
          <w:sz w:val="28"/>
          <w:szCs w:val="28"/>
          <w:lang w:val="en-US"/>
        </w:rPr>
        <w:t>dan prinsip pendapat  Plato, “[la] yakin bahwa penglihatan terjadi melalui sesuatu  yang meninggalkan mata dan bertabrakan dengan sesuatu  yang terlihat."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mengatakan bahwa Plato tidak percaya bahwa sesuatu (syai')  meninggalkan mata; sebaliknya, ia menganggap tiga jenis  cahaya yang menjadi dasar penglihatan: cahaya abstrak yang  memancar dari matahari, cahaya abstrak yang meninggalkan  mata dan bertabrakan dengan benda yang terlihat, dan warna  benda yang terlihat, yang memancar darinya dan merupakan  cahaya yang abstrak juga.</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Al-Farabi menyatakan bahwa para pengikut  Aristoteles dan Plato tidak memahami makna yang benar dari</w:t>
      </w:r>
    </w:p>
    <w:p>
      <w:pPr>
        <w:pStyle w:val="BookText"/>
        <w:bidi w:val="0"/>
        <w:rPr/>
      </w:pPr>
      <w:r>
        <w:rPr>
          <w:rFonts w:eastAsia="Times New Roman" w:cs="Times New Roman" w:ascii="Times New Roman" w:hAnsi="Times New Roman"/>
          <w:color w:val="111111"/>
          <w:sz w:val="28"/>
          <w:szCs w:val="28"/>
          <w:lang w:val="en-US"/>
        </w:rPr>
        <w:t>kedua filsuf ini, dan jadinya mengira bahwa sesuatu yang jasmani  dimaksudkan untuk meninggalkan mata, seperti dilakukan para  ahli matematika (Al-ashhab at-ta'ālim) yang mengikuti Euclidus.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berpendapat bahwa sesuatu yang meninggalkan mata  pastilah udara (hawā) atau sinar cahaya (dhau’), api atau asap,  yang semuanya mereka tolak. </w:t>
      </w:r>
      <w:r>
        <w:rPr>
          <w:rStyle w:val="FootnoteAnchor"/>
        </w:rPr>
        <w:footnoteReference w:id="422"/>
      </w:r>
      <w:r>
        <w:rPr>
          <w:rFonts w:eastAsia="Times New Roman" w:cs="Times New Roman" w:ascii="Times New Roman" w:hAnsi="Times New Roman"/>
          <w:color w:val="111111"/>
          <w:sz w:val="28"/>
          <w:szCs w:val="28"/>
          <w:lang w:val="en-US"/>
        </w:rPr>
        <w:t xml:space="preserve"> Teori visi yang positif, seperti dikembangkan Suhrawardi  dan digambarkan dalam metafisika Hikmah Al-Isyrāq, adalah  aplikasi atau penerapan teori umum pengetahuan yang telah  kita sebutkan di atas. Suhrawardi mulai dengan menegaskan  kembali kesimpulan-kesimpulan yang dicapai dalam fisika,  “Dalil: [Tentang Visi] engkau sudah mengetahui bahwa  penglihatan tidak terdiri dari pelekatan bentuk objek di  dalam mata dan juga bukan sesuatu yang keluar dari  mata. Karena itu, ia hanya bisa terjadi ketika objek yang  bercahaya (al-mustanir) berhadapan (muqabala) dengan  mata yang sehat."</w:t>
      </w:r>
      <w:r>
        <w:rPr>
          <w:rStyle w:val="FootnoteAnchor"/>
        </w:rPr>
        <w:footnoteReference w:id="423"/>
      </w:r>
      <w:r>
        <w:rPr>
          <w:rFonts w:eastAsia="Times New Roman" w:cs="Times New Roman" w:ascii="Times New Roman" w:hAnsi="Times New Roman"/>
          <w:color w:val="111111"/>
          <w:sz w:val="28"/>
          <w:szCs w:val="28"/>
          <w:lang w:val="en-US"/>
        </w:rPr>
        <w:t xml:space="preserve"> Dengan demikian, visi eksternal berjalan sesuai dengan  teori umum Suhrawardi tentang pengetahuan, bahwa subjek  (mata yang sehat) dan objek (sesuatu yang bercahaya) sama-  sama hadir, dan kehadiran bersama keduanya membentuk  tindakan visi.</w:t>
      </w:r>
      <w:r>
        <w:rPr>
          <w:rStyle w:val="FootnoteAnchor"/>
        </w:rPr>
        <w:footnoteReference w:id="424"/>
      </w:r>
      <w:r>
        <w:rPr>
          <w:rFonts w:eastAsia="Times New Roman" w:cs="Times New Roman" w:ascii="Times New Roman" w:hAnsi="Times New Roman"/>
          <w:color w:val="111111"/>
          <w:sz w:val="28"/>
          <w:szCs w:val="28"/>
          <w:lang w:val="en-US"/>
        </w:rPr>
        <w:t xml:space="preserve">Namun, ada sejumlah syarat yang harus  dipenuhi agar tindakan visi yang dilangsungkan. Syarat-syarat  itu adalah: [1] kehadiran cahaya, yang seperti akan segera kita  lihat disebabkan oleh perambatan cahaya dari sumber cahaya,  yakni Cahaya Segala Cahaya; [2] tiadanya halangan atau “tabir"  (hijāb) antara subjek dan objek; </w:t>
      </w:r>
      <w:r>
        <w:rPr>
          <w:rStyle w:val="FootnoteAnchor"/>
        </w:rPr>
        <w:footnoteReference w:id="425"/>
      </w:r>
      <w:r>
        <w:rPr>
          <w:rFonts w:eastAsia="Times New Roman" w:cs="Times New Roman" w:ascii="Times New Roman" w:hAnsi="Times New Roman"/>
          <w:color w:val="111111"/>
          <w:sz w:val="28"/>
          <w:szCs w:val="28"/>
          <w:lang w:val="en-US"/>
        </w:rPr>
        <w:t xml:space="preserve">[3] Iluminasi objek dan juga  subjek. Objek disinari karena penyinaran yang dibawa Cahaya  Segala Cahaya semuanya turun ke tingkat dasar. Subjek juga </w:t>
      </w:r>
      <w:bookmarkStart w:id="204" w:name="pg6442_57481"/>
    </w:p>
    <w:p>
      <w:pPr>
        <w:pStyle w:val="BookText"/>
        <w:bidi w:val="0"/>
        <w:rPr/>
      </w:pPr>
      <w:bookmarkEnd w:id="204"/>
      <w:r>
        <w:rPr>
          <w:rFonts w:eastAsia="Times New Roman" w:cs="Times New Roman" w:ascii="Times New Roman" w:hAnsi="Times New Roman"/>
          <w:color w:val="111111"/>
          <w:sz w:val="28"/>
          <w:szCs w:val="28"/>
          <w:lang w:val="en-US"/>
        </w:rPr>
        <w:t>disinari oleh prinsip yang sama, tetapi “mekanisme" yang  membolehkan subjek disinari sangat kompleks dan melibatkan  aktivitas tertentu dalam fakultas imajinasi. Ketika suatu objek  terlihat, subjek berperan dalam dua cara: tindakan visi dan  tindakan lluminasi. Karena itu, visi lluminasi diaktualisasikan  manakala tidak ada halangan antara subjek dan objek.</w:t>
      </w:r>
    </w:p>
    <w:p>
      <w:pPr>
        <w:pStyle w:val="BookText"/>
        <w:bidi w:val="0"/>
        <w:jc w:val="both"/>
        <w:rPr/>
      </w:pPr>
      <w:r>
        <w:rPr>
          <w:rFonts w:eastAsia="Times New Roman" w:cs="Times New Roman" w:ascii="Times New Roman" w:hAnsi="Times New Roman"/>
          <w:color w:val="111111"/>
          <w:sz w:val="28"/>
          <w:szCs w:val="28"/>
          <w:lang w:val="en-US"/>
        </w:rPr>
        <w:t>Kesimpulannya, salah satu prinsip yang menjadi dasar  Filsafat Iluminasi adalah “hukum" yang mengatur penglihatan  dan visi berpijak pada kaidah yang sama. Kaidah itu punya tiga  komponen: keberadaan cahaya, tindakan visi (musyāhadah atau  ibshār), dan tindakan Iluminasi (isyrāq). Penglihatan terjadi  sebagai akibat dari pertemuan antara mata yang sehat dan  objek yang bersinar. Kapan pun cahaya ada, mata akan melihat.</w:t>
      </w:r>
    </w:p>
    <w:p>
      <w:pPr>
        <w:pStyle w:val="BookText"/>
        <w:bidi w:val="0"/>
        <w:jc w:val="both"/>
        <w:rPr/>
      </w:pPr>
      <w:r>
        <w:rPr>
          <w:rFonts w:eastAsia="Times New Roman" w:cs="Times New Roman" w:ascii="Times New Roman" w:hAnsi="Times New Roman"/>
          <w:color w:val="111111"/>
          <w:sz w:val="28"/>
          <w:szCs w:val="28"/>
          <w:lang w:val="en-US"/>
        </w:rPr>
        <w:t>Penglihatan dan Iluminasi cahaya pada objek maupun subjek  terjadi dalam masa tanpa durasi pada “saat" subjek dan objek  hadir berhadap-hadapan. Visi juga bekerja dalam cara yang sama,  tetapi "instrumen"-nya tidak lagi mata, melainkan tindakan-  tindakan kreatif imajinasi subjek yang disinari, dan cahaya yang  menyinari objek yang dilihat bukanlah cahaya jasmani; ia adalah  cahaya abstrak kosmologi Iluminasi. Visi terjadi ketika tidak  ada halangan antara subjek dan objek (halangan menunjukkan  entah “keburaman" (hājiz) sesuatu, atau ketiadaan cahaya).</w:t>
      </w:r>
    </w:p>
    <w:p>
      <w:pPr>
        <w:pStyle w:val="BookText"/>
        <w:bidi w:val="0"/>
        <w:jc w:val="both"/>
        <w:rPr/>
      </w:pPr>
      <w:r>
        <w:rPr>
          <w:rFonts w:eastAsia="Times New Roman" w:cs="Times New Roman" w:ascii="Times New Roman" w:hAnsi="Times New Roman"/>
          <w:color w:val="111111"/>
          <w:sz w:val="28"/>
          <w:szCs w:val="28"/>
          <w:lang w:val="en-US"/>
        </w:rPr>
        <w:t>Karena itu, segala sesuatu bergantung pada keberadaan cahaya,  yang dijelaskan dalam teori Iluminasi tentang emanasi, atau  perambatan cahaya.</w:t>
      </w:r>
    </w:p>
    <w:p>
      <w:pPr>
        <w:pStyle w:val="Heading3"/>
        <w:numPr>
          <w:ilvl w:val="2"/>
          <w:numId w:val="1"/>
        </w:numPr>
        <w:bidi w:val="0"/>
        <w:jc w:val="left"/>
        <w:rPr/>
      </w:pPr>
      <w:bookmarkStart w:id="205" w:name="__RefHeading___Toc924716_653776707"/>
      <w:bookmarkStart w:id="206" w:name="_Toc71"/>
      <w:bookmarkEnd w:id="205"/>
      <w:r>
        <w:rPr/>
        <w:t>4. ILUMINASI DAN EMANASI</w:t>
      </w:r>
      <w:bookmarkEnd w:id="2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Teori Suhrawardi tentang Iluminasi adalah sebentuk  khusus teori Emanasi seperti yang dikembangkan oleh kaum </w:t>
      </w:r>
    </w:p>
    <w:p>
      <w:pPr>
        <w:pStyle w:val="BookText"/>
        <w:bidi w:val="0"/>
        <w:rPr/>
      </w:pPr>
      <w:r>
        <w:rPr>
          <w:rFonts w:eastAsia="Times New Roman" w:cs="Times New Roman" w:ascii="Times New Roman" w:hAnsi="Times New Roman"/>
          <w:color w:val="111111"/>
          <w:sz w:val="28"/>
          <w:szCs w:val="28"/>
          <w:lang w:val="en-US"/>
        </w:rPr>
        <w:t>Neoplatonis. Sifat-sifat dasar teori Emanasi, yang seluruhnya  digabungkan oleh Suhrawardi dalam Filsafat Iluminasi adalah:</w:t>
      </w:r>
    </w:p>
    <w:p>
      <w:pPr>
        <w:pStyle w:val="BookText"/>
        <w:bidi w:val="0"/>
        <w:jc w:val="both"/>
        <w:rPr/>
      </w:pPr>
      <w:r>
        <w:rPr>
          <w:rFonts w:eastAsia="Times New Roman" w:cs="Times New Roman" w:ascii="Times New Roman" w:hAnsi="Times New Roman"/>
          <w:color w:val="111111"/>
          <w:sz w:val="28"/>
          <w:szCs w:val="28"/>
          <w:lang w:val="en-US"/>
        </w:rPr>
        <w:t xml:space="preserve">[1] gerak “menurun" yang mesti, dari yang “lebih tinggi" ke yang  “lebih rendah", yakni Emanasi Nous yang mesti dari teori Plotinus,  atau emanasi diri Cahaya Segala Cahaya; [2] pengeluaran  penciptaan: dunia tidak diciptakan atau dijadikan secara ex nihilo  (dari ketiadaan, peny.) entah dalam masa atau sekaligus; tidak  ada “pembuat", tidak ada demiurgus yang memberikan tatanan  pada kekacauan primordial atau memberi “bentuk-bentuk"  pada materi eksternal; dan tidak ada “kehendak" Tuhan; </w:t>
      </w:r>
      <w:r>
        <w:rPr>
          <w:rStyle w:val="FootnoteAnchor"/>
        </w:rPr>
        <w:footnoteReference w:id="426"/>
      </w:r>
      <w:r>
        <w:rPr>
          <w:rFonts w:eastAsia="Times New Roman" w:cs="Times New Roman" w:ascii="Times New Roman" w:hAnsi="Times New Roman"/>
          <w:color w:val="111111"/>
          <w:sz w:val="28"/>
          <w:szCs w:val="28"/>
          <w:lang w:val="en-US"/>
        </w:rPr>
        <w:t xml:space="preserve">[3]  keabadian dunia; </w:t>
      </w:r>
      <w:r>
        <w:rPr>
          <w:rStyle w:val="FootnoteAnchor"/>
        </w:rPr>
        <w:footnoteReference w:id="427"/>
      </w:r>
      <w:r>
        <w:rPr>
          <w:rFonts w:eastAsia="Times New Roman" w:cs="Times New Roman" w:ascii="Times New Roman" w:hAnsi="Times New Roman"/>
          <w:color w:val="111111"/>
          <w:sz w:val="28"/>
          <w:szCs w:val="28"/>
          <w:lang w:val="en-US"/>
        </w:rPr>
        <w:t>[4] Hubungan abadi antara wujud yang  lebih tinggi dengan wujud yang lebih rendah. Ada ciri kelima  dari teori Umum Emanasi yang tidak dimasukkan dalam teori  Emanasi Suhrawardi: “hukum term tengah".</w:t>
      </w:r>
      <w:r>
        <w:rPr>
          <w:rStyle w:val="FootnoteAnchor"/>
        </w:rPr>
        <w:footnoteReference w:id="428"/>
      </w:r>
      <w:r>
        <w:rPr>
          <w:rFonts w:eastAsia="Times New Roman" w:cs="Times New Roman" w:ascii="Times New Roman" w:hAnsi="Times New Roman"/>
          <w:color w:val="111111"/>
          <w:sz w:val="28"/>
          <w:szCs w:val="28"/>
          <w:lang w:val="en-US"/>
        </w:rPr>
        <w:t xml:space="preserve">Kaidah ini –  yang diperkenalkan kaum Neoplatonis kemudian </w:t>
      </w:r>
      <w:r>
        <w:rPr>
          <w:rStyle w:val="FootnoteAnchor"/>
        </w:rPr>
        <w:footnoteReference w:id="429"/>
      </w:r>
      <w:r>
        <w:rPr>
          <w:rFonts w:eastAsia="Times New Roman" w:cs="Times New Roman" w:ascii="Times New Roman" w:hAnsi="Times New Roman"/>
          <w:color w:val="111111"/>
          <w:sz w:val="28"/>
          <w:szCs w:val="28"/>
          <w:lang w:val="en-US"/>
        </w:rPr>
        <w:t>— menuntut  bahwa sesuatu yang sebagian bisa dinamai dan sebagian lagi  tidak bisa dinamai (sebagian terbatas dan sebagian lainnya tidak  terbatas) berperan sebagai penghubung antara yang terbatas  dengan yang tak terbatas.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Jelas, bahwa benih ajaran Emanasi Plotinus bisa ditemukan  dalam uraian Plato tentang Eros (dorongan pada kebaikan, seperti  diungkapkan dalam pengetahuan filosofis yang dimulai dari  dunia indra ke dunia ide-ide).</w:t>
      </w:r>
      <w:r>
        <w:rPr>
          <w:rStyle w:val="FootnoteAnchor"/>
        </w:rPr>
        <w:footnoteReference w:id="430"/>
      </w:r>
      <w:r>
        <w:rPr>
          <w:rFonts w:eastAsia="Times New Roman" w:cs="Times New Roman" w:ascii="Times New Roman" w:hAnsi="Times New Roman"/>
          <w:color w:val="111111"/>
          <w:sz w:val="28"/>
          <w:szCs w:val="28"/>
          <w:lang w:val="en-US"/>
        </w:rPr>
        <w:t xml:space="preserve">Jelas juga bahwa Plotinus  yang membuat kaidah moral “menjadi baik berarti melakukan  kebaikan”, dalam Hukum Emanasi Kosmis. </w:t>
      </w:r>
      <w:r>
        <w:rPr>
          <w:rStyle w:val="FootnoteAnchor"/>
        </w:rPr>
        <w:footnoteReference w:id="431"/>
      </w:r>
      <w:r>
        <w:rPr>
          <w:rFonts w:eastAsia="Times New Roman" w:cs="Times New Roman" w:ascii="Times New Roman" w:hAnsi="Times New Roman"/>
          <w:color w:val="111111"/>
          <w:sz w:val="28"/>
          <w:szCs w:val="28"/>
          <w:lang w:val="en-US"/>
        </w:rPr>
        <w:t xml:space="preserve">Juga jelas bahwa  teori Emanasi Suhrawardi dan ajarannya tentang Cahaya Segala  Cahaya mirip dengan teori Emanasi dan Kosmologi Plotinus  seperti yang dikemukakan dalam Enneads. </w:t>
      </w:r>
      <w:r>
        <w:rPr>
          <w:rStyle w:val="FootnoteAnchor"/>
        </w:rPr>
        <w:footnoteReference w:id="432"/>
      </w:r>
      <w:r>
        <w:rPr>
          <w:rFonts w:eastAsia="Times New Roman" w:cs="Times New Roman" w:ascii="Times New Roman" w:hAnsi="Times New Roman"/>
          <w:color w:val="111111"/>
          <w:sz w:val="28"/>
          <w:szCs w:val="28"/>
          <w:lang w:val="en-US"/>
        </w:rPr>
        <w:t xml:space="preserve">Betapa pun juga,  "model" Suhrawardi bagi proses emanasi (seperti sesaat lagi </w:t>
      </w:r>
    </w:p>
    <w:p>
      <w:pPr>
        <w:pStyle w:val="BookText"/>
        <w:bidi w:val="0"/>
        <w:rPr/>
      </w:pPr>
      <w:r>
        <w:rPr>
          <w:rFonts w:eastAsia="Times New Roman" w:cs="Times New Roman" w:ascii="Times New Roman" w:hAnsi="Times New Roman"/>
          <w:color w:val="111111"/>
          <w:sz w:val="28"/>
          <w:szCs w:val="28"/>
          <w:lang w:val="en-US"/>
        </w:rPr>
        <w:t>akan kita lihat) mirip dalam Timaeus Plato. Akan tetapi, jika  kita ingat dalam hati, metafora panas dan api dalam Enneads  (panas memancar dari api karena yang sesungguhnya adalah  api) dan merenungkan pertanyaan yang dikemukakan J. M. Rist,  “Apa Yang Satu itu, yang memancarkan Nous dan Wujud?"</w:t>
      </w:r>
      <w:r>
        <w:rPr>
          <w:rStyle w:val="FootnoteAnchor"/>
        </w:rPr>
        <w:footnoteReference w:id="433"/>
      </w:r>
      <w:r>
        <w:rPr>
          <w:rFonts w:eastAsia="Times New Roman" w:cs="Times New Roman" w:ascii="Times New Roman" w:hAnsi="Times New Roman"/>
          <w:color w:val="111111"/>
          <w:sz w:val="28"/>
          <w:szCs w:val="28"/>
          <w:lang w:val="en-US"/>
        </w:rPr>
        <w:t xml:space="preserve"> Barangkali kita bisa diantarkan pada pemahaman yang lebih  komprehensif tentang Cahaya Segala Cahaya dan aktivitasnya.</w:t>
      </w:r>
    </w:p>
    <w:p>
      <w:pPr>
        <w:pStyle w:val="BookText"/>
        <w:bidi w:val="0"/>
        <w:jc w:val="both"/>
        <w:rPr/>
      </w:pPr>
      <w:r>
        <w:rPr>
          <w:rFonts w:eastAsia="Times New Roman" w:cs="Times New Roman" w:ascii="Times New Roman" w:hAnsi="Times New Roman"/>
          <w:color w:val="111111"/>
          <w:sz w:val="28"/>
          <w:szCs w:val="28"/>
          <w:lang w:val="en-US"/>
        </w:rPr>
        <w:t>Cahaya Segala Cahaya memancarkan “cahaya" karena  hakikatnya, dan “sinar” pun menerangi seluruh kosmos;  melalui sinar-sinar inilah kesatuan kosmos dipelihara, serta  gerak dan perubahannya diatur.</w:t>
      </w:r>
      <w:r>
        <w:rPr>
          <w:rStyle w:val="FootnoteAnchor"/>
        </w:rPr>
        <w:footnoteReference w:id="434"/>
      </w:r>
      <w:r>
        <w:rPr>
          <w:rFonts w:eastAsia="Times New Roman" w:cs="Times New Roman" w:ascii="Times New Roman" w:hAnsi="Times New Roman"/>
          <w:color w:val="111111"/>
          <w:sz w:val="28"/>
          <w:szCs w:val="28"/>
          <w:lang w:val="en-US"/>
        </w:rPr>
        <w:t>Keberadaan (kesadaran diri)  dari Cahaya Segala Cahaya tidak terpisahkan dari aktivitasnya  (Iluminasi) dan keduanya terpancarkan dan akhirnya mencapai  alam dasar. Tidak seperti teori Plotinus tentang Yang Satu yang  darinya Nous muncul, dari Cahaya Segala Cahaya muncul  cahaya lain yang diperoleh, yang pada dasarnya tidak berbeda  darinya. (Seperti dalam model Plotinus, sumber tidak dikenai  emanasi). Akibatnya, Cahaya Segala Cahaya adalah apa yang  sesungguhnya, dan berperan sesuai dengan keharusan yang  dilakukan, satu dan sama. Dengan demikian, bahwa Cahaya  Segala Cahaya ada menjadi aksioma pertama yang darinya  dideduksi seluruh realitas.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teori Emanasi mana pun, hubungan antara yang  tak terbatas dengan yang terbatas harus dijelaskan. Ada  ketidakterbatasan yang tidak terbatas dalam beberapa hal,  kalaupun bukan dalam hal-hal yang tidak terbatas – suatu  ketakterbatasan tatanan yang tidak terbatas. Berikutnya,  ada ketidakterbatasan yang terbatas – dalam istilah Rist,  “ketakterbatasan yang kurang" – suatu ketakterbatasan tatanan </w:t>
      </w:r>
    </w:p>
    <w:p>
      <w:pPr>
        <w:pStyle w:val="BookText"/>
        <w:bidi w:val="0"/>
        <w:rPr/>
      </w:pPr>
      <w:r>
        <w:rPr>
          <w:rFonts w:eastAsia="Times New Roman" w:cs="Times New Roman" w:ascii="Times New Roman" w:hAnsi="Times New Roman"/>
          <w:color w:val="111111"/>
          <w:sz w:val="28"/>
          <w:szCs w:val="28"/>
          <w:lang w:val="en-US"/>
        </w:rPr>
        <w:t xml:space="preserve">yang terbatas. Nous Plotinus dan Cahaya Pertama (an-nūr  al-awwal) Suhrawardi adalah ketakterbatasan seperti itu. </w:t>
      </w:r>
      <w:r>
        <w:rPr>
          <w:rStyle w:val="FootnoteAnchor"/>
        </w:rPr>
        <w:footnoteReference w:id="435"/>
      </w:r>
      <w:r>
        <w:rPr>
          <w:rFonts w:eastAsia="Times New Roman" w:cs="Times New Roman" w:ascii="Times New Roman" w:hAnsi="Times New Roman"/>
          <w:color w:val="111111"/>
          <w:sz w:val="28"/>
          <w:szCs w:val="28"/>
          <w:lang w:val="en-US"/>
        </w:rPr>
        <w:t xml:space="preserve"> Ketakterbatasan adalah konsep yang diperkenalkan ke dalam  filsafat Yunani oleh Plotinus; diakui, “Bagi orang-orang Yunani,  Wujud Sempurna berarti batasan dan keterbatasan."</w:t>
      </w:r>
      <w:r>
        <w:rPr>
          <w:rStyle w:val="FootnoteAnchor"/>
        </w:rPr>
        <w:footnoteReference w:id="436"/>
      </w:r>
      <w:r>
        <w:rPr>
          <w:rFonts w:eastAsia="Times New Roman" w:cs="Times New Roman" w:ascii="Times New Roman" w:hAnsi="Times New Roman"/>
          <w:color w:val="111111"/>
          <w:sz w:val="28"/>
          <w:szCs w:val="28"/>
          <w:lang w:val="en-US"/>
        </w:rPr>
        <w:t xml:space="preserve">Rist, yang  menganggap Yang Satu menurut Plotinus sebagai tak terbatas,  berpendapat bahwa gagasan ketidakterbatasan ini menandai  suatu perkembangan dalam pemikiran Yunani dan mengatakan,  "Yang Satu di balik Wujud, bagi Plotinus berarti menempatkannya  di balik keterbatasan dan membuatnya secara intrinsik terbatas." </w:t>
      </w:r>
      <w:r>
        <w:rPr>
          <w:rStyle w:val="FootnoteAnchor"/>
        </w:rPr>
        <w:footnoteReference w:id="437"/>
      </w:r>
      <w:r>
        <w:rPr>
          <w:rFonts w:eastAsia="Times New Roman" w:cs="Times New Roman" w:ascii="Times New Roman" w:hAnsi="Times New Roman"/>
          <w:color w:val="111111"/>
          <w:sz w:val="28"/>
          <w:szCs w:val="28"/>
          <w:lang w:val="en-US"/>
        </w:rPr>
        <w:t xml:space="preserve"> Berkenaan dengan pandangan ketidakterbatasan Yang Satu ini  terlihat perbedaan yang sebenarnya antara Plato dan Plotinus.</w:t>
      </w:r>
    </w:p>
    <w:p>
      <w:pPr>
        <w:pStyle w:val="BookText"/>
        <w:bidi w:val="0"/>
        <w:jc w:val="both"/>
        <w:rPr/>
      </w:pPr>
      <w:r>
        <w:rPr>
          <w:rFonts w:eastAsia="Times New Roman" w:cs="Times New Roman" w:ascii="Times New Roman" w:hAnsi="Times New Roman"/>
          <w:color w:val="111111"/>
          <w:sz w:val="28"/>
          <w:szCs w:val="28"/>
          <w:lang w:val="en-US"/>
        </w:rPr>
        <w:t xml:space="preserve">Sama halnya, berkenaan dengan pandangan tambahan tentang  ketidakterbatasan ini juga tampak perbedaan antara Plotinus  dan Suhrawardi: ketidakterbatasan sebagai momen (lahzhah  atau 'ān) penglihatan Iluminasi sebagai penghubung antara  yang tak terbatas dengan yang terbatas. </w:t>
      </w:r>
      <w:r>
        <w:rPr>
          <w:rStyle w:val="FootnoteAnchor"/>
        </w:rPr>
        <w:footnoteReference w:id="438"/>
      </w:r>
      <w:r>
        <w:rPr>
          <w:rFonts w:eastAsia="Times New Roman" w:cs="Times New Roman" w:ascii="Times New Roman" w:hAnsi="Times New Roman"/>
          <w:color w:val="111111"/>
          <w:sz w:val="28"/>
          <w:szCs w:val="28"/>
          <w:lang w:val="en-US"/>
        </w:rPr>
        <w:t xml:space="preserve"> Iluminasi dan emanasi, seperti diuraikan Suhrawardi  dalam Hikmah Al-Isyrāq, mengombinasikan dua proses: proses  pertama, adalah emanasi Cahaya Pertama yang juga disebut  cahaya terdekat (an-nur al-aqrab) </w:t>
      </w:r>
      <w:r>
        <w:rPr>
          <w:rStyle w:val="FootnoteAnchor"/>
        </w:rPr>
        <w:footnoteReference w:id="439"/>
      </w:r>
      <w:r>
        <w:rPr>
          <w:rFonts w:eastAsia="Times New Roman" w:cs="Times New Roman" w:ascii="Times New Roman" w:hAnsi="Times New Roman"/>
          <w:color w:val="111111"/>
          <w:sz w:val="28"/>
          <w:szCs w:val="28"/>
          <w:lang w:val="en-US"/>
        </w:rPr>
        <w:t>dari Cahaya Segala Cahaya.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Cahaya Pertama benar-benar diperoleh (yahshul).</w:t>
      </w:r>
      <w:r>
        <w:rPr>
          <w:rStyle w:val="FootnoteAnchor"/>
        </w:rPr>
        <w:footnoteReference w:id="440"/>
      </w:r>
      <w:r>
        <w:rPr>
          <w:rFonts w:eastAsia="Times New Roman" w:cs="Times New Roman" w:ascii="Times New Roman" w:hAnsi="Times New Roman"/>
          <w:color w:val="111111"/>
          <w:sz w:val="28"/>
          <w:szCs w:val="28"/>
          <w:lang w:val="en-US"/>
        </w:rPr>
        <w:t xml:space="preserve">Perbedaan  antara cahaya ini dan Cahaya Segala Cahaya hanya ada dalam  tingkat intensitas (syaddah) mereka yang relatif yang menjadi  ukuran kesempurnaan, sementara Cahaya Segala Cahaya adalah  cahaya yang paling intens. </w:t>
      </w:r>
      <w:r>
        <w:rPr>
          <w:rStyle w:val="FootnoteAnchor"/>
        </w:rPr>
        <w:footnoteReference w:id="441"/>
      </w:r>
      <w:r>
        <w:rPr>
          <w:rFonts w:eastAsia="Times New Roman" w:cs="Times New Roman" w:ascii="Times New Roman" w:hAnsi="Times New Roman"/>
          <w:color w:val="111111"/>
          <w:sz w:val="28"/>
          <w:szCs w:val="28"/>
          <w:lang w:val="en-US"/>
        </w:rPr>
        <w:t xml:space="preserve">Tidak ada perbedaan antara dua  cahaya ini berkenaan dengan modalitas mereka (kepastian dan  kemungkinan) dan perolehan Cahaya Pertama yang sama sekali  tidak terpisah dari Cahaya Segala Cahaya; ia adalah rangkaian </w:t>
      </w:r>
    </w:p>
    <w:p>
      <w:pPr>
        <w:pStyle w:val="BookText"/>
        <w:bidi w:val="0"/>
        <w:rPr/>
      </w:pPr>
      <w:r>
        <w:rPr>
          <w:rFonts w:eastAsia="Times New Roman" w:cs="Times New Roman" w:ascii="Times New Roman" w:hAnsi="Times New Roman"/>
          <w:color w:val="111111"/>
          <w:sz w:val="28"/>
          <w:szCs w:val="28"/>
          <w:lang w:val="en-US"/>
        </w:rPr>
        <w:t xml:space="preserve">berkesinambungan dengan Cahaya Segala Cahaya. Begitu pula  halnya dengan "cahaya-cahaya abstrak"; semuanya berbeda  satu sama lain dan juga berbeda dari Cahaya Segala Cahaya  hanya dalam intensitas masing-masing. Cahaya Pertama: (a)  ada sebagai cahaya abstrak; </w:t>
      </w:r>
      <w:r>
        <w:rPr>
          <w:rStyle w:val="FootnoteAnchor"/>
        </w:rPr>
        <w:footnoteReference w:id="442"/>
      </w:r>
      <w:r>
        <w:rPr>
          <w:rFonts w:eastAsia="Times New Roman" w:cs="Times New Roman" w:ascii="Times New Roman" w:hAnsi="Times New Roman"/>
          <w:color w:val="111111"/>
          <w:sz w:val="28"/>
          <w:szCs w:val="28"/>
          <w:lang w:val="en-US"/>
        </w:rPr>
        <w:t xml:space="preserve">(b) mempunyai gerak ganda: ia  “mencintai" (yuhibbuh) dan “melihat" (yusyāhiduh) Cahaya  Segala Cahaya di atasnya, serta mengendalikan (yaqharu)  dan menyinari (asyraqah) apa yang ada di bawahnya; </w:t>
      </w:r>
      <w:r>
        <w:rPr>
          <w:rStyle w:val="FootnoteAnchor"/>
        </w:rPr>
        <w:footnoteReference w:id="443"/>
      </w:r>
      <w:r>
        <w:rPr>
          <w:rFonts w:eastAsia="Times New Roman" w:cs="Times New Roman" w:ascii="Times New Roman" w:hAnsi="Times New Roman"/>
          <w:color w:val="111111"/>
          <w:sz w:val="28"/>
          <w:szCs w:val="28"/>
          <w:lang w:val="en-US"/>
        </w:rPr>
        <w:t xml:space="preserve">(c)  mempunyai "sandaran", dan sandaran ini mengimplikasikan  sesuatu seperti “materi", yang disebut barzakh, yang mempunyai  “bentuk" (hai'ah) – dan “materi" dan "bentuk" bersama-sama  berperan sebagai wadah bagi cahaya; </w:t>
      </w:r>
      <w:r>
        <w:rPr>
          <w:rStyle w:val="FootnoteAnchor"/>
        </w:rPr>
        <w:footnoteReference w:id="444"/>
      </w:r>
      <w:r>
        <w:rPr>
          <w:rFonts w:eastAsia="Times New Roman" w:cs="Times New Roman" w:ascii="Times New Roman" w:hAnsi="Times New Roman"/>
          <w:color w:val="111111"/>
          <w:sz w:val="28"/>
          <w:szCs w:val="28"/>
          <w:lang w:val="en-US"/>
        </w:rPr>
        <w:t xml:space="preserve">dan (d) di samping  itu, Cahaya Pertama punya sesuatu semisal “kualitas" atau  sifat: ia “kaya" (ghani) dalam hubungannya dengan cahaya  yang lebih rendah dan “miskin” dalam hubungannya dengan  Cahaya Segala Cahaya. </w:t>
      </w:r>
      <w:r>
        <w:rPr>
          <w:rStyle w:val="FootnoteAnchor"/>
        </w:rPr>
        <w:footnoteReference w:id="445"/>
      </w:r>
      <w:r>
        <w:rPr>
          <w:rFonts w:eastAsia="Times New Roman" w:cs="Times New Roman" w:ascii="Times New Roman" w:hAnsi="Times New Roman"/>
          <w:color w:val="111111"/>
          <w:sz w:val="28"/>
          <w:szCs w:val="28"/>
          <w:lang w:val="en-US"/>
        </w:rPr>
        <w:t>"Kekayaan" dan "kemiskinan" cahaya  bisa disamakan dengan tingkat kesempurnaan dan tingkat  intensitasnya, dan kelihatannya menyejajarkan perbedaan antara  kesamaan dan perbedaan yang dilakukan dalam metodologi Plato.</w:t>
      </w:r>
    </w:p>
    <w:p>
      <w:pPr>
        <w:pStyle w:val="BookText"/>
        <w:bidi w:val="0"/>
        <w:jc w:val="both"/>
        <w:rPr/>
      </w:pPr>
      <w:r>
        <w:rPr>
          <w:rFonts w:eastAsia="Times New Roman" w:cs="Times New Roman" w:ascii="Times New Roman" w:hAnsi="Times New Roman"/>
          <w:color w:val="111111"/>
          <w:sz w:val="28"/>
          <w:szCs w:val="28"/>
          <w:lang w:val="en-US"/>
        </w:rPr>
        <w:t xml:space="preserve">Skema ini berlaku untuk semua cahaya. Dengan melihat Cahaya  Segala Cahaya dan dimotivasi oleh cinta dan kesamaan, “cahaya-  cahaya abstrak” lainnya diperoleh dari Cahaya Pertama. </w:t>
      </w:r>
      <w:r>
        <w:rPr>
          <w:rStyle w:val="FootnoteAnchor"/>
        </w:rPr>
        <w:footnoteReference w:id="446"/>
      </w:r>
      <w:r>
        <w:rPr>
          <w:rFonts w:eastAsia="Times New Roman" w:cs="Times New Roman" w:ascii="Times New Roman" w:hAnsi="Times New Roman"/>
          <w:color w:val="111111"/>
          <w:sz w:val="28"/>
          <w:szCs w:val="28"/>
          <w:lang w:val="en-US"/>
        </w:rPr>
        <w:t xml:space="preserve"> Ketika Cahaya Pertama “melihat" kemiskinannya, "materi” dan  bentuknya pun bisa diperoleh. Ketika proses terus berlangsung,  lingkungan dan alam dasar pun mengada. </w:t>
      </w:r>
      <w:r>
        <w:rPr>
          <w:rStyle w:val="FootnoteAnchor"/>
        </w:rPr>
        <w:footnoteReference w:id="447"/>
      </w:r>
      <w:r>
        <w:rPr>
          <w:rFonts w:eastAsia="Times New Roman" w:cs="Times New Roman" w:ascii="Times New Roman" w:hAnsi="Times New Roman"/>
          <w:color w:val="111111"/>
          <w:sz w:val="28"/>
          <w:szCs w:val="28"/>
          <w:lang w:val="en-US"/>
        </w:rPr>
        <w:t>Cahaya-cahaya ini  begitu diperoleh, adalah cahaya-cahaya abstrak penting dan  beraneka ragam.</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Proses kedua, tidak terpisah dari proses pertama, melainkan  hasil dari aktivitas cahaya-cahaya abstrak. Proses ini adalah proses </w:t>
      </w:r>
    </w:p>
    <w:p>
      <w:pPr>
        <w:pStyle w:val="BookText"/>
        <w:bidi w:val="0"/>
        <w:rPr/>
      </w:pPr>
      <w:r>
        <w:rPr>
          <w:rFonts w:eastAsia="Times New Roman" w:cs="Times New Roman" w:ascii="Times New Roman" w:hAnsi="Times New Roman"/>
          <w:color w:val="111111"/>
          <w:sz w:val="28"/>
          <w:szCs w:val="28"/>
          <w:lang w:val="en-US"/>
        </w:rPr>
        <w:t xml:space="preserve">ganda Iluminasi dan visi atau penglihatan. Ketika Cahaya Pertama  diperoleh, ia punya visi langsung tentang Cahaya Segala Cahaya  tanpa durasi “momen", di mana Cahaya Segala Cahaya seketika  itu juga menyinari, dan dengan demikian, “menyalakan" materi  dan bentuk yang berkaitan dengan Cahaya Pertama. </w:t>
      </w:r>
      <w:r>
        <w:rPr>
          <w:rStyle w:val="FootnoteAnchor"/>
        </w:rPr>
        <w:footnoteReference w:id="448"/>
      </w:r>
      <w:r>
        <w:rPr>
          <w:rFonts w:eastAsia="Times New Roman" w:cs="Times New Roman" w:ascii="Times New Roman" w:hAnsi="Times New Roman"/>
          <w:color w:val="111111"/>
          <w:sz w:val="28"/>
          <w:szCs w:val="28"/>
          <w:lang w:val="en-US"/>
        </w:rPr>
        <w:t xml:space="preserve">Cahaya  yang bersemayam dalam cahaya abstrak pertama, adalah “cahaya  yang menyinari” (an-nūr ash-shānih) dan paling reseptif di antara  semua cahaya. </w:t>
      </w:r>
      <w:r>
        <w:rPr>
          <w:rStyle w:val="FootnoteAnchor"/>
        </w:rPr>
        <w:footnoteReference w:id="449"/>
      </w:r>
      <w:r>
        <w:rPr>
          <w:rFonts w:eastAsia="Times New Roman" w:cs="Times New Roman" w:ascii="Times New Roman" w:hAnsi="Times New Roman"/>
          <w:color w:val="111111"/>
          <w:sz w:val="28"/>
          <w:szCs w:val="28"/>
          <w:lang w:val="en-US"/>
        </w:rPr>
        <w:t>Proses ini terus berlanjut, dan cahaya abstrak kedua  menerima dua cahaya: yang satu berasal dari penyinaran Cahaya  Segala Cahaya langsung, dan yang satunya lagi dari Cahaya Pertama.</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Cahaya Pertama telah menerimanya dari Cahaya Segala Cahaya dan  sekarang berjalan langsung karena ia bersifat tembus cahaya. </w:t>
      </w:r>
      <w:r>
        <w:rPr>
          <w:rStyle w:val="FootnoteAnchor"/>
        </w:rPr>
        <w:footnoteReference w:id="450"/>
      </w:r>
      <w:r>
        <w:rPr>
          <w:rFonts w:eastAsia="Times New Roman" w:cs="Times New Roman" w:ascii="Times New Roman" w:hAnsi="Times New Roman"/>
          <w:color w:val="111111"/>
          <w:sz w:val="28"/>
          <w:szCs w:val="28"/>
          <w:lang w:val="en-US"/>
        </w:rPr>
        <w:t xml:space="preserve"> Sama halnya, cahaya abstrak ketiga menerima empat cahaya: satu  langsung dari Cahaya Segala Cahaya, satu lagi dari Cahaya Pertama,  dan yang lainnya dari cahaya kedua. Proses ini terus berlanjut, dan  cahaya abstrak keempat menerima delapan cahaya; cahaya abstrak  kelima menerima 16 cahaya dan seterusnya. Hasilnya, jumlah  cahaya-cahaya (dan dengannya aktivitas, intensitas, dan esensi  Cahaya Segala Cahaya, yakni kesadaran diri, dilambangkan dengan  cahaya abstrak) meningkat sesuai dengan urutan 2n-1, dengan Cahaya  Terdekat sebagai anggota pertama urutan ini. </w:t>
      </w:r>
      <w:r>
        <w:rPr>
          <w:rStyle w:val="FootnoteAnchor"/>
        </w:rPr>
        <w:footnoteReference w:id="451"/>
      </w:r>
      <w:r>
        <w:rPr>
          <w:rFonts w:eastAsia="Times New Roman" w:cs="Times New Roman" w:ascii="Times New Roman" w:hAnsi="Times New Roman"/>
          <w:color w:val="111111"/>
          <w:sz w:val="28"/>
          <w:szCs w:val="28"/>
          <w:lang w:val="en-US"/>
        </w:rPr>
        <w:t>Mengenai cahaya-  cahaya majemuk ini, yang esensi setiap cahayanya adalah kesadaran  diri, sebagian darinya adalah “cahaya-cahaya pengendali” (al-  anwār al-qāhirah) dan sebagian lainnya lagi adalah “cahaya-cahaya  pengatur" (al-anwār al-mudabbirah).</w:t>
      </w:r>
      <w:r>
        <w:rPr>
          <w:rStyle w:val="FootnoteAnchor"/>
        </w:rPr>
        <w:footnoteReference w:id="452"/>
      </w:r>
      <w:r>
        <w:rPr>
          <w:rFonts w:eastAsia="Times New Roman" w:cs="Times New Roman" w:ascii="Times New Roman" w:hAnsi="Times New Roman"/>
          <w:color w:val="111111"/>
          <w:sz w:val="28"/>
          <w:szCs w:val="28"/>
          <w:lang w:val="en-US"/>
        </w:rPr>
        <w:t xml:space="preserve">Cahaya-cahaya pengendali  berupa, entah cahaya-cahaya yang lembut, atau “cahaya-cahaya  pengendali yang tinggi" (al-anwār al-qāhirah al-aʻlūn), atau cahaya-  cahaya “para pemilik formal berhala" (anwār qāhirah shūriyyah  arbāb al-ashnām), yakni “cahaya-cahaya arketip". </w:t>
      </w:r>
      <w:r>
        <w:rPr>
          <w:rStyle w:val="FootnoteAnchor"/>
        </w:rPr>
        <w:footnoteReference w:id="453"/>
      </w:r>
      <w:bookmarkStart w:id="207" w:name="pg6442_57487"/>
    </w:p>
    <w:p>
      <w:pPr>
        <w:pStyle w:val="Heading3"/>
        <w:numPr>
          <w:ilvl w:val="2"/>
          <w:numId w:val="1"/>
        </w:numPr>
        <w:bidi w:val="0"/>
        <w:jc w:val="left"/>
        <w:rPr/>
      </w:pPr>
      <w:bookmarkStart w:id="208" w:name="__RefHeading___Toc924718_653776707"/>
      <w:bookmarkStart w:id="209" w:name="_Toc72"/>
      <w:bookmarkEnd w:id="207"/>
      <w:bookmarkEnd w:id="208"/>
      <w:r>
        <w:rPr/>
        <w:t>5. WUJUD DAN CAHAYA</w:t>
      </w:r>
      <w:bookmarkEnd w:id="209"/>
    </w:p>
    <w:p>
      <w:pPr>
        <w:pStyle w:val="Heading4"/>
        <w:numPr>
          <w:ilvl w:val="3"/>
          <w:numId w:val="1"/>
        </w:numPr>
        <w:bidi w:val="0"/>
        <w:jc w:val="left"/>
        <w:rPr/>
      </w:pPr>
      <w:bookmarkStart w:id="210" w:name="__RefHeading___Toc924720_653776707"/>
      <w:bookmarkStart w:id="211" w:name="_Toc73"/>
      <w:bookmarkEnd w:id="210"/>
      <w:r>
        <w:rPr/>
        <w:t>5.1. Wujud dan Berbagai Determinan Utamanya</w:t>
      </w:r>
      <w:bookmarkEnd w:id="211"/>
    </w:p>
    <w:p>
      <w:pPr>
        <w:pStyle w:val="BookText"/>
        <w:bidi w:val="0"/>
        <w:jc w:val="both"/>
        <w:rPr/>
      </w:pPr>
      <w:r>
        <w:rPr>
          <w:rFonts w:eastAsia="Times New Roman" w:cs="Times New Roman" w:ascii="Times New Roman" w:hAnsi="Times New Roman"/>
          <w:color w:val="111111"/>
          <w:sz w:val="28"/>
          <w:szCs w:val="28"/>
          <w:lang w:val="en-US"/>
        </w:rPr>
        <w:t xml:space="preserve">Setelah mengemukakan teori Pengetahuan Suhrawardi dan  menunjukkan hubungannya dengan kosmologi, sekarang saya  akan mengulas atau memberi komentar atas teorinya tentang  wujud. Ontologi Iluminasi telah menjadi bahan kontroversi,  dan telah diserang beberapa filsuf, terutama Shadruddin Asy-  Syirazi, yang dikenal dengan Mulla Sadra. </w:t>
      </w:r>
      <w:r>
        <w:rPr>
          <w:rStyle w:val="FootnoteAnchor"/>
        </w:rPr>
        <w:footnoteReference w:id="454"/>
      </w:r>
      <w:r>
        <w:rPr>
          <w:rFonts w:eastAsia="Times New Roman" w:cs="Times New Roman" w:ascii="Times New Roman" w:hAnsi="Times New Roman"/>
          <w:color w:val="111111"/>
          <w:sz w:val="28"/>
          <w:szCs w:val="28"/>
          <w:lang w:val="en-US"/>
        </w:rPr>
        <w:t>Kebanyakan filsuf  menyerang bagian teori Suhrawardi yang disebuat “kesejatian  esensi" (ashālah al-māhiyyah). Ini adalah suatu posisi ontologis  yang dicirikan oleh Mulla Sadra sebagai posisi yang memandang  "esensi" atau "kuiditas" (māhiyyah) dari sesuatu sebagai  wujud yang hakiki, dan “eksistensi" (wujud)-nya sebagai  konsep turunan dan abstrak yang tidak bisa ada secara mandiri  atau terlepas dari pikiran dan jiwa individu. Berbeda dengan  pandangan ini, Mulla Sadra mengemukakan pandangannya  tentang wujud sebagai berikut:</w:t>
      </w:r>
    </w:p>
    <w:p>
      <w:pPr>
        <w:pStyle w:val="BookText"/>
        <w:bidi w:val="0"/>
        <w:jc w:val="both"/>
        <w:rPr/>
      </w:pPr>
      <w:r>
        <w:rPr>
          <w:rFonts w:eastAsia="Times New Roman" w:cs="Times New Roman" w:ascii="Times New Roman" w:hAnsi="Times New Roman"/>
          <w:color w:val="111111"/>
          <w:sz w:val="28"/>
          <w:szCs w:val="28"/>
          <w:lang w:val="en-US"/>
        </w:rPr>
        <w:t>"Ketika kita menyelidiki dunia yang bersifat mungkin  ini, tegas Mulla Sadra, maka kita melihat urutan entitas  wujud seperti batu, pohon, kuda, manusia, dan sebagainya.</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Kita melihat bahwa entitas-entitas ini berbagi sesuatu,  yakni "eksistensi" mereka. Ketika dikatakan “X ada" atau  "X" adalah (X mawjūd), lalu kita bertanya, apakah wujud  X sama dengan “apa" X itu, sebagaimana ia dibatasi di  luar sana? Atau apakah wujud X adalah “tambahan" bagi  “apa" X sebagaimana dibatasi di luar sana? Teori Wujud  yang dicirikan sebagai salah satu sifat yang mendukung  "kesejatian eksistensi" (ashālah al-wujūd) menganggap  eksistensi sebagai wujud yang sebenarnya, yakni wujud ini  bukan sesuatu yang sepenuhnya ada dalam pikiran. Teori  ini berpendapat bahwa X di sini punya suatu wujud, tetapi  apa “yang membatasi" eksistensi X adalah esensinya."</w:t>
      </w:r>
      <w:r>
        <w:rPr>
          <w:rStyle w:val="FootnoteAnchor"/>
        </w:rPr>
        <w:footnoteReference w:id="455"/>
      </w:r>
    </w:p>
    <w:p>
      <w:pPr>
        <w:pStyle w:val="BookText"/>
        <w:bidi w:val="0"/>
        <w:rPr/>
      </w:pPr>
      <w:r>
        <w:rPr>
          <w:rFonts w:eastAsia="Times New Roman" w:cs="Times New Roman" w:ascii="Times New Roman" w:hAnsi="Times New Roman"/>
          <w:color w:val="111111"/>
          <w:sz w:val="28"/>
          <w:szCs w:val="28"/>
          <w:lang w:val="en-US"/>
        </w:rPr>
        <w:t>Ketika kita menyelidiki pandangan wujud Iluminasi,  terlebih dahulu kita bisa mengambil kesimpulan bahwa posisi  Suhrawardi tampaknya bertentangan dengan teori ontologi  Mulla Sadra. Memang benar, Suhrawardi berpendapat bahwa  “eksistensi” (wujud) disebutkan secara univok (bi ma'nā wāhid),  terdiri dari beberapa hal (yakni, X, Y, Z ada), dan eksistensinya  semacam itu hanya bisa disandarkan pada beberapa hal yang  berbeda bila eksistensi itu sepenuhnya berupa konsep mental.</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Suhrawardi menganggap bahwa karena X, Y, dan Z dibatasi di  luar pikiran, “keapaan" mereka (dzawāt) itu sebenarnya yang  paling hakiki, dan itu yang menjadi dasar konsep turunan dan  abstrak. Dengan demikian, semua wujud yang punya elemen  umum, yakni "eksistensi" berbeda dengan masing-masing  elemen esensial (dzātī). Elemen yang membedakan ini yang  kita sebut ketika menjawab pertanyaan, “Apakah entitas wujud  itu?" (mā huwa asy-syai'). Jawabannya, “Dengan apa sesuatu  sebagaimana adanya dalam dirinya." Melalui cara pembedaan ini,  kita bisa memahami bentuk suatu wujud sebagai batu, yang lain  sebagai pohon, yang lain sebagai kuda, dan bahkan yang lain  sebagai manusia. Sudah lazim dan lumrah menyebut elemen  ini sebagai “esensi” atau “kuiditas" (atau “keapaan” atau “apa")  dari sesuatu itu.</w:t>
      </w:r>
      <w:r>
        <w:rPr>
          <w:rStyle w:val="FootnoteAnchor"/>
        </w:rPr>
        <w:footnoteReference w:id="456"/>
      </w:r>
      <w:r>
        <w:rPr>
          <w:rFonts w:eastAsia="Times New Roman" w:cs="Times New Roman" w:ascii="Times New Roman" w:hAnsi="Times New Roman"/>
          <w:color w:val="111111"/>
          <w:sz w:val="28"/>
          <w:szCs w:val="28"/>
          <w:lang w:val="en-US"/>
        </w:rPr>
        <w:t xml:space="preserve"> "Eksistensi" (wujūd) dan "kesesuatuan" (syai'iyyah),  sejauh keduanya berupa konsep mental (mafhūm, jamaknya  mafāhīm), tidak punya genus dan diferensia, ia tidak bisa  didefinisikan atau digambarkan. Untuk itu, Suhrawardi memulai  metafisika dalam At-Talwihāt.</w:t>
      </w:r>
      <w:r>
        <w:rPr>
          <w:rStyle w:val="FootnoteAnchor"/>
        </w:rPr>
        <w:footnoteReference w:id="457"/>
      </w:r>
      <w:r>
        <w:rPr>
          <w:rFonts w:eastAsia="Times New Roman" w:cs="Times New Roman" w:ascii="Times New Roman" w:hAnsi="Times New Roman"/>
          <w:color w:val="111111"/>
          <w:sz w:val="28"/>
          <w:szCs w:val="28"/>
          <w:lang w:val="en-US"/>
        </w:rPr>
        <w:t>Ajaran pertama teori wujud,  seperti diuraikan Suhrawardi sesuai betul dengan ajaran dasar  metafisika umum (metaphysica generalis),</w:t>
      </w:r>
      <w:r>
        <w:rPr>
          <w:rStyle w:val="FootnoteAnchor"/>
        </w:rPr>
        <w:footnoteReference w:id="458"/>
      </w:r>
      <w:r>
        <w:rPr>
          <w:rFonts w:eastAsia="Times New Roman" w:cs="Times New Roman" w:ascii="Times New Roman" w:hAnsi="Times New Roman"/>
          <w:color w:val="111111"/>
          <w:sz w:val="28"/>
          <w:szCs w:val="28"/>
          <w:lang w:val="en-US"/>
        </w:rPr>
        <w:t xml:space="preserve">dan demikian pula </w:t>
      </w:r>
      <w:bookmarkStart w:id="212" w:name="pg6442_57489"/>
    </w:p>
    <w:p>
      <w:pPr>
        <w:pStyle w:val="BookText"/>
        <w:bidi w:val="0"/>
        <w:rPr/>
      </w:pPr>
      <w:bookmarkEnd w:id="212"/>
      <w:r>
        <w:rPr>
          <w:rFonts w:eastAsia="Times New Roman" w:cs="Times New Roman" w:ascii="Times New Roman" w:hAnsi="Times New Roman"/>
          <w:color w:val="111111"/>
          <w:sz w:val="28"/>
          <w:szCs w:val="28"/>
          <w:lang w:val="en-US"/>
        </w:rPr>
        <w:t>posisi Suhrawardi, bahwa gagasan tentang wujud ini pun terbukti  dengan sendirinya (badīhi) dan fitri.</w:t>
      </w:r>
      <w:r>
        <w:rPr>
          <w:rStyle w:val="FootnoteAnchor"/>
        </w:rPr>
        <w:footnoteReference w:id="459"/>
      </w:r>
      <w:r>
        <w:rPr>
          <w:rFonts w:eastAsia="Times New Roman" w:cs="Times New Roman" w:ascii="Times New Roman" w:hAnsi="Times New Roman"/>
          <w:color w:val="111111"/>
          <w:sz w:val="28"/>
          <w:szCs w:val="28"/>
          <w:lang w:val="en-US"/>
        </w:rPr>
        <w:t>Akan tetapi, sebagai  langkah pertama untuk mengemukakan pandangan tentang  wujud yang berbeda dari pandangan Peripatetik Tradisional,  Suhrawardi menetapkan bahwa “keapaan" dinisbatkan pada  sesuatu dalam bentuk yang bukan “asli” atau “dahulu" (tuhmal  'alā al-asyyā' ghair muta'ashshilah), dan bahkan tidak ada  “sesuatu" pun dalam pengertian yang mutlak (lā syai' muthlaq).</w:t>
      </w:r>
    </w:p>
    <w:p>
      <w:pPr>
        <w:pStyle w:val="BookText"/>
        <w:bidi w:val="0"/>
        <w:jc w:val="both"/>
        <w:rPr/>
      </w:pPr>
      <w:r>
        <w:rPr>
          <w:rFonts w:eastAsia="Times New Roman" w:cs="Times New Roman" w:ascii="Times New Roman" w:hAnsi="Times New Roman"/>
          <w:color w:val="111111"/>
          <w:sz w:val="28"/>
          <w:szCs w:val="28"/>
          <w:lang w:val="en-US"/>
        </w:rPr>
        <w:t>Karena itu, sifat sesuatu adalah "turunan" atau "bergantung  pada" (thabi'ah) esensi yang ditentukan (māhiyyah). Begitu juga  dalam tindakan berpikir (taʻaqqul), ketika jiwa mengabstraksikan  dan memilah sifat-sifat umum sebagai konsep-konsep di luar  sesuatu yang sebenarnya.</w:t>
      </w:r>
    </w:p>
    <w:p>
      <w:pPr>
        <w:pStyle w:val="Heading4"/>
        <w:numPr>
          <w:ilvl w:val="3"/>
          <w:numId w:val="1"/>
        </w:numPr>
        <w:bidi w:val="0"/>
        <w:jc w:val="left"/>
        <w:rPr/>
      </w:pPr>
      <w:bookmarkStart w:id="213" w:name="__RefHeading___Toc924722_653776707"/>
      <w:bookmarkStart w:id="214" w:name="_Toc74"/>
      <w:bookmarkEnd w:id="213"/>
      <w:r>
        <w:rPr/>
        <w:t>5.2. Wujud dan Kosmologi</w:t>
      </w:r>
      <w:bookmarkEnd w:id="214"/>
    </w:p>
    <w:p>
      <w:pPr>
        <w:pStyle w:val="BookText"/>
        <w:bidi w:val="0"/>
        <w:jc w:val="both"/>
        <w:rPr/>
      </w:pPr>
      <w:r>
        <w:rPr>
          <w:rFonts w:eastAsia="Times New Roman" w:cs="Times New Roman" w:ascii="Times New Roman" w:hAnsi="Times New Roman"/>
          <w:color w:val="111111"/>
          <w:sz w:val="28"/>
          <w:szCs w:val="28"/>
          <w:lang w:val="en-US"/>
        </w:rPr>
        <w:t>Pada bagian pertama Hikmah Al-Isyrāg, Suhrawardi  “membuktikan" bahwa eksistensi dalam pengertian univok  (sebagai wujud hononim, yakni wujud predikatif) adalah konsep  mental, yang untuk eksistensinya, bergantung pada esensi  individual dari sesuatu. Wujud univok semacam itu dinisbatkan  pada beberapa hal, yakni "wajib ada", "substansi ada", "aksiden  ada". Akan tetapi, "perbedaan" antara wajib, substansi,  dan aksiden tidak dapat dibatasi hanya dalam hubungannya  dengan predikat umumnya saja. Hanya esensi dari sesuatu  sebagaimana adanya saja yang bisa berperan membedakan hal-  hal di luar sana. Di sisi lain, Suhrawardi memperlakukan wujud  dalam pengertian univok, yakni wujud yang berkaitan dengan  perbedaan-perbedaan yang nampak dalam hal-hal di luar sana.</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Suhrawardi menyebut wujud ini "cahaya", dan “ilmu </w:t>
      </w:r>
    </w:p>
    <w:p>
      <w:pPr>
        <w:pStyle w:val="BookText"/>
        <w:bidi w:val="0"/>
        <w:rPr/>
      </w:pPr>
      <w:r>
        <w:rPr>
          <w:rFonts w:eastAsia="Times New Roman" w:cs="Times New Roman" w:ascii="Times New Roman" w:hAnsi="Times New Roman"/>
          <w:color w:val="111111"/>
          <w:sz w:val="28"/>
          <w:szCs w:val="28"/>
          <w:lang w:val="en-US"/>
        </w:rPr>
        <w:t xml:space="preserve">cahaya-cahaya” (“ilm al-anwār)-nya </w:t>
      </w:r>
      <w:r>
        <w:rPr>
          <w:rStyle w:val="FootnoteAnchor"/>
        </w:rPr>
        <w:footnoteReference w:id="460"/>
      </w:r>
      <w:r>
        <w:rPr>
          <w:rFonts w:eastAsia="Times New Roman" w:cs="Times New Roman" w:ascii="Times New Roman" w:hAnsi="Times New Roman"/>
          <w:color w:val="111111"/>
          <w:sz w:val="28"/>
          <w:szCs w:val="28"/>
          <w:lang w:val="en-US"/>
        </w:rPr>
        <w:t>menelaah esensi (dzāt)  sesuatu di luar sana, serta tingkatan-tingkatannya dalam hal  intensitas dan prioritas. Karena “cahaya" yang paling intens dan  terdahulu bagi Suhrawardi adalah cahaya yang berhubungan  dengan kesadaran diri murni, ia adalah tingkatan kesadaran diri  yang membatasi urutan dan tatanan wujud dalam pengertian  univok.</w:t>
      </w:r>
    </w:p>
    <w:p>
      <w:pPr>
        <w:pStyle w:val="BookText"/>
        <w:bidi w:val="0"/>
        <w:jc w:val="both"/>
        <w:rPr/>
      </w:pPr>
      <w:r>
        <w:rPr>
          <w:rFonts w:eastAsia="Times New Roman" w:cs="Times New Roman" w:ascii="Times New Roman" w:hAnsi="Times New Roman"/>
          <w:color w:val="111111"/>
          <w:sz w:val="28"/>
          <w:szCs w:val="28"/>
          <w:lang w:val="en-US"/>
        </w:rPr>
        <w:t>Perbedaan terpenting antara ontologi Ibn Sina dan teori  wujud Suhrawardi, seperti dikemukakan dalam Hikmah Al-  Isyrāq, berkenaan dengan pembagian utama wujud. Bagi Ibn  Sina, ketiga bentuk: mungkin, tidak mungkin, dan wajib, seperti  terdapat dalam wujud di luar sana, adalah "statis", sementara  bentuk-bentuk itu dalam teori Iluminasi, “kekayaan" (ghinā’) dan  “kemiskinan" (faqr), adalah mengejawantah dalam wujud-wujud  di luar sana sebagai sebuah gradasi cahaya yang terus menerus,  dan karenanya terdiri dari rangkaian tangga yang berurutan.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Batas yang lebih tinggi (wujud yang kaya secara mutlak [al-  ghani al-muthlaq]) berhubungan dengan Wujud Wajib dalam  ontologi Ibn Sina, dan batas yang paling rendah (wujud yang  benar-benar miskin [al-faqir al-muthlaq]) berhubungan dengan  nonwujud (ma'dūm) dalam ontologi Ibn Sina. Batas-batas lebih  tinggi dan lebih rendah sama-sama adalah anggota realitas yang  berkesinambungan. </w:t>
      </w:r>
      <w:r>
        <w:rPr>
          <w:rStyle w:val="FootnoteAnchor"/>
        </w:rPr>
        <w:footnoteReference w:id="461"/>
      </w:r>
      <w:r>
        <w:rPr>
          <w:rFonts w:eastAsia="Times New Roman" w:cs="Times New Roman" w:ascii="Times New Roman" w:hAnsi="Times New Roman"/>
          <w:color w:val="111111"/>
          <w:sz w:val="28"/>
          <w:szCs w:val="28"/>
          <w:lang w:val="en-US"/>
        </w:rPr>
        <w:t xml:space="preserve"> Dengan demikian, sesuatu (syai'), yang dalam ontologi  Ibn Sina: wajib, mungkin (mumkin), atau mustahil (mumtani“),  dalam ontologi Iluminasi adalah cahaya dalam dirinya (nūr fi  haqiqah nafsihi) atau tidak dalam dirinya, yakni “kaya" dan  "miskin". </w:t>
      </w:r>
      <w:r>
        <w:rPr>
          <w:rStyle w:val="FootnoteAnchor"/>
        </w:rPr>
        <w:footnoteReference w:id="462"/>
      </w:r>
      <w:r>
        <w:rPr>
          <w:rFonts w:eastAsia="Times New Roman" w:cs="Times New Roman" w:ascii="Times New Roman" w:hAnsi="Times New Roman"/>
          <w:color w:val="111111"/>
          <w:sz w:val="28"/>
          <w:szCs w:val="28"/>
          <w:lang w:val="en-US"/>
        </w:rPr>
        <w:t xml:space="preserve">Cahaya dalam dirinya dibagi ke dalam: [1] cahaya  yang merupakan “bentuk” atau “ keadaan" (hai'ah) sesuatu </w:t>
      </w:r>
    </w:p>
    <w:p>
      <w:pPr>
        <w:pStyle w:val="BookText"/>
        <w:bidi w:val="0"/>
        <w:rPr/>
      </w:pPr>
      <w:r>
        <w:rPr>
          <w:rFonts w:eastAsia="Times New Roman" w:cs="Times New Roman" w:ascii="Times New Roman" w:hAnsi="Times New Roman"/>
          <w:color w:val="111111"/>
          <w:sz w:val="28"/>
          <w:szCs w:val="28"/>
          <w:lang w:val="en-US"/>
        </w:rPr>
        <w:t xml:space="preserve">yang lain, dan ini disebut cahaya aksidental (an-nür al-'āridh),  yakni cahaya matahari dan api; dan [2] cahaya murni (an-nūr  al-mahdh), yakni cahaya yang menghidupi diri, seperti Cahaya  Segala Cahaya, semua cahaya abstrak lainnya, dan segala sesuatu  yang sadar diri. Sementara itu, yang bukan cahaya dalam dirinya  dibagi menjadi tiga jenis: [1] sesuatu yang tidak memerlukan  tempat (mā huwa mustaghni ‘an mahall) disebut “substansi  gelap" (jauhar al-ghāsiq); [2] yang merupakan keadaan atau  bentuk bagi sesuatu yang lain disebut “bentuk gelap" (hai'ah  azh-zhulmāniyyah); [3] yang merupakan “perantara” (barzakh),  yakni badan. Badan ada tiga bentuk: [1] badan yang berada  dalam keadaan gelap ketika cahaya menghilang darinya; [2]  badan yang tetap gelap, tetapi memenuhi diri ketika cahaya  menghilang darinya; dan [3] badan yang tak pernah terpisah  dari cahaya. </w:t>
      </w:r>
      <w:r>
        <w:rPr>
          <w:rStyle w:val="FootnoteAnchor"/>
        </w:rPr>
        <w:footnoteReference w:id="463"/>
      </w:r>
      <w:r>
        <w:rPr>
          <w:rFonts w:eastAsia="Times New Roman" w:cs="Times New Roman" w:ascii="Times New Roman" w:hAnsi="Times New Roman"/>
          <w:color w:val="111111"/>
          <w:sz w:val="28"/>
          <w:szCs w:val="28"/>
          <w:lang w:val="en-US"/>
        </w:rPr>
        <w:t>Inilah ontologi yang menganggap wujud sesuatu  yang sebenarnya di luar sana sebagai keseluruhan rangkaian  kesatuan, yang terdiri dari apa yang dapat kita sebut kesadaran  diri dan “monad-monad” mandiri, yang tak terpisahkan dari  keseluruhan, dan dikenal dalam diri mereka melalui diri mereka.</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Monad-monad ini adalah entitas-entitas cahaya yang menyadari  “keakuan" (anā'iyyah)-nya dan secara kolektif merupakan  keseluruhan kosmos yang juga menyadari dirinya. </w:t>
      </w:r>
      <w:r>
        <w:rPr>
          <w:rStyle w:val="FootnoteAnchor"/>
        </w:rPr>
        <w:footnoteReference w:id="464"/>
      </w:r>
      <w:r>
        <w:rPr>
          <w:rFonts w:eastAsia="Times New Roman" w:cs="Times New Roman" w:ascii="Times New Roman" w:hAnsi="Times New Roman"/>
          <w:color w:val="111111"/>
          <w:sz w:val="28"/>
          <w:szCs w:val="28"/>
          <w:lang w:val="en-US"/>
        </w:rPr>
        <w:t xml:space="preserve"> Uraian Mulla Sadra tentang pandangan Suhrawardi ihwal  wujud adalah dalam teori Iluminasi, wujud pertama adalah esensi  (māhiyyah), sementara “eksistensi" (wujūd) adalah turunan  dan konsep mental. Mulla Sadra mendukung pandangan bahwa  wujud pertama, adalah “eksistensi," sementara “esensi" adalah  turunan dan konsep mental. Uraian saya atas teori pengetahuan  Suhrawardi dan hubungannya dengan kosmologi Iluminasi dalam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bab ini, memunculkan pertanyaan ihwal apakah istilah “esensi"  dan “eksistensi" merupakan wujud yang digunakan dalam  pengertian yang sama oleh Mulla Sadra manakala diterapkan  pada pandangan Suhrawardi dan pada pandangannya?  Apa yang dianggap Suhrawardi sebagai turunan dan  konsep mental adalah “eksistensi” dalam pengertian univok (bi  maʼnā wāhid), yakni seperti dinisbatkan pada segala sesuatu  dalam pengertian yang sama secara identik. Ia mensyaratkan  istilah “eksistensi" (wujūd) untuk pengertian univok tentang  wujud dan untuk pengertian univok semata. Untuk sesuatu  yang dipahami Mulla Sadra sebagai wujud pertama, yakni wujud  dalam “pengertian equivok" (bi al-tasykik), yang disebut Mulla  Sadra “eksistensi", Suhrawardi menggunakan istilah "cahaya"  dan menghindari istilah “eksistensi". Akan tetapi, “cahaya" ini  bukan "esensi” sebagaimana dipahami Mulla Sadra; ia bukan  turunan dan konsep mental bagi Suhrawardi, melainkan wujud  segala sesuatu di luar sana, dan disifati dengan intensitas,  prioritas, kemuliaan, serta kesempurnaan. </w:t>
      </w:r>
      <w:bookmarkStart w:id="215" w:name="pg6442_57493"/>
    </w:p>
    <w:p>
      <w:pPr>
        <w:pStyle w:val="Heading3"/>
        <w:numPr>
          <w:ilvl w:val="2"/>
          <w:numId w:val="1"/>
        </w:numPr>
        <w:bidi w:val="0"/>
        <w:jc w:val="left"/>
        <w:rPr/>
      </w:pPr>
      <w:bookmarkStart w:id="216" w:name="__RefHeading___Toc924724_653776707"/>
      <w:bookmarkStart w:id="217" w:name="_Toc75"/>
      <w:bookmarkEnd w:id="215"/>
      <w:bookmarkEnd w:id="216"/>
      <w:r>
        <w:rPr/>
        <w:t>Catatan:</w:t>
      </w:r>
      <w:bookmarkEnd w:id="2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Suhrawardi sering menggunakan istilah yaqini atau  mutayaqqana ketika ia ingin memodifikasi pengetahuan  dengan sifat “pasti". Misalnya, Suhrawardi, Opera II, hlm. 21.</w:t>
      </w:r>
    </w:p>
    <w:p>
      <w:pPr>
        <w:pStyle w:val="BookText"/>
        <w:bidi w:val="0"/>
        <w:jc w:val="both"/>
        <w:rPr/>
      </w:pPr>
      <w:r>
        <w:rPr>
          <w:rFonts w:eastAsia="Times New Roman" w:cs="Times New Roman" w:ascii="Times New Roman" w:hAnsi="Times New Roman"/>
          <w:color w:val="111111"/>
          <w:sz w:val="28"/>
          <w:szCs w:val="28"/>
          <w:lang w:val="en-US"/>
        </w:rPr>
        <w:t>Istilah yagini mungkin dapat disamakan dengan επιστήμη,  misalnya, Tsabit bin Qurrah, Al-Madkhal, hlm. 4, 14 dan 185.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Pembedaan antara penalaran dan pengetahuan intuitif telah  dilakukan oleh Aristoteles. Namun, ia tidak mengizinkan  intuisi memainkan kedudukan penting dalam konstruksi  filsafat, sebagaimana hal itu ditunut oleh Suhrawardi. Untuk  bahasan pandangan Aristoteles tentang hal ini, lihat Victor  Kal, On Intuition and Discursive Reasoning in Aristoteles.</w:t>
      </w:r>
    </w:p>
    <w:p>
      <w:pPr>
        <w:pStyle w:val="BookText"/>
        <w:bidi w:val="0"/>
        <w:jc w:val="both"/>
        <w:rPr/>
      </w:pPr>
      <w:r>
        <w:rPr>
          <w:rFonts w:eastAsia="Times New Roman" w:cs="Times New Roman" w:ascii="Times New Roman" w:hAnsi="Times New Roman"/>
          <w:color w:val="111111"/>
          <w:sz w:val="28"/>
          <w:szCs w:val="28"/>
          <w:lang w:val="en-US"/>
        </w:rPr>
        <w:t>(Leiden: E.J. Brill, 1988), terutama hlm. 44-53.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Sebutan khusus diberikan kepada ilmu Astronomi (al-  ‘ilm al-hai'ah) dengan implikasi, bahwa seperti seseorang  memprediksi kejadian-kejadian astronomis di masa depan, ia  juga bisa membuat prediksi-prediksi yang valid tentang alam  spiritual yang tak terlihat. Lihat, Suhrawardi, Opera II, hlm.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Lihat, Asy-Syirazi, Syarh II; Ibn Al-Khathib, Raudhah at-Ta'rif  II, hlm. 564-565.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Lihat, Bab III, * 3-4 sebelumnya.</w:t>
      </w:r>
    </w:p>
    <w:p>
      <w:pPr>
        <w:pStyle w:val="BookText"/>
        <w:bidi w:val="0"/>
        <w:jc w:val="both"/>
        <w:rPr/>
      </w:pPr>
      <w:r>
        <w:rPr>
          <w:rFonts w:eastAsia="Times New Roman" w:cs="Times New Roman" w:ascii="Times New Roman" w:hAnsi="Times New Roman"/>
          <w:color w:val="111111"/>
          <w:sz w:val="28"/>
          <w:szCs w:val="28"/>
          <w:lang w:val="en-US"/>
        </w:rPr>
        <w:t>Suhrawardi, Opera II, hlm. 61-105.</w:t>
      </w:r>
    </w:p>
    <w:p>
      <w:pPr>
        <w:pStyle w:val="BookText"/>
        <w:bidi w:val="0"/>
        <w:jc w:val="both"/>
        <w:rPr/>
      </w:pPr>
      <w:r>
        <w:rPr>
          <w:rFonts w:eastAsia="Times New Roman" w:cs="Times New Roman" w:ascii="Times New Roman" w:hAnsi="Times New Roman"/>
          <w:color w:val="111111"/>
          <w:sz w:val="28"/>
          <w:szCs w:val="28"/>
          <w:lang w:val="en-US"/>
        </w:rPr>
        <w:t>Ibid., hlm 73. Asy-Syirazi menambahkan, “[ketidakmungkinan  mengetahui] ini sebagai akibat, yang mesti dalil-dalil  Peripatetik, dan untuk alasan ini Suhrawardi menambahkan  ‘mereka menjadi pasti', " (Syarh II, hlm. 203:14-15).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Suhrawardi, Opera II, hlm 73.</w:t>
      </w:r>
    </w:p>
    <w:p>
      <w:pPr>
        <w:pStyle w:val="BookText"/>
        <w:bidi w:val="0"/>
        <w:jc w:val="both"/>
        <w:rPr/>
      </w:pPr>
      <w:r>
        <w:rPr>
          <w:rFonts w:eastAsia="Times New Roman" w:cs="Times New Roman" w:ascii="Times New Roman" w:hAnsi="Times New Roman"/>
          <w:color w:val="111111"/>
          <w:sz w:val="28"/>
          <w:szCs w:val="28"/>
          <w:lang w:val="en-US"/>
        </w:rPr>
        <w:t>Lihat, Philip Merlan, From Platonism to Neoplatonism, 3rd.</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ed. (The Hagues: Martinus Nijhoff. 1968), hlm 160-220. Dalam  Filsafat Persia Kontemporer, pembedaan dilakukan antara  (1) metaphysica generalis ('umūr 'āmmah); (2) substansi dan  aksiden; (3) teologi dan metaphysica specialis (ilāhi bi ma'nā-yi </w:t>
      </w:r>
    </w:p>
    <w:p>
      <w:pPr>
        <w:pStyle w:val="BookText"/>
        <w:bidi w:val="0"/>
        <w:rPr/>
      </w:pPr>
      <w:r>
        <w:rPr>
          <w:rFonts w:eastAsia="Times New Roman" w:cs="Times New Roman" w:ascii="Times New Roman" w:hAnsi="Times New Roman"/>
          <w:color w:val="111111"/>
          <w:sz w:val="28"/>
          <w:szCs w:val="28"/>
          <w:lang w:val="en-US"/>
        </w:rPr>
        <w:t>akhashsh). Lihat, Muhammad H. F. Tuni, Ilāhiyyāt. (Tehran:</w:t>
      </w:r>
    </w:p>
    <w:p>
      <w:pPr>
        <w:pStyle w:val="BookText"/>
        <w:bidi w:val="0"/>
        <w:jc w:val="both"/>
        <w:rPr/>
      </w:pPr>
      <w:r>
        <w:rPr>
          <w:rFonts w:eastAsia="Times New Roman" w:cs="Times New Roman" w:ascii="Times New Roman" w:hAnsi="Times New Roman"/>
          <w:color w:val="111111"/>
          <w:sz w:val="28"/>
          <w:szCs w:val="28"/>
          <w:lang w:val="en-US"/>
        </w:rPr>
        <w:t>Tehran University Press, 1333 H), hlm. 1-4. Pembedaan  ini juga dilakukan oleh Suhrawardi. Lihat, Bab III, $3.2  sebelumnya.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Dalam ontologi Peripatetik, wujud dianggap sebagai konsep umum  yang terbukti dengan sendirinya (mafhūm 'āmm badīhī). Lihat,  Tuni, Ilāhiyyāt, hlm. 5; Sayyid Jalaluddin Asytiyani, Hasti.</w:t>
      </w:r>
    </w:p>
    <w:p>
      <w:pPr>
        <w:pStyle w:val="BookText"/>
        <w:bidi w:val="0"/>
        <w:jc w:val="both"/>
        <w:rPr/>
      </w:pPr>
      <w:r>
        <w:rPr>
          <w:rFonts w:eastAsia="Times New Roman" w:cs="Times New Roman" w:ascii="Times New Roman" w:hAnsi="Times New Roman"/>
          <w:color w:val="111111"/>
          <w:sz w:val="28"/>
          <w:szCs w:val="28"/>
          <w:lang w:val="en-US"/>
        </w:rPr>
        <w:t>(Masyhad: Khurasan Press, 1379 H), hlm. 7-12; Mahmud  Shahabi, Būd va Nam ūd. (Tehran: Theran University Press,  1335H), hlm. 10-15.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Lihat Asy-Syirazi, Syarh II, hlm. 204: 11-14.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Ibid.,  13. Lihat, Suhrawardi, Opera II, hlm 42 dan 134-135.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Suhrawardi, Al-Masyāri' wa Al-Muthārahāt: Al-Manthiq, fol.</w:t>
      </w:r>
    </w:p>
    <w:p>
      <w:pPr>
        <w:pStyle w:val="BookText"/>
        <w:bidi w:val="0"/>
        <w:jc w:val="both"/>
        <w:rPr/>
      </w:pPr>
      <w:r>
        <w:rPr>
          <w:rFonts w:eastAsia="Times New Roman" w:cs="Times New Roman" w:ascii="Times New Roman" w:hAnsi="Times New Roman"/>
          <w:color w:val="111111"/>
          <w:sz w:val="28"/>
          <w:szCs w:val="28"/>
          <w:lang w:val="en-US"/>
        </w:rPr>
        <w:t>15v.</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Suhrawardi, Opera II, hlm 73-74.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Yang dimaksudkan Suhrawardi dengan musyāhadah adalah  bentuk khas kognisi yang memungkinkan seseorang punya  penangkapan langsung atas esensi objek. Suhrawardi, Kalimah  At-Tashawwuf. (MS Tehran: Majlism Majmū'ah, 3071), hlm.</w:t>
      </w:r>
    </w:p>
    <w:p>
      <w:pPr>
        <w:pStyle w:val="BookText"/>
        <w:bidi w:val="0"/>
        <w:jc w:val="both"/>
        <w:rPr/>
      </w:pPr>
      <w:r>
        <w:rPr>
          <w:rFonts w:eastAsia="Times New Roman" w:cs="Times New Roman" w:ascii="Times New Roman" w:hAnsi="Times New Roman"/>
          <w:color w:val="111111"/>
          <w:sz w:val="28"/>
          <w:szCs w:val="28"/>
          <w:lang w:val="en-US"/>
        </w:rPr>
        <w:t>398: “Al-musyāhadah hiya syuruq al-anwār 'alā an-nafs bi  haitsu yangathi' munāza'ah al-wahm." Bandingkan, Mulla  Sadra, Ta‘liqāt, Syarh II, hlm. 204. (Catatan Pinggir).</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saya maksudkan adalah jenis pengetahuan yang  melampaui pengetahuan biasa. Jenis pengetahuan ini  “sepenuhnya intuitif”. Tulis Philip Merlan, “Yang menangkap  pengetahuan ini berkaitan dengan hal-hal yang wataknya  mendiktekan bahwa mereka tidak mempunyai predikat apa  pun, seperti Tuhan. Pengetahuan ini berlaku pada benda-benda  "wujud atas" dan disebut áyxívola oleh Aristoteles, (Merlan,  Ibid., hlm 186). Biasanya diterjemahkan dengan “intuisi" atau  sifat "cepat mengerti". Bandingkan, Aristoteles, Posterior  Analytics 11.34, 89b10. Bandingkan, idem., Nicomachean</w:t>
      </w:r>
    </w:p>
    <w:p>
      <w:pPr>
        <w:pStyle w:val="BookText"/>
        <w:bidi w:val="0"/>
        <w:rPr/>
      </w:pPr>
      <w:r>
        <w:rPr>
          <w:rFonts w:eastAsia="Times New Roman" w:cs="Times New Roman" w:ascii="Times New Roman" w:hAnsi="Times New Roman"/>
          <w:color w:val="111111"/>
          <w:sz w:val="28"/>
          <w:szCs w:val="28"/>
          <w:lang w:val="en-US"/>
        </w:rPr>
        <w:t>Ethics VI.9, 1142b6. Plotinus yang dianggap pendukung  Yunani yang paling penting terhadap intuisi (misalnya, Kairo,  The Evolution of Theology in The Greek Philosophers, [Glasgow,  1923], vol. 1, hlm. 220-221). “Hal-hal esensial teori Intuisi  adalah: saya mempunyai pengenalan langsung mengenai  realitas eksternal dalam persepsi indra saya. Saya mempunyai  pengenalan langsung mengenai realitas internal, yakni melalui  proses pemikiran dengan introspeksi sebagai indra dalam”.</w:t>
      </w:r>
    </w:p>
    <w:p>
      <w:pPr>
        <w:pStyle w:val="BookText"/>
        <w:bidi w:val="0"/>
        <w:jc w:val="both"/>
        <w:rPr/>
      </w:pPr>
      <w:r>
        <w:rPr>
          <w:rFonts w:eastAsia="Times New Roman" w:cs="Times New Roman" w:ascii="Times New Roman" w:hAnsi="Times New Roman"/>
          <w:color w:val="111111"/>
          <w:sz w:val="28"/>
          <w:szCs w:val="28"/>
          <w:lang w:val="en-US"/>
        </w:rPr>
        <w:t>(Leighton, Man and Cosmos. [Appleton, 1922]), hlm. 51.</w:t>
      </w:r>
    </w:p>
    <w:p>
      <w:pPr>
        <w:pStyle w:val="BookText"/>
        <w:bidi w:val="0"/>
        <w:jc w:val="both"/>
        <w:rPr/>
      </w:pPr>
      <w:r>
        <w:rPr>
          <w:rFonts w:eastAsia="Times New Roman" w:cs="Times New Roman" w:ascii="Times New Roman" w:hAnsi="Times New Roman"/>
          <w:color w:val="111111"/>
          <w:sz w:val="28"/>
          <w:szCs w:val="28"/>
          <w:lang w:val="en-US"/>
        </w:rPr>
        <w:t>Bandingkan, pembedaan antara tteidu dan áváykŋ (secara  literal: persuasi versus kemestian logis, yakni pembedaan  antara pengetahuan Diskursif dan langsung), dalam Plotinus,  Enneads, V.3.6.</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Lihat, Asy-Syirazi, Syarh II, hlm. 41-42.</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Bandingkan, Ibn Sina, Asy-Syifā': Al-Madkhal, III, hlm. 17018;  idem., Asy-Syifa': Al-Burhān, I, hlm. 51-53; III, hlm. 57; idem.,  Asy-Syifā': Al-llāhiyyāt 1.1, hlm. 29-36; idem., An-Najāh, hlm.</w:t>
      </w:r>
    </w:p>
    <w:p>
      <w:pPr>
        <w:pStyle w:val="BookText"/>
        <w:bidi w:val="0"/>
        <w:jc w:val="both"/>
        <w:rPr/>
      </w:pPr>
      <w:r>
        <w:rPr>
          <w:rFonts w:eastAsia="Times New Roman" w:cs="Times New Roman" w:ascii="Times New Roman" w:hAnsi="Times New Roman"/>
          <w:color w:val="111111"/>
          <w:sz w:val="28"/>
          <w:szCs w:val="28"/>
          <w:lang w:val="en-US"/>
        </w:rPr>
        <w:t>3-4; Al-Ghazali, Mi'yar al-'Ilm, hlm. 67-68.</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Suhrawardi, Al-Masyari' wa Al-Muthārahāt: Al-Manthiq, fol.</w:t>
      </w:r>
    </w:p>
    <w:p>
      <w:pPr>
        <w:pStyle w:val="BookText"/>
        <w:bidi w:val="0"/>
        <w:jc w:val="both"/>
        <w:rPr/>
      </w:pPr>
      <w:r>
        <w:rPr>
          <w:rFonts w:eastAsia="Times New Roman" w:cs="Times New Roman" w:ascii="Times New Roman" w:hAnsi="Times New Roman"/>
          <w:color w:val="111111"/>
          <w:sz w:val="28"/>
          <w:szCs w:val="28"/>
          <w:lang w:val="en-US"/>
        </w:rPr>
        <w:t>1v.</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Ibid.,  22. Ibid., fol, 1r.</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At-Talwībāt: Al-Manthiq, hlm. 2: “Yu'ayyid ibn al-  basyar bi rūh qudsi yurih asy-syai' kamā huwa." [Pertolongan  Tuhan sama dengan peran akal aktif dalam epistemologi  Peripatetik. Ruh Kudus (Ruh Al-Quddūs) dan sama dengan  bahasa Persia (ravān bakhsh), berarti dator spiritus, sebagai  pemberi pertolongan Tuhan, diidentifikasi oleh Suhrawardi  dalam berbagai contoh dengan akal aktif, yang juga disebut  "pemberi pengetahuan dan bantuan Tuhan" (wāhib al-'ilm  wa al-ta'yid)]. Suhrawardi, Opera II, hlm. 201. Bandingkan,  idem., Opera III, hlm. 221: “... sinar memancar dari Ruh  Kudus." Ruh Kudus selanjutnya diidentifikasi dengan dator </w:t>
      </w:r>
    </w:p>
    <w:p>
      <w:pPr>
        <w:pStyle w:val="BookText"/>
        <w:bidi w:val="0"/>
        <w:rPr/>
      </w:pPr>
      <w:r>
        <w:rPr>
          <w:rFonts w:eastAsia="Times New Roman" w:cs="Times New Roman" w:ascii="Times New Roman" w:hAnsi="Times New Roman"/>
          <w:color w:val="111111"/>
          <w:sz w:val="28"/>
          <w:szCs w:val="28"/>
          <w:lang w:val="en-US"/>
        </w:rPr>
        <w:t>formarum (wāhib al-shuwar) dan Malaikat Jibril. (idem., Opera  II, hlm. 265). Dalam kosmologi Iluminasi, Ruh Kudus sama  dengan cahaya abstrak (non-duniawi) yang disebut Isfahbad  an-Nāsūt, yang di samping berperan sebagai akal aktif dan  dator formarum, mempunyai fungsi khusus (yakni, jenis  kesadaran diri murni juga), karena kesadaran ini menunjukkan  esensinya melalui dirinya: “wa huwa an-nūr al-mudabbir al-  ladzi huwa Isfahbad an-Nāsūt wa huwa al-musyār ilā nafsihi  bi al-'anā'iyyah". Idem., Opera II, hlm. 201. Untuk bahasan  rinci tentang peran dator formarum dalam epistemologi  lluminasi juga kedudukannya dalam fisika. Lihat Asy-Syirazi,  Syarh II, hlm. 263-269. Fungsi “tertinggi"-nya disebut sebagai  memberi wujud (wāhib al-shuwar yu'tī al-wujud). ibid., hlm.</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Suhrawardi, At-Talwihāt: Al-Manthiq, hlm. 2; idem., Al-  Masyāri' wa al-Muthārahāt: Al-Manthiq, fol. 96r.; idem.,  Opera II, hlm. 18. Bandingkan, Al-Baghdadi, Al-Mu'tabar I,  hlm. 7-8.</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Suhrawardi, Opera II, hlm. 18-19. Bandingkan, Al-Baghdadi,  Al-Mu'tabar III, hlm. 1, 4 dan 35-41.</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Kedudukan Iluminasi dalam teori Pengetahuan dapat disebut  sebagai teori “Plato". Bandingkan, F. E. Peters, Aristoteles and  The Arabs. (New York: New York University Press, 1968),  hlm. 173: “Senjata pengetahuan apriori (maʼrifah awwaliyyah)  digunakan untuk menentang keseluruhan struktur psikologi  Peripatetik, dan melalui penerapannya pada kriteria yang  sama Abu Al-Barakat Al-Baghdadi sampai pada kedudukan Ar-  Rāzī atau lebih baik, Plato tentang ruang dan waktu absolut."  Lihat, Pines, Studies in Abu Al-Barakat Al-Baghdadi's Poetics  and Metaphysics, hlm. 122.</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Misalnya, Ibn Sina, Asy-Syifā': Al-Madkhal III, hlm. 17-18.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Istilah 'ilm dan ma'rifah, keduanya digunakan oleh Peripatetik  untuk melambangkan pengetahuan dalam pengertian umum, </w:t>
      </w:r>
    </w:p>
    <w:p>
      <w:pPr>
        <w:pStyle w:val="BookText"/>
        <w:bidi w:val="0"/>
        <w:rPr/>
      </w:pPr>
      <w:r>
        <w:rPr>
          <w:rFonts w:eastAsia="Times New Roman" w:cs="Times New Roman" w:ascii="Times New Roman" w:hAnsi="Times New Roman"/>
          <w:color w:val="111111"/>
          <w:sz w:val="28"/>
          <w:szCs w:val="28"/>
          <w:lang w:val="en-US"/>
        </w:rPr>
        <w:t>yang oleh Suhrawardi disebut idrāk, dan ini mempunyai  pengertian persepsi atau kognisi sebagai proses mengetahui,  kecuali Al-Ghazali yang membedakan antara maʼrifah yang  berkaitan dengan tashdiq, dan 'ilm yang berkaitan dengan  tashawwur , (Al-Ghazali, Mihak an-Nazhar, disunting oleh An-  Na'sani, [Beirut: Dār al-Masyriq, 1965), hlm. 8-10.</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Suhrawardi, Al-Masyāri' wa Al-Muthārahāt: Al-Manthiq, fol.</w:t>
      </w:r>
    </w:p>
    <w:p>
      <w:pPr>
        <w:pStyle w:val="BookText"/>
        <w:bidi w:val="0"/>
        <w:jc w:val="both"/>
        <w:rPr/>
      </w:pPr>
      <w:r>
        <w:rPr>
          <w:rFonts w:eastAsia="Times New Roman" w:cs="Times New Roman" w:ascii="Times New Roman" w:hAnsi="Times New Roman"/>
          <w:color w:val="111111"/>
          <w:sz w:val="28"/>
          <w:szCs w:val="28"/>
          <w:lang w:val="en-US"/>
        </w:rPr>
        <w:t>100v.</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Ibid., fil. 100v., 100r. Dalam hal ini, pandangan Plotinus dan  Neoplatonis, (Cambridge: Bowes and Bowes, 1952), hlm 111:</w:t>
      </w:r>
    </w:p>
    <w:p>
      <w:pPr>
        <w:pStyle w:val="BookText"/>
        <w:bidi w:val="0"/>
        <w:jc w:val="both"/>
        <w:rPr/>
      </w:pPr>
      <w:r>
        <w:rPr>
          <w:rFonts w:eastAsia="Times New Roman" w:cs="Times New Roman" w:ascii="Times New Roman" w:hAnsi="Times New Roman"/>
          <w:color w:val="111111"/>
          <w:sz w:val="28"/>
          <w:szCs w:val="28"/>
          <w:lang w:val="en-US"/>
        </w:rPr>
        <w:t>"Plotinus menganggap pengetahuan sebagai hasil dari metode  analisis dan sintesis manusia yang tidak sempurna, sementara  intuisi adalah penyempurnaan pengetahuan diri manakala ada  identitas yang sempurna antara subjek dan objek pengetahuan  semcam itu." Lihat, Plotinus, Enneads V.3, hlm. 2-3.</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Lihat, Bab III * 3 sebelumnya.</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Suhrawardi, At-Talwāhāt: Al-Manthiq, hlm. 2.</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Asy-Syirazi, Syarh II, hlm. 38:13-45:1.</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Suhrawardi, Opera II, hlm 15. Asy-Syirazi, Syarh II, hlm.</w:t>
      </w:r>
    </w:p>
    <w:p>
      <w:pPr>
        <w:pStyle w:val="BookText"/>
        <w:bidi w:val="0"/>
        <w:jc w:val="both"/>
        <w:rPr/>
      </w:pPr>
      <w:r>
        <w:rPr>
          <w:rFonts w:eastAsia="Times New Roman" w:cs="Times New Roman" w:ascii="Times New Roman" w:hAnsi="Times New Roman"/>
          <w:color w:val="111111"/>
          <w:sz w:val="28"/>
          <w:szCs w:val="28"/>
          <w:lang w:val="en-US"/>
        </w:rPr>
        <w:t>38:13. Bandingkan, Asy-Syahrazuri, Syarh, fol. 27r.</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Istilah tashdiq hanya sekali disebutkan dalam Hikmah Al-  Isyrāq, dalam pengertian "afirmasi” dalam hubungannya  dengan proposisi, (Opera II, hlm. 57).</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Terjemahan istilah idrak (seperti digunakan oleh Suhrawardi)  ke dalam bahasa Inggris mengandung banyak kesulitan. Istilah  “persepsi” mungkin paling dekat, tetapi harus dipahami  dalam pengertian “penangkapan" yang sangat umum.</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berbagai perbedaan makna istilah “persepsi” seperti  digunakan dalam filsafat. Lihat, H. J. Hirst, “Perception",  Encyclopedia of Philosophy, VI, hlm. 79-87. Tentang berbagai  persamaan istilah Yunani dengan idrāk serta modifikasinya,  seperti idrāk bi al-'aql, idrāk bi al-fahm, idrāk bi al-hiss, dan  sebagainya. Lihat, Afnan, Lexicon, hlm. 98-99. Bandingkan, F. </w:t>
      </w:r>
    </w:p>
    <w:p>
      <w:pPr>
        <w:pStyle w:val="BookText"/>
        <w:bidi w:val="0"/>
        <w:rPr/>
      </w:pPr>
      <w:r>
        <w:rPr>
          <w:rFonts w:eastAsia="Times New Roman" w:cs="Times New Roman" w:ascii="Times New Roman" w:hAnsi="Times New Roman"/>
          <w:color w:val="111111"/>
          <w:sz w:val="28"/>
          <w:szCs w:val="28"/>
          <w:lang w:val="en-US"/>
        </w:rPr>
        <w:t>Rahman, Avicenna's De Anima. (London: Oxford University  Press, 1959), hlm. 278; Ibn Sina, An-Najāh, hlm. 277-279.</w:t>
      </w:r>
    </w:p>
    <w:p>
      <w:pPr>
        <w:pStyle w:val="BookText"/>
        <w:bidi w:val="0"/>
        <w:jc w:val="both"/>
        <w:rPr/>
      </w:pPr>
      <w:r>
        <w:rPr>
          <w:rFonts w:eastAsia="Times New Roman" w:cs="Times New Roman" w:ascii="Times New Roman" w:hAnsi="Times New Roman"/>
          <w:color w:val="111111"/>
          <w:sz w:val="28"/>
          <w:szCs w:val="28"/>
          <w:lang w:val="en-US"/>
        </w:rPr>
        <w:t>Tentang sejarah "persepsi" dalam Filsafat Yunani. Lihat, D.</w:t>
      </w:r>
    </w:p>
    <w:p>
      <w:pPr>
        <w:pStyle w:val="BookText"/>
        <w:bidi w:val="0"/>
        <w:jc w:val="both"/>
        <w:rPr/>
      </w:pPr>
      <w:r>
        <w:rPr>
          <w:rFonts w:eastAsia="Times New Roman" w:cs="Times New Roman" w:ascii="Times New Roman" w:hAnsi="Times New Roman"/>
          <w:color w:val="111111"/>
          <w:sz w:val="28"/>
          <w:szCs w:val="28"/>
          <w:lang w:val="en-US"/>
        </w:rPr>
        <w:t>W. Hamlyn, Sensation and Perception. (London: Routledge and  Kegan Paul, 1961), hlm. 1-39.</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Suhrawardi menggunakan istilah haqiqah untuk menunjukkan  māhiyyah, yakni kuiditas, Opera II, hlm. 16. Bandingkan, Asy-  Syirazi, Syarh II, hlm. 45: 1-3.</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Suhrawardi, Opera II, hlm. 15: “Huwa [idrāk] bi hushūl al-  mitsal haqiqatihi fika." Bandingkan, idem., Opera II, hlm.</w:t>
      </w:r>
    </w:p>
    <w:p>
      <w:pPr>
        <w:pStyle w:val="BookText"/>
        <w:bidi w:val="0"/>
        <w:jc w:val="both"/>
        <w:rPr/>
      </w:pPr>
      <w:r>
        <w:rPr>
          <w:rFonts w:eastAsia="Times New Roman" w:cs="Times New Roman" w:ascii="Times New Roman" w:hAnsi="Times New Roman"/>
          <w:color w:val="111111"/>
          <w:sz w:val="28"/>
          <w:szCs w:val="28"/>
          <w:lang w:val="en-US"/>
        </w:rPr>
        <w:t>2-3: “Syinakht ...an basyad ki shurati az ān-i u dan tū hāshil  syavad." Ungkapan yang sama juga dikatakan oleh Suhrawardi  dalam salah satu karya mistisnya, Kalimah At-Tashawwuf, hlm.</w:t>
      </w:r>
    </w:p>
    <w:p>
      <w:pPr>
        <w:pStyle w:val="BookText"/>
        <w:bidi w:val="0"/>
        <w:jc w:val="both"/>
        <w:rPr/>
      </w:pPr>
      <w:r>
        <w:rPr>
          <w:rFonts w:eastAsia="Times New Roman" w:cs="Times New Roman" w:ascii="Times New Roman" w:hAnsi="Times New Roman"/>
          <w:color w:val="111111"/>
          <w:sz w:val="28"/>
          <w:szCs w:val="28"/>
          <w:lang w:val="en-US"/>
        </w:rPr>
        <w:t>353-354.</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Istilah idrāk seperti yang digunakan oleh Suhrawardi sama  dengan genus yang meliputi sejumlah spesies, seperti 'ilm,  maʼrifah, hiss, dan sebagainya. Al-Ghazali membagi idrāk ke  dalam 'ilm yang sinonim dengan syinākht atau syināsi, dibagi  ke dalam idrāk hissi, idrāk dzihni, idrāk ‘aqli, syuíūr, (baik  internal maupun eksternal). Lihat, A. M. Misykat ad-Dini,  Tahqiq dar Haqiqat-i 'Ilm. (Tehran: Tehran University Press,  1952), hlm. 38-40.</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Lihat, F. Rahman, Avicenna's De Anima, hlm. 18-22, 25 dan  34; idem., Avicenna's Psychology. (London: Oxford University  Press, 1952), hlm. 38-40.</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Asy-Syirazi, Syarh II, hlm. 39: 6-13. Jenis pengetahuan ini  semata-mata bergantung pada kehadiran (mujarrrad al-  hudhur) objek.</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Asy-Syirazi, Syarh II, hlm. 38: 16-19: “Al-'ilm Al-Isyrāqi al-  ladzi yakfi fihi mujarrad al-hudhur ka 'ilm al-bārī ta'ālā wa  ‘ilm al-mujarradāt al-mufarraqah wa 'ilminā bi anfusinā."  Bandingkan, Aristoteles, Metaphysics 1.2, 982b28-983a11;  XII. 7, 1178b14-16. Suhrawardi mengembangkan konsep- </w:t>
      </w:r>
    </w:p>
    <w:p>
      <w:pPr>
        <w:pStyle w:val="BookText"/>
        <w:bidi w:val="0"/>
        <w:rPr/>
      </w:pPr>
      <w:r>
        <w:rPr>
          <w:rFonts w:eastAsia="Times New Roman" w:cs="Times New Roman" w:ascii="Times New Roman" w:hAnsi="Times New Roman"/>
          <w:color w:val="111111"/>
          <w:sz w:val="28"/>
          <w:szCs w:val="28"/>
          <w:lang w:val="en-US"/>
        </w:rPr>
        <w:t>konsep, semisal al-'ilm Al-Isyrāqi, hudhūr, al-musyāhadah  Al-Isyrāqiyyah, dan sebagainya dalam “Al-Masyāri' wa al-  Muthārahāt". Opera I, hlm. 480-496.</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Lihat, Asy-Syirazi, Syarh II, hlm. 38: 16-19. Secara umum,  jenis pengetahuan yang menempatkan tekanan pada bentuk  kognisi intuitif benar-benar non-formal. Bandingkan, Aristotelse,  Metaphysics VII.10, 1036a1-8; XII.p, 1075-7; Plotinus, Enneads,  IV.3.18, V.3.3. Konsep Suhrawardi tentang pengetahuan dengan  kehadiran dapat disamakan dengan apa yang oleh Gilson  disebut “intuisi wujud." Lihat, Etienne Gilson, Being and  Some Philosophers. (Toronto: Pontifical Institute of Medieval  Studies, 1949), hlm. 190-215.</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Suhrawardi, Opera II, hlm. 15. Bandingkan, Asy-Syirazi, Syarh  II, hlm. 40:8-41:5.</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Suhrawardi, Opera I, hlm. 68: “Ba'dh an-nās zhanna anna  idrāk al-mudrik syai'an huwa an yasīra huwa huwa."  45. Ibid., “Zhannū anna idrāk an-nafs huwa ittihāduhā bi al-'aql  al-fa'āl."  46. Hubungan dan disjungsi hanyalah sifat-sifat badan jasmani  yang menjadi diktum metafisika yang dicetuskan oleh  Suhrawardi, (Opera I, hlm. 68 dan 475), tetapi argumen untuk  mendukung diktum tersebut dikembangkan dalam fisika.</w:t>
      </w:r>
    </w:p>
    <w:p>
      <w:pPr>
        <w:pStyle w:val="BookText"/>
        <w:bidi w:val="0"/>
        <w:jc w:val="both"/>
        <w:rPr/>
      </w:pPr>
      <w:r>
        <w:rPr>
          <w:rFonts w:eastAsia="Times New Roman" w:cs="Times New Roman" w:ascii="Times New Roman" w:hAnsi="Times New Roman"/>
          <w:color w:val="111111"/>
          <w:sz w:val="28"/>
          <w:szCs w:val="28"/>
          <w:lang w:val="en-US"/>
        </w:rPr>
        <w:t>Lihat, Suhrawardi, Kitāb At-Talwīhāt (Al-'Ilm ats-Tsānī). (MS,  Berlin, 5062). Selanjutnya disebut At-Talwīhāt: Aht-Thabi'ah),  fol. 43r, v; lihat juga, idem., Al-Masyāri' wa Al-Muthārahāt:</w:t>
      </w:r>
    </w:p>
    <w:p>
      <w:pPr>
        <w:pStyle w:val="BookText"/>
        <w:bidi w:val="0"/>
        <w:jc w:val="both"/>
        <w:rPr/>
      </w:pPr>
      <w:r>
        <w:rPr>
          <w:rFonts w:eastAsia="Times New Roman" w:cs="Times New Roman" w:ascii="Times New Roman" w:hAnsi="Times New Roman"/>
          <w:color w:val="111111"/>
          <w:sz w:val="28"/>
          <w:szCs w:val="28"/>
          <w:lang w:val="en-US"/>
        </w:rPr>
        <w:t>Ath-Thabi'ah, fol. 1110-112v, 115v.</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Lihat, Philip Merlan, Monophyschism Mysticism  Metaconciousness. (The Hague: Martinus Nijhoff, 1963), hlm.</w:t>
      </w:r>
    </w:p>
    <w:p>
      <w:pPr>
        <w:pStyle w:val="BookText"/>
        <w:bidi w:val="0"/>
        <w:jc w:val="both"/>
        <w:rPr/>
      </w:pPr>
      <w:r>
        <w:rPr>
          <w:rFonts w:eastAsia="Times New Roman" w:cs="Times New Roman" w:ascii="Times New Roman" w:hAnsi="Times New Roman"/>
          <w:color w:val="111111"/>
          <w:sz w:val="28"/>
          <w:szCs w:val="28"/>
          <w:lang w:val="en-US"/>
        </w:rPr>
        <w:t>85-113. Bandingkan, Suhrawardi, Opera I, hlm. 69; Ibn Sina,  Mabda' wa Ma'ād, terjemahan Mahmud Shahabi, (Tehran: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Tehran University Press, 1332 H), hlm. 112-117. Merlan  berpendapat bahwa Ibn Sina telah mengkritik Porphyry,  (Merlan, Monopsychism), hlm. 25-26. Ironisnya, Merlan </w:t>
      </w:r>
    </w:p>
    <w:p>
      <w:pPr>
        <w:pStyle w:val="BookText"/>
        <w:bidi w:val="0"/>
        <w:rPr/>
      </w:pPr>
      <w:r>
        <w:rPr>
          <w:rFonts w:eastAsia="Times New Roman" w:cs="Times New Roman" w:ascii="Times New Roman" w:hAnsi="Times New Roman"/>
          <w:color w:val="111111"/>
          <w:sz w:val="28"/>
          <w:szCs w:val="28"/>
          <w:lang w:val="en-US"/>
        </w:rPr>
        <w:t>menganggap kesatuan sebagai “tonggak khas Filsafat Timur"  Suhrawardi, (Merlan, Monopsychism), hlm. 25.</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Suhrawardi, Opera I, hlm. 474; Al-Masyāri' wa Al-Muthārahāt:</w:t>
      </w:r>
    </w:p>
    <w:p>
      <w:pPr>
        <w:pStyle w:val="BookText"/>
        <w:bidi w:val="0"/>
        <w:jc w:val="both"/>
        <w:rPr/>
      </w:pPr>
      <w:r>
        <w:rPr>
          <w:rFonts w:eastAsia="Times New Roman" w:cs="Times New Roman" w:ascii="Times New Roman" w:hAnsi="Times New Roman"/>
          <w:color w:val="111111"/>
          <w:sz w:val="28"/>
          <w:szCs w:val="28"/>
          <w:lang w:val="en-US"/>
        </w:rPr>
        <w:t>Ath-Thabi'ah, fol. 194v.</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Suhrawardi, Opera I, hlm. 474.</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Suhrawardi, Opera I, hlm. 474-475. Bandingkan, idem.,  Opera III, hlm. 23; “Tu'i-yi tu, kesadaran adalah keengkauan  engkau."  51. Suhrawardi, Opera I, hlm. 475. Bandingkan, Al-Masyāri' wa  Al-Muthārahāt: Ath-Thabi'ah, fol. 115v.</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Suhrawardi, Opera I, hlm. 483.</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Ibid., hlm. 484.</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Ibid., "Wa huwa an yabhatsa al-insan fi 'ilmihi bi dzātihi  tsumma yartaqi ilā mā huwa aʻlā."  55. Visi mimpi bertemu dengan “Aristoteles" diduga oleh Majid  Fakhry sebagai “Aristoteles” dalam Theologia. M. Fakhry,  A History of Islamic Philosophy. (New York: Columbia  University Press, 1970), hlm. 330, catatan 10. Bandingkan,  Opera I, catatan hlm. 112. Namun, tampak lebih mirip bahwa  yang dimaksudkan Suhrawardi Guru Filsafat Peripatetik, yakni  Aristoteles yang sebenarnya, bukan orang lain.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Suhrawardi, Opera I, hlm. 70-74.</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Ibid., hlm. 484.</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Suhrawardi, Opera I, hlm. 70-74.</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Terdapat lima belas tangga yang dibahas untuk  mendeskripsikan pengalaman visi Iluminasi, dan masing-  masing ditegaskan dibarengi dengan pengalaman satu jenis  cahaya. Lihat, Suhrawardi, Opera II, hlm. 252; idem., Opera  1, hlm. 108 dan 114.</w:t>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Opera I, hlm. 70: “irji' ilā nafsika."  61. Ibid., “Adraka dzātaka bi dzātika." Kesadaran diri, diri yang  menjadi subjek dapat disamakan dengan apa yang disebut  l'homme volant. Ibn Sina, (Peters, Aristoteles and the Arabs, </w:t>
      </w:r>
    </w:p>
    <w:p>
      <w:pPr>
        <w:pStyle w:val="BookText"/>
        <w:bidi w:val="0"/>
        <w:rPr/>
      </w:pPr>
      <w:r>
        <w:rPr>
          <w:rFonts w:eastAsia="Times New Roman" w:cs="Times New Roman" w:ascii="Times New Roman" w:hAnsi="Times New Roman"/>
          <w:color w:val="111111"/>
          <w:sz w:val="28"/>
          <w:szCs w:val="28"/>
          <w:lang w:val="en-US"/>
        </w:rPr>
        <w:t>hlm. 173). Lihat, Rahman, Avicenna's Psychology, hlm. 8-20.</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Suhrawardi, Opera I, hlm. 75. Bandingkan, Ibid., hlm. 121.</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Ibid., hlm. 74, 88 dan 90.</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Lihat, Suhrawardi, Opera I, hlm. 73, catatan 73, 95, 103, 113;  Idem., Opera II, hlm. 242 dan 252.</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Suhrawardi, Opera I, hlm. 115.</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Ibid., hlm. 116. Bandingkan, Al-Masyāri' wa Al-Muthārahāt:</w:t>
      </w:r>
    </w:p>
    <w:p>
      <w:pPr>
        <w:pStyle w:val="BookText"/>
        <w:bidi w:val="0"/>
        <w:jc w:val="both"/>
        <w:rPr/>
      </w:pPr>
      <w:r>
        <w:rPr>
          <w:rFonts w:eastAsia="Times New Roman" w:cs="Times New Roman" w:ascii="Times New Roman" w:hAnsi="Times New Roman"/>
          <w:color w:val="111111"/>
          <w:sz w:val="28"/>
          <w:szCs w:val="28"/>
          <w:lang w:val="en-US"/>
        </w:rPr>
        <w:t>Ath-Thabī'ah, fol. 198r-201v.</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Suhrawardi, At-Talwihāt: Ath-Thabi'ah, fol. 60r-69r.</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Suhrawardi, At-Talwīhāt: ath-Thabi'ah, fol. 60: “Alaisa annaka  Tā taghib 'an dzātika fī hālatai naumika wa yazhatika?"  69. Ibid., dalam Gendanken experiment, Suhrawardi, meski tidak  diragukan lagi mengetahui ide tentang manusia “tergantung"  dari Ibn Sina, ia tidak merujuk kepadanya.</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Ibid.,  71. Lihat, Rahman, Avicenna's Psychology, hlm. 10; Peters,  Aristoteles and The Arabs, hlm. 173, catatan 216.</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Problem ini dibahas secara rinci dalam fisika, Al-Masyāri'  wa Al-Muthārahāt VI. 8. (Bagian sub ini berkaitan dengan  De Anima) berjudul "Fi Al-Idrāk Wa At-Tajridāt Wa Barāhin  Tajarrud An-Nafs 'an Al-Māddah Wa 'ignā‘atihi”, (Al-Masyāri'  wa Al-Muthārahāt: Ath-Thabi'ah, fol. 194v-198r).</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Suhrawardi, Al-Masyāri' Wa Al-Muthārahāt: Ath-Thabi'ah, fol.</w:t>
      </w:r>
    </w:p>
    <w:p>
      <w:pPr>
        <w:pStyle w:val="BookText"/>
        <w:bidi w:val="0"/>
        <w:jc w:val="both"/>
        <w:rPr/>
      </w:pPr>
      <w:r>
        <w:rPr>
          <w:rFonts w:eastAsia="Times New Roman" w:cs="Times New Roman" w:ascii="Times New Roman" w:hAnsi="Times New Roman"/>
          <w:color w:val="111111"/>
          <w:sz w:val="28"/>
          <w:szCs w:val="28"/>
          <w:lang w:val="en-US"/>
        </w:rPr>
        <w:t>63r-69r, terutama 11.2, fol.65r-69r, berjudul “Fi Tahrīrāt wa  Barāhīn wa Istibshārāt 'alā Tajarrud An-Nafs."  74. Suhrawardi, Al-Masyāri' wa Al-Muthārahāt: Ath-Thabi'ah, fol.</w:t>
      </w:r>
    </w:p>
    <w:p>
      <w:pPr>
        <w:pStyle w:val="BookText"/>
        <w:bidi w:val="0"/>
        <w:jc w:val="both"/>
        <w:rPr/>
      </w:pPr>
      <w:r>
        <w:rPr>
          <w:rFonts w:eastAsia="Times New Roman" w:cs="Times New Roman" w:ascii="Times New Roman" w:hAnsi="Times New Roman"/>
          <w:color w:val="111111"/>
          <w:sz w:val="28"/>
          <w:szCs w:val="28"/>
          <w:lang w:val="en-US"/>
        </w:rPr>
        <w:t>191r.</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Misalnya, Suhrawardi, Al-Masyāri' wa Al-Muthārahāt: Ath-  Thabi'ah, fol. 175r.</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Suhrawardi, Opera II, hlm. 110.</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Ibid.,  78. Ibid., bandingkan, Asy-Syirazi, Syarh 11, hlm. 290:3-17.</w:t>
      </w:r>
    </w:p>
    <w:p>
      <w:pPr>
        <w:pStyle w:val="BookText"/>
        <w:bidi w:val="0"/>
        <w:jc w:val="both"/>
        <w:rPr/>
      </w:pPr>
      <w:r>
        <w:rPr>
          <w:rFonts w:eastAsia="Times New Roman" w:cs="Times New Roman" w:ascii="Times New Roman" w:hAnsi="Times New Roman"/>
          <w:color w:val="111111"/>
          <w:sz w:val="28"/>
          <w:szCs w:val="28"/>
          <w:lang w:val="en-US"/>
        </w:rPr>
        <w:t>78.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Suhrawardi, Opera I, hlm. 485. </w:t>
      </w:r>
    </w:p>
    <w:p>
      <w:pPr>
        <w:pStyle w:val="BookText"/>
        <w:bidi w:val="0"/>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Ibid.,  81. Ibid., hlm. 484.</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Ibid., hlm. 486.</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Ibid., hlm. 487.</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Ibid., hlm. 486: “Musyāhadah isyrāqiyyah li an-nafs," ibid.,  hlm. 487: “Al-'ilm Al-Isyrāqi là bi shūrah wa atsar, bal bi  mujarrad idhāfah khāshshah, huwa hudhur al-syai' hudhuran  isyrāqiyyan kamā li an-nafs."  85. Ibid., hlm. 487.</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Bandingkan, Asy-Syirazi, Syarh II, hlm. 290, misalnya: “Man  yudriku dzātahu ka an-nafs an-nāthiqah matslan, fa huwa nū  mujarrad."  87. Suhrawardi, Opera II, hlm. 111: “Idrak al-anā'iyyah huwa bi  'ainihi idrāk mā huwa huwa."  88. Ibid., hlm. 112: “Mā anta bihi anta... huwa anā'iyyatuka."  89. Bandingkan, Suhrawardi, Opera III, hlm. 23, 37: "Dzāti tū  dzātist qā'im bi khūd mujarrad az māddah ki az khud ghā'ib  nist.” Ide tentang kesadaran kosmis dan manusia sebagai  prinsip metafisika melalui mana prinsip sama diterapkan pada  entitas-entitas jasmani dan non-jasmani, ditemukan dalam  Plotinus. Lihat, Plotinus, Enneads, V.3, hlm. 2-3.</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Suhrawardi, Opera II, hlm. 113-114.</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Ibid., hlm. 114.</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Ibid., “Kull man adraka dzātahu fa huwa nūr mahdh, wa kull  nūr mahdh zhāhir li dzātihi wa mudrik li dzātihi." Asy-Syirazi  menganggap bahwa hal ini berarti kesatuan subjek dan objek.</w:t>
      </w:r>
    </w:p>
    <w:p>
      <w:pPr>
        <w:pStyle w:val="BookText"/>
        <w:bidi w:val="0"/>
        <w:jc w:val="both"/>
        <w:rPr/>
      </w:pPr>
      <w:r>
        <w:rPr>
          <w:rFonts w:eastAsia="Times New Roman" w:cs="Times New Roman" w:ascii="Times New Roman" w:hAnsi="Times New Roman"/>
          <w:color w:val="111111"/>
          <w:sz w:val="28"/>
          <w:szCs w:val="28"/>
          <w:lang w:val="en-US"/>
        </w:rPr>
        <w:t>Asy-Syirazi, Syarh II, hlm. 297: 2-3: “Fa al-mudrik wa al-  mudrak wa al-idrāk hāhuna wāhid."  93. Ibid., Bagian ini (8 119) berjudul Hukūmah, dan bahasan yang  diberikan diambil dari Asy-Syirazi, Syarh II (hlm. 297:5-8).</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Suhrawardi, Opera II, hlm. 115.</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Ibid., hlm. 120.</w:t>
      </w:r>
    </w:p>
    <w:p>
      <w:pPr>
        <w:pStyle w:val="BookText"/>
        <w:bidi w:val="0"/>
        <w:jc w:val="both"/>
        <w:rPr/>
      </w:pPr>
      <w:r>
        <w:rPr>
          <w:rFonts w:eastAsia="Times New Roman" w:cs="Times New Roman" w:ascii="Times New Roman" w:hAnsi="Times New Roman"/>
          <w:color w:val="111111"/>
          <w:sz w:val="28"/>
          <w:szCs w:val="28"/>
          <w:lang w:val="en-US"/>
        </w:rPr>
        <w:t>96.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Ibid., hlm. 119, 126-127. </w:t>
      </w:r>
    </w:p>
    <w:p>
      <w:pPr>
        <w:pStyle w:val="BookText"/>
        <w:bidi w:val="0"/>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Ibid., hlm. 120.</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Ibid., hlm. 201.</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Ibid., hlm. 147.</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Ibid., hlm. 204-207.</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Ibid., hlm. 218-219.</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Pada dasarnya, Qahr sama dengan veïaos-nya pandangan  Empedocles. Lihat, Fakhry, A History of Islamic Philosophy,  hlm. 333.</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Suhrawardi, Opera II, hlm. 224-225.</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Suhrawardi, Opera II, hlm. 201.</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Ibid., “Huwa musyir ila nafsihi bi al-anā'iyyah."  106. Ibid., hlm. 226-228 dan 237.</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Dalam kosmologi Iluminasi, apa yang “termanasi", atau  diperoleh dari Sumber Cahaya dilambangkan dengan Sumber  Cahaya (Nür Al-Anwār), tidak terpisah darinya, tetapi terus  berkaitan dengannya; cahaya-cahaya yang terpancar juga  tidak berlainan. Misalnya, Suhrawardi, Opera II, hlm. 128:</w:t>
      </w:r>
    </w:p>
    <w:p>
      <w:pPr>
        <w:pStyle w:val="BookText"/>
        <w:bidi w:val="0"/>
        <w:jc w:val="both"/>
        <w:rPr/>
      </w:pPr>
      <w:r>
        <w:rPr>
          <w:rFonts w:eastAsia="Times New Roman" w:cs="Times New Roman" w:ascii="Times New Roman" w:hAnsi="Times New Roman"/>
          <w:color w:val="111111"/>
          <w:sz w:val="28"/>
          <w:szCs w:val="28"/>
          <w:lang w:val="en-US"/>
        </w:rPr>
        <w:t>"Wujud nūr min Nür al-Anwār laisa bi an yanfashil minhu  syai,” ibid., hlm. 137: "Isyrāq Nür an-Nür ‘alā al-anwār  al-mujarradah laisa bi infishāl syai' minhu." Bandingkan,  ibid., hlm. 146: “An-nur al-mujarrad la yaqbal al-ittishal  wa al-infishāl." Sumber Cahaya dan apa yang dipancarkan  darinya membentuk entitas-entitas berkesinambungan,  dan karena itu, tidak seperti kosmologi Peripatetik, entitas-  entitas non-jasmani dan terpisah tidak berlainan. Kiasan  "cahaya" dan keutamaannya dalam menyebarkan dari satu  sumber menggambarkan kosmologi Iluminasi dengan sangat  memadai.</w:t>
      </w:r>
    </w:p>
    <w:p>
      <w:pPr>
        <w:pStyle w:val="BookText"/>
        <w:bidi w:val="0"/>
        <w:jc w:val="both"/>
        <w:rPr/>
      </w:pPr>
      <w:r>
        <w:rPr>
          <w:rFonts w:eastAsia="Times New Roman" w:cs="Times New Roman" w:ascii="Times New Roman" w:hAnsi="Times New Roman"/>
          <w:color w:val="111111"/>
          <w:sz w:val="28"/>
          <w:szCs w:val="28"/>
          <w:lang w:val="en-US"/>
        </w:rPr>
        <w:t>108.</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Saya tidak ingin membahas masalah akal aktif dalam Filsafat  Peripatetik secara rinci di sini. Singkatnya, dalam skema  umum Peripatetik, akal aktif (al-'aql al-fa'āl) berperan  sebagai dator formarum dan “perantara" akal perolehan  (al-'aql al-mustafād). Akan tetapi, perbedaan penting antara</w:t>
      </w:r>
    </w:p>
    <w:p>
      <w:pPr>
        <w:pStyle w:val="BookText"/>
        <w:bidi w:val="0"/>
        <w:rPr/>
      </w:pPr>
      <w:r>
        <w:rPr>
          <w:rFonts w:eastAsia="Times New Roman" w:cs="Times New Roman" w:ascii="Times New Roman" w:hAnsi="Times New Roman"/>
          <w:color w:val="111111"/>
          <w:sz w:val="28"/>
          <w:szCs w:val="28"/>
          <w:lang w:val="en-US"/>
        </w:rPr>
        <w:t>akal aktif Peripatetik dan Isfahbad An-Nāsūt-nya Suhrawardi  bahwa yang terakhir ini adalah bagian yang tak terpisahkan  dari apa yang berada di bawah peringkatnya dan dari apa  yang ada di atas peringkatnya. Tidak seperti akal aktif  Peripatetik, yakni akal kesepuluh dalam skema kosmologi  “matematika" di mana akal-akal dinomori, Isfahbad an-  Nāsūt adalah keragaman cahaya abstrak, yang berperan  sebagai suatu arketipe. Untuk bahasan tentang akal aktif,  lihat, F. Rahman, Prophecy in Islam. (London: George Allen  and Unwin Ltd., 1958), Bab II. Bandingkan, Aristoteles, De  Anima III.5, 430a10, di mana voüs noińíkós disamakan  dengan al-'aql al-fa'āl; Ibn Sina, An-Najāh, 11.6; Al-Farabi,  Ārā' Ahl al-Madinah al-Fādhilah, disunting M. Kurdi, (Kairo,  1948), hlm. 10; Suhrawardi, Opera III, hlm. 53-55.</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Suhrawardi, At-Talwihāt: Ath-Thabi'ah, fol. 64v; idem.,  Opera I, hlm. 57, 440; idem., Opera II, hlm. 53-55.</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Misalnya, Suhrawardi, Opera I, hlm. 57: “Al-hads ash-shahih  yahkum bi hādzā dūna hājah ilā burhān."  111. Lihat, Aristoteles, Posterior Analytics 1.33, 89b10-20,  dan catatan 17 sebelumnya. Bandingkan, Aristoteles,  Nicomachean Ethics VI.9, 1142b5-6. Bandingkan,  Suhrawardi, At-Talwihāt: Ath-Thabi'ah, fol. 69r; idem., Al-  Masyāri' wa Al-Muthārahāt, fol. 201v.</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Misalnya, Suhrawardi, At-Talwībāt: Ath-Thabi'ah, fol. 69r.</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Misalnya, Ibid., fol.65v 69r.</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Ibid.,  115. Suhrawardi, Opera II, hlm. 134.</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Ibid., hlm. 139-141: “Wa kull wāhid yusyahid Nür al-Anwār."  117. Ibid., hlm. 142-143.</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Ibid., hlm. 142, 147-148, 175, serta 184-185.</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Ibid., hlm. 137 dan 146.</w:t>
      </w:r>
    </w:p>
    <w:p>
      <w:pPr>
        <w:pStyle w:val="BookText"/>
        <w:bidi w:val="0"/>
        <w:jc w:val="both"/>
        <w:rPr/>
      </w:pPr>
      <w:r>
        <w:rPr>
          <w:rFonts w:eastAsia="Times New Roman" w:cs="Times New Roman" w:ascii="Times New Roman" w:hAnsi="Times New Roman"/>
          <w:color w:val="111111"/>
          <w:sz w:val="28"/>
          <w:szCs w:val="28"/>
          <w:lang w:val="en-US"/>
        </w:rPr>
        <w:t>117.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Ibid., hlm. 139-140, 166-175, serta 185-186. Perlu dicatat  bahwa cahaya yang mengatur, di samping berfungsi pada </w:t>
      </w:r>
    </w:p>
    <w:p>
      <w:pPr>
        <w:pStyle w:val="BookText"/>
        <w:bidi w:val="0"/>
        <w:rPr/>
      </w:pPr>
      <w:r>
        <w:rPr>
          <w:rFonts w:eastAsia="Times New Roman" w:cs="Times New Roman" w:ascii="Times New Roman" w:hAnsi="Times New Roman"/>
          <w:color w:val="111111"/>
          <w:sz w:val="28"/>
          <w:szCs w:val="28"/>
          <w:lang w:val="en-US"/>
        </w:rPr>
        <w:t>tingkat manusia sebagai al-anwār al-insiyyah. (Opera II,  hlm. 201), juga pada tingkatan kosmis sebagai al-anwār al-  falakiyyah, (Opera II, hlm. 236).</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Ibid., hlm. 201 dan 213-215.</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Ibid., hlm. 122, 135-136, serta 197.</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Ibid., hlm. 124.</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Ibid., hlm. 121-124.</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Ibid., hlm. 150.</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Ibid., hlm. 141 dan 204-205. Bandingkan, ibid., hlm. 13: “Al-  Isyrāqiyyūn là yantazhim amruhum dūna sawānih nūriyyah."  127. Ini terjadi ketika subjek mengetahui sebagai monad yang  sadar diri, menjadi subjek yang kreatif.</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Ibid., hlm. 252: "Persaudaraan" ini menikmati tingkat  kemanusiaan yang paling tinggi, yaitu tingkat “Penciptaan",  yang melaluinya mereka bisa mengadakan (istilah yang  digunakan adalah ijād, yang bisa diterjemahkan sebagai  “menciptakan") apa pun yang mereka inginkan. Bandingkan,  ibid., hlm. 242: “Wa li Ikhwān al-tajrid maqām khāshsh fihi  yaqdirūna 'alā ījād mutsul qā'imah 'alā ayyi shūrah ‘aradh,  wa dzālika mā yusammā maqām kun."  129. Ibid., hlm. 156 dan 162.</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Ibid., hlm. 253-254.</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Ibid., hlm. 97.</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Ibid., hlm. 98.</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Ibid., hlm. 99.</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Ibid., hlm. 100.</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Yang saya maksudkan dengan visi di sini adalah prinsip  yang menggabungkan penglihatan (ibshār) dan visi dalam  pengertian yang lebih luas (musyāhadah).</w:t>
      </w:r>
    </w:p>
    <w:p>
      <w:pPr>
        <w:pStyle w:val="BookText"/>
        <w:bidi w:val="0"/>
        <w:jc w:val="both"/>
        <w:rPr/>
      </w:pPr>
      <w:r>
        <w:rPr>
          <w:rFonts w:eastAsia="Times New Roman" w:cs="Times New Roman" w:ascii="Times New Roman" w:hAnsi="Times New Roman"/>
          <w:color w:val="111111"/>
          <w:sz w:val="28"/>
          <w:szCs w:val="28"/>
          <w:lang w:val="en-US"/>
        </w:rPr>
        <w:t>134.</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Al-Farabi, Kitāb Al-Jamʻ Baina Ra'yai Al-Hakimain, disunting oleh  A.N. Nader, (Beirut, 1959), hlm. 91 dan seterusnya. Suatu  indikasi bahwa karya ini penting untuk mengkaji Filsafat  Tluminasi, bahwa karya ini dicetak pada catatan pinggir karya </w:t>
      </w:r>
    </w:p>
    <w:p>
      <w:pPr>
        <w:pStyle w:val="BookText"/>
        <w:bidi w:val="0"/>
        <w:rPr/>
      </w:pPr>
      <w:r>
        <w:rPr>
          <w:rFonts w:eastAsia="Times New Roman" w:cs="Times New Roman" w:ascii="Times New Roman" w:hAnsi="Times New Roman"/>
          <w:color w:val="111111"/>
          <w:sz w:val="28"/>
          <w:szCs w:val="28"/>
          <w:lang w:val="en-US"/>
        </w:rPr>
        <w:t>Asy-Syirazi, Syarh Hikmah Al-Isyrāq.</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Ibid., Aristoteles telah membahas penglihatan ini di berbagai  tempat dalam karyanya, termasuk Topics (114a dan  seterusnya), di mana ia membahas hubungan antara benda  yang diketahui, indra yang dipahami, dan objek penglihatan.</w:t>
      </w:r>
    </w:p>
    <w:p>
      <w:pPr>
        <w:pStyle w:val="BookText"/>
        <w:bidi w:val="0"/>
        <w:jc w:val="both"/>
        <w:rPr/>
      </w:pPr>
      <w:r>
        <w:rPr>
          <w:rFonts w:eastAsia="Times New Roman" w:cs="Times New Roman" w:ascii="Times New Roman" w:hAnsi="Times New Roman"/>
          <w:color w:val="111111"/>
          <w:sz w:val="28"/>
          <w:szCs w:val="28"/>
          <w:lang w:val="en-US"/>
        </w:rPr>
        <w:t>Tampak bahwa pembahasan yang paling penting mengenai  masalah ini ditemukan dalam karyanya, De Annima (4181a).</w:t>
      </w:r>
    </w:p>
    <w:p>
      <w:pPr>
        <w:pStyle w:val="BookText"/>
        <w:bidi w:val="0"/>
        <w:jc w:val="both"/>
        <w:rPr/>
      </w:pPr>
      <w:r>
        <w:rPr>
          <w:rFonts w:eastAsia="Times New Roman" w:cs="Times New Roman" w:ascii="Times New Roman" w:hAnsi="Times New Roman"/>
          <w:color w:val="111111"/>
          <w:sz w:val="28"/>
          <w:szCs w:val="28"/>
          <w:lang w:val="en-US"/>
        </w:rPr>
        <w:t>"Risalah Hunain bin Ishāq”, yang berjudul Fi Dhau' wa  Haqiqatihi (diterbitkan dalam Al-Masyriq, 1899), hlm. 1105-  1113, adalah sebuah ikhtisar dan ringkasan pandangan  Aristoteles tentang masalah ini. Hunain menganggap  pandangan-pandangan Aristoteles sebagai yang terbaik.</w:t>
      </w:r>
    </w:p>
    <w:p>
      <w:pPr>
        <w:pStyle w:val="BookText"/>
        <w:bidi w:val="0"/>
        <w:jc w:val="both"/>
        <w:rPr/>
      </w:pPr>
      <w:r>
        <w:rPr>
          <w:rFonts w:eastAsia="Times New Roman" w:cs="Times New Roman" w:ascii="Times New Roman" w:hAnsi="Times New Roman"/>
          <w:color w:val="111111"/>
          <w:sz w:val="28"/>
          <w:szCs w:val="28"/>
          <w:lang w:val="en-US"/>
        </w:rPr>
        <w:t>Aristoteles percaya bahwa cahaya tidak dapat menjadi  jasmani, karena gerak badan jasmani memerlukan waktu,  sementara gerak cahaya tidak. Juga, apa yang dinisbatkan  kepada badan adalah aksiden, sementara cahaya bukan; karena  itu, cahaya bukan jasmani. Juga, badan ketika berdekatan  satu sama lain menjadi padat, sementara keragaman cahaya  tidak membuatnya padat. Karena itu, cahaya bukan jasad.</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Al-Farabi, Kitāb Al-Jam', hlm. 92. Flutirkhus, dalam karyanya  Ārā' Ath-Thabi'iyyah, diterbitkan dalam “Aristhū fi An-Nafs"  yang disunting oleh A. Badawi, (Beirut, 1954), hlm. 95-188:</w:t>
      </w:r>
    </w:p>
    <w:p>
      <w:pPr>
        <w:pStyle w:val="BookText"/>
        <w:bidi w:val="0"/>
        <w:jc w:val="both"/>
        <w:rPr/>
      </w:pPr>
      <w:r>
        <w:rPr>
          <w:rFonts w:eastAsia="Times New Roman" w:cs="Times New Roman" w:ascii="Times New Roman" w:hAnsi="Times New Roman"/>
          <w:color w:val="111111"/>
          <w:sz w:val="28"/>
          <w:szCs w:val="28"/>
          <w:lang w:val="en-US"/>
        </w:rPr>
        <w:t>mengatakan bahwa Plato tidak percaya bahwa sesuatu (syai')  meninggalkan mata; sebaliknya, ia menganggap tiga jenis  cahaya yang menjadi dasar penglihatan: cahaya abstrak yang  memancar dari matahari, cahaya abstrak yang meninggalkan  mata dan bertabrakan dengan benda yang terlihat, dan warna  benda yang terlihat, yang memancar darinya dan merupakan  cahaya yang abstrak juga.</w:t>
      </w:r>
    </w:p>
    <w:p>
      <w:pPr>
        <w:pStyle w:val="BookText"/>
        <w:bidi w:val="0"/>
        <w:jc w:val="both"/>
        <w:rPr/>
      </w:pPr>
      <w:r>
        <w:rPr>
          <w:rFonts w:eastAsia="Times New Roman" w:cs="Times New Roman" w:ascii="Times New Roman" w:hAnsi="Times New Roman"/>
          <w:color w:val="111111"/>
          <w:sz w:val="28"/>
          <w:szCs w:val="28"/>
          <w:lang w:val="en-US"/>
        </w:rPr>
        <w:t>139.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Lihat, Alexander Aphrodias, “fi radd ‘alā man yaqul anna  al-ibshār yakun bi ash-shuſā’āt al-khārijah inda khurūjihā  min al-bashar,” dalam Syurūh ‘alā Aristhū Mafqūdah fī Al-  Yunāniyyah, disunting A. Badawi (Beirut, 1969), hlm. 26-30.</w:t>
      </w:r>
    </w:p>
    <w:p>
      <w:pPr>
        <w:pStyle w:val="BookText"/>
        <w:bidi w:val="0"/>
        <w:rPr/>
      </w:pPr>
      <w:r>
        <w:rPr>
          <w:rFonts w:eastAsia="Times New Roman" w:cs="Times New Roman" w:ascii="Times New Roman" w:hAnsi="Times New Roman"/>
          <w:color w:val="111111"/>
          <w:sz w:val="28"/>
          <w:szCs w:val="28"/>
          <w:lang w:val="en-US"/>
        </w:rPr>
        <w:t>Suhrawardi, Opera II, hlm. 134.</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Suhrawardi, Opera II, hlm. 134.</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Ibid., hlm. 150.</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Ibid., hlm. 134-135. Baik kedekatan eksesif (qurb mufrath)  maupun jarak eksesif (bu'd mufrath) dianggap sebagai  halangan yang membendung aktualisasi “penglihatan".</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Sumber Cahaya tidak berbeda "dalam realitas" (fī al-haqiqah)  dari cahaya-cahaya lain, dan ia tidak punya kehendak, atas  dasar apa ia memancar berawal dari suatu saat terpilih ke  depan, Suhrawardi, Opera II, hlm. 122.</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Meskipun, Suhrawardi tidak pernah secara eksplisit  mengatakan dunia abadi menjadi akibat yang mesti dari  pandangannya bahwa emanasi adalah abadi (al-faidh al-  abadi). Bandingkan, ibid., hlm. 181. Keabadian adalah  konsep yang secara esensial menjadi bagian dari emanasi  Cahaya Segala Cahaya, karena "tindakan” emanasi ini  bukan suatu perubahan (taghyīr), juga tidak mengandung  ketiadaan (“adam). Dunia terus menjadi (sebagaimana ia  telah menjadi), dengan kontinuitas Cahaya Segala Cahaya,  Ibid., hlm. 177-183.</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Perbedaan antara Cahaya Segala Cahaya dan cahaya-cahaya  lain hanyalah tingkat kesempurnaan, dan ini digambarkan  dalam berbagai intensitas dalam “cahaya-cahaya”. Ini berarti  tidak ada “kesenjangan" atau prinsip perantara antara  Cahaya Segala Cahaya dan cahaya-cahaya lain. Bandingkan,  Suhrawardi, Opera II, hlm. 126-127.</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J. M. Rist, Plotinus: The Road to Reality, hlm. 36.</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Ibid., hlm. 66-69.</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Ibid., hlm. 66.</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Lihat, Ibid., Bab III, IV, VI.</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Ibid., hlm. 69.</w:t>
      </w:r>
    </w:p>
    <w:p>
      <w:pPr>
        <w:pStyle w:val="BookText"/>
        <w:bidi w:val="0"/>
        <w:jc w:val="both"/>
        <w:rPr/>
      </w:pPr>
      <w:r>
        <w:rPr>
          <w:rFonts w:eastAsia="Times New Roman" w:cs="Times New Roman" w:ascii="Times New Roman" w:hAnsi="Times New Roman"/>
          <w:color w:val="111111"/>
          <w:sz w:val="28"/>
          <w:szCs w:val="28"/>
          <w:lang w:val="en-US"/>
        </w:rPr>
        <w:t>151.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Cahaya Segala Cahaya adalah emanasi diri (fayyadh  bi adz-dzāt) dan "pengenal yang aktif" (al-darrāk al- </w:t>
      </w:r>
    </w:p>
    <w:p>
      <w:pPr>
        <w:pStyle w:val="BookText"/>
        <w:bidi w:val="0"/>
        <w:rPr/>
      </w:pPr>
      <w:r>
        <w:rPr>
          <w:rFonts w:eastAsia="Times New Roman" w:cs="Times New Roman" w:ascii="Times New Roman" w:hAnsi="Times New Roman"/>
          <w:color w:val="111111"/>
          <w:sz w:val="28"/>
          <w:szCs w:val="28"/>
          <w:lang w:val="en-US"/>
        </w:rPr>
        <w:t>fa'āl), Suhrawardi, Opera II, hlm. 11. Karena tindakan  “mengetahui" (idrāk) adalah menifestasi diri, mengetahui  diri dan kesadaran diri. Ibid., hlm. 110-113. Cahaya Segala  Cahaya adalah kesadaran diri murni, tidak berubah, dan  merupakan emanasi abadi.</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Cahaya Pertama dibatasi, dan karenanya “terbatas", tetapi ia  punya suatu “ketidakterbatasan" kualitas yang diterimanya  dan dipancarkan darinya. Kenyataan bahwa Cahaya Pertama  mentransmisikan esensi dari Cahaya Segala Cahaya harus  berarti bahwa ia tak terbatas, tetapi tak terbatas yang  dibatasi.</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Joseph Owens, The Doctrine of Being in the Aristotelian  Metaphysics. (Toronto: Pontifical Institue of Medieval  Studies, 1963), hlm. 35-63 dan 467-468.</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Rist, Plotinus; The Road to Reality, hlm. 24. Bandingkan, The  Doctrine of Being in The Aristotelian Metaphysics, hlm. 39  155. Setiap cahaya yang lebih rendah meski dikendalikan dan  didominasi oleh cahaya yang lebih tinggi, bisa “melihat"  cahaya yang lebih tinggi, dan "saat” melihat adalah ketika  cahaya yang lebih rendah berkaitan dengan cahaya yang  lebih tinggi, dan selanjutnya dengan yang tertinggi. Lihat,  Suhrawardi, Opera II, hlm. 135-136. Istilah 'an dan lahzhah  menunjukkan pengertian saat atau masa yang tidak dapat  dibatasi. Hal itu juga menunjukkan ide ketiadaan durasi  seperti "ukuran" untuk menunjukkan “kapan" hubungan  antara yang terbatas dan yang tak terbatas, singkatnya,  "saat" visi dan Iluminasi.</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Ibid., hlm. 126-127 dan 132.</w:t>
      </w:r>
    </w:p>
    <w:p>
      <w:pPr>
        <w:pStyle w:val="BookText"/>
        <w:bidi w:val="0"/>
        <w:jc w:val="both"/>
        <w:rPr/>
      </w:pPr>
      <w:r>
        <w:rPr>
          <w:rFonts w:eastAsia="Times New Roman" w:cs="Times New Roman" w:ascii="Times New Roman" w:hAnsi="Times New Roman"/>
          <w:color w:val="111111"/>
          <w:sz w:val="28"/>
          <w:szCs w:val="28"/>
          <w:lang w:val="en-US"/>
        </w:rPr>
        <w:t>156.</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Ibid., hlm. 125 dan 138-139. Suhrawardi tidak menggunakan  istilah shudūr atau faya yang lebih umum untuk  menggambarkan emanasi cahaya dari Cahaya Segala  Cahaya. Istilah yang digunakan adalah hushūl, yang berarti  “memperoleh” lebih terbatas dari istilah-istilah lain dan </w:t>
      </w:r>
    </w:p>
    <w:p>
      <w:pPr>
        <w:pStyle w:val="BookText"/>
        <w:bidi w:val="0"/>
        <w:rPr/>
      </w:pPr>
      <w:r>
        <w:rPr>
          <w:rFonts w:eastAsia="Times New Roman" w:cs="Times New Roman" w:ascii="Times New Roman" w:hAnsi="Times New Roman"/>
          <w:color w:val="111111"/>
          <w:sz w:val="28"/>
          <w:szCs w:val="28"/>
          <w:lang w:val="en-US"/>
        </w:rPr>
        <w:t>menggambarkan proses penyebaran cahaya yang lebih  “alami" ketimbang emanasi "yang dikehendaki" atau  "diinginkan” dari Sumber.</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Ibid., hlm. 119, dan 126-127.</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Ibid., hlm. 126.</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Ibid., hlm. 135-137.</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Ibid., hlm. 132-134.</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Ibid., hlm. 133, dan 145-147.</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Ibid., hlm. 138-143.</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Ibid., hlm. 138.</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Ibid., hlm. 139-140.</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Ibid., hlm. 138, 140.</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Ibid., hlm. 190-191 dan 195.</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Ibid., hlm. 138-141. Rangkaian 211, bersama-sama dengan  rangkaian 3n-1, adalah dua rangkaian yang berperan sebagai  dasar penyelerasan Dunia Jiwa Plato. Lihat, F. M. Comford,  Plato's Cosmology. (New York: Bobbs-Meril, t.th), hlm. 49.</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Suhrawardi, Opera II, hlm. 132, 139-140, 153-156, serta  170-178, 223.</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Ibid., hlm. 143.</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Lihat, Mulla Sadra, Ta‘liqāt, (Syirazi, Syarh II), hlm. 170-  206, catatan pinggir; idem., Kitāb Al-Masyā'ir, disunting  H. Corbin, (Tehran: Institute Franco-Iranien, 1964). Mulla  Sadra mencurahkan Bagian Pertama karyanya yang penting,  Al-Asfār Al-Arba'ah, untuk mengkaji dan menelaah ihwal  wujud.</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Untuk bahasan rinci tentang teori Wujud Mulla Sadra, lihat,  Jalal Asytiyani, Hasti. (Masyhad: Khurasan Press, 1960),  hlm. 28-32 dan 69-103.</w:t>
      </w:r>
    </w:p>
    <w:p>
      <w:pPr>
        <w:pStyle w:val="BookText"/>
        <w:bidi w:val="0"/>
        <w:jc w:val="both"/>
        <w:rPr/>
      </w:pPr>
      <w:r>
        <w:rPr>
          <w:rFonts w:eastAsia="Times New Roman" w:cs="Times New Roman" w:ascii="Times New Roman" w:hAnsi="Times New Roman"/>
          <w:color w:val="111111"/>
          <w:sz w:val="28"/>
          <w:szCs w:val="28"/>
          <w:lang w:val="en-US"/>
        </w:rPr>
        <w:t>173.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Teori wujud Suhrawardi dikembangkan melalui karya-  karyanya, tetapi tidak ada bagian khusus yang membahas  masalah tersebut secara sistematis. Lihat, Suhrawardi,  terutama, Opera I, hlm. 4 dan seterusnya. Lihat juga, idem., </w:t>
      </w:r>
    </w:p>
    <w:p>
      <w:pPr>
        <w:pStyle w:val="BookText"/>
        <w:bidi w:val="0"/>
        <w:rPr/>
      </w:pPr>
      <w:r>
        <w:rPr>
          <w:rFonts w:eastAsia="Times New Roman" w:cs="Times New Roman" w:ascii="Times New Roman" w:hAnsi="Times New Roman"/>
          <w:color w:val="111111"/>
          <w:sz w:val="28"/>
          <w:szCs w:val="28"/>
          <w:lang w:val="en-US"/>
        </w:rPr>
        <w:t>Opera I, hlm. 19, 152-153; idem., Opera II, hlm. 20.</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Suhrawardi, Operasi I, hlm. 4 dan seterusnya. Lihat juga,  idem., Opera I, hlm. 125, 199 dan seterusnya.</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Lihat, Merlan, From Plotinus to Neoplatonism, hlm. 160-  220. Bandingkan, Suhrawardi, Opera II, hlm. 173.</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Suhrawardi, Opera I, hlm. 4, dan 199-200.</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Suhrawardi, Opera II, hlm. 10.</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Ibid., hlm. 107, dan 121-124.</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Ibid., hlm. 107-109.</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Ibid., hlm. 189-190.</w:t>
      </w:r>
    </w:p>
    <w:p>
      <w:pPr>
        <w:pStyle w:val="BookText"/>
        <w:bidi w:val="0"/>
        <w:jc w:val="both"/>
        <w:rPr/>
      </w:pPr>
      <w:r>
        <w:rPr>
          <w:rFonts w:eastAsia="Times New Roman" w:cs="Times New Roman" w:ascii="Times New Roman" w:hAnsi="Times New Roman"/>
          <w:color w:val="111111"/>
          <w:sz w:val="28"/>
          <w:szCs w:val="28"/>
          <w:lang w:val="en-US"/>
        </w:rPr>
        <w:t>181.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Ibid., hlm. 110, 112, dan 114. Bandingkan, Suhrawardi,  Opera I, hlm. 115-116 dan 186-188. </w:t>
      </w:r>
      <w:bookmarkStart w:id="218" w:name="pg6442_57511"/>
    </w:p>
    <w:p>
      <w:pPr>
        <w:pStyle w:val="Heading2"/>
        <w:numPr>
          <w:ilvl w:val="1"/>
          <w:numId w:val="1"/>
        </w:numPr>
        <w:bidi w:val="0"/>
        <w:jc w:val="left"/>
        <w:rPr/>
      </w:pPr>
      <w:bookmarkStart w:id="219" w:name="__RefHeading___Toc924726_653776707"/>
      <w:bookmarkStart w:id="220" w:name="_Toc76"/>
      <w:bookmarkEnd w:id="218"/>
      <w:bookmarkEnd w:id="219"/>
      <w:r>
        <w:rPr/>
        <w:t>APENDIKS A</w:t>
      </w:r>
      <w:bookmarkEnd w:id="220"/>
    </w:p>
    <w:p>
      <w:pPr>
        <w:pStyle w:val="Heading3"/>
        <w:numPr>
          <w:ilvl w:val="2"/>
          <w:numId w:val="1"/>
        </w:numPr>
        <w:bidi w:val="0"/>
        <w:jc w:val="left"/>
        <w:rPr/>
      </w:pPr>
      <w:bookmarkStart w:id="221" w:name="__RefHeading___Toc924728_653776707"/>
      <w:bookmarkStart w:id="222" w:name="_Toc77"/>
      <w:bookmarkEnd w:id="221"/>
      <w:r>
        <w:rPr/>
        <w:t>Point</w:t>
      </w:r>
      <w:bookmarkEnd w:id="222"/>
    </w:p>
    <w:p>
      <w:pPr>
        <w:pStyle w:val="BookText"/>
        <w:bidi w:val="0"/>
        <w:jc w:val="both"/>
        <w:rPr/>
      </w:pPr>
      <w:r>
        <w:rPr>
          <w:rFonts w:eastAsia="Times New Roman" w:cs="Times New Roman" w:ascii="Times New Roman" w:hAnsi="Times New Roman"/>
          <w:color w:val="111111"/>
          <w:sz w:val="28"/>
          <w:szCs w:val="28"/>
          <w:lang w:val="en-US"/>
        </w:rPr>
        <w:t>Terjemahan “Pengantar” Filsafat Iluminasi  Hikmah Al-Isyrāq Karya Suhrawardi  $1. Dengan nama Allah, Yang Maha Pengasih dan  Yang Maha Penyayang. Ya Allah! Mengingat nama-Mu adalah  kemuliaan, dan keagungan-Mu Mahabesar, dan apa yang Engkau  karuniakan sungguh luhur, dan kemuliaan-Mu melampaui  segalanya! Salawat dan salam senantiasa dilimpahkan kepada  mereka yang telah Engkau pilih dan kepada para Rasul utusan-  Mu, terutama kepada Muhammad Al-Musthafa, junjungan umat  manusia, dan pemberi syafaat bagi semua di Hari Kiamat kelak.</w:t>
      </w:r>
    </w:p>
    <w:p>
      <w:pPr>
        <w:pStyle w:val="BookText"/>
        <w:bidi w:val="0"/>
        <w:jc w:val="both"/>
        <w:rPr/>
      </w:pPr>
      <w:r>
        <w:rPr>
          <w:rFonts w:eastAsia="Times New Roman" w:cs="Times New Roman" w:ascii="Times New Roman" w:hAnsi="Times New Roman"/>
          <w:color w:val="111111"/>
          <w:sz w:val="28"/>
          <w:szCs w:val="28"/>
          <w:lang w:val="en-US"/>
        </w:rPr>
        <w:t>Salawat dan salam terlimpah kepada beliau dan juga mereka  semua. Jadikanlah kami semua, dengan cahaya-Mu, termasuk  dalam golongan orang-orang yang menang dan [masukkanlah]  kami ke dalam orang-orang yang mengingat-Mu dan bersyukur  atas karunia-Mu.</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Ketahuilah, saudara-saudaraku bahwa permintaanmu  yang terus-menerus agar aku menulis Filsafat Iluminasi  telah memperlemah ketetapan hatiku untuk bertahan, dan  menghilangkan keinginan untuk tidak memenuhinya. Kalau  bukan karena kewajiban, suatu pesan yang telah muncul  dan suatu perintah yang diberikan dari suatu tempat yang-  bila tidak dipatuhi – akan mengantarkan pada kesesatan dari  jalan, aku tidak akan merasa berkewajiban melangkah dan  mengungkap secara terbuka [Filsafat Iluminasi); karena kalian </w:t>
      </w:r>
    </w:p>
    <w:p>
      <w:pPr>
        <w:pStyle w:val="BookText"/>
        <w:bidi w:val="0"/>
        <w:rPr/>
      </w:pPr>
      <w:r>
        <w:rPr>
          <w:rFonts w:eastAsia="Times New Roman" w:cs="Times New Roman" w:ascii="Times New Roman" w:hAnsi="Times New Roman"/>
          <w:color w:val="111111"/>
          <w:sz w:val="28"/>
          <w:szCs w:val="28"/>
          <w:lang w:val="en-US"/>
        </w:rPr>
        <w:t>pasti mengetahui bagaimana sulitnya hal itu. Akan tetapi,  kalian, saudara-saudaraku, semoga Allah, Tuhan menunjuki  kalian kepada apa yang dicintai dan diridhai-Nya, terus-  menerus memintaku agar menulis untuk kalian sebuah buku  yang menyebutkan apa yang telah aku peroleh melalui intuisi  (dzauq) selama aku berkhalwat dan saat-saat aku memperoleh  ilham (munāzalāt). Dalam setiap jiwa yang selalu mencari,  ada sebagian, entah kecil atau besar, dari cahaya Tuhan, dan  setiap orang yang berusaha mencari pasti memiliki intuisi,  entah sempurna atau tidak sempurna. Pengetahuan tidak  terletak pada sekelompok orang tertentu sehingga pintu langit  tertutup di belakang mereka, dan juga tidak pada dunia yang  menolak kemungkinan memperoleh lebih jauh, melainkan pada  dator scientiae (wāhib al-'ilm),</w:t>
      </w:r>
      <w:r>
        <w:rPr>
          <w:rStyle w:val="FootnoteAnchor"/>
        </w:rPr>
        <w:footnoteReference w:id="465"/>
      </w:r>
      <w:r>
        <w:rPr>
          <w:rFonts w:eastAsia="Times New Roman" w:cs="Times New Roman" w:ascii="Times New Roman" w:hAnsi="Times New Roman"/>
          <w:color w:val="111111"/>
          <w:sz w:val="28"/>
          <w:szCs w:val="28"/>
          <w:lang w:val="en-US"/>
        </w:rPr>
        <w:t>yang tegak di "cakrawala yang  jelas" dan tidak pelit dengan yang gaib (al-ghaib). Umur yang  paling malang adalah ketika seseorang kehilangan usaha dalam  dirinya kala gerakan pemikiran terganggu, pintu penyingkapan  (mukāsyafah) terkunci, dan jalan penyaksian (musyāhadah)  tertutup.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Aku telah menyusun untuk kalian, sebelum karya  ini dan selama penyusunannya (ketika beberapa halangan  menggangguku), buku-buku yang sesuai dengan metode  Perpatetik yang di dalamnya aku meringkas teori-teori mereka.</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karya-karya ini, adalah uraian pendek yang disebut  At-Talwihāt, yang memuat teori-teori yang dibentuk secara  ringkas. Buku berikutnya adalah Al-Lamahāt. Aku juga sudah  menyusun buku-buku lain, yang di antaranya kutulis sewaktu  masih muda. Namun, buku ini (Hikmah Al-Isyrāq) menggunakan  metode dan cara yang berbeda dari cara lain [Peripatetik] </w:t>
      </w:r>
    </w:p>
    <w:p>
      <w:pPr>
        <w:pStyle w:val="BookText"/>
        <w:bidi w:val="0"/>
        <w:rPr/>
      </w:pPr>
      <w:r>
        <w:rPr>
          <w:rFonts w:eastAsia="Times New Roman" w:cs="Times New Roman" w:ascii="Times New Roman" w:hAnsi="Times New Roman"/>
          <w:color w:val="111111"/>
          <w:sz w:val="28"/>
          <w:szCs w:val="28"/>
          <w:lang w:val="en-US"/>
        </w:rPr>
        <w:t>menuju (pengetahuan], lebih rapi dan jelas, dan tidak susah  untuk dipelajari. Aku tidak memperolehnya pertama-tama  melalui pemikiran (bi al-fikr), melainkan melalui jalan yang lain.</w:t>
      </w:r>
    </w:p>
    <w:p>
      <w:pPr>
        <w:pStyle w:val="BookText"/>
        <w:bidi w:val="0"/>
        <w:jc w:val="both"/>
        <w:rPr/>
      </w:pPr>
      <w:r>
        <w:rPr>
          <w:rFonts w:eastAsia="Times New Roman" w:cs="Times New Roman" w:ascii="Times New Roman" w:hAnsi="Times New Roman"/>
          <w:color w:val="111111"/>
          <w:sz w:val="28"/>
          <w:szCs w:val="28"/>
          <w:lang w:val="en-US"/>
        </w:rPr>
        <w:t>Akhirnya, kutemukan bukti-bukti (hujjah) untuknya. Sekiranya  aku harus berhenti beroleh visi atau penyaksian misalnya,  maka tak ada seorang pun yang bisa membuatku meragukan  [keyakinan yang telah kuperoleh).</w:t>
      </w:r>
    </w:p>
    <w:p>
      <w:pPr>
        <w:pStyle w:val="BookText"/>
        <w:bidi w:val="0"/>
        <w:jc w:val="both"/>
        <w:rPr/>
      </w:pPr>
      <w:r>
        <w:rPr>
          <w:rFonts w:eastAsia="Times New Roman" w:cs="Times New Roman" w:ascii="Times New Roman" w:hAnsi="Times New Roman"/>
          <w:color w:val="111111"/>
          <w:sz w:val="28"/>
          <w:szCs w:val="28"/>
          <w:lang w:val="en-US"/>
        </w:rPr>
        <w:t>$4. Dalam semua yang telah kusebutkan berkaitan  dengan “ilmu cahaya-cahaya" dan segala yang didasarkan  padanya, aku telah dibantu oleh para musafir di jalan Tuhan.</w:t>
      </w:r>
    </w:p>
    <w:p>
      <w:pPr>
        <w:pStyle w:val="BookText"/>
        <w:bidi w:val="0"/>
        <w:jc w:val="both"/>
        <w:rPr/>
      </w:pPr>
      <w:r>
        <w:rPr>
          <w:rFonts w:eastAsia="Times New Roman" w:cs="Times New Roman" w:ascii="Times New Roman" w:hAnsi="Times New Roman"/>
          <w:color w:val="111111"/>
          <w:sz w:val="28"/>
          <w:szCs w:val="28"/>
          <w:lang w:val="en-US"/>
        </w:rPr>
        <w:t>[Apa yang membimbingku) adalah intuisi pemimpin filsafat  (imām Al-Hikmah), yang gurunya adalah Plato, “pemilik  dukungan dan Cahaya Tuhan" (shāhib al-aid wa an-nūr). Begitu  juga [“ilmu cahaya-cahaya" berdasarkan intuisi para filsuf]  sebelum Plato, dari masa Hermes, “Bapak para Filsuf" (wālid  al-hukamā) sampai pada masa Plato, termasuk para filsuf  terdahulu bercorak metaforis dan simbolis sehingga dikatakan  bertentangan dengan mereka, meskipun boleh jadi bahasa  tersebut diarahkan bertentangan dengan pernyataan-pernyataan  mereka, yang jelas tidak diarahkan agar berlawanan dengan  tujuan mereka karena tak seorang pun dapat menolak metafora  ataupun simbol. Ini juga menjadi dasar Filsafat Timur tentang  cahaya dan gelap, yang merupakan metode para filsuf Persia  semisal Jamash, Farshawahtar, Buzurjmihr, dan lain-lainnya  sebelum mereka. Namun, teorema ini bukan teorema Majusi  yang kafir, bid'ah kaum Mani, dan apa pun yang mengantarkan  pada tindakan menyekutukan dewa-dewa lain dengan Allah,  yang Mahasuci dari segala bentuk antropomorfisme.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Jangan membayangkan bahwa filsafat ada hanya dalam </w:t>
      </w:r>
    </w:p>
    <w:p>
      <w:pPr>
        <w:pStyle w:val="BookText"/>
        <w:bidi w:val="0"/>
        <w:rPr/>
      </w:pPr>
      <w:r>
        <w:rPr>
          <w:rFonts w:eastAsia="Times New Roman" w:cs="Times New Roman" w:ascii="Times New Roman" w:hAnsi="Times New Roman"/>
          <w:color w:val="111111"/>
          <w:sz w:val="28"/>
          <w:szCs w:val="28"/>
          <w:lang w:val="en-US"/>
        </w:rPr>
        <w:t>waktu yang singkat. Dunia tidak pernah hampa dari filsafat, juga  hampa dari orang yang menguasai hikmah, yang memiliki dasar-  dasar dan penjelasan-penjelasan. Orang semacam itu adalah  khalifah Allah; dan mereka akan tetap ada selama ada langit  dan bumi. Perbedadan antara filsuf terdahulu dan kemudian  hanya berkaitan dengan penggunaan bahasa dan juga kebiasaan  dalam menyatakan ajaran mereka entah secara eksplisit atau  hanya secara isyarat saja. Semua filsuf sepakat bahwa ada  tiga alam [wujud],</w:t>
      </w:r>
      <w:r>
        <w:rPr>
          <w:rStyle w:val="FootnoteAnchor"/>
        </w:rPr>
        <w:footnoteReference w:id="466"/>
      </w:r>
      <w:r>
        <w:rPr>
          <w:rFonts w:eastAsia="Times New Roman" w:cs="Times New Roman" w:ascii="Times New Roman" w:hAnsi="Times New Roman"/>
          <w:color w:val="111111"/>
          <w:sz w:val="28"/>
          <w:szCs w:val="28"/>
          <w:lang w:val="en-US"/>
        </w:rPr>
        <w:t>dan keesaan Allah; tidak ada perselisihan  di antara mereka berkaitan dengan prinsip-prinsip dalam  berbagai problem [filsafat). Meski Guru Pertama [Aristoteles]  punya kedudukan penting, peringkat tinggi, yang menyalurkan  pandangan dan kemampuan-kemampuan spekulatif yang  sempurna, orang tidak diizinkan untuk mengagung-agungkannya  sedemikian rupa demi mengakhiri cercaan atas dua gurunya  [Socrates dan Plato). Kelompok [filsuf] mencakup “para utusan"  (ahl al-sifārah) dan “pemberi hukum" (asy-syāri'un), semisal  Agathodaemon, Hermes, Asclepius, dan lain sebagainya.</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Ada banyak tingkatan [filsuf], dan mereka termasuk  dalam berbagai golongan, sebagai berikut: seorang filsuf  Ketuhanan (hakim ilāhī) yang ahli dalam teosofi (ta'alluh),  tetapi tidak menguasai filsafat diskursif (bahts), seorang  filsuf Diskursif yang tidak menguasai teosofi; seorang filsuf  Ketuhanan yang ahli dalam teosofi dan filsafat diskursif;  seorang filsuf Ketuhanan yang ahli dalam teosofi, tetapi sedikit  menguasai atau lemah dalam filsafat diskursif; seorang filsuf  yang ahli dalam filsafat diskursif, tetapi sedikit menguasai atau  lemah dalam teosofi; seorang murid [secara harfiah: pencari]  teosofi dan filsafat diskursif; murid teosofi saja dan; murid </w:t>
      </w:r>
    </w:p>
    <w:p>
      <w:pPr>
        <w:pStyle w:val="BookText"/>
        <w:bidi w:val="0"/>
        <w:rPr/>
      </w:pPr>
      <w:r>
        <w:rPr>
          <w:rFonts w:eastAsia="Times New Roman" w:cs="Times New Roman" w:ascii="Times New Roman" w:hAnsi="Times New Roman"/>
          <w:color w:val="111111"/>
          <w:sz w:val="28"/>
          <w:szCs w:val="28"/>
          <w:lang w:val="en-US"/>
        </w:rPr>
        <w:t>filsafat diskursif saja. Meski demikian, dalam beberapa periode,  selalu ada seorang filsuf yang ahli dalam teosofi maupun filsafat  diskursif, yang mempunyai kepemimpinan (ri'āsah) dan [filsuf  semacam itu) adalah khalifah Tuhan. Sekiranya keadaannya  tidak demikian, seorang filsuf yang ahli dalam teosofi, tetapi  sedikit menguasai Filsafat Diskurisif [akan bisa memegang  tampuk kepemimpinan]. Begitu juga, seorang filsuf yang ahli  dalam teosofi, tetapi tidak menguasai filsafat diskursif, bisa  menjadi khalifah Tuhan. Bumi tidak pernah kosong dari filsuf  yang ahli dalam teosofi. Kepemimpinan tidak pernah diberikan  kepada ahli dalam filsafat diskursif yang tidak ahli dalam  teosofi. Karena itu, dunia tidak pernah hampa dari teosof ahli,  yang lebih pantas ketimbang filsuf Diskursif semata; karena  mau tidak mau, kekhalifahan harus dipegang (oleh seseorang].</w:t>
      </w:r>
    </w:p>
    <w:p>
      <w:pPr>
        <w:pStyle w:val="BookText"/>
        <w:bidi w:val="0"/>
        <w:jc w:val="both"/>
        <w:rPr/>
      </w:pPr>
      <w:r>
        <w:rPr>
          <w:rFonts w:eastAsia="Times New Roman" w:cs="Times New Roman" w:ascii="Times New Roman" w:hAnsi="Times New Roman"/>
          <w:color w:val="111111"/>
          <w:sz w:val="28"/>
          <w:szCs w:val="28"/>
          <w:lang w:val="en-US"/>
        </w:rPr>
        <w:t>Dengan kepemimpinan ini, yang ku maksudkan bukan hanya  kontrol sesaat. Sebaliknya, pemimpin teosof bisa menjadi  pemimpin secara terbuka; atau ia yang mungkin berada di alam  kegaiban, yang banyak disebut sebagai “kutub" (quthb) – akan  bisa menjadi pemimpin dalam kegaibannya sekalipun. Ketika  penguasaan bumi (as-siyāsah) berada di tangan filsuf semacam  itu, masa akan menjadi bercahaya; tetapi jika masa tidak  mempunyai manajemen Ilahi (tadbir Ilāhī), kegelapanlah yang  akan menang. Murid yang sangat baik adalah pencari teosofi  dan filsafat diskursif; berikutnya, [dalam peringkat] adalah  murid teosofi; kemudian, murid filsafat diskursif.</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Buku kami ini (ditujukan) untuk murid teosofi dan  filsafat diskursif. Tidak terdapat di dalamnya sesuatu bagi filsuf  Diskursif yang tidak diberikan, dan tidak menjadi teosofi. Kami  hanya membahas buku ini, metafora-metafora dan simbol- </w:t>
      </w:r>
    </w:p>
    <w:p>
      <w:pPr>
        <w:pStyle w:val="BookText"/>
        <w:bidi w:val="0"/>
        <w:rPr/>
      </w:pPr>
      <w:r>
        <w:rPr>
          <w:rFonts w:eastAsia="Times New Roman" w:cs="Times New Roman" w:ascii="Times New Roman" w:hAnsi="Times New Roman"/>
          <w:color w:val="111111"/>
          <w:sz w:val="28"/>
          <w:szCs w:val="28"/>
          <w:lang w:val="en-US"/>
        </w:rPr>
        <w:t>simbolnya bagi orang yang telah melakukan usaha serius dalam  teosofi, atau orang lain yang mencarinya. Pembaca buku ini harus  sekurang-kurangnya, orang yang telah mencapai tangga di  mana Cahaya Tuhan (Al-Bāriq Al-llāhī) telah muncul baginya,  dan penampakkannya telah menjadi keadaan yang kuat [dalam  jiwanya]. Orang lain tidak akan mengambil manfaat sama sekali  dari buku ini. Karena itu, siapa pun yang ingin mempelajari filsafat  diskursif semata, hendaklah mengikuti metode Peripatetik,  yang bagi filsafat diskursif, baik dan masuk akal. Kami tidak bisa  menyebut orang semacam itu, juga tidak membahas bagi orang  semacam itu: “dalil-dalil Iluminasi" (al-qawā'id Al-Isyrāqiyyah).</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(Bandingkan, Suhrawardi, Opera II, hlm. 220, 36, 37, 135).</w:t>
      </w:r>
    </w:p>
    <w:p>
      <w:pPr>
        <w:pStyle w:val="BookText"/>
        <w:bidi w:val="0"/>
        <w:jc w:val="both"/>
        <w:rPr/>
      </w:pPr>
      <w:r>
        <w:rPr>
          <w:rFonts w:eastAsia="Times New Roman" w:cs="Times New Roman" w:ascii="Times New Roman" w:hAnsi="Times New Roman"/>
          <w:color w:val="111111"/>
          <w:sz w:val="28"/>
          <w:szCs w:val="28"/>
          <w:lang w:val="en-US"/>
        </w:rPr>
        <w:t>Bagian-bagian dari teori-teori ini, semisal “lema-lema”,  disebut daqiqah isyraqiyyah, (ibid., hlm. 29). Istilah-istilah  lain, seperti nukat isyrāqiyyah dan sunnah Al-Isyrāq, digunakan  dalam pengertian yang lebih terbatas dan berperan untuk  mengidentifikasi topik-topik khusus dalam Filsafat Iluminasi.</w:t>
      </w:r>
    </w:p>
    <w:p>
      <w:pPr>
        <w:pStyle w:val="BookText"/>
        <w:bidi w:val="0"/>
        <w:jc w:val="both"/>
        <w:rPr/>
      </w:pPr>
      <w:r>
        <w:rPr>
          <w:rFonts w:eastAsia="Times New Roman" w:cs="Times New Roman" w:ascii="Times New Roman" w:hAnsi="Times New Roman"/>
          <w:color w:val="111111"/>
          <w:sz w:val="28"/>
          <w:szCs w:val="28"/>
          <w:lang w:val="en-US"/>
        </w:rPr>
        <w:t>Sungguh, urusan kaum Iluminasionis (Al-Isyrāqiyyūn)  tetap tidak akan beres tanpa [petunjuk] cahaya-cahaya  apokaliptis (sawānih nūriyyah). Sebab, beberapa teori [lluminasi]  ini didasarkan pada cahaya-cahaya ini sehingga jika suatu  keraguan harus menimpa kaum Iluminasi berkaitan dengan  prinsip-prinsip tersebut, mereka akan menyelesaikannya  dengan membahas premis yang diakui, tak tertutup (as-sullam  al-mukhalla'ah).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Sebagaimana, kita menelaah data indrawi  (mahsūsah) dan merasa yakin dengan beberapa syarat mereka,  dan berikutnya membentuk ilmu-ilmu yang benar ('ulüm  shahihah) berdasarkan syarat-syarat itu, seperti astronomi dan  lain sebagainya, maka begitu pula kita menyelidiki (secara literal:</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mellihat] hal-hal spiritual yang pasti, dan kemudian membangun  [Filsafat Iluminasi] berdasarkan semuanya itu. Orang yang tidak  mengikuti cara ini, tidak akan menggangap hikmah seperti itu  dan hanya menjadi suatu permainan di tangan orang-orang  yang ragu. </w:t>
      </w:r>
      <w:bookmarkStart w:id="223" w:name="pg6442_57517"/>
    </w:p>
    <w:p>
      <w:pPr>
        <w:pStyle w:val="Heading3"/>
        <w:numPr>
          <w:ilvl w:val="2"/>
          <w:numId w:val="1"/>
        </w:numPr>
        <w:bidi w:val="0"/>
        <w:jc w:val="left"/>
        <w:rPr/>
      </w:pPr>
      <w:bookmarkStart w:id="224" w:name="__RefHeading___Toc924730_653776707"/>
      <w:bookmarkStart w:id="225" w:name="_Toc78"/>
      <w:bookmarkEnd w:id="223"/>
      <w:bookmarkEnd w:id="224"/>
      <w:r>
        <w:rPr/>
        <w:t>Catatan:</w:t>
      </w:r>
      <w:bookmarkEnd w:id="2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Asy-Syirazi memandang wāhib al-'ilm sebagai al-'aql al-fa'āl,  (Syarh II, hlm. 14).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Tiga alam itu: 'ālam al-'aql, 'ālam an-nafs, 'ālam al-jism, yakni  akal, jiwa, dan materi. Bandingkan, Asy-Syirazi, Syarh II, hlm. 20.</w:t>
      </w:r>
    </w:p>
    <w:p>
      <w:pPr>
        <w:pStyle w:val="BookText"/>
        <w:bidi w:val="0"/>
        <w:jc w:val="both"/>
        <w:rPr/>
      </w:pPr>
      <w:r>
        <w:rPr>
          <w:rFonts w:eastAsia="Times New Roman" w:cs="Times New Roman" w:ascii="Times New Roman" w:hAnsi="Times New Roman"/>
          <w:color w:val="111111"/>
          <w:sz w:val="28"/>
          <w:szCs w:val="28"/>
          <w:lang w:val="en-US"/>
        </w:rPr>
        <w:t>Teori-teori ini, meliputi wilayah khusus ajaran Iluminasi  dan membentuk bagian utama dalam Hikmah Al-Isyrāq.</w:t>
      </w:r>
    </w:p>
    <w:p>
      <w:pPr>
        <w:pStyle w:val="BookText"/>
        <w:bidi w:val="0"/>
        <w:jc w:val="both"/>
        <w:rPr/>
      </w:pPr>
      <w:r>
        <w:rPr>
          <w:rFonts w:eastAsia="Times New Roman" w:cs="Times New Roman" w:ascii="Times New Roman" w:hAnsi="Times New Roman"/>
          <w:color w:val="111111"/>
          <w:sz w:val="28"/>
          <w:szCs w:val="28"/>
          <w:lang w:val="en-US"/>
        </w:rPr>
        <w:t>(Bandingkan, Suhrawardi, Opera II, hlm. 220, 36, 37, 135).</w:t>
      </w:r>
    </w:p>
    <w:p>
      <w:pPr>
        <w:pStyle w:val="BookText"/>
        <w:bidi w:val="0"/>
        <w:jc w:val="both"/>
        <w:rPr/>
      </w:pPr>
      <w:r>
        <w:rPr>
          <w:rFonts w:eastAsia="Times New Roman" w:cs="Times New Roman" w:ascii="Times New Roman" w:hAnsi="Times New Roman"/>
          <w:color w:val="111111"/>
          <w:sz w:val="28"/>
          <w:szCs w:val="28"/>
          <w:lang w:val="en-US"/>
        </w:rPr>
        <w:t>Bagian-bagian dari teori-teori ini, semisal “lema-lema”,  disebut daqiqah isyraqiyyah, (ibid., hlm. 29). Istilah-istilah  lain, seperti nukat isyrāqiyyah dan sunnah Al-Isyrāq, digunakan  dalam pengertian yang lebih terbatas dan berperan untuk  mengidentifikasi topik-topik khusus dalam Filsafat Iluminasi.</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Premis-premis semacam itu punya peringkat yang sama  dengan premis-premis “utama" dan diperoleh oleh “jiwa  yang terpisah diri dari badan, yang punya visi tentang prinsip-  prinsip intelektual (al-mabadi' al-'aqliyyah) dan cahaya-cahaya  apokaliptik)”. (Asy-Syirazi, Syarh 11, hlm. 26).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6" w:name="pg6442_57520"/>
      <w:bookmarkStart w:id="227" w:name="pg6442_57520"/>
      <w:bookmarkEnd w:id="227"/>
    </w:p>
    <w:p>
      <w:pPr>
        <w:pStyle w:val="Heading2"/>
        <w:numPr>
          <w:ilvl w:val="1"/>
          <w:numId w:val="1"/>
        </w:numPr>
        <w:bidi w:val="0"/>
        <w:jc w:val="left"/>
        <w:rPr/>
      </w:pPr>
      <w:bookmarkStart w:id="228" w:name="pg6442_57520"/>
      <w:bookmarkStart w:id="229" w:name="__RefHeading___Toc924732_653776707"/>
      <w:bookmarkStart w:id="230" w:name="_Toc79"/>
      <w:bookmarkEnd w:id="228"/>
      <w:bookmarkEnd w:id="229"/>
      <w:r>
        <w:rPr/>
        <w:t>APENDIKS B</w:t>
      </w:r>
      <w:bookmarkEnd w:id="23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Terjemahan Hikmah Al-Isyrāq  Bagian Satu, I, Kaidah Ketujuh  [Tentang Definisi dan Syarat-Syaratnya]  $13. Ketika sesuatu diketahui oleh seseorang yang tidak  mengetahui-[nya), maka definisi sesuatu itu harus [dibangun]  melalui hal-hal yang berkaitan dengan sesuatu yang khusus, yakni  mengkhususkan [semua] unit [sesuatu], atau mengkhususkan  sebagian darinya, atau [mengkhususkan] jumlah keseluruhan  organis adalah penting, bahwa definisi yang [dibangun] dengan  sesuatu yang lain yang lebih jelas dari sesuatu yang didefinisikan,  dan tidak melalui sesuatu yang mempunyai kejelasan yang sama,  atau lebih tidak jelas darinya, atau melalui sesuatu yang tidak  diketahui, kecuali melalui sesuatu yang hendak diketahui. Karena  itu, pernyataan seseorang yang mendefinisikan “ayah” sebagai  "orang yang mempunyai anak" adalah salah karena “ayah” dan  "anak" adalah sama dalam hubungannya dengan pengetahuan  atau ketiadaannya, dan siapa pun yang mengetahui salah satu,  mengetahui yang lain. Syarat lain, dengan cara sesuatu yang  didefinisikan dan tidak bebarengan dengannya. [Misalnya, tidak  benar) mengatakan, “Api adalah unsur yang menyerupai jiwa,"  karena jiwa adalah sesuatu yang kurang diketahui ketimbang  api. Begitu juga [tidak benar) ketika mengatakan, “Matahari  adalah bintang yang terbit di siang hari," karena hari hanya  dapat diketahui dengan periode waktu yang menandai terbitnya </w:t>
      </w:r>
    </w:p>
    <w:p>
      <w:pPr>
        <w:pStyle w:val="BookText"/>
        <w:bidi w:val="0"/>
        <w:rPr/>
      </w:pPr>
      <w:r>
        <w:rPr>
          <w:rFonts w:eastAsia="Times New Roman" w:cs="Times New Roman" w:ascii="Times New Roman" w:hAnsi="Times New Roman"/>
          <w:color w:val="111111"/>
          <w:sz w:val="28"/>
          <w:szCs w:val="28"/>
          <w:lang w:val="en-US"/>
        </w:rPr>
        <w:t>matahari. Mendefinisikan [sesuatu) tidak dapat berjalan hanya  melalui penggantian istilah [definisi leksikal] karena penggantian  semacam itu hanya berguna bagi orang yang mengetahui  realitas, tetapi tidak mengetahui dengan pasti makna istilah  [yang digunakan). Definisi tentang hal-hal yang berkaitan harus  menyebutkan sebab yang menghasilkan hubungan, dan definisi  hal-hal turunan hanya menyebutkan bahwa dari turunan tersebut  dibuat bersama sesuatu yang lain, yang pada gilirannya,  bergantung pada bentuk-bentuk turunan.</w:t>
      </w:r>
    </w:p>
    <w:p>
      <w:pPr>
        <w:pStyle w:val="BookText"/>
        <w:bidi w:val="0"/>
        <w:jc w:val="both"/>
        <w:rPr/>
      </w:pPr>
      <w:r>
        <w:rPr>
          <w:rFonts w:eastAsia="Times New Roman" w:cs="Times New Roman" w:ascii="Times New Roman" w:hAnsi="Times New Roman"/>
          <w:color w:val="111111"/>
          <w:sz w:val="28"/>
          <w:szCs w:val="28"/>
          <w:lang w:val="en-US"/>
        </w:rPr>
        <w:t>$14. Bagian [tentang definisi hakiki]. Sebagian orang  memberikan nama teknis “definisi [esensialis)" untuk formula  yang menunjukkan sesuatu. Formula semacam itu menunjukkan  hal-hal esensial sesuatu yang internal yang berkaitan dengan  realtias sesuatu. Nama yang diberikan bagi [jenis definisi]  yang membuat hal-hal eksternal diketahui dalam hubungannya  dengan realitas sesuatu adalah “deskripsi". Sebagai contoh,  ketahuilah bahwa ketika sekelompok orang menegaskan bahwa  badan mempunyai bagian-bagian [yakni, kaum Peripatetik  yang menganggap badan tersusun dari dua bagian: bentuk dan  materi], yang lain meragukannya [kaum Atomis yang menilai  badan terbentuk dari atom-atom individual), dan bahkan yang  lain menolak bagian-bagian itu sama sekali [yakni, Filsafat Alam  Kuno yang menganggap badan sebagai kuantitas mutlak] –  engkau harus mempelajari apa “bagian" itu. Keragaman tidak  mengajarkan (eksistensi] bagian-bagian itu [hanya] dari konsep  tentang sesuatu yang dinamai. Nama hanya melambangkan  keseluruhan jumlah sifat-sifat pokok sesuatu yang dipahami.</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jauh, misalkan contoh, dibentuk bahwa air dan  udara mempunyai bagian-bagian yang nonindrawi (yakni, </w:t>
      </w:r>
    </w:p>
    <w:p>
      <w:pPr>
        <w:pStyle w:val="BookText"/>
        <w:bidi w:val="0"/>
        <w:rPr/>
      </w:pPr>
      <w:r>
        <w:rPr>
          <w:rFonts w:eastAsia="Times New Roman" w:cs="Times New Roman" w:ascii="Times New Roman" w:hAnsi="Times New Roman"/>
          <w:color w:val="111111"/>
          <w:sz w:val="28"/>
          <w:szCs w:val="28"/>
          <w:lang w:val="en-US"/>
        </w:rPr>
        <w:t>bentuk, materi, atau atom] orang akan menolak [wujudnya]  dan bagian-bagiannya. Menurut mereka, bagian-bagian itu tidak  mempunyai hubungan dengan apa yang mereka pahami dari  [nama air dan udara). Ketika badan, seperti telah kita jelaskan-  merupakan bagian dari realitas jasmani [dan mempunyai nama],  orang yang hanya memahami apa saja yang tanpa pada mereka  [badan tersebut), yaitu sesuatu yang dimaksud oleh nama ſyang  diberikan kepadanya secara konvensional], baik oleh pemberi  nama maupun oleh mereka. Sekarang, jika demikian keadaan  hal-hal indrawi, bagaimana lebih [sulitnya) dengan hal-hal yang  tidak dapat diindra sama sekali? Bagaimana dengan sesuatu  yang dimiliki manusia yang dengan cara mana kemanusiaannya  [esensi] dapat ditentukan – sesuatu ini tidak diketahui oleh  orang banyak, juga oleh kaum Peripatetik awal yang kemudian  mandefinisikannya sebagai "hewan rasional". [Ini karena]  kemampuan menalar adalah aksidental dan posterior terhadap  realitas [manusia]. [Berbeda dengan formula Peripatetik, kami  berpendapat] bahwa jiwa, yang merupakan prinsip sesuatu  [yakni, hal-hal yang esensial] – hanya dapat diketahui melalui  sifat-sifat wajib dan aksiden-aksiden. Sekarang, tidak ada  sesuatu yang lebih dekat kepada manusia daripada jiwanya, [dan  bagaimana kasus tersebut berhubungan dengannya). Bagaimana  lebih sulitnya (mengetahui] sesuatu yang lain? Namun, kita akan  mengatakan betapa pentingnya pertanyaan tersebut.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 Teorema atau Dalil Iluminasi [Tentang Runtuhnya  Teori Definisi Peripatetik]. Kaum Peripatetik mengakui bahwa  dalam [membentuk] definisi ſesensialis] tentang sesuatu,  seseorang harus menyebutkan hal-hal esensial yang umum  dan yang khusus. Hal-hal esensial umum, yaitu bukan </w:t>
      </w:r>
    </w:p>
    <w:p>
      <w:pPr>
        <w:pStyle w:val="BookText"/>
        <w:bidi w:val="0"/>
        <w:rPr/>
      </w:pPr>
      <w:r>
        <w:rPr>
          <w:rFonts w:eastAsia="Times New Roman" w:cs="Times New Roman" w:ascii="Times New Roman" w:hAnsi="Times New Roman"/>
          <w:color w:val="111111"/>
          <w:sz w:val="28"/>
          <w:szCs w:val="28"/>
          <w:lang w:val="en-US"/>
        </w:rPr>
        <w:t>merupakan bagian dari hal-hal esensial yang lain yang masuk  ke dalam realitas universal dan dengan cara apa seseorang  mengekspresikan jawaban atas pertanyaan, “Apakah ia?" disebut  "genus", sedangkan hal-hal esensial sesuatu yang partikular  mereka sebut "diferensia". Sekarang, dalam hubungannya  dengan membentuk definisi terdapat urutan yang berbeda [bagi  genus dan diferensia] yang telah kami sebutkan dalam karya-  karya kami. Lebih jauh, Peripatetik mengakui bahwa yang tidak  diketahui hanya dapat diperoleh melalui yang diketahui. Namun,  [kita melihat] bahwa hal-hal esensial sesuatu yang khusus tidak  diketahui dengan baik oleh seseorang yang tidak mengetahui  [sebelum]-nya dari tempat lain. Namun, hal-hal esensial sesuatu  yang khusus diketahui melalui sesuatu yang lain dari sesuatu  yang didefinisikan, ia tidak menjadi khusus bagi sesuatu yang  didefinisikan. Jika hal-hal esensial khusus bagi sesuatu, tidak  nampak kepada indra dan tidak diketahui, maka keduanya tetap  tidak diketahui. Jika [kita mengasumsikan] hal-hal esensi khusus  didefinisikan, tetapi dengan cara hal-hal yang umum lebih dari  yang khusus baginya, maka tidak akan menjadi definisi tentang  hal-hal yang esensial. (Kita sebelumnya telah menyebutkan  keadaan (pengetahuan] tentang bagian khusus [sesuatu].</w:t>
      </w:r>
    </w:p>
    <w:p>
      <w:pPr>
        <w:pStyle w:val="BookText"/>
        <w:bidi w:val="0"/>
        <w:jc w:val="both"/>
        <w:rPr/>
      </w:pPr>
      <w:r>
        <w:rPr>
          <w:rFonts w:eastAsia="Times New Roman" w:cs="Times New Roman" w:ascii="Times New Roman" w:hAnsi="Times New Roman"/>
          <w:color w:val="111111"/>
          <w:sz w:val="28"/>
          <w:szCs w:val="28"/>
          <w:lang w:val="en-US"/>
        </w:rPr>
        <w:t>Karena itu, seseorang hanya dapat memperoleh [suatu definisi]  melalui perantaraan benda-benda indrawi atau nampak dengan  cara lain (yakni, yang berbeda dari formula definisi Peripatetik],  yang diberikan ketika kita mampu menspesifikasi keseluruhan  jumlah [bagian-bagian) yang menspesifikasi sesuatu itu dengan  [menspesifikasi] keseluruhan organik sesuatu itu. Anda akan  mempelajari inti [metode baru] ini dalam uraian berikut.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Siapa saja yang memperinci [semua] hal-hal esensial </w:t>
      </w:r>
    </w:p>
    <w:p>
      <w:pPr>
        <w:pStyle w:val="BookText"/>
        <w:bidi w:val="0"/>
        <w:rPr/>
      </w:pPr>
      <w:r>
        <w:rPr>
          <w:rFonts w:eastAsia="Times New Roman" w:cs="Times New Roman" w:ascii="Times New Roman" w:hAnsi="Times New Roman"/>
          <w:color w:val="111111"/>
          <w:sz w:val="28"/>
          <w:szCs w:val="28"/>
          <w:lang w:val="en-US"/>
        </w:rPr>
        <w:t>yang ia ketahui, tidak akan percaya ketidakmungkinannya,  mengabaikan hal esensial lain, dan orang yang ingin menjelaskan  atau mempertentangkan pernyataan itu dapat menanyakan  dirinya mengenai itu [hal-hal esensial yang tetap tak terdeteksi).</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membangun suatu definisi tidak dapat pada titik  itu, mengatakan dengan benar, “Masih adakah sifat-sifat lain  [sesuatu) yang harus diketahui?" Karena masih banyak sifat  yang tersembunyi (yang bisa jadi, ia abaikan]. Tidak cukup  untuk mengatakan, “Haruskah sesuatu memiliki sifat esensial  lain (yang tersembunyi bagi kita), yang kita dapat mengetahui  esensinya tanpa sifat itu?" Jawabnya, “Realitas [sesuatu]  diketahui hanya ketika keseluruhan jumlah sifat-sifat esensialnya  diketahui." Ini berarti, jika [sesuatu) selalu mungkin mempunyai  sifat esensial lain yang tidak dapat dipahami, pengetahuan  tentang realitas sesuatu tidak meyakinkan. Karena itu, jelas  tidak mungkin memperoleh definisi (esensialis] dengan cara  yang dilakukan Peripatetik [yakni, formula yang mendekatkan  genus dan diferensia] sebagaimana kesulitan itu diakui oleh  guru [Peripatetik] mereka, Aristoteles. Karena itu, kita [kaum  Iluminasi] hanya membuat definisi dengan cara benda-benda  yang menspesifikasi jumlah keseluruhan organik.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31" w:name="pg6442_57532"/>
      <w:bookmarkStart w:id="232" w:name="pg6442_57532"/>
      <w:bookmarkEnd w:id="232"/>
    </w:p>
    <w:p>
      <w:pPr>
        <w:pStyle w:val="Heading2"/>
        <w:numPr>
          <w:ilvl w:val="1"/>
          <w:numId w:val="1"/>
        </w:numPr>
        <w:bidi w:val="0"/>
        <w:jc w:val="left"/>
        <w:rPr/>
      </w:pPr>
      <w:bookmarkStart w:id="233" w:name="pg6442_57532"/>
      <w:bookmarkStart w:id="234" w:name="__RefHeading___Toc924734_653776707"/>
      <w:bookmarkStart w:id="235" w:name="_Toc80"/>
      <w:bookmarkEnd w:id="233"/>
      <w:bookmarkEnd w:id="234"/>
      <w:r>
        <w:rPr/>
        <w:t>APENDIKS C</w:t>
      </w:r>
      <w:bookmarkEnd w:id="235"/>
    </w:p>
    <w:p>
      <w:pPr>
        <w:pStyle w:val="BookText"/>
        <w:bidi w:val="0"/>
        <w:jc w:val="both"/>
        <w:rPr/>
      </w:pPr>
      <w:r>
        <w:rPr>
          <w:rFonts w:eastAsia="Times New Roman" w:cs="Times New Roman" w:ascii="Times New Roman" w:hAnsi="Times New Roman"/>
          <w:color w:val="111111"/>
          <w:sz w:val="28"/>
          <w:szCs w:val="28"/>
          <w:lang w:val="en-US"/>
        </w:rPr>
        <w:t>Analisis Atas Al-Mu'tabar: Al-Manthiq, I. 13  Karya Abu Al-Barakat Al-Baghdadi  Bagian 13 tentang Al-Madkhal dalam logika Al-Mu'tabar Al-  Baghdadi merupakan bagian yang aneh karena tidak mempunyai  padanan dalam karya-karya filsafat berbahasa Arab sebelumnya.</w:t>
      </w:r>
    </w:p>
    <w:p>
      <w:pPr>
        <w:pStyle w:val="BookText"/>
        <w:bidi w:val="0"/>
        <w:jc w:val="both"/>
        <w:rPr/>
      </w:pPr>
      <w:r>
        <w:rPr>
          <w:rFonts w:eastAsia="Times New Roman" w:cs="Times New Roman" w:ascii="Times New Roman" w:hAnsi="Times New Roman"/>
          <w:color w:val="111111"/>
          <w:sz w:val="28"/>
          <w:szCs w:val="28"/>
          <w:lang w:val="en-US"/>
        </w:rPr>
        <w:t>Setelah melihat teori Definisi Suhrawardi, bagian dari karya Al-  Baghdadi ini terlihat mempunyai pengaruh yang jelas pada teori  Iluminasi.</w:t>
      </w:r>
    </w:p>
    <w:p>
      <w:pPr>
        <w:pStyle w:val="BookText"/>
        <w:bidi w:val="0"/>
        <w:jc w:val="both"/>
        <w:rPr/>
      </w:pPr>
      <w:r>
        <w:rPr>
          <w:rFonts w:eastAsia="Times New Roman" w:cs="Times New Roman" w:ascii="Times New Roman" w:hAnsi="Times New Roman"/>
          <w:color w:val="111111"/>
          <w:sz w:val="28"/>
          <w:szCs w:val="28"/>
          <w:lang w:val="en-US"/>
        </w:rPr>
        <w:t>Bagian ini sepenuhnya dikerahkan untuk menganalisis  kaidah-kaidah matematika yang digunakan untuk membangun  definisi. Judul bagian ini adalah Tentang Pembagian (Qismah)  Analisis (Tahlil), Kombinasi (Jam'), dan Sintesis (Tarkib), yang  Berguna untuk memperoleh Definisi.</w:t>
      </w:r>
    </w:p>
    <w:p>
      <w:pPr>
        <w:pStyle w:val="BookText"/>
        <w:bidi w:val="0"/>
        <w:jc w:val="both"/>
        <w:rPr/>
      </w:pPr>
      <w:r>
        <w:rPr>
          <w:rFonts w:eastAsia="Times New Roman" w:cs="Times New Roman" w:ascii="Times New Roman" w:hAnsi="Times New Roman"/>
          <w:color w:val="111111"/>
          <w:sz w:val="28"/>
          <w:szCs w:val="28"/>
          <w:lang w:val="en-US"/>
        </w:rPr>
        <w:t>Terdapat suatu pembedaan mendasar yang dilakukan  antara yang nampak, atau di luar pikiran, dan yang hanya dalam  pikiran, yakni pembedaan antara yang hakiki dan mental. Istilah  yang digunakan untuk yang hakiki adalah wujūdi dan berkaitan  dengan persepsi indra; dan istilah yang digunakan untuk mental,  atau ideal, adalah dzihni, kadang-kadang juga ‘aqli.</w:t>
      </w:r>
    </w:p>
    <w:p>
      <w:pPr>
        <w:pStyle w:val="BookText"/>
        <w:bidi w:val="0"/>
        <w:jc w:val="both"/>
        <w:rPr/>
      </w:pPr>
      <w:r>
        <w:rPr>
          <w:rFonts w:eastAsia="Times New Roman" w:cs="Times New Roman" w:ascii="Times New Roman" w:hAnsi="Times New Roman"/>
          <w:color w:val="111111"/>
          <w:sz w:val="28"/>
          <w:szCs w:val="28"/>
          <w:lang w:val="en-US"/>
        </w:rPr>
        <w:t>Berikut ini adalah daftar kaidah matematika yang  dijelaskan: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Kombinasi (jam'). Ada dua bentuk kombinasi: (a)  kombinasi yang unit-unit (āhād)-nya dibedakan (mutamayyiz)  dalam keseluruhan, yakni unit-unit bisa dirinci secara terpisah</w:t>
      </w:r>
    </w:p>
    <w:p>
      <w:pPr>
        <w:pStyle w:val="BookText"/>
        <w:bidi w:val="0"/>
        <w:rPr/>
      </w:pPr>
      <w:r>
        <w:rPr>
          <w:rFonts w:eastAsia="Times New Roman" w:cs="Times New Roman" w:ascii="Times New Roman" w:hAnsi="Times New Roman"/>
          <w:color w:val="111111"/>
          <w:sz w:val="28"/>
          <w:szCs w:val="28"/>
          <w:lang w:val="en-US"/>
        </w:rPr>
        <w:t>dan jumlah merupakan tambahan sederhana dari unit-unit itu.</w:t>
      </w:r>
    </w:p>
    <w:p>
      <w:pPr>
        <w:pStyle w:val="BookText"/>
        <w:bidi w:val="0"/>
        <w:jc w:val="both"/>
        <w:rPr/>
      </w:pPr>
      <w:r>
        <w:rPr>
          <w:rFonts w:eastAsia="Times New Roman" w:cs="Times New Roman" w:ascii="Times New Roman" w:hAnsi="Times New Roman"/>
          <w:color w:val="111111"/>
          <w:sz w:val="28"/>
          <w:szCs w:val="28"/>
          <w:lang w:val="en-US"/>
        </w:rPr>
        <w:t>Bentuk kombinasi ini disebut kombinasi dengan komposisi  (jam' ta’līfī). Contoh kombinasi ini adalah: (a) tentara terdiri  atau tersusun dari sejumlah orang; (b) kombinasi dengan  mencampur (takhālith) dan mengaitkan (tattahid) unit-unit  dengan cara keseluruhan yang tidak dibedakan dari bagian-  bagian, yakni unit-unit keseluruhan bersama-sama membentuk  keseluruhan abadi. Nama yang diberikan untuk kombinasi  ini adalah kombinasi dengan sintesis (jam' tarkibi). Contoh  kombinasi ini adalah badan manusia tersusun dari berbagai  cairan tubuh yang kemudian membentuk unsur-unsur.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Komposisi (ta'līt). Ada dua bentuk komposisi:</w:t>
      </w:r>
    </w:p>
    <w:p>
      <w:pPr>
        <w:pStyle w:val="BookText"/>
        <w:bidi w:val="0"/>
        <w:jc w:val="both"/>
        <w:rPr/>
      </w:pPr>
      <w:r>
        <w:rPr>
          <w:rFonts w:eastAsia="Times New Roman" w:cs="Times New Roman" w:ascii="Times New Roman" w:hAnsi="Times New Roman"/>
          <w:color w:val="111111"/>
          <w:sz w:val="28"/>
          <w:szCs w:val="28"/>
          <w:lang w:val="en-US"/>
        </w:rPr>
        <w:t>(a) komposisi mental (ta’lif dzihni), suatu contoh yang di  dalamnya komposisi ideal, makna universal terdiri dari hal-hal  partikularnya, seperti genus terdiri dari spesies-spesies, dan  spesies terdiri dari individu-individu; (b) komposisi hakiki (ta’lif  wujūdi), seperti komposisi benda terdiri dari bagian-bagiannya,  seperti badan terdiri dari tungkai dan lengan, daging, panas,  tangan, kaki, dan seterusnya.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Sintesis (tarkib). Ada dua bentuk sintesis: (a) sintesis  mental (tarkib dzihni) seperti ketika genus dan diferensia  disintesis dalam suatu definisi; (b) sintesis hakiki (tarkib  wujūdi), yang kemudian dibagi menjadi alami (thabi'i), seperti  badan binatang “secara alami” disintesis dari empedu, unsur,  dan asas-asas; dan (c) artifisial (shināʻī), misalnya minuman  sikanjibin terbuat dari cuka dan madu.</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Bagian-bagian lain dari bab ini dimaksudkan menelaah  kaidah-kaidah yang mengatur pemilahan (tafriq), pembagian  (qismah), dan analisis (tahlil) yang kesemuanya tidak perlu </w:t>
      </w:r>
    </w:p>
    <w:p>
      <w:pPr>
        <w:pStyle w:val="BookText"/>
        <w:bidi w:val="0"/>
        <w:rPr/>
      </w:pPr>
      <w:r>
        <w:rPr>
          <w:rFonts w:eastAsia="Times New Roman" w:cs="Times New Roman" w:ascii="Times New Roman" w:hAnsi="Times New Roman"/>
          <w:color w:val="111111"/>
          <w:sz w:val="28"/>
          <w:szCs w:val="28"/>
          <w:lang w:val="en-US"/>
        </w:rPr>
        <w:t>mendapat perhatian kita.</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yang harus ditekankan secara umum adalah dalam  bentuk kombinasi melalui sintesis, unit-unit, dan keseluruhan  bersama-sama membentuk suatu entitas “organis" sedemikian  rupa sehingga bagian-bagian tidak dapat dipisahkan dari  keseluruhan, sementara kombinasi melalui komposisi unit-unit  boleh dibedakan dalam diri mereka, juga dari keseluruhan.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36" w:name="pg6442_57540"/>
      <w:bookmarkStart w:id="237" w:name="pg6442_57540"/>
      <w:bookmarkEnd w:id="237"/>
    </w:p>
    <w:p>
      <w:pPr>
        <w:pStyle w:val="Heading2"/>
        <w:numPr>
          <w:ilvl w:val="1"/>
          <w:numId w:val="1"/>
        </w:numPr>
        <w:bidi w:val="0"/>
        <w:jc w:val="left"/>
        <w:rPr/>
      </w:pPr>
      <w:bookmarkStart w:id="238" w:name="pg6442_57540"/>
      <w:bookmarkStart w:id="239" w:name="__RefHeading___Toc924736_653776707"/>
      <w:bookmarkStart w:id="240" w:name="_Toc81"/>
      <w:bookmarkEnd w:id="238"/>
      <w:bookmarkEnd w:id="239"/>
      <w:r>
        <w:rPr/>
        <w:t>SENARAI RUJUKAN</w:t>
      </w:r>
      <w:bookmarkEnd w:id="240"/>
    </w:p>
    <w:p>
      <w:pPr>
        <w:pStyle w:val="BookText"/>
        <w:bidi w:val="0"/>
        <w:jc w:val="both"/>
        <w:rPr/>
      </w:pPr>
      <w:r>
        <w:rPr>
          <w:rFonts w:eastAsia="Times New Roman" w:cs="Times New Roman" w:ascii="Times New Roman" w:hAnsi="Times New Roman"/>
          <w:color w:val="111111"/>
          <w:sz w:val="28"/>
          <w:szCs w:val="28"/>
          <w:lang w:val="en-US"/>
        </w:rPr>
        <w:t>Abelson, Raziel, “Defintion", Encyclopedia of Philosophy, Vol.</w:t>
      </w:r>
    </w:p>
    <w:p>
      <w:pPr>
        <w:pStyle w:val="BookText"/>
        <w:bidi w:val="0"/>
        <w:jc w:val="both"/>
        <w:rPr/>
      </w:pPr>
      <w:r>
        <w:rPr>
          <w:rFonts w:eastAsia="Times New Roman" w:cs="Times New Roman" w:ascii="Times New Roman" w:hAnsi="Times New Roman"/>
          <w:color w:val="111111"/>
          <w:sz w:val="28"/>
          <w:szCs w:val="28"/>
          <w:lang w:val="en-US"/>
        </w:rPr>
        <w:t>2, hlm. 314-324, disunting oleh Paul Edwards, New York:</w:t>
      </w:r>
    </w:p>
    <w:p>
      <w:pPr>
        <w:pStyle w:val="BookText"/>
        <w:bidi w:val="0"/>
        <w:jc w:val="both"/>
        <w:rPr/>
      </w:pPr>
      <w:r>
        <w:rPr>
          <w:rFonts w:eastAsia="Times New Roman" w:cs="Times New Roman" w:ascii="Times New Roman" w:hAnsi="Times New Roman"/>
          <w:color w:val="111111"/>
          <w:sz w:val="28"/>
          <w:szCs w:val="28"/>
          <w:lang w:val="en-US"/>
        </w:rPr>
        <w:t>Macmilan, 1967.</w:t>
      </w:r>
    </w:p>
    <w:p>
      <w:pPr>
        <w:pStyle w:val="BookText"/>
        <w:bidi w:val="0"/>
        <w:jc w:val="both"/>
        <w:rPr/>
      </w:pPr>
      <w:r>
        <w:rPr>
          <w:rFonts w:eastAsia="Times New Roman" w:cs="Times New Roman" w:ascii="Times New Roman" w:hAnsi="Times New Roman"/>
          <w:color w:val="111111"/>
          <w:sz w:val="28"/>
          <w:szCs w:val="28"/>
          <w:lang w:val="en-US"/>
        </w:rPr>
        <w:t>Afnan, Soheil, A Philosophical Lexiccon in Persian and Arabic,  Beirut: Dar al-Masyriq, 1969.</w:t>
      </w:r>
    </w:p>
    <w:p>
      <w:pPr>
        <w:pStyle w:val="BookText"/>
        <w:bidi w:val="0"/>
        <w:jc w:val="both"/>
        <w:rPr/>
      </w:pPr>
      <w:r>
        <w:rPr>
          <w:rFonts w:eastAsia="Times New Roman" w:cs="Times New Roman" w:ascii="Times New Roman" w:hAnsi="Times New Roman"/>
          <w:color w:val="111111"/>
          <w:sz w:val="28"/>
          <w:szCs w:val="28"/>
          <w:lang w:val="en-US"/>
        </w:rPr>
        <w:t>Al-Farabi, Arā' Ahl Al-Madinah Al-Fadhilah, disunting oleh M.</w:t>
      </w:r>
    </w:p>
    <w:p>
      <w:pPr>
        <w:pStyle w:val="BookText"/>
        <w:bidi w:val="0"/>
        <w:jc w:val="both"/>
        <w:rPr/>
      </w:pPr>
      <w:r>
        <w:rPr>
          <w:rFonts w:eastAsia="Times New Roman" w:cs="Times New Roman" w:ascii="Times New Roman" w:hAnsi="Times New Roman"/>
          <w:color w:val="111111"/>
          <w:sz w:val="28"/>
          <w:szCs w:val="28"/>
          <w:lang w:val="en-US"/>
        </w:rPr>
        <w:t>Al-Kurdi, Kairo: Dār al-Masyriq, 1969.</w:t>
      </w:r>
    </w:p>
    <w:p>
      <w:pPr>
        <w:pStyle w:val="BookText"/>
        <w:bidi w:val="0"/>
        <w:jc w:val="both"/>
        <w:rPr/>
      </w:pPr>
      <w:r>
        <w:rPr>
          <w:rFonts w:eastAsia="Times New Roman" w:cs="Times New Roman" w:ascii="Times New Roman" w:hAnsi="Times New Roman"/>
          <w:color w:val="111111"/>
          <w:sz w:val="28"/>
          <w:szCs w:val="28"/>
          <w:lang w:val="en-US"/>
        </w:rPr>
        <w:t>---, Al-Alfāzh Al-Mustaʼmalah fi Al-Manthiq, disunting oleh  Muhsin S. Mahdi, Beirut: Dār al-Masyriq, 1968.</w:t>
      </w:r>
    </w:p>
    <w:p>
      <w:pPr>
        <w:pStyle w:val="BookText"/>
        <w:bidi w:val="0"/>
        <w:jc w:val="both"/>
        <w:rPr/>
      </w:pPr>
      <w:r>
        <w:rPr>
          <w:rFonts w:eastAsia="Times New Roman" w:cs="Times New Roman" w:ascii="Times New Roman" w:hAnsi="Times New Roman"/>
          <w:color w:val="111111"/>
          <w:sz w:val="28"/>
          <w:szCs w:val="28"/>
          <w:lang w:val="en-US"/>
        </w:rPr>
        <w:t>---, Al-Jam' Bain Ra'yai Al-Hakimain: Aflathun Al-llahi  wa Aristhutalis, disunting oleh A.N. Nader, Beirut: Dar al-  Masyriq, 1968.</w:t>
      </w:r>
    </w:p>
    <w:p>
      <w:pPr>
        <w:pStyle w:val="BookText"/>
        <w:bidi w:val="0"/>
        <w:jc w:val="both"/>
        <w:rPr/>
      </w:pPr>
      <w:r>
        <w:rPr>
          <w:rFonts w:eastAsia="Times New Roman" w:cs="Times New Roman" w:ascii="Times New Roman" w:hAnsi="Times New Roman"/>
          <w:color w:val="111111"/>
          <w:sz w:val="28"/>
          <w:szCs w:val="28"/>
          <w:lang w:val="en-US"/>
        </w:rPr>
        <w:t>---, Kitāb Al-Hurūf, disunting oleh Muhsin S. Mahdi, Beirut:</w:t>
      </w:r>
    </w:p>
    <w:p>
      <w:pPr>
        <w:pStyle w:val="BookText"/>
        <w:bidi w:val="0"/>
        <w:jc w:val="both"/>
        <w:rPr/>
      </w:pPr>
      <w:r>
        <w:rPr>
          <w:rFonts w:eastAsia="Times New Roman" w:cs="Times New Roman" w:ascii="Times New Roman" w:hAnsi="Times New Roman"/>
          <w:color w:val="111111"/>
          <w:sz w:val="28"/>
          <w:szCs w:val="28"/>
          <w:lang w:val="en-US"/>
        </w:rPr>
        <w:t>Dār al-Masyriq, 1972.</w:t>
      </w:r>
    </w:p>
    <w:p>
      <w:pPr>
        <w:pStyle w:val="BookText"/>
        <w:bidi w:val="0"/>
        <w:jc w:val="both"/>
        <w:rPr/>
      </w:pPr>
      <w:r>
        <w:rPr>
          <w:rFonts w:eastAsia="Times New Roman" w:cs="Times New Roman" w:ascii="Times New Roman" w:hAnsi="Times New Roman"/>
          <w:color w:val="111111"/>
          <w:sz w:val="28"/>
          <w:szCs w:val="28"/>
          <w:lang w:val="en-US"/>
        </w:rPr>
        <w:t>Aristoteles, Metaphyisics, diterjemahkan dan diberi komentar  glosari oleh Hipprocrates G. Apostle, Bloomington, London:</w:t>
      </w:r>
    </w:p>
    <w:p>
      <w:pPr>
        <w:pStyle w:val="BookText"/>
        <w:bidi w:val="0"/>
        <w:jc w:val="both"/>
        <w:rPr/>
      </w:pPr>
      <w:r>
        <w:rPr>
          <w:rFonts w:eastAsia="Times New Roman" w:cs="Times New Roman" w:ascii="Times New Roman" w:hAnsi="Times New Roman"/>
          <w:color w:val="111111"/>
          <w:sz w:val="28"/>
          <w:szCs w:val="28"/>
          <w:lang w:val="en-US"/>
        </w:rPr>
        <w:t>Indiana University Press, 1966.</w:t>
      </w:r>
    </w:p>
    <w:p>
      <w:pPr>
        <w:pStyle w:val="BookText"/>
        <w:bidi w:val="0"/>
        <w:jc w:val="both"/>
        <w:rPr/>
      </w:pPr>
      <w:r>
        <w:rPr>
          <w:rFonts w:eastAsia="Times New Roman" w:cs="Times New Roman" w:ascii="Times New Roman" w:hAnsi="Times New Roman"/>
          <w:color w:val="111111"/>
          <w:sz w:val="28"/>
          <w:szCs w:val="28"/>
          <w:lang w:val="en-US"/>
        </w:rPr>
        <w:t>--, Physics, diterjemahkan, diberi komentar, dan glosari  oleh Hippocrates G. Apostle, Bloomington, London: Indiana  University Press, 1969.</w:t>
      </w:r>
    </w:p>
    <w:p>
      <w:pPr>
        <w:pStyle w:val="BookText"/>
        <w:bidi w:val="0"/>
        <w:jc w:val="both"/>
        <w:rPr/>
      </w:pPr>
      <w:r>
        <w:rPr>
          <w:rFonts w:eastAsia="Times New Roman" w:cs="Times New Roman" w:ascii="Times New Roman" w:hAnsi="Times New Roman"/>
          <w:color w:val="111111"/>
          <w:sz w:val="28"/>
          <w:szCs w:val="28"/>
          <w:lang w:val="en-US"/>
        </w:rPr>
        <w:t>---, The Works of Aristoteles Translated into English, Vol. 1,  disunting oleh W. D. Ross, Oxford: Clarendon Press, 1966.</w:t>
      </w:r>
    </w:p>
    <w:p>
      <w:pPr>
        <w:pStyle w:val="BookText"/>
        <w:bidi w:val="0"/>
        <w:jc w:val="both"/>
        <w:rPr/>
      </w:pPr>
      <w:r>
        <w:rPr>
          <w:rFonts w:eastAsia="Times New Roman" w:cs="Times New Roman" w:ascii="Times New Roman" w:hAnsi="Times New Roman"/>
          <w:color w:val="111111"/>
          <w:sz w:val="28"/>
          <w:szCs w:val="28"/>
          <w:lang w:val="en-US"/>
        </w:rPr>
        <w:t>Asytiyani, Sayyid Jalaluddin, Hasti, Masyhad: Khurasan Press,  1379 H.</w:t>
      </w:r>
    </w:p>
    <w:p>
      <w:pPr>
        <w:pStyle w:val="BookText"/>
        <w:bidi w:val="0"/>
        <w:jc w:val="both"/>
        <w:rPr/>
      </w:pPr>
      <w:r>
        <w:rPr>
          <w:rFonts w:eastAsia="Times New Roman" w:cs="Times New Roman" w:ascii="Times New Roman" w:hAnsi="Times New Roman"/>
          <w:color w:val="111111"/>
          <w:sz w:val="28"/>
          <w:szCs w:val="28"/>
          <w:lang w:val="en-US"/>
        </w:rPr>
        <w:t>Al-Baghdadi, Abu Al-Barakat, Al-Mu'tabar, Deccan: Haidarabad,  1357 H.</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Beck, Lewis W., “Kant's Theory of Definition," The Philosophical  Review, Vol. 65, 2 (374) (April, 1956), hlm. 179-191. </w:t>
      </w:r>
    </w:p>
    <w:p>
      <w:pPr>
        <w:pStyle w:val="BookText"/>
        <w:bidi w:val="0"/>
        <w:rPr/>
      </w:pPr>
      <w:r>
        <w:rPr>
          <w:rFonts w:eastAsia="Times New Roman" w:cs="Times New Roman" w:ascii="Times New Roman" w:hAnsi="Times New Roman"/>
          <w:color w:val="111111"/>
          <w:sz w:val="28"/>
          <w:szCs w:val="28"/>
          <w:lang w:val="en-US"/>
        </w:rPr>
        <w:t>Corbin, Henry, Archange Empourpre, Qinze traits et Recits  Mystique Traduits du Person et de l'arabe, presents et annotes  par Henry Corbin, Paris: Payard, 1976.</w:t>
      </w:r>
    </w:p>
    <w:p>
      <w:pPr>
        <w:pStyle w:val="BookText"/>
        <w:bidi w:val="0"/>
        <w:jc w:val="both"/>
        <w:rPr/>
      </w:pPr>
      <w:r>
        <w:rPr>
          <w:rFonts w:eastAsia="Times New Roman" w:cs="Times New Roman" w:ascii="Times New Roman" w:hAnsi="Times New Roman"/>
          <w:color w:val="111111"/>
          <w:sz w:val="28"/>
          <w:szCs w:val="28"/>
          <w:lang w:val="en-US"/>
        </w:rPr>
        <w:t>---, En Islam Irannien, 4 volumes, Paris: Gallimard, 1971.</w:t>
      </w:r>
    </w:p>
    <w:p>
      <w:pPr>
        <w:pStyle w:val="BookText"/>
        <w:bidi w:val="0"/>
        <w:jc w:val="both"/>
        <w:rPr/>
      </w:pPr>
      <w:r>
        <w:rPr>
          <w:rFonts w:eastAsia="Times New Roman" w:cs="Times New Roman" w:ascii="Times New Roman" w:hAnsi="Times New Roman"/>
          <w:color w:val="111111"/>
          <w:sz w:val="28"/>
          <w:szCs w:val="28"/>
          <w:lang w:val="en-US"/>
        </w:rPr>
        <w:t>---, Le Livre de la Sagesse Orientale, Kitāb Hikmat Al-Isyrāq,  traduction et notes par Henry Corbin, etablies et introduit  par Christian Jambet, Paris: Verdier, 1986.</w:t>
      </w:r>
    </w:p>
    <w:p>
      <w:pPr>
        <w:pStyle w:val="BookText"/>
        <w:bidi w:val="0"/>
        <w:jc w:val="both"/>
        <w:rPr/>
      </w:pPr>
      <w:r>
        <w:rPr>
          <w:rFonts w:eastAsia="Times New Roman" w:cs="Times New Roman" w:ascii="Times New Roman" w:hAnsi="Times New Roman"/>
          <w:color w:val="111111"/>
          <w:sz w:val="28"/>
          <w:szCs w:val="28"/>
          <w:lang w:val="en-US"/>
        </w:rPr>
        <w:t>---, Les Motifs Zoroastriens Dans la Philosophie de  Suhrawardi, Tehran: t.p., 1945.</w:t>
      </w:r>
    </w:p>
    <w:p>
      <w:pPr>
        <w:pStyle w:val="BookText"/>
        <w:bidi w:val="0"/>
        <w:jc w:val="both"/>
        <w:rPr/>
      </w:pPr>
      <w:r>
        <w:rPr>
          <w:rFonts w:eastAsia="Times New Roman" w:cs="Times New Roman" w:ascii="Times New Roman" w:hAnsi="Times New Roman"/>
          <w:color w:val="111111"/>
          <w:sz w:val="28"/>
          <w:szCs w:val="28"/>
          <w:lang w:val="en-US"/>
        </w:rPr>
        <w:t>--, L'Homme de Lumiere dans la Soufisme Iranien, Paris:</w:t>
      </w:r>
    </w:p>
    <w:p>
      <w:pPr>
        <w:pStyle w:val="BookText"/>
        <w:bidi w:val="0"/>
        <w:jc w:val="both"/>
        <w:rPr/>
      </w:pPr>
      <w:r>
        <w:rPr>
          <w:rFonts w:eastAsia="Times New Roman" w:cs="Times New Roman" w:ascii="Times New Roman" w:hAnsi="Times New Roman"/>
          <w:color w:val="111111"/>
          <w:sz w:val="28"/>
          <w:szCs w:val="28"/>
          <w:lang w:val="en-US"/>
        </w:rPr>
        <w:t>Sisteron, 1971.</w:t>
      </w:r>
    </w:p>
    <w:p>
      <w:pPr>
        <w:pStyle w:val="BookText"/>
        <w:bidi w:val="0"/>
        <w:jc w:val="both"/>
        <w:rPr/>
      </w:pPr>
      <w:r>
        <w:rPr>
          <w:rFonts w:eastAsia="Times New Roman" w:cs="Times New Roman" w:ascii="Times New Roman" w:hAnsi="Times New Roman"/>
          <w:color w:val="111111"/>
          <w:sz w:val="28"/>
          <w:szCs w:val="28"/>
          <w:lang w:val="en-US"/>
        </w:rPr>
        <w:t>--- , Suhrawardid’Alep, fondateur de la Doctrine Illuminative,  Paris: t.p., 1939.</w:t>
      </w:r>
    </w:p>
    <w:p>
      <w:pPr>
        <w:pStyle w:val="BookText"/>
        <w:bidi w:val="0"/>
        <w:jc w:val="both"/>
        <w:rPr/>
      </w:pPr>
      <w:r>
        <w:rPr>
          <w:rFonts w:eastAsia="Times New Roman" w:cs="Times New Roman" w:ascii="Times New Roman" w:hAnsi="Times New Roman"/>
          <w:color w:val="111111"/>
          <w:sz w:val="28"/>
          <w:szCs w:val="28"/>
          <w:lang w:val="en-US"/>
        </w:rPr>
        <w:t>Conford, Francis M., Plato's Cosmology, New York: Arts Press,  1957.</w:t>
      </w:r>
    </w:p>
    <w:p>
      <w:pPr>
        <w:pStyle w:val="BookText"/>
        <w:bidi w:val="0"/>
        <w:jc w:val="both"/>
        <w:rPr/>
      </w:pPr>
      <w:r>
        <w:rPr>
          <w:rFonts w:eastAsia="Times New Roman" w:cs="Times New Roman" w:ascii="Times New Roman" w:hAnsi="Times New Roman"/>
          <w:color w:val="111111"/>
          <w:sz w:val="28"/>
          <w:szCs w:val="28"/>
          <w:lang w:val="en-US"/>
        </w:rPr>
        <w:t>Fakhry, Majid, A History of Islamic Philosophy, New York:</w:t>
      </w:r>
    </w:p>
    <w:p>
      <w:pPr>
        <w:pStyle w:val="BookText"/>
        <w:bidi w:val="0"/>
        <w:jc w:val="both"/>
        <w:rPr/>
      </w:pPr>
      <w:r>
        <w:rPr>
          <w:rFonts w:eastAsia="Times New Roman" w:cs="Times New Roman" w:ascii="Times New Roman" w:hAnsi="Times New Roman"/>
          <w:color w:val="111111"/>
          <w:sz w:val="28"/>
          <w:szCs w:val="28"/>
          <w:lang w:val="en-US"/>
        </w:rPr>
        <w:t>Columbia University Press, 1970.</w:t>
      </w:r>
    </w:p>
    <w:p>
      <w:pPr>
        <w:pStyle w:val="BookText"/>
        <w:bidi w:val="0"/>
        <w:jc w:val="both"/>
        <w:rPr/>
      </w:pPr>
      <w:r>
        <w:rPr>
          <w:rFonts w:eastAsia="Times New Roman" w:cs="Times New Roman" w:ascii="Times New Roman" w:hAnsi="Times New Roman"/>
          <w:color w:val="111111"/>
          <w:sz w:val="28"/>
          <w:szCs w:val="28"/>
          <w:lang w:val="en-US"/>
        </w:rPr>
        <w:t>Flutirkhus, Al-Arā' Ath-Thabi'iyyah, diterbitkan dalam Aristhu fī  An-Nafs, disunting oleh A. Badawi, Beirut: t.p., 1954, hlm.</w:t>
      </w:r>
    </w:p>
    <w:p>
      <w:pPr>
        <w:pStyle w:val="BookText"/>
        <w:bidi w:val="0"/>
        <w:jc w:val="both"/>
        <w:rPr/>
      </w:pPr>
      <w:r>
        <w:rPr>
          <w:rFonts w:eastAsia="Times New Roman" w:cs="Times New Roman" w:ascii="Times New Roman" w:hAnsi="Times New Roman"/>
          <w:color w:val="111111"/>
          <w:sz w:val="28"/>
          <w:szCs w:val="28"/>
          <w:lang w:val="en-US"/>
        </w:rPr>
        <w:t>95-188.</w:t>
      </w:r>
    </w:p>
    <w:p>
      <w:pPr>
        <w:pStyle w:val="BookText"/>
        <w:bidi w:val="0"/>
        <w:jc w:val="both"/>
        <w:rPr/>
      </w:pPr>
      <w:r>
        <w:rPr>
          <w:rFonts w:eastAsia="Times New Roman" w:cs="Times New Roman" w:ascii="Times New Roman" w:hAnsi="Times New Roman"/>
          <w:color w:val="111111"/>
          <w:sz w:val="28"/>
          <w:szCs w:val="28"/>
          <w:lang w:val="en-US"/>
        </w:rPr>
        <w:t>Al-Ghazali, Abu Hamid Muhammad, Mihak An-Nazhar, disunting  oleh Al-Na'sani, Beirut: t.p., 1966.</w:t>
      </w:r>
    </w:p>
    <w:p>
      <w:pPr>
        <w:pStyle w:val="BookText"/>
        <w:bidi w:val="0"/>
        <w:jc w:val="both"/>
        <w:rPr/>
      </w:pPr>
      <w:r>
        <w:rPr>
          <w:rFonts w:eastAsia="Times New Roman" w:cs="Times New Roman" w:ascii="Times New Roman" w:hAnsi="Times New Roman"/>
          <w:color w:val="111111"/>
          <w:sz w:val="28"/>
          <w:szCs w:val="28"/>
          <w:lang w:val="en-US"/>
        </w:rPr>
        <w:t>---, Mi'yār Al-'ilm, disunting oleh Sulaiman Dunya, Kairo:</w:t>
      </w:r>
    </w:p>
    <w:p>
      <w:pPr>
        <w:pStyle w:val="BookText"/>
        <w:bidi w:val="0"/>
        <w:jc w:val="both"/>
        <w:rPr/>
      </w:pPr>
      <w:r>
        <w:rPr>
          <w:rFonts w:eastAsia="Times New Roman" w:cs="Times New Roman" w:ascii="Times New Roman" w:hAnsi="Times New Roman"/>
          <w:color w:val="111111"/>
          <w:sz w:val="28"/>
          <w:szCs w:val="28"/>
          <w:lang w:val="en-US"/>
        </w:rPr>
        <w:t>t.p., 1961.</w:t>
      </w:r>
    </w:p>
    <w:p>
      <w:pPr>
        <w:pStyle w:val="BookText"/>
        <w:bidi w:val="0"/>
        <w:jc w:val="both"/>
        <w:rPr/>
      </w:pPr>
      <w:r>
        <w:rPr>
          <w:rFonts w:eastAsia="Times New Roman" w:cs="Times New Roman" w:ascii="Times New Roman" w:hAnsi="Times New Roman"/>
          <w:color w:val="111111"/>
          <w:sz w:val="28"/>
          <w:szCs w:val="28"/>
          <w:lang w:val="en-US"/>
        </w:rPr>
        <w:t>Gilson, Etienne, Being and Some Philosophers, Toronto:</w:t>
      </w:r>
    </w:p>
    <w:p>
      <w:pPr>
        <w:pStyle w:val="BookText"/>
        <w:bidi w:val="0"/>
        <w:jc w:val="both"/>
        <w:rPr/>
      </w:pPr>
      <w:r>
        <w:rPr>
          <w:rFonts w:eastAsia="Times New Roman" w:cs="Times New Roman" w:ascii="Times New Roman" w:hAnsi="Times New Roman"/>
          <w:color w:val="111111"/>
          <w:sz w:val="28"/>
          <w:szCs w:val="28"/>
          <w:lang w:val="en-US"/>
        </w:rPr>
        <w:t>Pontifical Institute of Medieval Studies, 1949.</w:t>
      </w:r>
    </w:p>
    <w:p>
      <w:pPr>
        <w:pStyle w:val="BookText"/>
        <w:bidi w:val="0"/>
        <w:jc w:val="both"/>
        <w:rPr/>
      </w:pPr>
      <w:r>
        <w:rPr>
          <w:rFonts w:eastAsia="Times New Roman" w:cs="Times New Roman" w:ascii="Times New Roman" w:hAnsi="Times New Roman"/>
          <w:color w:val="111111"/>
          <w:sz w:val="28"/>
          <w:szCs w:val="28"/>
          <w:lang w:val="en-US"/>
        </w:rPr>
        <w:t>Goichon, A.M., Lexico de La Longue Philosophieque d'Ibn Sina,  Paris: Desclee de Brouwer, 1938.</w:t>
      </w:r>
    </w:p>
    <w:p>
      <w:pPr>
        <w:pStyle w:val="BookText"/>
        <w:bidi w:val="0"/>
        <w:jc w:val="both"/>
        <w:rPr/>
      </w:pPr>
      <w:r>
        <w:rPr>
          <w:rFonts w:eastAsia="Times New Roman" w:cs="Times New Roman" w:ascii="Times New Roman" w:hAnsi="Times New Roman"/>
          <w:color w:val="111111"/>
          <w:sz w:val="28"/>
          <w:szCs w:val="28"/>
          <w:lang w:val="en-US"/>
        </w:rPr>
        <w:t>---, Lexique de La Langue Philosophique d'Ibn Sina:</w:t>
      </w:r>
    </w:p>
    <w:p>
      <w:pPr>
        <w:pStyle w:val="BookText"/>
        <w:bidi w:val="0"/>
        <w:jc w:val="both"/>
        <w:rPr/>
      </w:pPr>
      <w:r>
        <w:rPr>
          <w:rFonts w:eastAsia="Times New Roman" w:cs="Times New Roman" w:ascii="Times New Roman" w:hAnsi="Times New Roman"/>
          <w:color w:val="111111"/>
          <w:sz w:val="28"/>
          <w:szCs w:val="28"/>
          <w:lang w:val="en-US"/>
        </w:rPr>
        <w:t>Supplement, Paris: Desclee de Brouwer, 1939.</w:t>
      </w:r>
    </w:p>
    <w:p>
      <w:pPr>
        <w:pStyle w:val="BookText"/>
        <w:bidi w:val="0"/>
        <w:jc w:val="both"/>
        <w:rPr/>
      </w:pPr>
      <w:r>
        <w:rPr>
          <w:rFonts w:eastAsia="Times New Roman" w:cs="Times New Roman" w:ascii="Times New Roman" w:hAnsi="Times New Roman"/>
          <w:color w:val="111111"/>
          <w:sz w:val="28"/>
          <w:szCs w:val="28"/>
          <w:lang w:val="en-US"/>
        </w:rPr>
        <w:t>Guthrie, W.K.C., A History of Greek Philosophy, Cambridge:</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Cambridge University Press, 1969. </w:t>
      </w:r>
    </w:p>
    <w:p>
      <w:pPr>
        <w:pStyle w:val="BookText"/>
        <w:bidi w:val="0"/>
        <w:rPr/>
      </w:pPr>
      <w:r>
        <w:rPr>
          <w:rFonts w:eastAsia="Times New Roman" w:cs="Times New Roman" w:ascii="Times New Roman" w:hAnsi="Times New Roman"/>
          <w:color w:val="111111"/>
          <w:sz w:val="28"/>
          <w:szCs w:val="28"/>
          <w:lang w:val="en-US"/>
        </w:rPr>
        <w:t>Haeri, Mesdi, Hiram-i Hasti, Tehran: t.p., 1980.</w:t>
      </w:r>
    </w:p>
    <w:p>
      <w:pPr>
        <w:pStyle w:val="BookText"/>
        <w:bidi w:val="0"/>
        <w:jc w:val="both"/>
        <w:rPr/>
      </w:pPr>
      <w:r>
        <w:rPr>
          <w:rFonts w:eastAsia="Times New Roman" w:cs="Times New Roman" w:ascii="Times New Roman" w:hAnsi="Times New Roman"/>
          <w:color w:val="111111"/>
          <w:sz w:val="28"/>
          <w:szCs w:val="28"/>
          <w:lang w:val="en-US"/>
        </w:rPr>
        <w:t>Hamlyn, D.W., Sensation and Perception, London: Routledge  and Kegan Paul, 1961.</w:t>
      </w:r>
    </w:p>
    <w:p>
      <w:pPr>
        <w:pStyle w:val="BookText"/>
        <w:bidi w:val="0"/>
        <w:jc w:val="both"/>
        <w:rPr/>
      </w:pPr>
      <w:r>
        <w:rPr>
          <w:rFonts w:eastAsia="Times New Roman" w:cs="Times New Roman" w:ascii="Times New Roman" w:hAnsi="Times New Roman"/>
          <w:color w:val="111111"/>
          <w:sz w:val="28"/>
          <w:szCs w:val="28"/>
          <w:lang w:val="en-US"/>
        </w:rPr>
        <w:t>Harawi, Muhammad Sharif, Anwariyyah: An 17th century A.H.</w:t>
      </w:r>
    </w:p>
    <w:p>
      <w:pPr>
        <w:pStyle w:val="BookText"/>
        <w:bidi w:val="0"/>
        <w:jc w:val="both"/>
        <w:rPr/>
      </w:pPr>
      <w:r>
        <w:rPr>
          <w:rFonts w:eastAsia="Times New Roman" w:cs="Times New Roman" w:ascii="Times New Roman" w:hAnsi="Times New Roman"/>
          <w:color w:val="111111"/>
          <w:sz w:val="28"/>
          <w:szCs w:val="28"/>
          <w:lang w:val="en-US"/>
        </w:rPr>
        <w:t>Persian Translation and Commentary on Suhrawardi's Hikmat  Al-Isyrāq, disunting, diberi pendahuluan, dan catatan oleh  Hossein Ziai, Tehran: Amir Kabir, 1980, Edisi Kedua 1984.</w:t>
      </w:r>
    </w:p>
    <w:p>
      <w:pPr>
        <w:pStyle w:val="BookText"/>
        <w:bidi w:val="0"/>
        <w:jc w:val="both"/>
        <w:rPr/>
      </w:pPr>
      <w:r>
        <w:rPr>
          <w:rFonts w:eastAsia="Times New Roman" w:cs="Times New Roman" w:ascii="Times New Roman" w:hAnsi="Times New Roman"/>
          <w:color w:val="111111"/>
          <w:sz w:val="28"/>
          <w:szCs w:val="28"/>
          <w:lang w:val="en-US"/>
        </w:rPr>
        <w:t>Hirst, R.J. “Perception," Encyclopedia of Philosophy, disunting  oleh Paul Edwards, vol. 6, hlm. 79-87, New York: Macmillan,  1967.</w:t>
      </w:r>
    </w:p>
    <w:p>
      <w:pPr>
        <w:pStyle w:val="BookText"/>
        <w:bidi w:val="0"/>
        <w:jc w:val="both"/>
        <w:rPr/>
      </w:pPr>
      <w:r>
        <w:rPr>
          <w:rFonts w:eastAsia="Times New Roman" w:cs="Times New Roman" w:ascii="Times New Roman" w:hAnsi="Times New Roman"/>
          <w:color w:val="111111"/>
          <w:sz w:val="28"/>
          <w:szCs w:val="28"/>
          <w:lang w:val="en-US"/>
        </w:rPr>
        <w:t>Horten, Max, Die Philosophie der Erleuchtung Nach Suhrawardi,  t.t.: Halle, 1912.</w:t>
      </w:r>
    </w:p>
    <w:p>
      <w:pPr>
        <w:pStyle w:val="BookText"/>
        <w:bidi w:val="0"/>
        <w:jc w:val="both"/>
        <w:rPr/>
      </w:pPr>
      <w:r>
        <w:rPr>
          <w:rFonts w:eastAsia="Times New Roman" w:cs="Times New Roman" w:ascii="Times New Roman" w:hAnsi="Times New Roman"/>
          <w:color w:val="111111"/>
          <w:sz w:val="28"/>
          <w:szCs w:val="28"/>
          <w:lang w:val="en-US"/>
        </w:rPr>
        <w:t>Hunain, Ibn Ishaq, “Fi al-Dhau' wa Haqiqatih," Al-Masyriq, t.t:</w:t>
      </w:r>
    </w:p>
    <w:p>
      <w:pPr>
        <w:pStyle w:val="BookText"/>
        <w:bidi w:val="0"/>
        <w:jc w:val="both"/>
        <w:rPr/>
      </w:pPr>
      <w:r>
        <w:rPr>
          <w:rFonts w:eastAsia="Times New Roman" w:cs="Times New Roman" w:ascii="Times New Roman" w:hAnsi="Times New Roman"/>
          <w:color w:val="111111"/>
          <w:sz w:val="28"/>
          <w:szCs w:val="28"/>
          <w:lang w:val="en-US"/>
        </w:rPr>
        <w:t>t.p. 1899, hlm. 1105-1113.</w:t>
      </w:r>
    </w:p>
    <w:p>
      <w:pPr>
        <w:pStyle w:val="BookText"/>
        <w:bidi w:val="0"/>
        <w:jc w:val="both"/>
        <w:rPr/>
      </w:pPr>
      <w:r>
        <w:rPr>
          <w:rFonts w:eastAsia="Times New Roman" w:cs="Times New Roman" w:ascii="Times New Roman" w:hAnsi="Times New Roman"/>
          <w:color w:val="111111"/>
          <w:sz w:val="28"/>
          <w:szCs w:val="28"/>
          <w:lang w:val="en-US"/>
        </w:rPr>
        <w:t>Ibn Abi Ushaibi'ah, Thabaqāt Al-Athibbā', disunting oleh A.</w:t>
      </w:r>
    </w:p>
    <w:p>
      <w:pPr>
        <w:pStyle w:val="BookText"/>
        <w:bidi w:val="0"/>
        <w:jc w:val="both"/>
        <w:rPr/>
      </w:pPr>
      <w:r>
        <w:rPr>
          <w:rFonts w:eastAsia="Times New Roman" w:cs="Times New Roman" w:ascii="Times New Roman" w:hAnsi="Times New Roman"/>
          <w:color w:val="111111"/>
          <w:sz w:val="28"/>
          <w:szCs w:val="28"/>
          <w:lang w:val="en-US"/>
        </w:rPr>
        <w:t>Muller, t.t.: Koningsbergi Pr., 1884.</w:t>
      </w:r>
    </w:p>
    <w:p>
      <w:pPr>
        <w:pStyle w:val="BookText"/>
        <w:bidi w:val="0"/>
        <w:jc w:val="both"/>
        <w:rPr/>
      </w:pPr>
      <w:r>
        <w:rPr>
          <w:rFonts w:eastAsia="Times New Roman" w:cs="Times New Roman" w:ascii="Times New Roman" w:hAnsi="Times New Roman"/>
          <w:color w:val="111111"/>
          <w:sz w:val="28"/>
          <w:szCs w:val="28"/>
          <w:lang w:val="en-US"/>
        </w:rPr>
        <w:t>Ibn Kammunah, Sa'd bin Manshur, Syarh At-Tawihāt, dicetak  dalam Manthiq At-Talwāhāt, disunting oleh A. A. Fayyaz,  Tehran: Tehran University Press, 1334 H.</w:t>
      </w:r>
    </w:p>
    <w:p>
      <w:pPr>
        <w:pStyle w:val="BookText"/>
        <w:bidi w:val="0"/>
        <w:jc w:val="both"/>
        <w:rPr/>
      </w:pPr>
      <w:r>
        <w:rPr>
          <w:rFonts w:eastAsia="Times New Roman" w:cs="Times New Roman" w:ascii="Times New Roman" w:hAnsi="Times New Roman"/>
          <w:color w:val="111111"/>
          <w:sz w:val="28"/>
          <w:szCs w:val="28"/>
          <w:lang w:val="en-US"/>
        </w:rPr>
        <w:t>---, Tangih Al-Abhāts li Al-Milal Ats-Tsalāts, disunting oleh  Moshe Perlman, Berkeley and Los Angeles: University of  California Press, 1971.</w:t>
      </w:r>
    </w:p>
    <w:p>
      <w:pPr>
        <w:pStyle w:val="BookText"/>
        <w:bidi w:val="0"/>
        <w:jc w:val="both"/>
        <w:rPr/>
      </w:pPr>
      <w:r>
        <w:rPr>
          <w:rFonts w:eastAsia="Times New Roman" w:cs="Times New Roman" w:ascii="Times New Roman" w:hAnsi="Times New Roman"/>
          <w:color w:val="111111"/>
          <w:sz w:val="28"/>
          <w:szCs w:val="28"/>
          <w:lang w:val="en-US"/>
        </w:rPr>
        <w:t>Ibn Sina, Kitāb Al-Isyārāt wa Al-Tanbībāt, disunting oleh Mahmud  Shahabi, Tehran: Theran University Press, 1339 H.</w:t>
      </w:r>
    </w:p>
    <w:p>
      <w:pPr>
        <w:pStyle w:val="BookText"/>
        <w:bidi w:val="0"/>
        <w:jc w:val="both"/>
        <w:rPr/>
      </w:pPr>
      <w:r>
        <w:rPr>
          <w:rFonts w:eastAsia="Times New Roman" w:cs="Times New Roman" w:ascii="Times New Roman" w:hAnsi="Times New Roman"/>
          <w:color w:val="111111"/>
          <w:sz w:val="28"/>
          <w:szCs w:val="28"/>
          <w:lang w:val="en-US"/>
        </w:rPr>
        <w:t>---, Livres des Definitions, disunting dan diterjemahkan  oleh A.M. Goichon, Kairo: Publications de l'Institut Francais  d'Archeologie Orientale du Caire, 1963.</w:t>
      </w:r>
    </w:p>
    <w:p>
      <w:pPr>
        <w:pStyle w:val="BookText"/>
        <w:bidi w:val="0"/>
        <w:jc w:val="both"/>
        <w:rPr/>
      </w:pPr>
      <w:r>
        <w:rPr>
          <w:rFonts w:eastAsia="Times New Roman" w:cs="Times New Roman" w:ascii="Times New Roman" w:hAnsi="Times New Roman"/>
          <w:color w:val="111111"/>
          <w:sz w:val="28"/>
          <w:szCs w:val="28"/>
          <w:lang w:val="en-US"/>
        </w:rPr>
        <w:t>---, Livre des directives et Remarques, diterjemahkan oleh  A.M. Goichon, Paris: J. Vrin, 1951.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Mabda' wa Ma'ād, diterjemahkan ke dalam bahasa  Persia oleh Mahmud Shahabi, Tehran: Tehran University  Press, 1332 H. </w:t>
      </w:r>
    </w:p>
    <w:p>
      <w:pPr>
        <w:pStyle w:val="BookText"/>
        <w:bidi w:val="0"/>
        <w:rPr/>
      </w:pPr>
      <w:r>
        <w:rPr>
          <w:rFonts w:eastAsia="Times New Roman" w:cs="Times New Roman" w:ascii="Times New Roman" w:hAnsi="Times New Roman"/>
          <w:color w:val="111111"/>
          <w:sz w:val="28"/>
          <w:szCs w:val="28"/>
          <w:lang w:val="en-US"/>
        </w:rPr>
        <w:t>, Manthiq Al-Masyriqiyyin, Kairo: t.p., 1910.</w:t>
      </w:r>
    </w:p>
    <w:p>
      <w:pPr>
        <w:pStyle w:val="BookText"/>
        <w:bidi w:val="0"/>
        <w:jc w:val="both"/>
        <w:rPr/>
      </w:pPr>
      <w:r>
        <w:rPr>
          <w:rFonts w:eastAsia="Times New Roman" w:cs="Times New Roman" w:ascii="Times New Roman" w:hAnsi="Times New Roman"/>
          <w:color w:val="111111"/>
          <w:sz w:val="28"/>
          <w:szCs w:val="28"/>
          <w:lang w:val="en-US"/>
        </w:rPr>
        <w:t>---, An-Najāh, disunting oleh M. Al-Kurdi, Kairo: t.p., 1948.</w:t>
      </w:r>
    </w:p>
    <w:p>
      <w:pPr>
        <w:pStyle w:val="BookText"/>
        <w:bidi w:val="0"/>
        <w:jc w:val="both"/>
        <w:rPr/>
      </w:pPr>
      <w:r>
        <w:rPr>
          <w:rFonts w:eastAsia="Times New Roman" w:cs="Times New Roman" w:ascii="Times New Roman" w:hAnsi="Times New Roman"/>
          <w:color w:val="111111"/>
          <w:sz w:val="28"/>
          <w:szCs w:val="28"/>
          <w:lang w:val="en-US"/>
        </w:rPr>
        <w:t>---, Asy-Syifā': Al-Burhan, disunting oleh A. R. Badawi, Kairo:</w:t>
      </w:r>
    </w:p>
    <w:p>
      <w:pPr>
        <w:pStyle w:val="BookText"/>
        <w:bidi w:val="0"/>
        <w:jc w:val="both"/>
        <w:rPr/>
      </w:pPr>
      <w:r>
        <w:rPr>
          <w:rFonts w:eastAsia="Times New Roman" w:cs="Times New Roman" w:ascii="Times New Roman" w:hAnsi="Times New Roman"/>
          <w:color w:val="111111"/>
          <w:sz w:val="28"/>
          <w:szCs w:val="28"/>
          <w:lang w:val="en-US"/>
        </w:rPr>
        <w:t>t.p., 1954.</w:t>
      </w:r>
    </w:p>
    <w:p>
      <w:pPr>
        <w:pStyle w:val="BookText"/>
        <w:bidi w:val="0"/>
        <w:jc w:val="both"/>
        <w:rPr/>
      </w:pPr>
      <w:r>
        <w:rPr>
          <w:rFonts w:eastAsia="Times New Roman" w:cs="Times New Roman" w:ascii="Times New Roman" w:hAnsi="Times New Roman"/>
          <w:color w:val="111111"/>
          <w:sz w:val="28"/>
          <w:szCs w:val="28"/>
          <w:lang w:val="en-US"/>
        </w:rPr>
        <w:t>---, Asy-Syifā': fi Al-'lbārah, disunting oleh M. Khujairi,  Kairo: t.p., 1970.</w:t>
      </w:r>
    </w:p>
    <w:p>
      <w:pPr>
        <w:pStyle w:val="BookText"/>
        <w:bidi w:val="0"/>
        <w:jc w:val="both"/>
        <w:rPr/>
      </w:pPr>
      <w:r>
        <w:rPr>
          <w:rFonts w:eastAsia="Times New Roman" w:cs="Times New Roman" w:ascii="Times New Roman" w:hAnsi="Times New Roman"/>
          <w:color w:val="111111"/>
          <w:sz w:val="28"/>
          <w:szCs w:val="28"/>
          <w:lang w:val="en-US"/>
        </w:rPr>
        <w:t>---, Asy-Syifā': Al-Jadal, disunting oleh A.F. Al-Ahwani,  Kairo: t.p., 1965.</w:t>
      </w:r>
    </w:p>
    <w:p>
      <w:pPr>
        <w:pStyle w:val="BookText"/>
        <w:bidi w:val="0"/>
        <w:jc w:val="both"/>
        <w:rPr/>
      </w:pPr>
      <w:r>
        <w:rPr>
          <w:rFonts w:eastAsia="Times New Roman" w:cs="Times New Roman" w:ascii="Times New Roman" w:hAnsi="Times New Roman"/>
          <w:color w:val="111111"/>
          <w:sz w:val="28"/>
          <w:szCs w:val="28"/>
          <w:lang w:val="en-US"/>
        </w:rPr>
        <w:t>---, Asy-Syifā': Al-Ilāhiyyāt, disunting oleh G. C. Anawati  dan S. Zayid, Kairo: t.p., 1960.</w:t>
      </w:r>
    </w:p>
    <w:p>
      <w:pPr>
        <w:pStyle w:val="BookText"/>
        <w:bidi w:val="0"/>
        <w:jc w:val="both"/>
        <w:rPr/>
      </w:pPr>
      <w:r>
        <w:rPr>
          <w:rFonts w:eastAsia="Times New Roman" w:cs="Times New Roman" w:ascii="Times New Roman" w:hAnsi="Times New Roman"/>
          <w:color w:val="111111"/>
          <w:sz w:val="28"/>
          <w:szCs w:val="28"/>
          <w:lang w:val="en-US"/>
        </w:rPr>
        <w:t>---, Asy-Syifā': Al-Madkhal, disunting oleh Ibrahim Madkour,  Kairo: t.p., 1951.</w:t>
      </w:r>
    </w:p>
    <w:p>
      <w:pPr>
        <w:pStyle w:val="BookText"/>
        <w:bidi w:val="0"/>
        <w:jc w:val="both"/>
        <w:rPr/>
      </w:pPr>
      <w:r>
        <w:rPr>
          <w:rFonts w:eastAsia="Times New Roman" w:cs="Times New Roman" w:ascii="Times New Roman" w:hAnsi="Times New Roman"/>
          <w:color w:val="111111"/>
          <w:sz w:val="28"/>
          <w:szCs w:val="28"/>
          <w:lang w:val="en-US"/>
        </w:rPr>
        <w:t>---, Asy-Syifā': Al-Maqūlāt, disunting G.C. Anawati, et. Al.,  Kairo: t.p., 1959.</w:t>
      </w:r>
    </w:p>
    <w:p>
      <w:pPr>
        <w:pStyle w:val="BookText"/>
        <w:bidi w:val="0"/>
        <w:jc w:val="both"/>
        <w:rPr/>
      </w:pPr>
      <w:r>
        <w:rPr>
          <w:rFonts w:eastAsia="Times New Roman" w:cs="Times New Roman" w:ascii="Times New Roman" w:hAnsi="Times New Roman"/>
          <w:color w:val="111111"/>
          <w:sz w:val="28"/>
          <w:szCs w:val="28"/>
          <w:lang w:val="en-US"/>
        </w:rPr>
        <w:t>---, Asy-Syifā': Al-Qiyās, disunting oleh S. Zayid, Kairo: t.p.,  1964.</w:t>
      </w:r>
    </w:p>
    <w:p>
      <w:pPr>
        <w:pStyle w:val="BookText"/>
        <w:bidi w:val="0"/>
        <w:jc w:val="both"/>
        <w:rPr/>
      </w:pPr>
      <w:r>
        <w:rPr>
          <w:rFonts w:eastAsia="Times New Roman" w:cs="Times New Roman" w:ascii="Times New Roman" w:hAnsi="Times New Roman"/>
          <w:color w:val="111111"/>
          <w:sz w:val="28"/>
          <w:szCs w:val="28"/>
          <w:lang w:val="en-US"/>
        </w:rPr>
        <w:t>Iqbal Muhammad, The Development of Metaphysics in Persia,  London: Luzac, 1908.</w:t>
      </w:r>
    </w:p>
    <w:p>
      <w:pPr>
        <w:pStyle w:val="BookText"/>
        <w:bidi w:val="0"/>
        <w:jc w:val="both"/>
        <w:rPr/>
      </w:pPr>
      <w:r>
        <w:rPr>
          <w:rFonts w:eastAsia="Times New Roman" w:cs="Times New Roman" w:ascii="Times New Roman" w:hAnsi="Times New Roman"/>
          <w:color w:val="111111"/>
          <w:sz w:val="28"/>
          <w:szCs w:val="28"/>
          <w:lang w:val="en-US"/>
        </w:rPr>
        <w:t>Irvy, Alfred, Al-Kindi's Metaphysics, Albany: State University of  New York, 1974.</w:t>
      </w:r>
    </w:p>
    <w:p>
      <w:pPr>
        <w:pStyle w:val="BookText"/>
        <w:bidi w:val="0"/>
        <w:jc w:val="both"/>
        <w:rPr/>
      </w:pPr>
      <w:r>
        <w:rPr>
          <w:rFonts w:eastAsia="Times New Roman" w:cs="Times New Roman" w:ascii="Times New Roman" w:hAnsi="Times New Roman"/>
          <w:color w:val="111111"/>
          <w:sz w:val="28"/>
          <w:szCs w:val="28"/>
          <w:lang w:val="en-US"/>
        </w:rPr>
        <w:t>Isutzu, Toshihiko, “The Problem of Quiddity and Natural  Universal in Islamic Metaphysics," Etudes Philosophique,  disunting oleh Osman Amin, Kairo: Gebo, 1974.</w:t>
      </w:r>
    </w:p>
    <w:p>
      <w:pPr>
        <w:pStyle w:val="BookText"/>
        <w:bidi w:val="0"/>
        <w:jc w:val="both"/>
        <w:rPr/>
      </w:pPr>
      <w:r>
        <w:rPr>
          <w:rFonts w:eastAsia="Times New Roman" w:cs="Times New Roman" w:ascii="Times New Roman" w:hAnsi="Times New Roman"/>
          <w:color w:val="111111"/>
          <w:sz w:val="28"/>
          <w:szCs w:val="28"/>
          <w:lang w:val="en-US"/>
        </w:rPr>
        <w:t>Jaddane, Fehmi, L'influnce du Stoicism Sur la Pensee Musulmane,  Beirut: Dar al-Masyriq, 1968.</w:t>
      </w:r>
    </w:p>
    <w:p>
      <w:pPr>
        <w:pStyle w:val="BookText"/>
        <w:bidi w:val="0"/>
        <w:jc w:val="both"/>
        <w:rPr/>
      </w:pPr>
      <w:r>
        <w:rPr>
          <w:rFonts w:eastAsia="Times New Roman" w:cs="Times New Roman" w:ascii="Times New Roman" w:hAnsi="Times New Roman"/>
          <w:color w:val="111111"/>
          <w:sz w:val="28"/>
          <w:szCs w:val="28"/>
          <w:lang w:val="en-US"/>
        </w:rPr>
        <w:t>Kal, Victor, On Intuition du Discursive Reasoning in Aristoteles,  Leiden: E. J. Brill, 1988.</w:t>
      </w:r>
    </w:p>
    <w:p>
      <w:pPr>
        <w:pStyle w:val="BookText"/>
        <w:bidi w:val="0"/>
        <w:jc w:val="both"/>
        <w:rPr/>
      </w:pPr>
      <w:r>
        <w:rPr>
          <w:rFonts w:eastAsia="Times New Roman" w:cs="Times New Roman" w:ascii="Times New Roman" w:hAnsi="Times New Roman"/>
          <w:color w:val="111111"/>
          <w:sz w:val="28"/>
          <w:szCs w:val="28"/>
          <w:lang w:val="en-US"/>
        </w:rPr>
        <w:t>Kant, Immanuel, Logic, diterjemahkan oleh R. Hartman dan W.</w:t>
      </w:r>
    </w:p>
    <w:p>
      <w:pPr>
        <w:pStyle w:val="BookText"/>
        <w:bidi w:val="0"/>
        <w:jc w:val="both"/>
        <w:rPr/>
      </w:pPr>
      <w:r>
        <w:rPr>
          <w:rFonts w:eastAsia="Times New Roman" w:cs="Times New Roman" w:ascii="Times New Roman" w:hAnsi="Times New Roman"/>
          <w:color w:val="111111"/>
          <w:sz w:val="28"/>
          <w:szCs w:val="28"/>
          <w:lang w:val="en-US"/>
        </w:rPr>
        <w:t>Schwartz, New York: Library of Liberal Arts, 1974.</w:t>
      </w:r>
    </w:p>
    <w:p>
      <w:pPr>
        <w:pStyle w:val="BookText"/>
        <w:bidi w:val="0"/>
        <w:jc w:val="both"/>
        <w:rPr/>
      </w:pPr>
      <w:r>
        <w:rPr>
          <w:rFonts w:eastAsia="Times New Roman" w:cs="Times New Roman" w:ascii="Times New Roman" w:hAnsi="Times New Roman"/>
          <w:color w:val="111111"/>
          <w:sz w:val="28"/>
          <w:szCs w:val="28"/>
          <w:lang w:val="en-US"/>
        </w:rPr>
        <w:t>Kneale, William and Martha, The Development of Logic, Oxford:</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Oxford University Press, 1968. </w:t>
      </w:r>
    </w:p>
    <w:p>
      <w:pPr>
        <w:pStyle w:val="BookText"/>
        <w:bidi w:val="0"/>
        <w:rPr/>
      </w:pPr>
      <w:r>
        <w:rPr>
          <w:rFonts w:eastAsia="Times New Roman" w:cs="Times New Roman" w:ascii="Times New Roman" w:hAnsi="Times New Roman"/>
          <w:color w:val="111111"/>
          <w:sz w:val="28"/>
          <w:szCs w:val="28"/>
          <w:lang w:val="en-US"/>
        </w:rPr>
        <w:t>Massignon, Louis, Receuil de Texts Inedits, Paris: Paul Getuhner,  1929.</w:t>
      </w:r>
    </w:p>
    <w:p>
      <w:pPr>
        <w:pStyle w:val="BookText"/>
        <w:bidi w:val="0"/>
        <w:jc w:val="both"/>
        <w:rPr/>
      </w:pPr>
      <w:r>
        <w:rPr>
          <w:rFonts w:eastAsia="Times New Roman" w:cs="Times New Roman" w:ascii="Times New Roman" w:hAnsi="Times New Roman"/>
          <w:color w:val="111111"/>
          <w:sz w:val="28"/>
          <w:szCs w:val="28"/>
          <w:lang w:val="en-US"/>
        </w:rPr>
        <w:t>Mates, Benson, Stoic Logic, Berkeley: University of California  Press, 1929.</w:t>
      </w:r>
    </w:p>
    <w:p>
      <w:pPr>
        <w:pStyle w:val="BookText"/>
        <w:bidi w:val="0"/>
        <w:jc w:val="both"/>
        <w:rPr/>
      </w:pPr>
      <w:r>
        <w:rPr>
          <w:rFonts w:eastAsia="Times New Roman" w:cs="Times New Roman" w:ascii="Times New Roman" w:hAnsi="Times New Roman"/>
          <w:color w:val="111111"/>
          <w:sz w:val="28"/>
          <w:szCs w:val="28"/>
          <w:lang w:val="en-US"/>
        </w:rPr>
        <w:t>Matthews, Gweneth, Plato's Epistemology and Related Logical  Problems, London: Faber and Faber, 1972.</w:t>
      </w:r>
    </w:p>
    <w:p>
      <w:pPr>
        <w:pStyle w:val="BookText"/>
        <w:bidi w:val="0"/>
        <w:jc w:val="both"/>
        <w:rPr/>
      </w:pPr>
      <w:r>
        <w:rPr>
          <w:rFonts w:eastAsia="Times New Roman" w:cs="Times New Roman" w:ascii="Times New Roman" w:hAnsi="Times New Roman"/>
          <w:color w:val="111111"/>
          <w:sz w:val="28"/>
          <w:szCs w:val="28"/>
          <w:lang w:val="en-US"/>
        </w:rPr>
        <w:t>Merlan, Philip, From Platonism to Neoplatonism, 3rd, ed. Rev.,  The Hague: Martinus Nijhoff, 1968.</w:t>
      </w:r>
    </w:p>
    <w:p>
      <w:pPr>
        <w:pStyle w:val="BookText"/>
        <w:bidi w:val="0"/>
        <w:jc w:val="both"/>
        <w:rPr/>
      </w:pPr>
      <w:r>
        <w:rPr>
          <w:rFonts w:eastAsia="Times New Roman" w:cs="Times New Roman" w:ascii="Times New Roman" w:hAnsi="Times New Roman"/>
          <w:color w:val="111111"/>
          <w:sz w:val="28"/>
          <w:szCs w:val="28"/>
          <w:lang w:val="en-US"/>
        </w:rPr>
        <w:t>---, Monopsychism Mysticism Metaconsciousness, The  Hague: Martinus Nijhoff, 1963.</w:t>
      </w:r>
    </w:p>
    <w:p>
      <w:pPr>
        <w:pStyle w:val="BookText"/>
        <w:bidi w:val="0"/>
        <w:jc w:val="both"/>
        <w:rPr/>
      </w:pPr>
      <w:r>
        <w:rPr>
          <w:rFonts w:eastAsia="Times New Roman" w:cs="Times New Roman" w:ascii="Times New Roman" w:hAnsi="Times New Roman"/>
          <w:color w:val="111111"/>
          <w:sz w:val="28"/>
          <w:szCs w:val="28"/>
          <w:lang w:val="en-US"/>
        </w:rPr>
        <w:t>Misykat Al-Dini, A. M., Tahqiq dar Haqiqat-i 'Ilm, Tehran:</w:t>
      </w:r>
    </w:p>
    <w:p>
      <w:pPr>
        <w:pStyle w:val="BookText"/>
        <w:bidi w:val="0"/>
        <w:jc w:val="both"/>
        <w:rPr/>
      </w:pPr>
      <w:r>
        <w:rPr>
          <w:rFonts w:eastAsia="Times New Roman" w:cs="Times New Roman" w:ascii="Times New Roman" w:hAnsi="Times New Roman"/>
          <w:color w:val="111111"/>
          <w:sz w:val="28"/>
          <w:szCs w:val="28"/>
          <w:lang w:val="en-US"/>
        </w:rPr>
        <w:t>Tehran University Press, 1344 H.</w:t>
      </w:r>
    </w:p>
    <w:p>
      <w:pPr>
        <w:pStyle w:val="BookText"/>
        <w:bidi w:val="0"/>
        <w:jc w:val="both"/>
        <w:rPr/>
      </w:pPr>
      <w:r>
        <w:rPr>
          <w:rFonts w:eastAsia="Times New Roman" w:cs="Times New Roman" w:ascii="Times New Roman" w:hAnsi="Times New Roman"/>
          <w:color w:val="111111"/>
          <w:sz w:val="28"/>
          <w:szCs w:val="28"/>
          <w:lang w:val="en-US"/>
        </w:rPr>
        <w:t>Nasr, Seyyed Hossein, An Introduction to Islamic Cosmological  Doctrines, London: t.p., 1978.</w:t>
      </w:r>
    </w:p>
    <w:p>
      <w:pPr>
        <w:pStyle w:val="BookText"/>
        <w:bidi w:val="0"/>
        <w:jc w:val="both"/>
        <w:rPr/>
      </w:pPr>
      <w:r>
        <w:rPr>
          <w:rFonts w:eastAsia="Times New Roman" w:cs="Times New Roman" w:ascii="Times New Roman" w:hAnsi="Times New Roman"/>
          <w:color w:val="111111"/>
          <w:sz w:val="28"/>
          <w:szCs w:val="28"/>
          <w:lang w:val="en-US"/>
        </w:rPr>
        <w:t>---, Three Muslims Sages, Cambridge: Harvard University  Press, 1964.</w:t>
      </w:r>
    </w:p>
    <w:p>
      <w:pPr>
        <w:pStyle w:val="BookText"/>
        <w:bidi w:val="0"/>
        <w:jc w:val="both"/>
        <w:rPr/>
      </w:pPr>
      <w:r>
        <w:rPr>
          <w:rFonts w:eastAsia="Times New Roman" w:cs="Times New Roman" w:ascii="Times New Roman" w:hAnsi="Times New Roman"/>
          <w:color w:val="111111"/>
          <w:sz w:val="28"/>
          <w:szCs w:val="28"/>
          <w:lang w:val="en-US"/>
        </w:rPr>
        <w:t>Perlman, Moshe, Sa'd bin Manshur Ibn Kammunah's Examination  of Inquiries Into The Three Faiths: A Thirteenth-Century  Essay in Comparative Religion, Berkeley and Los Angeles:</w:t>
      </w:r>
    </w:p>
    <w:p>
      <w:pPr>
        <w:pStyle w:val="BookText"/>
        <w:bidi w:val="0"/>
        <w:jc w:val="both"/>
        <w:rPr/>
      </w:pPr>
      <w:r>
        <w:rPr>
          <w:rFonts w:eastAsia="Times New Roman" w:cs="Times New Roman" w:ascii="Times New Roman" w:hAnsi="Times New Roman"/>
          <w:color w:val="111111"/>
          <w:sz w:val="28"/>
          <w:szCs w:val="28"/>
          <w:lang w:val="en-US"/>
        </w:rPr>
        <w:t>University of California Press, 1967.</w:t>
      </w:r>
    </w:p>
    <w:p>
      <w:pPr>
        <w:pStyle w:val="BookText"/>
        <w:bidi w:val="0"/>
        <w:jc w:val="both"/>
        <w:rPr/>
      </w:pPr>
      <w:r>
        <w:rPr>
          <w:rFonts w:eastAsia="Times New Roman" w:cs="Times New Roman" w:ascii="Times New Roman" w:hAnsi="Times New Roman"/>
          <w:color w:val="111111"/>
          <w:sz w:val="28"/>
          <w:szCs w:val="28"/>
          <w:lang w:val="en-US"/>
        </w:rPr>
        <w:t>Peters, F.E., Aristoteles and The Arabs, New York: New York  University Press, 1968.</w:t>
      </w:r>
    </w:p>
    <w:p>
      <w:pPr>
        <w:pStyle w:val="BookText"/>
        <w:bidi w:val="0"/>
        <w:jc w:val="both"/>
        <w:rPr/>
      </w:pPr>
      <w:r>
        <w:rPr>
          <w:rFonts w:eastAsia="Times New Roman" w:cs="Times New Roman" w:ascii="Times New Roman" w:hAnsi="Times New Roman"/>
          <w:color w:val="111111"/>
          <w:sz w:val="28"/>
          <w:szCs w:val="28"/>
          <w:lang w:val="en-US"/>
        </w:rPr>
        <w:t>Pines, Solomon, Nouvelles Etudes sur Auhad Al-Zaman Abu Al-  Barakat Al-Baghdadi, Paris: Libraire Durlaches, 1953.</w:t>
      </w:r>
    </w:p>
    <w:p>
      <w:pPr>
        <w:pStyle w:val="BookText"/>
        <w:bidi w:val="0"/>
        <w:jc w:val="both"/>
        <w:rPr/>
      </w:pPr>
      <w:r>
        <w:rPr>
          <w:rFonts w:eastAsia="Times New Roman" w:cs="Times New Roman" w:ascii="Times New Roman" w:hAnsi="Times New Roman"/>
          <w:color w:val="111111"/>
          <w:sz w:val="28"/>
          <w:szCs w:val="28"/>
          <w:lang w:val="en-US"/>
        </w:rPr>
        <w:t>---, “Studies in Abu Al-Barakat Al-Baghdadi's Poetics and  Metaphysics", dalam Scripta Hierosolyminata, Volume VII,  Studies in Islamic Philosophy, disunting oleh S.H. Bergman,  Jerussalem: The Magnes Press ot The Hebrew University,  1960, hlm. 120-198.</w:t>
      </w:r>
    </w:p>
    <w:p>
      <w:pPr>
        <w:pStyle w:val="BookText"/>
        <w:bidi w:val="0"/>
        <w:jc w:val="both"/>
        <w:rPr/>
      </w:pPr>
      <w:r>
        <w:rPr>
          <w:rFonts w:eastAsia="Times New Roman" w:cs="Times New Roman" w:ascii="Times New Roman" w:hAnsi="Times New Roman"/>
          <w:color w:val="111111"/>
          <w:sz w:val="28"/>
          <w:szCs w:val="28"/>
          <w:lang w:val="en-US"/>
        </w:rPr>
        <w:t>Pistorius, Plotinus and Neoplatonism, Cambridge: Bower and  Bower, 1952.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Plato, The Collected Dialogues, disunting oleh Edith Hamilton </w:t>
      </w:r>
    </w:p>
    <w:p>
      <w:pPr>
        <w:pStyle w:val="BookText"/>
        <w:bidi w:val="0"/>
        <w:rPr/>
      </w:pPr>
      <w:r>
        <w:rPr>
          <w:rFonts w:eastAsia="Times New Roman" w:cs="Times New Roman" w:ascii="Times New Roman" w:hAnsi="Times New Roman"/>
          <w:color w:val="111111"/>
          <w:sz w:val="28"/>
          <w:szCs w:val="28"/>
          <w:lang w:val="en-US"/>
        </w:rPr>
        <w:t>dan Huntington Carins, Princeton: Princeton University  Press, 1969.</w:t>
      </w:r>
    </w:p>
    <w:p>
      <w:pPr>
        <w:pStyle w:val="BookText"/>
        <w:bidi w:val="0"/>
        <w:jc w:val="both"/>
        <w:rPr/>
      </w:pPr>
      <w:r>
        <w:rPr>
          <w:rFonts w:eastAsia="Times New Roman" w:cs="Times New Roman" w:ascii="Times New Roman" w:hAnsi="Times New Roman"/>
          <w:color w:val="111111"/>
          <w:sz w:val="28"/>
          <w:szCs w:val="28"/>
          <w:lang w:val="en-US"/>
        </w:rPr>
        <w:t>Plotinus, The Enneads, diterjemahkan oleh Stephen Mackenna,  New York: Pantheon Books, 1969.</w:t>
      </w:r>
    </w:p>
    <w:p>
      <w:pPr>
        <w:pStyle w:val="BookText"/>
        <w:bidi w:val="0"/>
        <w:jc w:val="both"/>
        <w:rPr/>
      </w:pPr>
      <w:r>
        <w:rPr>
          <w:rFonts w:eastAsia="Times New Roman" w:cs="Times New Roman" w:ascii="Times New Roman" w:hAnsi="Times New Roman"/>
          <w:color w:val="111111"/>
          <w:sz w:val="28"/>
          <w:szCs w:val="28"/>
          <w:lang w:val="en-US"/>
        </w:rPr>
        <w:t>Al-Qifthi, Tārīkh Al-Hukamā', diterjemahkan ke dalam bahasa  Persia dan disunting oleh Bahman Dara'i, Tehran: Tehran  University Press, 1347 H.</w:t>
      </w:r>
    </w:p>
    <w:p>
      <w:pPr>
        <w:pStyle w:val="BookText"/>
        <w:bidi w:val="0"/>
        <w:jc w:val="both"/>
        <w:rPr/>
      </w:pPr>
      <w:r>
        <w:rPr>
          <w:rFonts w:eastAsia="Times New Roman" w:cs="Times New Roman" w:ascii="Times New Roman" w:hAnsi="Times New Roman"/>
          <w:color w:val="111111"/>
          <w:sz w:val="28"/>
          <w:szCs w:val="28"/>
          <w:lang w:val="en-US"/>
        </w:rPr>
        <w:t>Rahman, Fazlur, Avicenna's de Anima, London: Oxford  University Press, 1959.</w:t>
      </w:r>
    </w:p>
    <w:p>
      <w:pPr>
        <w:pStyle w:val="BookText"/>
        <w:bidi w:val="0"/>
        <w:jc w:val="both"/>
        <w:rPr/>
      </w:pPr>
      <w:r>
        <w:rPr>
          <w:rFonts w:eastAsia="Times New Roman" w:cs="Times New Roman" w:ascii="Times New Roman" w:hAnsi="Times New Roman"/>
          <w:color w:val="111111"/>
          <w:sz w:val="28"/>
          <w:szCs w:val="28"/>
          <w:lang w:val="en-US"/>
        </w:rPr>
        <w:t>---, Avicenna's Psychology, London: Oxford University  Press, 1952.</w:t>
      </w:r>
    </w:p>
    <w:p>
      <w:pPr>
        <w:pStyle w:val="BookText"/>
        <w:bidi w:val="0"/>
        <w:jc w:val="both"/>
        <w:rPr/>
      </w:pPr>
      <w:r>
        <w:rPr>
          <w:rFonts w:eastAsia="Times New Roman" w:cs="Times New Roman" w:ascii="Times New Roman" w:hAnsi="Times New Roman"/>
          <w:color w:val="111111"/>
          <w:sz w:val="28"/>
          <w:szCs w:val="28"/>
          <w:lang w:val="en-US"/>
        </w:rPr>
        <w:t>--- , Prophecy in Islam, London: George Allen and Unwin Ltd.,  1958.</w:t>
      </w:r>
    </w:p>
    <w:p>
      <w:pPr>
        <w:pStyle w:val="BookText"/>
        <w:bidi w:val="0"/>
        <w:jc w:val="both"/>
        <w:rPr/>
      </w:pPr>
      <w:r>
        <w:rPr>
          <w:rFonts w:eastAsia="Times New Roman" w:cs="Times New Roman" w:ascii="Times New Roman" w:hAnsi="Times New Roman"/>
          <w:color w:val="111111"/>
          <w:sz w:val="28"/>
          <w:szCs w:val="28"/>
          <w:lang w:val="en-US"/>
        </w:rPr>
        <w:t>Rist, J. M., Plotinus: The Road to Reality, t.t.: Cambridge  University Press, 1967.</w:t>
      </w:r>
    </w:p>
    <w:p>
      <w:pPr>
        <w:pStyle w:val="BookText"/>
        <w:bidi w:val="0"/>
        <w:jc w:val="both"/>
        <w:rPr/>
      </w:pPr>
      <w:r>
        <w:rPr>
          <w:rFonts w:eastAsia="Times New Roman" w:cs="Times New Roman" w:ascii="Times New Roman" w:hAnsi="Times New Roman"/>
          <w:color w:val="111111"/>
          <w:sz w:val="28"/>
          <w:szCs w:val="28"/>
          <w:lang w:val="en-US"/>
        </w:rPr>
        <w:t>Ritter, Helmut, “Philologika IX: Die vier Suhrawardi," Der Islam,  vol. 24 (1937), hlm. 270-286 dan vol. 25 (1938), hlm. 35-86.</w:t>
      </w:r>
    </w:p>
    <w:p>
      <w:pPr>
        <w:pStyle w:val="BookText"/>
        <w:bidi w:val="0"/>
        <w:jc w:val="both"/>
        <w:rPr/>
      </w:pPr>
      <w:r>
        <w:rPr>
          <w:rFonts w:eastAsia="Times New Roman" w:cs="Times New Roman" w:ascii="Times New Roman" w:hAnsi="Times New Roman"/>
          <w:color w:val="111111"/>
          <w:sz w:val="28"/>
          <w:szCs w:val="28"/>
          <w:lang w:val="en-US"/>
        </w:rPr>
        <w:t>Robinson, Richard, Definition, Oxford: Oxford University Press,  1972.</w:t>
      </w:r>
    </w:p>
    <w:p>
      <w:pPr>
        <w:pStyle w:val="BookText"/>
        <w:bidi w:val="0"/>
        <w:jc w:val="both"/>
        <w:rPr/>
      </w:pPr>
      <w:r>
        <w:rPr>
          <w:rFonts w:eastAsia="Times New Roman" w:cs="Times New Roman" w:ascii="Times New Roman" w:hAnsi="Times New Roman"/>
          <w:color w:val="111111"/>
          <w:sz w:val="28"/>
          <w:szCs w:val="28"/>
          <w:lang w:val="en-US"/>
        </w:rPr>
        <w:t>---, Plato's Earlier Dialectic, Oxford: Clarendon Press, 1970.</w:t>
      </w:r>
    </w:p>
    <w:p>
      <w:pPr>
        <w:pStyle w:val="BookText"/>
        <w:bidi w:val="0"/>
        <w:jc w:val="both"/>
        <w:rPr/>
      </w:pPr>
      <w:r>
        <w:rPr>
          <w:rFonts w:eastAsia="Times New Roman" w:cs="Times New Roman" w:ascii="Times New Roman" w:hAnsi="Times New Roman"/>
          <w:color w:val="111111"/>
          <w:sz w:val="28"/>
          <w:szCs w:val="28"/>
          <w:lang w:val="en-US"/>
        </w:rPr>
        <w:t>Russel, Betrand, Introduction to Mathematical Philosophy,  London: George Allen and Unwin, 1924.</w:t>
      </w:r>
    </w:p>
    <w:p>
      <w:pPr>
        <w:pStyle w:val="BookText"/>
        <w:bidi w:val="0"/>
        <w:jc w:val="both"/>
        <w:rPr/>
      </w:pPr>
      <w:r>
        <w:rPr>
          <w:rFonts w:eastAsia="Times New Roman" w:cs="Times New Roman" w:ascii="Times New Roman" w:hAnsi="Times New Roman"/>
          <w:color w:val="111111"/>
          <w:sz w:val="28"/>
          <w:szCs w:val="28"/>
          <w:lang w:val="en-US"/>
        </w:rPr>
        <w:t>Sagal, Paul T., “Implicit Definition," The Monist, vol. 57, No. 3  (Juli, 1973), hlm. 443-450.</w:t>
      </w:r>
    </w:p>
    <w:p>
      <w:pPr>
        <w:pStyle w:val="BookText"/>
        <w:bidi w:val="0"/>
        <w:jc w:val="both"/>
        <w:rPr/>
      </w:pPr>
      <w:r>
        <w:rPr>
          <w:rFonts w:eastAsia="Times New Roman" w:cs="Times New Roman" w:ascii="Times New Roman" w:hAnsi="Times New Roman"/>
          <w:color w:val="111111"/>
          <w:sz w:val="28"/>
          <w:szCs w:val="28"/>
          <w:lang w:val="en-US"/>
        </w:rPr>
        <w:t>Sajjadi, Seyyed Ja'far, Syihab Al-Din Suhrawardi. Tehran:</w:t>
      </w:r>
    </w:p>
    <w:p>
      <w:pPr>
        <w:pStyle w:val="BookText"/>
        <w:bidi w:val="0"/>
        <w:jc w:val="both"/>
        <w:rPr/>
      </w:pPr>
      <w:r>
        <w:rPr>
          <w:rFonts w:eastAsia="Times New Roman" w:cs="Times New Roman" w:ascii="Times New Roman" w:hAnsi="Times New Roman"/>
          <w:color w:val="111111"/>
          <w:sz w:val="28"/>
          <w:szCs w:val="28"/>
          <w:lang w:val="en-US"/>
        </w:rPr>
        <w:t>Intisyārā-i Falsafa, 1984.</w:t>
      </w:r>
    </w:p>
    <w:p>
      <w:pPr>
        <w:pStyle w:val="BookText"/>
        <w:bidi w:val="0"/>
        <w:jc w:val="both"/>
        <w:rPr/>
      </w:pPr>
      <w:r>
        <w:rPr>
          <w:rFonts w:eastAsia="Times New Roman" w:cs="Times New Roman" w:ascii="Times New Roman" w:hAnsi="Times New Roman"/>
          <w:color w:val="111111"/>
          <w:sz w:val="28"/>
          <w:szCs w:val="28"/>
          <w:lang w:val="en-US"/>
        </w:rPr>
        <w:t>As-Sawi, 'Umar bin Sahlan, Tabshīrah va du Risāla-yi Digar dar  Manthiq, disunting oleh M.T. Danesh Pajouh, Tehran: Tehran  University Press, 1958.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Sayre, M., Plato's Analytic Method, Chicago: University of  Chicago Press, 1969. </w:t>
      </w:r>
    </w:p>
    <w:p>
      <w:pPr>
        <w:pStyle w:val="BookText"/>
        <w:bidi w:val="0"/>
        <w:rPr/>
      </w:pPr>
      <w:r>
        <w:rPr>
          <w:rFonts w:eastAsia="Times New Roman" w:cs="Times New Roman" w:ascii="Times New Roman" w:hAnsi="Times New Roman"/>
          <w:color w:val="111111"/>
          <w:sz w:val="28"/>
          <w:szCs w:val="28"/>
          <w:lang w:val="en-US"/>
        </w:rPr>
        <w:t>Shahabi, Mahmud, Būd va Numūd, Tehran: Tehran University  Press, 1335 H.</w:t>
      </w:r>
    </w:p>
    <w:p>
      <w:pPr>
        <w:pStyle w:val="BookText"/>
        <w:bidi w:val="0"/>
        <w:jc w:val="both"/>
        <w:rPr/>
      </w:pPr>
      <w:r>
        <w:rPr>
          <w:rFonts w:eastAsia="Times New Roman" w:cs="Times New Roman" w:ascii="Times New Roman" w:hAnsi="Times New Roman"/>
          <w:color w:val="111111"/>
          <w:sz w:val="28"/>
          <w:szCs w:val="28"/>
          <w:lang w:val="en-US"/>
        </w:rPr>
        <w:t>Asy-Syahrazuri, Syamsuddin Muhammad, Nuzhat Al-Arwāh,  Istanbul: Yeni Cami, 1908.</w:t>
      </w:r>
    </w:p>
    <w:p>
      <w:pPr>
        <w:pStyle w:val="BookText"/>
        <w:bidi w:val="0"/>
        <w:jc w:val="both"/>
        <w:rPr/>
      </w:pPr>
      <w:r>
        <w:rPr>
          <w:rFonts w:eastAsia="Times New Roman" w:cs="Times New Roman" w:ascii="Times New Roman" w:hAnsi="Times New Roman"/>
          <w:color w:val="111111"/>
          <w:sz w:val="28"/>
          <w:szCs w:val="28"/>
          <w:lang w:val="en-US"/>
        </w:rPr>
        <w:t>---, Nuzhat Al-Arwah wa Raudhah Al-Afrah fī Tārīkh Al-  Hukamā' wa Al-Falāsifah, disunting oleh Seyed Khurshid  Ahmed, Hayderabad: Osmania Oriental Publications Bureau,  1976.</w:t>
      </w:r>
    </w:p>
    <w:p>
      <w:pPr>
        <w:pStyle w:val="BookText"/>
        <w:bidi w:val="0"/>
        <w:jc w:val="both"/>
        <w:rPr/>
      </w:pPr>
      <w:r>
        <w:rPr>
          <w:rFonts w:eastAsia="Times New Roman" w:cs="Times New Roman" w:ascii="Times New Roman" w:hAnsi="Times New Roman"/>
          <w:color w:val="111111"/>
          <w:sz w:val="28"/>
          <w:szCs w:val="28"/>
          <w:lang w:val="en-US"/>
        </w:rPr>
        <w:t>---, Nuzhat Al-Arwāh wa Raudhah Al-Afrah, terjemahan  bahasa Persia abad ke-16 oleh Maqshud 'Ali Tabrizi, disunting  dengan pendahuluan tentang sejarah Filsafat Islam oleh M.</w:t>
      </w:r>
    </w:p>
    <w:p>
      <w:pPr>
        <w:pStyle w:val="BookText"/>
        <w:bidi w:val="0"/>
        <w:jc w:val="both"/>
        <w:rPr/>
      </w:pPr>
      <w:r>
        <w:rPr>
          <w:rFonts w:eastAsia="Times New Roman" w:cs="Times New Roman" w:ascii="Times New Roman" w:hAnsi="Times New Roman"/>
          <w:color w:val="111111"/>
          <w:sz w:val="28"/>
          <w:szCs w:val="28"/>
          <w:lang w:val="en-US"/>
        </w:rPr>
        <w:t>T. Danesh Pajouh dan M.S. Mawla'l, Tehran: t.p., 1986.</w:t>
      </w:r>
    </w:p>
    <w:p>
      <w:pPr>
        <w:pStyle w:val="BookText"/>
        <w:bidi w:val="0"/>
        <w:jc w:val="both"/>
        <w:rPr/>
      </w:pPr>
      <w:r>
        <w:rPr>
          <w:rFonts w:eastAsia="Times New Roman" w:cs="Times New Roman" w:ascii="Times New Roman" w:hAnsi="Times New Roman"/>
          <w:color w:val="111111"/>
          <w:sz w:val="28"/>
          <w:szCs w:val="28"/>
          <w:lang w:val="en-US"/>
        </w:rPr>
        <w:t>Sharif, M.M., A History of Muslim Philosophy, Wiesbaden: Otto  Harrassowitz, 1963.</w:t>
      </w:r>
    </w:p>
    <w:p>
      <w:pPr>
        <w:pStyle w:val="BookText"/>
        <w:bidi w:val="0"/>
        <w:jc w:val="both"/>
        <w:rPr/>
      </w:pPr>
      <w:r>
        <w:rPr>
          <w:rFonts w:eastAsia="Times New Roman" w:cs="Times New Roman" w:ascii="Times New Roman" w:hAnsi="Times New Roman"/>
          <w:color w:val="111111"/>
          <w:sz w:val="28"/>
          <w:szCs w:val="28"/>
          <w:lang w:val="en-US"/>
        </w:rPr>
        <w:t>Asy-Syirazi, Quthbuddin, Syarh Hikmah Al-Isyrāq, Tehran, 1313  H.</w:t>
      </w:r>
    </w:p>
    <w:p>
      <w:pPr>
        <w:pStyle w:val="BookText"/>
        <w:bidi w:val="0"/>
        <w:jc w:val="both"/>
        <w:rPr/>
      </w:pPr>
      <w:r>
        <w:rPr>
          <w:rFonts w:eastAsia="Times New Roman" w:cs="Times New Roman" w:ascii="Times New Roman" w:hAnsi="Times New Roman"/>
          <w:color w:val="111111"/>
          <w:sz w:val="28"/>
          <w:szCs w:val="28"/>
          <w:lang w:val="en-US"/>
        </w:rPr>
        <w:t>Asy-Syirazi, Shadruddin, “Mulla Sadra," Ta‘līgāt: Syarh Hikmah  Al-Isyrāq, Tehran, 1313 H.</w:t>
      </w:r>
    </w:p>
    <w:p>
      <w:pPr>
        <w:pStyle w:val="BookText"/>
        <w:bidi w:val="0"/>
        <w:jc w:val="both"/>
        <w:rPr/>
      </w:pPr>
      <w:r>
        <w:rPr>
          <w:rFonts w:eastAsia="Times New Roman" w:cs="Times New Roman" w:ascii="Times New Roman" w:hAnsi="Times New Roman"/>
          <w:color w:val="111111"/>
          <w:sz w:val="28"/>
          <w:szCs w:val="28"/>
          <w:lang w:val="en-US"/>
        </w:rPr>
        <w:t>Smith, N. K., A Commentary to Kant's Critique of Pure Reason,  London: Macmillan, 1923.</w:t>
      </w:r>
    </w:p>
    <w:p>
      <w:pPr>
        <w:pStyle w:val="BookText"/>
        <w:bidi w:val="0"/>
        <w:jc w:val="both"/>
        <w:rPr/>
      </w:pPr>
      <w:r>
        <w:rPr>
          <w:rFonts w:eastAsia="Times New Roman" w:cs="Times New Roman" w:ascii="Times New Roman" w:hAnsi="Times New Roman"/>
          <w:color w:val="111111"/>
          <w:sz w:val="28"/>
          <w:szCs w:val="28"/>
          <w:lang w:val="en-US"/>
        </w:rPr>
        <w:t>Stigen, Anfinn, The Structure of Aristoteles's Thought, Oslo:</w:t>
      </w:r>
    </w:p>
    <w:p>
      <w:pPr>
        <w:pStyle w:val="BookText"/>
        <w:bidi w:val="0"/>
        <w:jc w:val="both"/>
        <w:rPr/>
      </w:pPr>
      <w:r>
        <w:rPr>
          <w:rFonts w:eastAsia="Times New Roman" w:cs="Times New Roman" w:ascii="Times New Roman" w:hAnsi="Times New Roman"/>
          <w:color w:val="111111"/>
          <w:sz w:val="28"/>
          <w:szCs w:val="28"/>
          <w:lang w:val="en-US"/>
        </w:rPr>
        <w:t>Universitets forlaget, 1966.</w:t>
      </w:r>
    </w:p>
    <w:p>
      <w:pPr>
        <w:pStyle w:val="BookText"/>
        <w:bidi w:val="0"/>
        <w:jc w:val="both"/>
        <w:rPr/>
      </w:pPr>
      <w:r>
        <w:rPr>
          <w:rFonts w:eastAsia="Times New Roman" w:cs="Times New Roman" w:ascii="Times New Roman" w:hAnsi="Times New Roman"/>
          <w:color w:val="111111"/>
          <w:sz w:val="28"/>
          <w:szCs w:val="28"/>
          <w:lang w:val="en-US"/>
        </w:rPr>
        <w:t>Suhrawardi, Syihabuddin Yahya, Kalimah At-Tashawwuf, MS.</w:t>
      </w:r>
    </w:p>
    <w:p>
      <w:pPr>
        <w:pStyle w:val="BookText"/>
        <w:bidi w:val="0"/>
        <w:jc w:val="both"/>
        <w:rPr/>
      </w:pPr>
      <w:r>
        <w:rPr>
          <w:rFonts w:eastAsia="Times New Roman" w:cs="Times New Roman" w:ascii="Times New Roman" w:hAnsi="Times New Roman"/>
          <w:color w:val="111111"/>
          <w:sz w:val="28"/>
          <w:szCs w:val="28"/>
          <w:lang w:val="en-US"/>
        </w:rPr>
        <w:t>Tehran: Majlis Majmu'ah, 3071.</w:t>
      </w:r>
    </w:p>
    <w:p>
      <w:pPr>
        <w:pStyle w:val="BookText"/>
        <w:bidi w:val="0"/>
        <w:jc w:val="both"/>
        <w:rPr/>
      </w:pPr>
      <w:r>
        <w:rPr>
          <w:rFonts w:eastAsia="Times New Roman" w:cs="Times New Roman" w:ascii="Times New Roman" w:hAnsi="Times New Roman"/>
          <w:color w:val="111111"/>
          <w:sz w:val="28"/>
          <w:szCs w:val="28"/>
          <w:lang w:val="en-US"/>
        </w:rPr>
        <w:t>---, Kitāb Al-Lamahāt, disunting oleh Emile Maalouf, Beirut:</w:t>
      </w:r>
    </w:p>
    <w:p>
      <w:pPr>
        <w:pStyle w:val="BookText"/>
        <w:bidi w:val="0"/>
        <w:jc w:val="both"/>
        <w:rPr/>
      </w:pPr>
      <w:r>
        <w:rPr>
          <w:rFonts w:eastAsia="Times New Roman" w:cs="Times New Roman" w:ascii="Times New Roman" w:hAnsi="Times New Roman"/>
          <w:color w:val="111111"/>
          <w:sz w:val="28"/>
          <w:szCs w:val="28"/>
          <w:lang w:val="en-US"/>
        </w:rPr>
        <w:t>Dār an-Nahar, 1969.</w:t>
      </w:r>
    </w:p>
    <w:p>
      <w:pPr>
        <w:pStyle w:val="BookText"/>
        <w:bidi w:val="0"/>
        <w:jc w:val="both"/>
        <w:rPr/>
      </w:pPr>
      <w:r>
        <w:rPr>
          <w:rFonts w:eastAsia="Times New Roman" w:cs="Times New Roman" w:ascii="Times New Roman" w:hAnsi="Times New Roman"/>
          <w:color w:val="111111"/>
          <w:sz w:val="28"/>
          <w:szCs w:val="28"/>
          <w:lang w:val="en-US"/>
        </w:rPr>
        <w:t>---, Manthiq At-Talwīhāt, disunting oleh A. A. Fayyat,  Tehran: Tehran University Press, 1334 H.</w:t>
      </w:r>
    </w:p>
    <w:p>
      <w:pPr>
        <w:pStyle w:val="BookText"/>
        <w:bidi w:val="0"/>
        <w:jc w:val="both"/>
        <w:rPr/>
      </w:pPr>
      <w:r>
        <w:rPr>
          <w:rFonts w:eastAsia="Times New Roman" w:cs="Times New Roman" w:ascii="Times New Roman" w:hAnsi="Times New Roman"/>
          <w:color w:val="111111"/>
          <w:sz w:val="28"/>
          <w:szCs w:val="28"/>
          <w:lang w:val="en-US"/>
        </w:rPr>
        <w:t>---, Al-Masyāri' wa Al-Muthārahāt, Leiden: Or, 365.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Oeuvres Philosophiques et Mystiques: Opera Metaphysica  et Mystica II, disunting dan diberi pendahuluan oleh Henry  Corbin, Tehran: Institut Franco-Iranien, 1954. </w:t>
      </w:r>
    </w:p>
    <w:p>
      <w:pPr>
        <w:pStyle w:val="BookText"/>
        <w:bidi w:val="0"/>
        <w:rPr/>
      </w:pPr>
      <w:r>
        <w:rPr>
          <w:rFonts w:eastAsia="Times New Roman" w:cs="Times New Roman" w:ascii="Times New Roman" w:hAnsi="Times New Roman"/>
          <w:color w:val="111111"/>
          <w:sz w:val="28"/>
          <w:szCs w:val="28"/>
          <w:lang w:val="en-US"/>
        </w:rPr>
        <w:t>, Opera Metaphysica et Mystica I, disunting dengan  pendahuluan dan berbagai catatan oleh Henry Corbin,  Istanbul: Maarif Matbaasi, 1945.</w:t>
      </w:r>
    </w:p>
    <w:p>
      <w:pPr>
        <w:pStyle w:val="BookText"/>
        <w:bidi w:val="0"/>
        <w:jc w:val="both"/>
        <w:rPr/>
      </w:pPr>
      <w:r>
        <w:rPr>
          <w:rFonts w:eastAsia="Times New Roman" w:cs="Times New Roman" w:ascii="Times New Roman" w:hAnsi="Times New Roman"/>
          <w:color w:val="111111"/>
          <w:sz w:val="28"/>
          <w:szCs w:val="28"/>
          <w:lang w:val="en-US"/>
        </w:rPr>
        <w:t>---, Opera Metaphysica et Mystica III, disunting oleh Seyyed  Hossein Nasr. Tehran: Institut Franco Iranien, 1970.</w:t>
      </w:r>
    </w:p>
    <w:p>
      <w:pPr>
        <w:pStyle w:val="BookText"/>
        <w:bidi w:val="0"/>
        <w:jc w:val="both"/>
        <w:rPr/>
      </w:pPr>
      <w:r>
        <w:rPr>
          <w:rFonts w:eastAsia="Times New Roman" w:cs="Times New Roman" w:ascii="Times New Roman" w:hAnsi="Times New Roman"/>
          <w:color w:val="111111"/>
          <w:sz w:val="28"/>
          <w:szCs w:val="28"/>
          <w:lang w:val="en-US"/>
        </w:rPr>
        <w:t>---, At-Talwīhāt, MS. Berlin: t.p., 5062.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Tuni, Muhammad Hossein, llāhiyyāt, Tehran: Tehran University  Press, 1333 H. </w:t>
      </w:r>
      <w:bookmarkStart w:id="241" w:name="pg6442_57554"/>
    </w:p>
    <w:p>
      <w:pPr>
        <w:pStyle w:val="Heading2"/>
        <w:numPr>
          <w:ilvl w:val="1"/>
          <w:numId w:val="1"/>
        </w:numPr>
        <w:bidi w:val="0"/>
        <w:jc w:val="left"/>
        <w:rPr/>
      </w:pPr>
      <w:bookmarkStart w:id="242" w:name="__RefHeading___Toc924738_653776707"/>
      <w:bookmarkStart w:id="243" w:name="_Toc82"/>
      <w:bookmarkEnd w:id="241"/>
      <w:bookmarkEnd w:id="242"/>
      <w:r>
        <w:rPr/>
        <w:t>Indeks</w:t>
      </w:r>
      <w:bookmarkEnd w:id="243"/>
    </w:p>
    <w:p>
      <w:pPr>
        <w:pStyle w:val="BookText"/>
        <w:bidi w:val="0"/>
        <w:jc w:val="both"/>
        <w:rPr/>
      </w:pPr>
      <w:r>
        <w:rPr>
          <w:rFonts w:eastAsia="Times New Roman" w:cs="Times New Roman" w:ascii="Times New Roman" w:hAnsi="Times New Roman"/>
          <w:color w:val="111111"/>
          <w:sz w:val="28"/>
          <w:szCs w:val="28"/>
          <w:lang w:val="en-US"/>
        </w:rPr>
        <w:t>akal aktif 32, 212, 213, 215,</w:t>
      </w:r>
    </w:p>
    <w:p>
      <w:pPr>
        <w:pStyle w:val="BookText"/>
        <w:bidi w:val="0"/>
        <w:jc w:val="both"/>
        <w:rPr/>
      </w:pPr>
      <w:r>
        <w:rPr>
          <w:rFonts w:eastAsia="Times New Roman" w:cs="Times New Roman" w:ascii="Times New Roman" w:hAnsi="Times New Roman"/>
          <w:color w:val="111111"/>
          <w:sz w:val="28"/>
          <w:szCs w:val="28"/>
          <w:lang w:val="en-US"/>
        </w:rPr>
        <w:t>216, 222, 223, 245, 246,</w:t>
      </w:r>
    </w:p>
    <w:p>
      <w:pPr>
        <w:pStyle w:val="BookText"/>
        <w:bidi w:val="0"/>
        <w:jc w:val="both"/>
        <w:rPr/>
      </w:pPr>
      <w:r>
        <w:rPr>
          <w:rFonts w:eastAsia="Times New Roman" w:cs="Times New Roman" w:ascii="Times New Roman" w:hAnsi="Times New Roman"/>
          <w:color w:val="111111"/>
          <w:sz w:val="28"/>
          <w:szCs w:val="28"/>
          <w:lang w:val="en-US"/>
        </w:rPr>
        <w:t>253, 254</w:t>
      </w:r>
    </w:p>
    <w:p>
      <w:pPr>
        <w:pStyle w:val="BookText"/>
        <w:bidi w:val="0"/>
        <w:jc w:val="both"/>
        <w:rPr/>
      </w:pPr>
      <w:r>
        <w:rPr>
          <w:rFonts w:eastAsia="Times New Roman" w:cs="Times New Roman" w:ascii="Times New Roman" w:hAnsi="Times New Roman"/>
          <w:color w:val="111111"/>
          <w:sz w:val="28"/>
          <w:szCs w:val="28"/>
          <w:lang w:val="en-US"/>
        </w:rPr>
        <w:t>aksiden 91, 92, 113, 117, 127,</w:t>
      </w:r>
    </w:p>
    <w:p>
      <w:pPr>
        <w:pStyle w:val="BookText"/>
        <w:bidi w:val="0"/>
        <w:jc w:val="both"/>
        <w:rPr/>
      </w:pPr>
      <w:r>
        <w:rPr>
          <w:rFonts w:eastAsia="Times New Roman" w:cs="Times New Roman" w:ascii="Times New Roman" w:hAnsi="Times New Roman"/>
          <w:color w:val="111111"/>
          <w:sz w:val="28"/>
          <w:szCs w:val="28"/>
          <w:lang w:val="en-US"/>
        </w:rPr>
        <w:t>147, 194, 200, 201, 239,</w:t>
      </w:r>
    </w:p>
    <w:p>
      <w:pPr>
        <w:pStyle w:val="BookText"/>
        <w:bidi w:val="0"/>
        <w:jc w:val="both"/>
        <w:rPr/>
      </w:pPr>
      <w:r>
        <w:rPr>
          <w:rFonts w:eastAsia="Times New Roman" w:cs="Times New Roman" w:ascii="Times New Roman" w:hAnsi="Times New Roman"/>
          <w:color w:val="111111"/>
          <w:sz w:val="28"/>
          <w:szCs w:val="28"/>
          <w:lang w:val="en-US"/>
        </w:rPr>
        <w:t>243, 256, 271</w:t>
      </w:r>
    </w:p>
    <w:p>
      <w:pPr>
        <w:pStyle w:val="BookText"/>
        <w:bidi w:val="0"/>
        <w:jc w:val="both"/>
        <w:rPr/>
      </w:pPr>
      <w:r>
        <w:rPr>
          <w:rFonts w:eastAsia="Times New Roman" w:cs="Times New Roman" w:ascii="Times New Roman" w:hAnsi="Times New Roman"/>
          <w:color w:val="111111"/>
          <w:sz w:val="28"/>
          <w:szCs w:val="28"/>
          <w:lang w:val="en-US"/>
        </w:rPr>
        <w:t>Al-Baghdadi xi, 10, 11, 26, 29,</w:t>
      </w:r>
    </w:p>
    <w:p>
      <w:pPr>
        <w:pStyle w:val="BookText"/>
        <w:bidi w:val="0"/>
        <w:jc w:val="both"/>
        <w:rPr/>
      </w:pPr>
      <w:r>
        <w:rPr>
          <w:rFonts w:eastAsia="Times New Roman" w:cs="Times New Roman" w:ascii="Times New Roman" w:hAnsi="Times New Roman"/>
          <w:color w:val="111111"/>
          <w:sz w:val="28"/>
          <w:szCs w:val="28"/>
          <w:lang w:val="en-US"/>
        </w:rPr>
        <w:t>30, 61, 63, 81, 106, 107,</w:t>
      </w:r>
    </w:p>
    <w:p>
      <w:pPr>
        <w:pStyle w:val="BookText"/>
        <w:bidi w:val="0"/>
        <w:jc w:val="both"/>
        <w:rPr/>
      </w:pPr>
      <w:r>
        <w:rPr>
          <w:rFonts w:eastAsia="Times New Roman" w:cs="Times New Roman" w:ascii="Times New Roman" w:hAnsi="Times New Roman"/>
          <w:color w:val="111111"/>
          <w:sz w:val="28"/>
          <w:szCs w:val="28"/>
          <w:lang w:val="en-US"/>
        </w:rPr>
        <w:t>108, 112, 114, 115, 116,</w:t>
      </w:r>
    </w:p>
    <w:p>
      <w:pPr>
        <w:pStyle w:val="BookText"/>
        <w:bidi w:val="0"/>
        <w:jc w:val="both"/>
        <w:rPr/>
      </w:pPr>
      <w:r>
        <w:rPr>
          <w:rFonts w:eastAsia="Times New Roman" w:cs="Times New Roman" w:ascii="Times New Roman" w:hAnsi="Times New Roman"/>
          <w:color w:val="111111"/>
          <w:sz w:val="28"/>
          <w:szCs w:val="28"/>
          <w:lang w:val="en-US"/>
        </w:rPr>
        <w:t>117, 160, 163, 189, 192,</w:t>
      </w:r>
    </w:p>
    <w:p>
      <w:pPr>
        <w:pStyle w:val="BookText"/>
        <w:bidi w:val="0"/>
        <w:jc w:val="both"/>
        <w:rPr/>
      </w:pPr>
      <w:r>
        <w:rPr>
          <w:rFonts w:eastAsia="Times New Roman" w:cs="Times New Roman" w:ascii="Times New Roman" w:hAnsi="Times New Roman"/>
          <w:color w:val="111111"/>
          <w:sz w:val="28"/>
          <w:szCs w:val="28"/>
          <w:lang w:val="en-US"/>
        </w:rPr>
        <w:t>193, 246, 275, 279, 283</w:t>
      </w:r>
    </w:p>
    <w:p>
      <w:pPr>
        <w:pStyle w:val="BookText"/>
        <w:bidi w:val="0"/>
        <w:jc w:val="both"/>
        <w:rPr/>
      </w:pPr>
      <w:r>
        <w:rPr>
          <w:rFonts w:eastAsia="Times New Roman" w:cs="Times New Roman" w:ascii="Times New Roman" w:hAnsi="Times New Roman"/>
          <w:color w:val="111111"/>
          <w:sz w:val="28"/>
          <w:szCs w:val="28"/>
          <w:lang w:val="en-US"/>
        </w:rPr>
        <w:t>alegoris 24, 28, 59, 61, 65</w:t>
      </w:r>
    </w:p>
    <w:p>
      <w:pPr>
        <w:pStyle w:val="BookText"/>
        <w:bidi w:val="0"/>
        <w:jc w:val="both"/>
        <w:rPr/>
      </w:pPr>
      <w:r>
        <w:rPr>
          <w:rFonts w:eastAsia="Times New Roman" w:cs="Times New Roman" w:ascii="Times New Roman" w:hAnsi="Times New Roman"/>
          <w:color w:val="111111"/>
          <w:sz w:val="28"/>
          <w:szCs w:val="28"/>
          <w:lang w:val="en-US"/>
        </w:rPr>
        <w:t>Aleppo 25, 26, 27, 28, 47, 48,</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Al-Farabi 21, 39, 114, 129,</w:t>
      </w:r>
    </w:p>
    <w:p>
      <w:pPr>
        <w:pStyle w:val="BookText"/>
        <w:bidi w:val="0"/>
        <w:jc w:val="both"/>
        <w:rPr/>
      </w:pPr>
      <w:r>
        <w:rPr>
          <w:rFonts w:eastAsia="Times New Roman" w:cs="Times New Roman" w:ascii="Times New Roman" w:hAnsi="Times New Roman"/>
          <w:color w:val="111111"/>
          <w:sz w:val="28"/>
          <w:szCs w:val="28"/>
          <w:lang w:val="en-US"/>
        </w:rPr>
        <w:t>183, 229, 254, 255, 256,</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Al-Muqāwamāt xi, 19, 20, 34,</w:t>
      </w:r>
    </w:p>
    <w:p>
      <w:pPr>
        <w:pStyle w:val="BookText"/>
        <w:bidi w:val="0"/>
        <w:jc w:val="both"/>
        <w:rPr/>
      </w:pPr>
      <w:r>
        <w:rPr>
          <w:rFonts w:eastAsia="Times New Roman" w:cs="Times New Roman" w:ascii="Times New Roman" w:hAnsi="Times New Roman"/>
          <w:color w:val="111111"/>
          <w:sz w:val="28"/>
          <w:szCs w:val="28"/>
          <w:lang w:val="en-US"/>
        </w:rPr>
        <w:t>35, 42, 43, 44, 57, 61,</w:t>
      </w:r>
    </w:p>
    <w:p>
      <w:pPr>
        <w:pStyle w:val="BookText"/>
        <w:bidi w:val="0"/>
        <w:jc w:val="both"/>
        <w:rPr/>
      </w:pPr>
      <w:r>
        <w:rPr>
          <w:rFonts w:eastAsia="Times New Roman" w:cs="Times New Roman" w:ascii="Times New Roman" w:hAnsi="Times New Roman"/>
          <w:color w:val="111111"/>
          <w:sz w:val="28"/>
          <w:szCs w:val="28"/>
          <w:lang w:val="en-US"/>
        </w:rPr>
        <w:t>63, 118</w:t>
      </w:r>
    </w:p>
    <w:p>
      <w:pPr>
        <w:pStyle w:val="BookText"/>
        <w:bidi w:val="0"/>
        <w:jc w:val="both"/>
        <w:rPr/>
      </w:pPr>
      <w:r>
        <w:rPr>
          <w:rFonts w:eastAsia="Times New Roman" w:cs="Times New Roman" w:ascii="Times New Roman" w:hAnsi="Times New Roman"/>
          <w:color w:val="111111"/>
          <w:sz w:val="28"/>
          <w:szCs w:val="28"/>
          <w:lang w:val="en-US"/>
        </w:rPr>
        <w:t>Al-Mu'tabar 11, 26, 29, 30, 61,</w:t>
      </w:r>
    </w:p>
    <w:p>
      <w:pPr>
        <w:pStyle w:val="BookText"/>
        <w:bidi w:val="0"/>
        <w:jc w:val="both"/>
        <w:rPr/>
      </w:pPr>
      <w:r>
        <w:rPr>
          <w:rFonts w:eastAsia="Times New Roman" w:cs="Times New Roman" w:ascii="Times New Roman" w:hAnsi="Times New Roman"/>
          <w:color w:val="111111"/>
          <w:sz w:val="28"/>
          <w:szCs w:val="28"/>
          <w:lang w:val="en-US"/>
        </w:rPr>
        <w:t>63, 81, 106, 107, 112,</w:t>
      </w:r>
    </w:p>
    <w:p>
      <w:pPr>
        <w:pStyle w:val="BookText"/>
        <w:bidi w:val="0"/>
        <w:jc w:val="both"/>
        <w:rPr/>
      </w:pPr>
      <w:r>
        <w:rPr>
          <w:rFonts w:eastAsia="Times New Roman" w:cs="Times New Roman" w:ascii="Times New Roman" w:hAnsi="Times New Roman"/>
          <w:color w:val="111111"/>
          <w:sz w:val="28"/>
          <w:szCs w:val="28"/>
          <w:lang w:val="en-US"/>
        </w:rPr>
        <w:t>114, 115, 116, 117, 163,</w:t>
      </w:r>
    </w:p>
    <w:p>
      <w:pPr>
        <w:pStyle w:val="BookText"/>
        <w:bidi w:val="0"/>
        <w:jc w:val="both"/>
        <w:rPr/>
      </w:pPr>
      <w:r>
        <w:rPr>
          <w:rFonts w:eastAsia="Times New Roman" w:cs="Times New Roman" w:ascii="Times New Roman" w:hAnsi="Times New Roman"/>
          <w:color w:val="111111"/>
          <w:sz w:val="28"/>
          <w:szCs w:val="28"/>
          <w:lang w:val="en-US"/>
        </w:rPr>
        <w:t>189, 192, 193, 246, 275,</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analitis 12, 19, 176</w:t>
      </w:r>
    </w:p>
    <w:p>
      <w:pPr>
        <w:pStyle w:val="BookText"/>
        <w:bidi w:val="0"/>
        <w:jc w:val="both"/>
        <w:rPr/>
      </w:pPr>
      <w:r>
        <w:rPr>
          <w:rFonts w:eastAsia="Times New Roman" w:cs="Times New Roman" w:ascii="Times New Roman" w:hAnsi="Times New Roman"/>
          <w:color w:val="111111"/>
          <w:sz w:val="28"/>
          <w:szCs w:val="28"/>
          <w:lang w:val="en-US"/>
        </w:rPr>
        <w:t>Aristoteles xiii, xiv, 32, 33, 34,</w:t>
      </w:r>
    </w:p>
    <w:p>
      <w:pPr>
        <w:pStyle w:val="BookText"/>
        <w:bidi w:val="0"/>
        <w:jc w:val="both"/>
        <w:rPr/>
      </w:pPr>
      <w:r>
        <w:rPr>
          <w:rFonts w:eastAsia="Times New Roman" w:cs="Times New Roman" w:ascii="Times New Roman" w:hAnsi="Times New Roman"/>
          <w:color w:val="111111"/>
          <w:sz w:val="28"/>
          <w:szCs w:val="28"/>
          <w:lang w:val="en-US"/>
        </w:rPr>
        <w:t>50, 52, 54, 78, 93, 96,</w:t>
      </w:r>
    </w:p>
    <w:p>
      <w:pPr>
        <w:pStyle w:val="BookText"/>
        <w:bidi w:val="0"/>
        <w:jc w:val="both"/>
        <w:rPr/>
      </w:pPr>
      <w:r>
        <w:rPr>
          <w:rFonts w:eastAsia="Times New Roman" w:cs="Times New Roman" w:ascii="Times New Roman" w:hAnsi="Times New Roman"/>
          <w:color w:val="111111"/>
          <w:sz w:val="28"/>
          <w:szCs w:val="28"/>
          <w:lang w:val="en-US"/>
        </w:rPr>
        <w:t>106, 107, 109, 114, 116,</w:t>
      </w:r>
    </w:p>
    <w:p>
      <w:pPr>
        <w:pStyle w:val="BookText"/>
        <w:bidi w:val="0"/>
        <w:jc w:val="both"/>
        <w:rPr/>
      </w:pPr>
      <w:r>
        <w:rPr>
          <w:rFonts w:eastAsia="Times New Roman" w:cs="Times New Roman" w:ascii="Times New Roman" w:hAnsi="Times New Roman"/>
          <w:color w:val="111111"/>
          <w:sz w:val="28"/>
          <w:szCs w:val="28"/>
          <w:lang w:val="en-US"/>
        </w:rPr>
        <w:t>117, 118, 120, 121, 123,</w:t>
      </w:r>
    </w:p>
    <w:p>
      <w:pPr>
        <w:pStyle w:val="BookText"/>
        <w:bidi w:val="0"/>
        <w:jc w:val="both"/>
        <w:rPr/>
      </w:pPr>
      <w:r>
        <w:rPr>
          <w:rFonts w:eastAsia="Times New Roman" w:cs="Times New Roman" w:ascii="Times New Roman" w:hAnsi="Times New Roman"/>
          <w:color w:val="111111"/>
          <w:sz w:val="28"/>
          <w:szCs w:val="28"/>
          <w:lang w:val="en-US"/>
        </w:rPr>
        <w:t>124, 125, 129, 130, 131,</w:t>
      </w:r>
    </w:p>
    <w:p>
      <w:pPr>
        <w:pStyle w:val="BookText"/>
        <w:bidi w:val="0"/>
        <w:jc w:val="both"/>
        <w:rPr/>
      </w:pPr>
      <w:r>
        <w:rPr>
          <w:rFonts w:eastAsia="Times New Roman" w:cs="Times New Roman" w:ascii="Times New Roman" w:hAnsi="Times New Roman"/>
          <w:color w:val="111111"/>
          <w:sz w:val="28"/>
          <w:szCs w:val="28"/>
          <w:lang w:val="en-US"/>
        </w:rPr>
        <w:t>133, 134, 135, 136, 137,</w:t>
      </w:r>
    </w:p>
    <w:p>
      <w:pPr>
        <w:pStyle w:val="BookText"/>
        <w:bidi w:val="0"/>
        <w:jc w:val="both"/>
        <w:rPr/>
      </w:pPr>
      <w:r>
        <w:rPr>
          <w:rFonts w:eastAsia="Times New Roman" w:cs="Times New Roman" w:ascii="Times New Roman" w:hAnsi="Times New Roman"/>
          <w:color w:val="111111"/>
          <w:sz w:val="28"/>
          <w:szCs w:val="28"/>
          <w:lang w:val="en-US"/>
        </w:rPr>
        <w:t>138, 139, 140, 141, 144,</w:t>
      </w:r>
    </w:p>
    <w:p>
      <w:pPr>
        <w:pStyle w:val="BookText"/>
        <w:bidi w:val="0"/>
        <w:jc w:val="both"/>
        <w:rPr/>
      </w:pPr>
      <w:r>
        <w:rPr>
          <w:rFonts w:eastAsia="Times New Roman" w:cs="Times New Roman" w:ascii="Times New Roman" w:hAnsi="Times New Roman"/>
          <w:color w:val="111111"/>
          <w:sz w:val="28"/>
          <w:szCs w:val="28"/>
          <w:lang w:val="en-US"/>
        </w:rPr>
        <w:t>145, 150, 164, 171, 174,</w:t>
      </w:r>
    </w:p>
    <w:p>
      <w:pPr>
        <w:pStyle w:val="BookText"/>
        <w:bidi w:val="0"/>
        <w:jc w:val="both"/>
        <w:rPr/>
      </w:pPr>
      <w:r>
        <w:rPr>
          <w:rFonts w:eastAsia="Times New Roman" w:cs="Times New Roman" w:ascii="Times New Roman" w:hAnsi="Times New Roman"/>
          <w:color w:val="111111"/>
          <w:sz w:val="28"/>
          <w:szCs w:val="28"/>
          <w:lang w:val="en-US"/>
        </w:rPr>
        <w:t>177, 180, 181, 182, 183,</w:t>
      </w:r>
    </w:p>
    <w:p>
      <w:pPr>
        <w:pStyle w:val="BookText"/>
        <w:bidi w:val="0"/>
        <w:jc w:val="both"/>
        <w:rPr/>
      </w:pPr>
      <w:r>
        <w:rPr>
          <w:rFonts w:eastAsia="Times New Roman" w:cs="Times New Roman" w:ascii="Times New Roman" w:hAnsi="Times New Roman"/>
          <w:color w:val="111111"/>
          <w:sz w:val="28"/>
          <w:szCs w:val="28"/>
          <w:lang w:val="en-US"/>
        </w:rPr>
        <w:t>184, 185, 186, 187, 188,</w:t>
      </w:r>
    </w:p>
    <w:p>
      <w:pPr>
        <w:pStyle w:val="BookText"/>
        <w:bidi w:val="0"/>
        <w:jc w:val="both"/>
        <w:rPr/>
      </w:pPr>
      <w:r>
        <w:rPr>
          <w:rFonts w:eastAsia="Times New Roman" w:cs="Times New Roman" w:ascii="Times New Roman" w:hAnsi="Times New Roman"/>
          <w:color w:val="111111"/>
          <w:sz w:val="28"/>
          <w:szCs w:val="28"/>
          <w:lang w:val="en-US"/>
        </w:rPr>
        <w:t>189, 191, 192, 193, 194,</w:t>
      </w:r>
    </w:p>
    <w:p>
      <w:pPr>
        <w:pStyle w:val="BookText"/>
        <w:bidi w:val="0"/>
        <w:jc w:val="both"/>
        <w:rPr/>
      </w:pPr>
      <w:r>
        <w:rPr>
          <w:rFonts w:eastAsia="Times New Roman" w:cs="Times New Roman" w:ascii="Times New Roman" w:hAnsi="Times New Roman"/>
          <w:color w:val="111111"/>
          <w:sz w:val="28"/>
          <w:szCs w:val="28"/>
          <w:lang w:val="en-US"/>
        </w:rPr>
        <w:t>197, 214, 215, 216, 224,</w:t>
      </w:r>
    </w:p>
    <w:p>
      <w:pPr>
        <w:pStyle w:val="BookText"/>
        <w:bidi w:val="0"/>
        <w:jc w:val="both"/>
        <w:rPr/>
      </w:pPr>
      <w:r>
        <w:rPr>
          <w:rFonts w:eastAsia="Times New Roman" w:cs="Times New Roman" w:ascii="Times New Roman" w:hAnsi="Times New Roman"/>
          <w:color w:val="111111"/>
          <w:sz w:val="28"/>
          <w:szCs w:val="28"/>
          <w:lang w:val="en-US"/>
        </w:rPr>
        <w:t>228, 229, 243, 244, 246,</w:t>
      </w:r>
    </w:p>
    <w:p>
      <w:pPr>
        <w:pStyle w:val="BookText"/>
        <w:bidi w:val="0"/>
        <w:jc w:val="both"/>
        <w:rPr/>
      </w:pPr>
      <w:r>
        <w:rPr>
          <w:rFonts w:eastAsia="Times New Roman" w:cs="Times New Roman" w:ascii="Times New Roman" w:hAnsi="Times New Roman"/>
          <w:color w:val="111111"/>
          <w:sz w:val="28"/>
          <w:szCs w:val="28"/>
          <w:lang w:val="en-US"/>
        </w:rPr>
        <w:t>248, 250, 251, 254, 256,</w:t>
      </w:r>
    </w:p>
    <w:p>
      <w:pPr>
        <w:pStyle w:val="BookText"/>
        <w:bidi w:val="0"/>
        <w:jc w:val="both"/>
        <w:rPr/>
      </w:pPr>
      <w:r>
        <w:rPr>
          <w:rFonts w:eastAsia="Times New Roman" w:cs="Times New Roman" w:ascii="Times New Roman" w:hAnsi="Times New Roman"/>
          <w:color w:val="111111"/>
          <w:sz w:val="28"/>
          <w:szCs w:val="28"/>
          <w:lang w:val="en-US"/>
        </w:rPr>
        <w:t>264, 273, 279, 282, 283,</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Aristotelian 10, 11, 26, 54,</w:t>
      </w:r>
    </w:p>
    <w:p>
      <w:pPr>
        <w:pStyle w:val="BookText"/>
        <w:bidi w:val="0"/>
        <w:jc w:val="both"/>
        <w:rPr/>
      </w:pPr>
      <w:r>
        <w:rPr>
          <w:rFonts w:eastAsia="Times New Roman" w:cs="Times New Roman" w:ascii="Times New Roman" w:hAnsi="Times New Roman"/>
          <w:color w:val="111111"/>
          <w:sz w:val="28"/>
          <w:szCs w:val="28"/>
          <w:lang w:val="en-US"/>
        </w:rPr>
        <w:t>116, 139, 148, 176, 229,</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Asy-Syifā 21, 22, 67, 68, 70,</w:t>
      </w:r>
    </w:p>
    <w:p>
      <w:pPr>
        <w:pStyle w:val="BookText"/>
        <w:bidi w:val="0"/>
        <w:jc w:val="both"/>
        <w:rPr/>
      </w:pPr>
      <w:r>
        <w:rPr>
          <w:rFonts w:eastAsia="Times New Roman" w:cs="Times New Roman" w:ascii="Times New Roman" w:hAnsi="Times New Roman"/>
          <w:color w:val="111111"/>
          <w:sz w:val="28"/>
          <w:szCs w:val="28"/>
          <w:lang w:val="en-US"/>
        </w:rPr>
        <w:t>71, 79, 80, 81, 82, 83,</w:t>
      </w:r>
    </w:p>
    <w:p>
      <w:pPr>
        <w:pStyle w:val="BookText"/>
        <w:bidi w:val="0"/>
        <w:jc w:val="both"/>
        <w:rPr/>
      </w:pPr>
      <w:r>
        <w:rPr>
          <w:rFonts w:eastAsia="Times New Roman" w:cs="Times New Roman" w:ascii="Times New Roman" w:hAnsi="Times New Roman"/>
          <w:color w:val="111111"/>
          <w:sz w:val="28"/>
          <w:szCs w:val="28"/>
          <w:lang w:val="en-US"/>
        </w:rPr>
        <w:t>84, 85, 86, 93, 108, 112,</w:t>
      </w:r>
    </w:p>
    <w:p>
      <w:pPr>
        <w:pStyle w:val="BookText"/>
        <w:bidi w:val="0"/>
        <w:jc w:val="both"/>
        <w:rPr/>
      </w:pPr>
      <w:r>
        <w:rPr>
          <w:rFonts w:eastAsia="Times New Roman" w:cs="Times New Roman" w:ascii="Times New Roman" w:hAnsi="Times New Roman"/>
          <w:color w:val="111111"/>
          <w:sz w:val="28"/>
          <w:szCs w:val="28"/>
          <w:lang w:val="en-US"/>
        </w:rPr>
        <w:t>141, 145, 159, 182, 187,</w:t>
      </w:r>
    </w:p>
    <w:p>
      <w:pPr>
        <w:pStyle w:val="BookText"/>
        <w:bidi w:val="0"/>
        <w:jc w:val="both"/>
        <w:rPr/>
      </w:pPr>
      <w:r>
        <w:rPr>
          <w:rFonts w:eastAsia="Times New Roman" w:cs="Times New Roman" w:ascii="Times New Roman" w:hAnsi="Times New Roman"/>
          <w:color w:val="111111"/>
          <w:sz w:val="28"/>
          <w:szCs w:val="28"/>
          <w:lang w:val="en-US"/>
        </w:rPr>
        <w:t>188, 194, 245, 246, 282</w:t>
      </w:r>
    </w:p>
    <w:p>
      <w:pPr>
        <w:pStyle w:val="BookText"/>
        <w:bidi w:val="0"/>
        <w:jc w:val="both"/>
        <w:rPr/>
      </w:pPr>
      <w:r>
        <w:rPr>
          <w:rFonts w:eastAsia="Times New Roman" w:cs="Times New Roman" w:ascii="Times New Roman" w:hAnsi="Times New Roman"/>
          <w:color w:val="111111"/>
          <w:sz w:val="28"/>
          <w:szCs w:val="28"/>
          <w:lang w:val="en-US"/>
        </w:rPr>
        <w:t>At-Talwīhāt xi, xii, xiii, 14, 19,</w:t>
      </w:r>
    </w:p>
    <w:p>
      <w:pPr>
        <w:pStyle w:val="BookText"/>
        <w:bidi w:val="0"/>
        <w:jc w:val="both"/>
        <w:rPr/>
      </w:pPr>
      <w:r>
        <w:rPr>
          <w:rFonts w:eastAsia="Times New Roman" w:cs="Times New Roman" w:ascii="Times New Roman" w:hAnsi="Times New Roman"/>
          <w:color w:val="111111"/>
          <w:sz w:val="28"/>
          <w:szCs w:val="28"/>
          <w:lang w:val="en-US"/>
        </w:rPr>
        <w:t>20, 22, 25, 30, 31, 32,</w:t>
      </w:r>
    </w:p>
    <w:p>
      <w:pPr>
        <w:pStyle w:val="BookText"/>
        <w:bidi w:val="0"/>
        <w:jc w:val="both"/>
        <w:rPr/>
      </w:pPr>
      <w:r>
        <w:rPr>
          <w:rFonts w:eastAsia="Times New Roman" w:cs="Times New Roman" w:ascii="Times New Roman" w:hAnsi="Times New Roman"/>
          <w:color w:val="111111"/>
          <w:sz w:val="28"/>
          <w:szCs w:val="28"/>
          <w:lang w:val="en-US"/>
        </w:rPr>
        <w:t>33, 34, 35, 36, 42, 43,</w:t>
      </w:r>
    </w:p>
    <w:p>
      <w:pPr>
        <w:pStyle w:val="BookText"/>
        <w:bidi w:val="0"/>
        <w:jc w:val="both"/>
        <w:rPr/>
      </w:pPr>
      <w:r>
        <w:rPr>
          <w:rFonts w:eastAsia="Times New Roman" w:cs="Times New Roman" w:ascii="Times New Roman" w:hAnsi="Times New Roman"/>
          <w:color w:val="111111"/>
          <w:sz w:val="28"/>
          <w:szCs w:val="28"/>
          <w:lang w:val="en-US"/>
        </w:rPr>
        <w:t>44, 53, 54, 57, 58, 61,</w:t>
      </w:r>
    </w:p>
    <w:p>
      <w:pPr>
        <w:pStyle w:val="BookText"/>
        <w:bidi w:val="0"/>
        <w:jc w:val="both"/>
        <w:rPr/>
      </w:pPr>
      <w:r>
        <w:rPr>
          <w:rFonts w:eastAsia="Times New Roman" w:cs="Times New Roman" w:ascii="Times New Roman" w:hAnsi="Times New Roman"/>
          <w:color w:val="111111"/>
          <w:sz w:val="28"/>
          <w:szCs w:val="28"/>
          <w:lang w:val="en-US"/>
        </w:rPr>
        <w:t>63, 67, 68, 69, 70, 72,</w:t>
      </w:r>
    </w:p>
    <w:p>
      <w:pPr>
        <w:pStyle w:val="BookText"/>
        <w:bidi w:val="0"/>
        <w:jc w:val="both"/>
        <w:rPr/>
      </w:pPr>
      <w:r>
        <w:rPr>
          <w:rFonts w:eastAsia="Times New Roman" w:cs="Times New Roman" w:ascii="Times New Roman" w:hAnsi="Times New Roman"/>
          <w:color w:val="111111"/>
          <w:sz w:val="28"/>
          <w:szCs w:val="28"/>
          <w:lang w:val="en-US"/>
        </w:rPr>
        <w:t>73, 75, 80, 82, 84, 85,</w:t>
      </w:r>
    </w:p>
    <w:p>
      <w:pPr>
        <w:pStyle w:val="BookText"/>
        <w:bidi w:val="0"/>
        <w:jc w:val="both"/>
        <w:rPr/>
      </w:pPr>
      <w:r>
        <w:rPr>
          <w:rFonts w:eastAsia="Times New Roman" w:cs="Times New Roman" w:ascii="Times New Roman" w:hAnsi="Times New Roman"/>
          <w:color w:val="111111"/>
          <w:sz w:val="28"/>
          <w:szCs w:val="28"/>
          <w:lang w:val="en-US"/>
        </w:rPr>
        <w:t>86, 87, 88, 89, 91, 92,</w:t>
      </w:r>
    </w:p>
    <w:p>
      <w:pPr>
        <w:pStyle w:val="BookText"/>
        <w:bidi w:val="0"/>
        <w:jc w:val="both"/>
        <w:rPr/>
      </w:pPr>
      <w:r>
        <w:rPr>
          <w:rFonts w:eastAsia="Times New Roman" w:cs="Times New Roman" w:ascii="Times New Roman" w:hAnsi="Times New Roman"/>
          <w:color w:val="111111"/>
          <w:sz w:val="28"/>
          <w:szCs w:val="28"/>
          <w:lang w:val="en-US"/>
        </w:rPr>
        <w:t>93, 98, 99, 100, 101,</w:t>
      </w:r>
    </w:p>
    <w:p>
      <w:pPr>
        <w:pStyle w:val="BookText"/>
        <w:bidi w:val="0"/>
        <w:jc w:val="both"/>
        <w:rPr/>
      </w:pPr>
      <w:r>
        <w:rPr>
          <w:rFonts w:eastAsia="Times New Roman" w:cs="Times New Roman" w:ascii="Times New Roman" w:hAnsi="Times New Roman"/>
          <w:color w:val="111111"/>
          <w:sz w:val="28"/>
          <w:szCs w:val="28"/>
          <w:lang w:val="en-US"/>
        </w:rPr>
        <w:t>102, 103, 104, 106, 108,</w:t>
      </w:r>
    </w:p>
    <w:p>
      <w:pPr>
        <w:pStyle w:val="BookText"/>
        <w:bidi w:val="0"/>
        <w:jc w:val="both"/>
        <w:rPr/>
      </w:pPr>
      <w:r>
        <w:rPr>
          <w:rFonts w:eastAsia="Times New Roman" w:cs="Times New Roman" w:ascii="Times New Roman" w:hAnsi="Times New Roman"/>
          <w:color w:val="111111"/>
          <w:sz w:val="28"/>
          <w:szCs w:val="28"/>
          <w:lang w:val="en-US"/>
        </w:rPr>
        <w:t>109, 110, 111, 118, 122,</w:t>
      </w:r>
    </w:p>
    <w:p>
      <w:pPr>
        <w:pStyle w:val="BookText"/>
        <w:bidi w:val="0"/>
        <w:jc w:val="both"/>
        <w:rPr/>
      </w:pPr>
      <w:r>
        <w:rPr>
          <w:rFonts w:eastAsia="Times New Roman" w:cs="Times New Roman" w:ascii="Times New Roman" w:hAnsi="Times New Roman"/>
          <w:color w:val="111111"/>
          <w:sz w:val="28"/>
          <w:szCs w:val="28"/>
          <w:lang w:val="en-US"/>
        </w:rPr>
        <w:t>123, 142, 143, 144, 146,</w:t>
      </w:r>
    </w:p>
    <w:p>
      <w:pPr>
        <w:pStyle w:val="BookText"/>
        <w:bidi w:val="0"/>
        <w:jc w:val="both"/>
        <w:rPr/>
      </w:pPr>
      <w:r>
        <w:rPr>
          <w:rFonts w:eastAsia="Times New Roman" w:cs="Times New Roman" w:ascii="Times New Roman" w:hAnsi="Times New Roman"/>
          <w:color w:val="111111"/>
          <w:sz w:val="28"/>
          <w:szCs w:val="28"/>
          <w:lang w:val="en-US"/>
        </w:rPr>
        <w:t>148, 149, 157, 162, 168,</w:t>
      </w:r>
    </w:p>
    <w:p>
      <w:pPr>
        <w:pStyle w:val="BookText"/>
        <w:bidi w:val="0"/>
        <w:jc w:val="both"/>
        <w:rPr/>
      </w:pPr>
      <w:r>
        <w:rPr>
          <w:rFonts w:eastAsia="Times New Roman" w:cs="Times New Roman" w:ascii="Times New Roman" w:hAnsi="Times New Roman"/>
          <w:color w:val="111111"/>
          <w:sz w:val="28"/>
          <w:szCs w:val="28"/>
          <w:lang w:val="en-US"/>
        </w:rPr>
        <w:t>172, 180, 182, 188, 189,</w:t>
      </w:r>
    </w:p>
    <w:p>
      <w:pPr>
        <w:pStyle w:val="BookText"/>
        <w:bidi w:val="0"/>
        <w:jc w:val="both"/>
        <w:rPr/>
      </w:pPr>
      <w:r>
        <w:rPr>
          <w:rFonts w:eastAsia="Times New Roman" w:cs="Times New Roman" w:ascii="Times New Roman" w:hAnsi="Times New Roman"/>
          <w:color w:val="111111"/>
          <w:sz w:val="28"/>
          <w:szCs w:val="28"/>
          <w:lang w:val="en-US"/>
        </w:rPr>
        <w:t>213, 215, 216, 217, 218,</w:t>
      </w:r>
    </w:p>
    <w:p>
      <w:pPr>
        <w:pStyle w:val="BookText"/>
        <w:bidi w:val="0"/>
        <w:jc w:val="both"/>
        <w:rPr/>
      </w:pPr>
      <w:r>
        <w:rPr>
          <w:rFonts w:eastAsia="Times New Roman" w:cs="Times New Roman" w:ascii="Times New Roman" w:hAnsi="Times New Roman"/>
          <w:color w:val="111111"/>
          <w:sz w:val="28"/>
          <w:szCs w:val="28"/>
          <w:lang w:val="en-US"/>
        </w:rPr>
        <w:t>238, 245, 246, 247, 249,</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251, 254, 281, 285, 286 </w:t>
      </w:r>
    </w:p>
    <w:p>
      <w:pPr>
        <w:pStyle w:val="BookText"/>
        <w:bidi w:val="0"/>
        <w:rPr/>
      </w:pPr>
      <w:r>
        <w:rPr>
          <w:rFonts w:eastAsia="Times New Roman" w:cs="Times New Roman" w:ascii="Times New Roman" w:hAnsi="Times New Roman"/>
          <w:color w:val="111111"/>
          <w:sz w:val="28"/>
          <w:szCs w:val="28"/>
          <w:lang w:val="en-US"/>
        </w:rPr>
        <w:t>basīth 73, 91, 110, 127, 190,</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cahaya 13, 30, 38, 50, 65, 164,</w:t>
      </w:r>
    </w:p>
    <w:p>
      <w:pPr>
        <w:pStyle w:val="BookText"/>
        <w:bidi w:val="0"/>
        <w:jc w:val="both"/>
        <w:rPr/>
      </w:pPr>
      <w:r>
        <w:rPr>
          <w:rFonts w:eastAsia="Times New Roman" w:cs="Times New Roman" w:ascii="Times New Roman" w:hAnsi="Times New Roman"/>
          <w:color w:val="111111"/>
          <w:sz w:val="28"/>
          <w:szCs w:val="28"/>
          <w:lang w:val="en-US"/>
        </w:rPr>
        <w:t>174, 197, 215, 218, 219,</w:t>
      </w:r>
    </w:p>
    <w:p>
      <w:pPr>
        <w:pStyle w:val="BookText"/>
        <w:bidi w:val="0"/>
        <w:jc w:val="both"/>
        <w:rPr/>
      </w:pPr>
      <w:r>
        <w:rPr>
          <w:rFonts w:eastAsia="Times New Roman" w:cs="Times New Roman" w:ascii="Times New Roman" w:hAnsi="Times New Roman"/>
          <w:color w:val="111111"/>
          <w:sz w:val="28"/>
          <w:szCs w:val="28"/>
          <w:lang w:val="en-US"/>
        </w:rPr>
        <w:t>220, 221, 222, 223, 225,</w:t>
      </w:r>
    </w:p>
    <w:p>
      <w:pPr>
        <w:pStyle w:val="BookText"/>
        <w:bidi w:val="0"/>
        <w:jc w:val="both"/>
        <w:rPr/>
      </w:pPr>
      <w:r>
        <w:rPr>
          <w:rFonts w:eastAsia="Times New Roman" w:cs="Times New Roman" w:ascii="Times New Roman" w:hAnsi="Times New Roman"/>
          <w:color w:val="111111"/>
          <w:sz w:val="28"/>
          <w:szCs w:val="28"/>
          <w:lang w:val="en-US"/>
        </w:rPr>
        <w:t>226, 227, 228, 229, 230,</w:t>
      </w:r>
    </w:p>
    <w:p>
      <w:pPr>
        <w:pStyle w:val="BookText"/>
        <w:bidi w:val="0"/>
        <w:jc w:val="both"/>
        <w:rPr/>
      </w:pPr>
      <w:r>
        <w:rPr>
          <w:rFonts w:eastAsia="Times New Roman" w:cs="Times New Roman" w:ascii="Times New Roman" w:hAnsi="Times New Roman"/>
          <w:color w:val="111111"/>
          <w:sz w:val="28"/>
          <w:szCs w:val="28"/>
          <w:lang w:val="en-US"/>
        </w:rPr>
        <w:t>231, 233, 234, 235, 236,</w:t>
      </w:r>
    </w:p>
    <w:p>
      <w:pPr>
        <w:pStyle w:val="BookText"/>
        <w:bidi w:val="0"/>
        <w:jc w:val="both"/>
        <w:rPr/>
      </w:pPr>
      <w:r>
        <w:rPr>
          <w:rFonts w:eastAsia="Times New Roman" w:cs="Times New Roman" w:ascii="Times New Roman" w:hAnsi="Times New Roman"/>
          <w:color w:val="111111"/>
          <w:sz w:val="28"/>
          <w:szCs w:val="28"/>
          <w:lang w:val="en-US"/>
        </w:rPr>
        <w:t>239, 240, 241, 242, 246,</w:t>
      </w:r>
    </w:p>
    <w:p>
      <w:pPr>
        <w:pStyle w:val="BookText"/>
        <w:bidi w:val="0"/>
        <w:jc w:val="both"/>
        <w:rPr/>
      </w:pPr>
      <w:r>
        <w:rPr>
          <w:rFonts w:eastAsia="Times New Roman" w:cs="Times New Roman" w:ascii="Times New Roman" w:hAnsi="Times New Roman"/>
          <w:color w:val="111111"/>
          <w:sz w:val="28"/>
          <w:szCs w:val="28"/>
          <w:lang w:val="en-US"/>
        </w:rPr>
        <w:t>250, 253, 254, 256, 257,</w:t>
      </w:r>
    </w:p>
    <w:p>
      <w:pPr>
        <w:pStyle w:val="BookText"/>
        <w:bidi w:val="0"/>
        <w:jc w:val="both"/>
        <w:rPr/>
      </w:pPr>
      <w:r>
        <w:rPr>
          <w:rFonts w:eastAsia="Times New Roman" w:cs="Times New Roman" w:ascii="Times New Roman" w:hAnsi="Times New Roman"/>
          <w:color w:val="111111"/>
          <w:sz w:val="28"/>
          <w:szCs w:val="28"/>
          <w:lang w:val="en-US"/>
        </w:rPr>
        <w:t>258, 259, 261, 262, 263,</w:t>
      </w:r>
    </w:p>
    <w:p>
      <w:pPr>
        <w:pStyle w:val="BookText"/>
        <w:bidi w:val="0"/>
        <w:jc w:val="both"/>
        <w:rPr/>
      </w:pPr>
      <w:r>
        <w:rPr>
          <w:rFonts w:eastAsia="Times New Roman" w:cs="Times New Roman" w:ascii="Times New Roman" w:hAnsi="Times New Roman"/>
          <w:color w:val="111111"/>
          <w:sz w:val="28"/>
          <w:szCs w:val="28"/>
          <w:lang w:val="en-US"/>
        </w:rPr>
        <w:t>266, 267</w:t>
      </w:r>
    </w:p>
    <w:p>
      <w:pPr>
        <w:pStyle w:val="BookText"/>
        <w:bidi w:val="0"/>
        <w:jc w:val="both"/>
        <w:rPr/>
      </w:pPr>
      <w:r>
        <w:rPr>
          <w:rFonts w:eastAsia="Times New Roman" w:cs="Times New Roman" w:ascii="Times New Roman" w:hAnsi="Times New Roman"/>
          <w:color w:val="111111"/>
          <w:sz w:val="28"/>
          <w:szCs w:val="28"/>
          <w:lang w:val="en-US"/>
        </w:rPr>
        <w:t>Cahaya Segala Cahaya 225,</w:t>
      </w:r>
    </w:p>
    <w:p>
      <w:pPr>
        <w:pStyle w:val="BookText"/>
        <w:bidi w:val="0"/>
        <w:jc w:val="both"/>
        <w:rPr/>
      </w:pPr>
      <w:r>
        <w:rPr>
          <w:rFonts w:eastAsia="Times New Roman" w:cs="Times New Roman" w:ascii="Times New Roman" w:hAnsi="Times New Roman"/>
          <w:color w:val="111111"/>
          <w:sz w:val="28"/>
          <w:szCs w:val="28"/>
          <w:lang w:val="en-US"/>
        </w:rPr>
        <w:t>226, 230, 232, 233, 234,</w:t>
      </w:r>
    </w:p>
    <w:p>
      <w:pPr>
        <w:pStyle w:val="BookText"/>
        <w:bidi w:val="0"/>
        <w:jc w:val="both"/>
        <w:rPr/>
      </w:pPr>
      <w:r>
        <w:rPr>
          <w:rFonts w:eastAsia="Times New Roman" w:cs="Times New Roman" w:ascii="Times New Roman" w:hAnsi="Times New Roman"/>
          <w:color w:val="111111"/>
          <w:sz w:val="28"/>
          <w:szCs w:val="28"/>
          <w:lang w:val="en-US"/>
        </w:rPr>
        <w:t>235, 236, 241, 257, 258</w:t>
      </w:r>
    </w:p>
    <w:p>
      <w:pPr>
        <w:pStyle w:val="BookText"/>
        <w:bidi w:val="0"/>
        <w:jc w:val="both"/>
        <w:rPr/>
      </w:pPr>
      <w:r>
        <w:rPr>
          <w:rFonts w:eastAsia="Times New Roman" w:cs="Times New Roman" w:ascii="Times New Roman" w:hAnsi="Times New Roman"/>
          <w:color w:val="111111"/>
          <w:sz w:val="28"/>
          <w:szCs w:val="28"/>
          <w:lang w:val="en-US"/>
        </w:rPr>
        <w:t>Corbin 15, 17, 18, 24, 37, 56,</w:t>
      </w:r>
    </w:p>
    <w:p>
      <w:pPr>
        <w:pStyle w:val="BookText"/>
        <w:bidi w:val="0"/>
        <w:jc w:val="both"/>
        <w:rPr/>
      </w:pPr>
      <w:r>
        <w:rPr>
          <w:rFonts w:eastAsia="Times New Roman" w:cs="Times New Roman" w:ascii="Times New Roman" w:hAnsi="Times New Roman"/>
          <w:color w:val="111111"/>
          <w:sz w:val="28"/>
          <w:szCs w:val="28"/>
          <w:lang w:val="en-US"/>
        </w:rPr>
        <w:t>57, 58, 60, 61, 63, 88,</w:t>
      </w:r>
    </w:p>
    <w:p>
      <w:pPr>
        <w:pStyle w:val="BookText"/>
        <w:bidi w:val="0"/>
        <w:jc w:val="both"/>
        <w:rPr/>
      </w:pPr>
      <w:r>
        <w:rPr>
          <w:rFonts w:eastAsia="Times New Roman" w:cs="Times New Roman" w:ascii="Times New Roman" w:hAnsi="Times New Roman"/>
          <w:color w:val="111111"/>
          <w:sz w:val="28"/>
          <w:szCs w:val="28"/>
          <w:lang w:val="en-US"/>
        </w:rPr>
        <w:t>190, 209, 259, 280, 285,</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169, 170, 171, 172, 173,</w:t>
      </w:r>
    </w:p>
    <w:p>
      <w:pPr>
        <w:pStyle w:val="BookText"/>
        <w:bidi w:val="0"/>
        <w:jc w:val="both"/>
        <w:rPr/>
      </w:pPr>
      <w:r>
        <w:rPr>
          <w:rFonts w:eastAsia="Times New Roman" w:cs="Times New Roman" w:ascii="Times New Roman" w:hAnsi="Times New Roman"/>
          <w:color w:val="111111"/>
          <w:sz w:val="28"/>
          <w:szCs w:val="28"/>
          <w:lang w:val="en-US"/>
        </w:rPr>
        <w:t>174, 175, 176, 177, 178,</w:t>
      </w:r>
    </w:p>
    <w:p>
      <w:pPr>
        <w:pStyle w:val="BookText"/>
        <w:bidi w:val="0"/>
        <w:jc w:val="both"/>
        <w:rPr/>
      </w:pPr>
      <w:r>
        <w:rPr>
          <w:rFonts w:eastAsia="Times New Roman" w:cs="Times New Roman" w:ascii="Times New Roman" w:hAnsi="Times New Roman"/>
          <w:color w:val="111111"/>
          <w:sz w:val="28"/>
          <w:szCs w:val="28"/>
          <w:lang w:val="en-US"/>
        </w:rPr>
        <w:t>179, 180, 181, 182, 183,</w:t>
      </w:r>
    </w:p>
    <w:p>
      <w:pPr>
        <w:pStyle w:val="BookText"/>
        <w:bidi w:val="0"/>
        <w:jc w:val="both"/>
        <w:rPr/>
      </w:pPr>
      <w:r>
        <w:rPr>
          <w:rFonts w:eastAsia="Times New Roman" w:cs="Times New Roman" w:ascii="Times New Roman" w:hAnsi="Times New Roman"/>
          <w:color w:val="111111"/>
          <w:sz w:val="28"/>
          <w:szCs w:val="28"/>
          <w:lang w:val="en-US"/>
        </w:rPr>
        <w:t>184, 185, 186, 187, 188,</w:t>
      </w:r>
    </w:p>
    <w:p>
      <w:pPr>
        <w:pStyle w:val="BookText"/>
        <w:bidi w:val="0"/>
        <w:jc w:val="both"/>
        <w:rPr/>
      </w:pPr>
      <w:r>
        <w:rPr>
          <w:rFonts w:eastAsia="Times New Roman" w:cs="Times New Roman" w:ascii="Times New Roman" w:hAnsi="Times New Roman"/>
          <w:color w:val="111111"/>
          <w:sz w:val="28"/>
          <w:szCs w:val="28"/>
          <w:lang w:val="en-US"/>
        </w:rPr>
        <w:t>192, 193, 201, 202, 203,</w:t>
      </w:r>
    </w:p>
    <w:p>
      <w:pPr>
        <w:pStyle w:val="BookText"/>
        <w:bidi w:val="0"/>
        <w:jc w:val="both"/>
        <w:rPr/>
      </w:pPr>
      <w:r>
        <w:rPr>
          <w:rFonts w:eastAsia="Times New Roman" w:cs="Times New Roman" w:ascii="Times New Roman" w:hAnsi="Times New Roman"/>
          <w:color w:val="111111"/>
          <w:sz w:val="28"/>
          <w:szCs w:val="28"/>
          <w:lang w:val="en-US"/>
        </w:rPr>
        <w:t>207, 208, 218, 224, 225,</w:t>
      </w:r>
    </w:p>
    <w:p>
      <w:pPr>
        <w:pStyle w:val="BookText"/>
        <w:bidi w:val="0"/>
        <w:jc w:val="both"/>
        <w:rPr/>
      </w:pPr>
      <w:r>
        <w:rPr>
          <w:rFonts w:eastAsia="Times New Roman" w:cs="Times New Roman" w:ascii="Times New Roman" w:hAnsi="Times New Roman"/>
          <w:color w:val="111111"/>
          <w:sz w:val="28"/>
          <w:szCs w:val="28"/>
          <w:lang w:val="en-US"/>
        </w:rPr>
        <w:t>269, 270, 271, 272, 273,</w:t>
      </w:r>
    </w:p>
    <w:p>
      <w:pPr>
        <w:pStyle w:val="BookText"/>
        <w:bidi w:val="0"/>
        <w:jc w:val="both"/>
        <w:rPr/>
      </w:pPr>
      <w:r>
        <w:rPr>
          <w:rFonts w:eastAsia="Times New Roman" w:cs="Times New Roman" w:ascii="Times New Roman" w:hAnsi="Times New Roman"/>
          <w:color w:val="111111"/>
          <w:sz w:val="28"/>
          <w:szCs w:val="28"/>
          <w:lang w:val="en-US"/>
        </w:rPr>
        <w:t>275, 276</w:t>
      </w:r>
    </w:p>
    <w:p>
      <w:pPr>
        <w:pStyle w:val="BookText"/>
        <w:bidi w:val="0"/>
        <w:jc w:val="both"/>
        <w:rPr/>
      </w:pPr>
      <w:r>
        <w:rPr>
          <w:rFonts w:eastAsia="Times New Roman" w:cs="Times New Roman" w:ascii="Times New Roman" w:hAnsi="Times New Roman"/>
          <w:color w:val="111111"/>
          <w:sz w:val="28"/>
          <w:szCs w:val="28"/>
          <w:lang w:val="en-US"/>
        </w:rPr>
        <w:t>definisi esensialis 119, 120,</w:t>
      </w:r>
    </w:p>
    <w:p>
      <w:pPr>
        <w:pStyle w:val="BookText"/>
        <w:bidi w:val="0"/>
        <w:jc w:val="both"/>
        <w:rPr/>
      </w:pPr>
      <w:r>
        <w:rPr>
          <w:rFonts w:eastAsia="Times New Roman" w:cs="Times New Roman" w:ascii="Times New Roman" w:hAnsi="Times New Roman"/>
          <w:color w:val="111111"/>
          <w:sz w:val="28"/>
          <w:szCs w:val="28"/>
          <w:lang w:val="en-US"/>
        </w:rPr>
        <w:t>121, 122, 124, 144, 146,</w:t>
      </w:r>
    </w:p>
    <w:p>
      <w:pPr>
        <w:pStyle w:val="BookText"/>
        <w:bidi w:val="0"/>
        <w:jc w:val="both"/>
        <w:rPr/>
      </w:pPr>
      <w:r>
        <w:rPr>
          <w:rFonts w:eastAsia="Times New Roman" w:cs="Times New Roman" w:ascii="Times New Roman" w:hAnsi="Times New Roman"/>
          <w:color w:val="111111"/>
          <w:sz w:val="28"/>
          <w:szCs w:val="28"/>
          <w:lang w:val="en-US"/>
        </w:rPr>
        <w:t>147, 148, 149, 150, 151,</w:t>
      </w:r>
    </w:p>
    <w:p>
      <w:pPr>
        <w:pStyle w:val="BookText"/>
        <w:bidi w:val="0"/>
        <w:jc w:val="both"/>
        <w:rPr/>
      </w:pPr>
      <w:r>
        <w:rPr>
          <w:rFonts w:eastAsia="Times New Roman" w:cs="Times New Roman" w:ascii="Times New Roman" w:hAnsi="Times New Roman"/>
          <w:color w:val="111111"/>
          <w:sz w:val="28"/>
          <w:szCs w:val="28"/>
          <w:lang w:val="en-US"/>
        </w:rPr>
        <w:t>152, 154, 157, 158, 160,</w:t>
      </w:r>
    </w:p>
    <w:p>
      <w:pPr>
        <w:pStyle w:val="BookText"/>
        <w:bidi w:val="0"/>
        <w:jc w:val="both"/>
        <w:rPr/>
      </w:pPr>
      <w:r>
        <w:rPr>
          <w:rFonts w:eastAsia="Times New Roman" w:cs="Times New Roman" w:ascii="Times New Roman" w:hAnsi="Times New Roman"/>
          <w:color w:val="111111"/>
          <w:sz w:val="28"/>
          <w:szCs w:val="28"/>
          <w:lang w:val="en-US"/>
        </w:rPr>
        <w:t>161, 163, 165, 166, 167,</w:t>
      </w:r>
    </w:p>
    <w:p>
      <w:pPr>
        <w:pStyle w:val="BookText"/>
        <w:bidi w:val="0"/>
        <w:jc w:val="both"/>
        <w:rPr/>
      </w:pPr>
      <w:r>
        <w:rPr>
          <w:rFonts w:eastAsia="Times New Roman" w:cs="Times New Roman" w:ascii="Times New Roman" w:hAnsi="Times New Roman"/>
          <w:color w:val="111111"/>
          <w:sz w:val="28"/>
          <w:szCs w:val="28"/>
          <w:lang w:val="en-US"/>
        </w:rPr>
        <w:t>170, 173, 177, 178, 179,</w:t>
      </w:r>
    </w:p>
    <w:p>
      <w:pPr>
        <w:pStyle w:val="BookText"/>
        <w:bidi w:val="0"/>
        <w:jc w:val="both"/>
        <w:rPr/>
      </w:pPr>
      <w:r>
        <w:rPr>
          <w:rFonts w:eastAsia="Times New Roman" w:cs="Times New Roman" w:ascii="Times New Roman" w:hAnsi="Times New Roman"/>
          <w:color w:val="111111"/>
          <w:sz w:val="28"/>
          <w:szCs w:val="28"/>
          <w:lang w:val="en-US"/>
        </w:rPr>
        <w:t>180, 181, 207, 218, 224,</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definisi hakiki 96, 123, 130,</w:t>
      </w:r>
    </w:p>
    <w:p>
      <w:pPr>
        <w:pStyle w:val="BookText"/>
        <w:bidi w:val="0"/>
        <w:jc w:val="both"/>
        <w:rPr/>
      </w:pPr>
      <w:r>
        <w:rPr>
          <w:rFonts w:eastAsia="Times New Roman" w:cs="Times New Roman" w:ascii="Times New Roman" w:hAnsi="Times New Roman"/>
          <w:color w:val="111111"/>
          <w:sz w:val="28"/>
          <w:szCs w:val="28"/>
          <w:lang w:val="en-US"/>
        </w:rPr>
        <w:t>134, 138, 139, 145, 146,</w:t>
      </w:r>
    </w:p>
    <w:p>
      <w:pPr>
        <w:pStyle w:val="BookText"/>
        <w:bidi w:val="0"/>
        <w:jc w:val="both"/>
        <w:rPr/>
      </w:pPr>
      <w:r>
        <w:rPr>
          <w:rFonts w:eastAsia="Times New Roman" w:cs="Times New Roman" w:ascii="Times New Roman" w:hAnsi="Times New Roman"/>
          <w:color w:val="111111"/>
          <w:sz w:val="28"/>
          <w:szCs w:val="28"/>
          <w:lang w:val="en-US"/>
        </w:rPr>
        <w:t>165, 173, 176, 178, 270</w:t>
      </w:r>
    </w:p>
    <w:p>
      <w:pPr>
        <w:pStyle w:val="BookText"/>
        <w:bidi w:val="0"/>
        <w:jc w:val="both"/>
        <w:rPr/>
      </w:pPr>
      <w:r>
        <w:rPr>
          <w:rFonts w:eastAsia="Times New Roman" w:cs="Times New Roman" w:ascii="Times New Roman" w:hAnsi="Times New Roman"/>
          <w:color w:val="111111"/>
          <w:sz w:val="28"/>
          <w:szCs w:val="28"/>
          <w:lang w:val="en-US"/>
        </w:rPr>
        <w:t>definisi nominal 138, 145,</w:t>
      </w:r>
    </w:p>
    <w:p>
      <w:pPr>
        <w:pStyle w:val="BookText"/>
        <w:bidi w:val="0"/>
        <w:jc w:val="both"/>
        <w:rPr/>
      </w:pPr>
      <w:r>
        <w:rPr>
          <w:rFonts w:eastAsia="Times New Roman" w:cs="Times New Roman" w:ascii="Times New Roman" w:hAnsi="Times New Roman"/>
          <w:color w:val="111111"/>
          <w:sz w:val="28"/>
          <w:szCs w:val="28"/>
          <w:lang w:val="en-US"/>
        </w:rPr>
        <w:t>146, 159, 165, 178</w:t>
      </w:r>
    </w:p>
    <w:p>
      <w:pPr>
        <w:pStyle w:val="BookText"/>
        <w:bidi w:val="0"/>
        <w:jc w:val="both"/>
        <w:rPr/>
      </w:pPr>
      <w:r>
        <w:rPr>
          <w:rFonts w:eastAsia="Times New Roman" w:cs="Times New Roman" w:ascii="Times New Roman" w:hAnsi="Times New Roman"/>
          <w:color w:val="111111"/>
          <w:sz w:val="28"/>
          <w:szCs w:val="28"/>
          <w:lang w:val="en-US"/>
        </w:rPr>
        <w:t>demonstrasi 31, 50, 71, 83,</w:t>
      </w:r>
    </w:p>
    <w:p>
      <w:pPr>
        <w:pStyle w:val="BookText"/>
        <w:bidi w:val="0"/>
        <w:jc w:val="both"/>
        <w:rPr/>
      </w:pPr>
      <w:r>
        <w:rPr>
          <w:rFonts w:eastAsia="Times New Roman" w:cs="Times New Roman" w:ascii="Times New Roman" w:hAnsi="Times New Roman"/>
          <w:color w:val="111111"/>
          <w:sz w:val="28"/>
          <w:szCs w:val="28"/>
          <w:lang w:val="en-US"/>
        </w:rPr>
        <w:t>101, 102, 121, 122, 124,</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152, 167, 171, 173, 179,</w:t>
      </w:r>
    </w:p>
    <w:p>
      <w:pPr>
        <w:pStyle w:val="BookText"/>
        <w:bidi w:val="0"/>
        <w:jc w:val="both"/>
        <w:rPr/>
      </w:pPr>
      <w:r>
        <w:rPr>
          <w:rFonts w:eastAsia="Times New Roman" w:cs="Times New Roman" w:ascii="Times New Roman" w:hAnsi="Times New Roman"/>
          <w:color w:val="111111"/>
          <w:sz w:val="28"/>
          <w:szCs w:val="28"/>
          <w:lang w:val="en-US"/>
        </w:rPr>
        <w:t>181, 183, 186, 198, 224</w:t>
      </w:r>
    </w:p>
    <w:p>
      <w:pPr>
        <w:pStyle w:val="BookText"/>
        <w:bidi w:val="0"/>
        <w:jc w:val="both"/>
        <w:rPr/>
      </w:pPr>
      <w:r>
        <w:rPr>
          <w:rFonts w:eastAsia="Times New Roman" w:cs="Times New Roman" w:ascii="Times New Roman" w:hAnsi="Times New Roman"/>
          <w:color w:val="111111"/>
          <w:sz w:val="28"/>
          <w:szCs w:val="28"/>
          <w:lang w:val="en-US"/>
        </w:rPr>
        <w:t>diferensia 95, 96, 120, 125,</w:t>
      </w:r>
    </w:p>
    <w:p>
      <w:pPr>
        <w:pStyle w:val="BookText"/>
        <w:bidi w:val="0"/>
        <w:jc w:val="both"/>
        <w:rPr/>
      </w:pPr>
      <w:r>
        <w:rPr>
          <w:rFonts w:eastAsia="Times New Roman" w:cs="Times New Roman" w:ascii="Times New Roman" w:hAnsi="Times New Roman"/>
          <w:color w:val="111111"/>
          <w:sz w:val="28"/>
          <w:szCs w:val="28"/>
          <w:lang w:val="en-US"/>
        </w:rPr>
        <w:t>138, 139, 140, 144, 145,</w:t>
      </w:r>
    </w:p>
    <w:p>
      <w:pPr>
        <w:pStyle w:val="BookText"/>
        <w:bidi w:val="0"/>
        <w:jc w:val="both"/>
        <w:rPr/>
      </w:pPr>
      <w:r>
        <w:rPr>
          <w:rFonts w:eastAsia="Times New Roman" w:cs="Times New Roman" w:ascii="Times New Roman" w:hAnsi="Times New Roman"/>
          <w:color w:val="111111"/>
          <w:sz w:val="28"/>
          <w:szCs w:val="28"/>
          <w:lang w:val="en-US"/>
        </w:rPr>
        <w:t>146, 151, 153, 154, 157,</w:t>
      </w:r>
    </w:p>
    <w:p>
      <w:pPr>
        <w:pStyle w:val="BookText"/>
        <w:bidi w:val="0"/>
        <w:jc w:val="both"/>
        <w:rPr/>
      </w:pPr>
      <w:r>
        <w:rPr>
          <w:rFonts w:eastAsia="Times New Roman" w:cs="Times New Roman" w:ascii="Times New Roman" w:hAnsi="Times New Roman"/>
          <w:color w:val="111111"/>
          <w:sz w:val="28"/>
          <w:szCs w:val="28"/>
          <w:lang w:val="en-US"/>
        </w:rPr>
        <w:t>158, 159, 168, 180, 182,</w:t>
      </w:r>
    </w:p>
    <w:p>
      <w:pPr>
        <w:pStyle w:val="BookText"/>
        <w:bidi w:val="0"/>
        <w:jc w:val="both"/>
        <w:rPr/>
      </w:pPr>
      <w:r>
        <w:rPr>
          <w:rFonts w:eastAsia="Times New Roman" w:cs="Times New Roman" w:ascii="Times New Roman" w:hAnsi="Times New Roman"/>
          <w:color w:val="111111"/>
          <w:sz w:val="28"/>
          <w:szCs w:val="28"/>
          <w:lang w:val="en-US"/>
        </w:rPr>
        <w:t>200, 229, 238, 272, 273,</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diri 9, 10, 12, 13, 19, 32, 49,</w:t>
      </w:r>
    </w:p>
    <w:p>
      <w:pPr>
        <w:pStyle w:val="BookText"/>
        <w:bidi w:val="0"/>
        <w:jc w:val="both"/>
        <w:rPr/>
      </w:pPr>
      <w:r>
        <w:rPr>
          <w:rFonts w:eastAsia="Times New Roman" w:cs="Times New Roman" w:ascii="Times New Roman" w:hAnsi="Times New Roman"/>
          <w:color w:val="111111"/>
          <w:sz w:val="28"/>
          <w:szCs w:val="28"/>
          <w:lang w:val="en-US"/>
        </w:rPr>
        <w:t>50, 65, 95, 112, 113,</w:t>
      </w:r>
    </w:p>
    <w:p>
      <w:pPr>
        <w:pStyle w:val="BookText"/>
        <w:bidi w:val="0"/>
        <w:jc w:val="both"/>
        <w:rPr/>
      </w:pPr>
      <w:r>
        <w:rPr>
          <w:rFonts w:eastAsia="Times New Roman" w:cs="Times New Roman" w:ascii="Times New Roman" w:hAnsi="Times New Roman"/>
          <w:color w:val="111111"/>
          <w:sz w:val="28"/>
          <w:szCs w:val="28"/>
          <w:lang w:val="en-US"/>
        </w:rPr>
        <w:t>127, 140, 148, 164, 167,</w:t>
      </w:r>
    </w:p>
    <w:p>
      <w:pPr>
        <w:pStyle w:val="BookText"/>
        <w:bidi w:val="0"/>
        <w:jc w:val="both"/>
        <w:rPr/>
      </w:pPr>
      <w:r>
        <w:rPr>
          <w:rFonts w:eastAsia="Times New Roman" w:cs="Times New Roman" w:ascii="Times New Roman" w:hAnsi="Times New Roman"/>
          <w:color w:val="111111"/>
          <w:sz w:val="28"/>
          <w:szCs w:val="28"/>
          <w:lang w:val="en-US"/>
        </w:rPr>
        <w:t>171, 174, 175, 176, 177,</w:t>
      </w:r>
    </w:p>
    <w:p>
      <w:pPr>
        <w:pStyle w:val="BookText"/>
        <w:bidi w:val="0"/>
        <w:jc w:val="both"/>
        <w:rPr/>
      </w:pPr>
      <w:r>
        <w:rPr>
          <w:rFonts w:eastAsia="Times New Roman" w:cs="Times New Roman" w:ascii="Times New Roman" w:hAnsi="Times New Roman"/>
          <w:color w:val="111111"/>
          <w:sz w:val="28"/>
          <w:szCs w:val="28"/>
          <w:lang w:val="en-US"/>
        </w:rPr>
        <w:t>207, 208, 210, 211, 212,</w:t>
      </w:r>
    </w:p>
    <w:p>
      <w:pPr>
        <w:pStyle w:val="BookText"/>
        <w:bidi w:val="0"/>
        <w:jc w:val="both"/>
        <w:rPr/>
      </w:pPr>
      <w:r>
        <w:rPr>
          <w:rFonts w:eastAsia="Times New Roman" w:cs="Times New Roman" w:ascii="Times New Roman" w:hAnsi="Times New Roman"/>
          <w:color w:val="111111"/>
          <w:sz w:val="28"/>
          <w:szCs w:val="28"/>
          <w:lang w:val="en-US"/>
        </w:rPr>
        <w:t>213, 214, 215, 216, 217,</w:t>
      </w:r>
    </w:p>
    <w:p>
      <w:pPr>
        <w:pStyle w:val="BookText"/>
        <w:bidi w:val="0"/>
        <w:jc w:val="both"/>
        <w:rPr/>
      </w:pPr>
      <w:r>
        <w:rPr>
          <w:rFonts w:eastAsia="Times New Roman" w:cs="Times New Roman" w:ascii="Times New Roman" w:hAnsi="Times New Roman"/>
          <w:color w:val="111111"/>
          <w:sz w:val="28"/>
          <w:szCs w:val="28"/>
          <w:lang w:val="en-US"/>
        </w:rPr>
        <w:t>deduktif 128, 157</w:t>
      </w:r>
    </w:p>
    <w:p>
      <w:pPr>
        <w:pStyle w:val="BookText"/>
        <w:bidi w:val="0"/>
        <w:jc w:val="both"/>
        <w:rPr/>
      </w:pPr>
      <w:r>
        <w:rPr>
          <w:rFonts w:eastAsia="Times New Roman" w:cs="Times New Roman" w:ascii="Times New Roman" w:hAnsi="Times New Roman"/>
          <w:color w:val="111111"/>
          <w:sz w:val="28"/>
          <w:szCs w:val="28"/>
          <w:lang w:val="en-US"/>
        </w:rPr>
        <w:t>definisi 12, 68, 71, 73, 75, 78,</w:t>
      </w:r>
    </w:p>
    <w:p>
      <w:pPr>
        <w:pStyle w:val="BookText"/>
        <w:bidi w:val="0"/>
        <w:jc w:val="both"/>
        <w:rPr/>
      </w:pPr>
      <w:r>
        <w:rPr>
          <w:rFonts w:eastAsia="Times New Roman" w:cs="Times New Roman" w:ascii="Times New Roman" w:hAnsi="Times New Roman"/>
          <w:color w:val="111111"/>
          <w:sz w:val="28"/>
          <w:szCs w:val="28"/>
          <w:lang w:val="en-US"/>
        </w:rPr>
        <w:t>80, 81, 84, 86, 93, 94,</w:t>
      </w:r>
    </w:p>
    <w:p>
      <w:pPr>
        <w:pStyle w:val="BookText"/>
        <w:bidi w:val="0"/>
        <w:jc w:val="both"/>
        <w:rPr/>
      </w:pPr>
      <w:r>
        <w:rPr>
          <w:rFonts w:eastAsia="Times New Roman" w:cs="Times New Roman" w:ascii="Times New Roman" w:hAnsi="Times New Roman"/>
          <w:color w:val="111111"/>
          <w:sz w:val="28"/>
          <w:szCs w:val="28"/>
          <w:lang w:val="en-US"/>
        </w:rPr>
        <w:t>95, 96, 104, 105, 115,</w:t>
      </w:r>
    </w:p>
    <w:p>
      <w:pPr>
        <w:pStyle w:val="BookText"/>
        <w:bidi w:val="0"/>
        <w:jc w:val="both"/>
        <w:rPr/>
      </w:pPr>
      <w:r>
        <w:rPr>
          <w:rFonts w:eastAsia="Times New Roman" w:cs="Times New Roman" w:ascii="Times New Roman" w:hAnsi="Times New Roman"/>
          <w:color w:val="111111"/>
          <w:sz w:val="28"/>
          <w:szCs w:val="28"/>
          <w:lang w:val="en-US"/>
        </w:rPr>
        <w:t>117, 119, 120, 121, 122,</w:t>
      </w:r>
    </w:p>
    <w:p>
      <w:pPr>
        <w:pStyle w:val="BookText"/>
        <w:bidi w:val="0"/>
        <w:jc w:val="both"/>
        <w:rPr/>
      </w:pPr>
      <w:r>
        <w:rPr>
          <w:rFonts w:eastAsia="Times New Roman" w:cs="Times New Roman" w:ascii="Times New Roman" w:hAnsi="Times New Roman"/>
          <w:color w:val="111111"/>
          <w:sz w:val="28"/>
          <w:szCs w:val="28"/>
          <w:lang w:val="en-US"/>
        </w:rPr>
        <w:t>123, 124, 125, 126, 127,</w:t>
      </w:r>
    </w:p>
    <w:p>
      <w:pPr>
        <w:pStyle w:val="BookText"/>
        <w:bidi w:val="0"/>
        <w:jc w:val="both"/>
        <w:rPr/>
      </w:pPr>
      <w:r>
        <w:rPr>
          <w:rFonts w:eastAsia="Times New Roman" w:cs="Times New Roman" w:ascii="Times New Roman" w:hAnsi="Times New Roman"/>
          <w:color w:val="111111"/>
          <w:sz w:val="28"/>
          <w:szCs w:val="28"/>
          <w:lang w:val="en-US"/>
        </w:rPr>
        <w:t>128, 129, 130, 131, 132,</w:t>
      </w:r>
    </w:p>
    <w:p>
      <w:pPr>
        <w:pStyle w:val="BookText"/>
        <w:bidi w:val="0"/>
        <w:jc w:val="both"/>
        <w:rPr/>
      </w:pPr>
      <w:r>
        <w:rPr>
          <w:rFonts w:eastAsia="Times New Roman" w:cs="Times New Roman" w:ascii="Times New Roman" w:hAnsi="Times New Roman"/>
          <w:color w:val="111111"/>
          <w:sz w:val="28"/>
          <w:szCs w:val="28"/>
          <w:lang w:val="en-US"/>
        </w:rPr>
        <w:t>133, 134, 135, 136, 137,</w:t>
      </w:r>
    </w:p>
    <w:p>
      <w:pPr>
        <w:pStyle w:val="BookText"/>
        <w:bidi w:val="0"/>
        <w:jc w:val="both"/>
        <w:rPr/>
      </w:pPr>
      <w:r>
        <w:rPr>
          <w:rFonts w:eastAsia="Times New Roman" w:cs="Times New Roman" w:ascii="Times New Roman" w:hAnsi="Times New Roman"/>
          <w:color w:val="111111"/>
          <w:sz w:val="28"/>
          <w:szCs w:val="28"/>
          <w:lang w:val="en-US"/>
        </w:rPr>
        <w:t>138, 139, 140, 141, 143,</w:t>
      </w:r>
    </w:p>
    <w:p>
      <w:pPr>
        <w:pStyle w:val="BookText"/>
        <w:bidi w:val="0"/>
        <w:jc w:val="both"/>
        <w:rPr/>
      </w:pPr>
      <w:r>
        <w:rPr>
          <w:rFonts w:eastAsia="Times New Roman" w:cs="Times New Roman" w:ascii="Times New Roman" w:hAnsi="Times New Roman"/>
          <w:color w:val="111111"/>
          <w:sz w:val="28"/>
          <w:szCs w:val="28"/>
          <w:lang w:val="en-US"/>
        </w:rPr>
        <w:t>144, 145, 146, 147, 148,</w:t>
      </w:r>
    </w:p>
    <w:p>
      <w:pPr>
        <w:pStyle w:val="BookText"/>
        <w:bidi w:val="0"/>
        <w:jc w:val="both"/>
        <w:rPr/>
      </w:pPr>
      <w:r>
        <w:rPr>
          <w:rFonts w:eastAsia="Times New Roman" w:cs="Times New Roman" w:ascii="Times New Roman" w:hAnsi="Times New Roman"/>
          <w:color w:val="111111"/>
          <w:sz w:val="28"/>
          <w:szCs w:val="28"/>
          <w:lang w:val="en-US"/>
        </w:rPr>
        <w:t>149, 150, 151, 152, 153,</w:t>
      </w:r>
    </w:p>
    <w:p>
      <w:pPr>
        <w:pStyle w:val="BookText"/>
        <w:bidi w:val="0"/>
        <w:jc w:val="both"/>
        <w:rPr/>
      </w:pPr>
      <w:r>
        <w:rPr>
          <w:rFonts w:eastAsia="Times New Roman" w:cs="Times New Roman" w:ascii="Times New Roman" w:hAnsi="Times New Roman"/>
          <w:color w:val="111111"/>
          <w:sz w:val="28"/>
          <w:szCs w:val="28"/>
          <w:lang w:val="en-US"/>
        </w:rPr>
        <w:t>154, 155, 156, 157, 158,</w:t>
      </w:r>
    </w:p>
    <w:p>
      <w:pPr>
        <w:pStyle w:val="BookText"/>
        <w:bidi w:val="0"/>
        <w:jc w:val="both"/>
        <w:rPr/>
      </w:pPr>
      <w:r>
        <w:rPr>
          <w:rFonts w:eastAsia="Times New Roman" w:cs="Times New Roman" w:ascii="Times New Roman" w:hAnsi="Times New Roman"/>
          <w:color w:val="111111"/>
          <w:sz w:val="28"/>
          <w:szCs w:val="28"/>
          <w:lang w:val="en-US"/>
        </w:rPr>
        <w:t>159, 160, 161, 162, 163,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164, 165, 166, 167, 168, </w:t>
      </w:r>
    </w:p>
    <w:p>
      <w:pPr>
        <w:pStyle w:val="BookText"/>
        <w:bidi w:val="0"/>
        <w:rPr/>
      </w:pPr>
      <w:r>
        <w:rPr>
          <w:rFonts w:eastAsia="Times New Roman" w:cs="Times New Roman" w:ascii="Times New Roman" w:hAnsi="Times New Roman"/>
          <w:color w:val="111111"/>
          <w:sz w:val="28"/>
          <w:szCs w:val="28"/>
          <w:lang w:val="en-US"/>
        </w:rPr>
        <w:t>217, 218, 219, 220, 222,</w:t>
      </w:r>
    </w:p>
    <w:p>
      <w:pPr>
        <w:pStyle w:val="BookText"/>
        <w:bidi w:val="0"/>
        <w:jc w:val="both"/>
        <w:rPr/>
      </w:pPr>
      <w:r>
        <w:rPr>
          <w:rFonts w:eastAsia="Times New Roman" w:cs="Times New Roman" w:ascii="Times New Roman" w:hAnsi="Times New Roman"/>
          <w:color w:val="111111"/>
          <w:sz w:val="28"/>
          <w:szCs w:val="28"/>
          <w:lang w:val="en-US"/>
        </w:rPr>
        <w:t>223, 224, 225, 226, 236,</w:t>
      </w:r>
    </w:p>
    <w:p>
      <w:pPr>
        <w:pStyle w:val="BookText"/>
        <w:bidi w:val="0"/>
        <w:jc w:val="both"/>
        <w:rPr/>
      </w:pPr>
      <w:r>
        <w:rPr>
          <w:rFonts w:eastAsia="Times New Roman" w:cs="Times New Roman" w:ascii="Times New Roman" w:hAnsi="Times New Roman"/>
          <w:color w:val="111111"/>
          <w:sz w:val="28"/>
          <w:szCs w:val="28"/>
          <w:lang w:val="en-US"/>
        </w:rPr>
        <w:t>237, 238, 239, 240, 241,</w:t>
      </w:r>
    </w:p>
    <w:p>
      <w:pPr>
        <w:pStyle w:val="BookText"/>
        <w:bidi w:val="0"/>
        <w:jc w:val="both"/>
        <w:rPr/>
      </w:pPr>
      <w:r>
        <w:rPr>
          <w:rFonts w:eastAsia="Times New Roman" w:cs="Times New Roman" w:ascii="Times New Roman" w:hAnsi="Times New Roman"/>
          <w:color w:val="111111"/>
          <w:sz w:val="28"/>
          <w:szCs w:val="28"/>
          <w:lang w:val="en-US"/>
        </w:rPr>
        <w:t>242, 244, 258, 271, 272</w:t>
      </w:r>
    </w:p>
    <w:p>
      <w:pPr>
        <w:pStyle w:val="BookText"/>
        <w:bidi w:val="0"/>
        <w:jc w:val="both"/>
        <w:rPr/>
      </w:pPr>
      <w:r>
        <w:rPr>
          <w:rFonts w:eastAsia="Times New Roman" w:cs="Times New Roman" w:ascii="Times New Roman" w:hAnsi="Times New Roman"/>
          <w:color w:val="111111"/>
          <w:sz w:val="28"/>
          <w:szCs w:val="28"/>
          <w:lang w:val="en-US"/>
        </w:rPr>
        <w:t>218, 219, 220, 221, 222,</w:t>
      </w:r>
    </w:p>
    <w:p>
      <w:pPr>
        <w:pStyle w:val="BookText"/>
        <w:bidi w:val="0"/>
        <w:jc w:val="both"/>
        <w:rPr/>
      </w:pPr>
      <w:r>
        <w:rPr>
          <w:rFonts w:eastAsia="Times New Roman" w:cs="Times New Roman" w:ascii="Times New Roman" w:hAnsi="Times New Roman"/>
          <w:color w:val="111111"/>
          <w:sz w:val="28"/>
          <w:szCs w:val="28"/>
          <w:lang w:val="en-US"/>
        </w:rPr>
        <w:t>223, 224, 225, 226, 227,</w:t>
      </w:r>
    </w:p>
    <w:p>
      <w:pPr>
        <w:pStyle w:val="BookText"/>
        <w:bidi w:val="0"/>
        <w:jc w:val="both"/>
        <w:rPr/>
      </w:pPr>
      <w:r>
        <w:rPr>
          <w:rFonts w:eastAsia="Times New Roman" w:cs="Times New Roman" w:ascii="Times New Roman" w:hAnsi="Times New Roman"/>
          <w:color w:val="111111"/>
          <w:sz w:val="28"/>
          <w:szCs w:val="28"/>
          <w:lang w:val="en-US"/>
        </w:rPr>
        <w:t>229, 232, 233, 236, 240,</w:t>
      </w:r>
    </w:p>
    <w:p>
      <w:pPr>
        <w:pStyle w:val="BookText"/>
        <w:bidi w:val="0"/>
        <w:jc w:val="both"/>
        <w:rPr/>
      </w:pPr>
      <w:r>
        <w:rPr>
          <w:rFonts w:eastAsia="Times New Roman" w:cs="Times New Roman" w:ascii="Times New Roman" w:hAnsi="Times New Roman"/>
          <w:color w:val="111111"/>
          <w:sz w:val="28"/>
          <w:szCs w:val="28"/>
          <w:lang w:val="en-US"/>
        </w:rPr>
        <w:t>241, 246, 247, 250, 255,</w:t>
      </w:r>
    </w:p>
    <w:p>
      <w:pPr>
        <w:pStyle w:val="BookText"/>
        <w:bidi w:val="0"/>
        <w:jc w:val="both"/>
        <w:rPr/>
      </w:pPr>
      <w:r>
        <w:rPr>
          <w:rFonts w:eastAsia="Times New Roman" w:cs="Times New Roman" w:ascii="Times New Roman" w:hAnsi="Times New Roman"/>
          <w:color w:val="111111"/>
          <w:sz w:val="28"/>
          <w:szCs w:val="28"/>
          <w:lang w:val="en-US"/>
        </w:rPr>
        <w:t>257, 258, 267, 277</w:t>
      </w:r>
    </w:p>
    <w:p>
      <w:pPr>
        <w:pStyle w:val="BookText"/>
        <w:bidi w:val="0"/>
        <w:jc w:val="both"/>
        <w:rPr/>
      </w:pPr>
      <w:r>
        <w:rPr>
          <w:rFonts w:eastAsia="Times New Roman" w:cs="Times New Roman" w:ascii="Times New Roman" w:hAnsi="Times New Roman"/>
          <w:color w:val="111111"/>
          <w:sz w:val="28"/>
          <w:szCs w:val="28"/>
          <w:lang w:val="en-US"/>
        </w:rPr>
        <w:t>diskursif 21, 24, 25, 31, 32,</w:t>
      </w:r>
    </w:p>
    <w:p>
      <w:pPr>
        <w:pStyle w:val="BookText"/>
        <w:bidi w:val="0"/>
        <w:jc w:val="both"/>
        <w:rPr/>
      </w:pPr>
      <w:r>
        <w:rPr>
          <w:rFonts w:eastAsia="Times New Roman" w:cs="Times New Roman" w:ascii="Times New Roman" w:hAnsi="Times New Roman"/>
          <w:color w:val="111111"/>
          <w:sz w:val="28"/>
          <w:szCs w:val="28"/>
          <w:lang w:val="en-US"/>
        </w:rPr>
        <w:t>33, 34, 36, 38, 41, 43,</w:t>
      </w:r>
    </w:p>
    <w:p>
      <w:pPr>
        <w:pStyle w:val="BookText"/>
        <w:bidi w:val="0"/>
        <w:jc w:val="both"/>
        <w:rPr/>
      </w:pPr>
      <w:r>
        <w:rPr>
          <w:rFonts w:eastAsia="Times New Roman" w:cs="Times New Roman" w:ascii="Times New Roman" w:hAnsi="Times New Roman"/>
          <w:color w:val="111111"/>
          <w:sz w:val="28"/>
          <w:szCs w:val="28"/>
          <w:lang w:val="en-US"/>
        </w:rPr>
        <w:t>50, 51, 52, 53, 59, 65,</w:t>
      </w:r>
    </w:p>
    <w:p>
      <w:pPr>
        <w:pStyle w:val="BookText"/>
        <w:bidi w:val="0"/>
        <w:jc w:val="both"/>
        <w:rPr/>
      </w:pPr>
      <w:r>
        <w:rPr>
          <w:rFonts w:eastAsia="Times New Roman" w:cs="Times New Roman" w:ascii="Times New Roman" w:hAnsi="Times New Roman"/>
          <w:color w:val="111111"/>
          <w:sz w:val="28"/>
          <w:szCs w:val="28"/>
          <w:lang w:val="en-US"/>
        </w:rPr>
        <w:t>175, 197, 198, 264, 265,</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dunia 13, 37, 42, 49, 106, 125,</w:t>
      </w:r>
    </w:p>
    <w:p>
      <w:pPr>
        <w:pStyle w:val="BookText"/>
        <w:bidi w:val="0"/>
        <w:jc w:val="both"/>
        <w:rPr/>
      </w:pPr>
      <w:r>
        <w:rPr>
          <w:rFonts w:eastAsia="Times New Roman" w:cs="Times New Roman" w:ascii="Times New Roman" w:hAnsi="Times New Roman"/>
          <w:color w:val="111111"/>
          <w:sz w:val="28"/>
          <w:szCs w:val="28"/>
          <w:lang w:val="en-US"/>
        </w:rPr>
        <w:t>153, 198, 199, 200, 201,</w:t>
      </w:r>
    </w:p>
    <w:p>
      <w:pPr>
        <w:pStyle w:val="BookText"/>
        <w:bidi w:val="0"/>
        <w:jc w:val="both"/>
        <w:rPr/>
      </w:pPr>
      <w:r>
        <w:rPr>
          <w:rFonts w:eastAsia="Times New Roman" w:cs="Times New Roman" w:ascii="Times New Roman" w:hAnsi="Times New Roman"/>
          <w:color w:val="111111"/>
          <w:sz w:val="28"/>
          <w:szCs w:val="28"/>
          <w:lang w:val="en-US"/>
        </w:rPr>
        <w:t>232, 237, 257, 262, 265</w:t>
      </w:r>
    </w:p>
    <w:p>
      <w:pPr>
        <w:pStyle w:val="BookText"/>
        <w:bidi w:val="0"/>
        <w:jc w:val="both"/>
        <w:rPr/>
      </w:pPr>
      <w:r>
        <w:rPr>
          <w:rFonts w:eastAsia="Times New Roman" w:cs="Times New Roman" w:ascii="Times New Roman" w:hAnsi="Times New Roman"/>
          <w:color w:val="111111"/>
          <w:sz w:val="28"/>
          <w:szCs w:val="28"/>
          <w:lang w:val="en-US"/>
        </w:rPr>
        <w:t>eksekusi 26, 48</w:t>
      </w:r>
    </w:p>
    <w:p>
      <w:pPr>
        <w:pStyle w:val="BookText"/>
        <w:bidi w:val="0"/>
        <w:jc w:val="both"/>
        <w:rPr/>
      </w:pPr>
      <w:r>
        <w:rPr>
          <w:rFonts w:eastAsia="Times New Roman" w:cs="Times New Roman" w:ascii="Times New Roman" w:hAnsi="Times New Roman"/>
          <w:color w:val="111111"/>
          <w:sz w:val="28"/>
          <w:szCs w:val="28"/>
          <w:lang w:val="en-US"/>
        </w:rPr>
        <w:t>eksplisit 19, 20, 21, 36, 38,</w:t>
      </w:r>
    </w:p>
    <w:p>
      <w:pPr>
        <w:pStyle w:val="BookText"/>
        <w:bidi w:val="0"/>
        <w:jc w:val="both"/>
        <w:rPr/>
      </w:pPr>
      <w:r>
        <w:rPr>
          <w:rFonts w:eastAsia="Times New Roman" w:cs="Times New Roman" w:ascii="Times New Roman" w:hAnsi="Times New Roman"/>
          <w:color w:val="111111"/>
          <w:sz w:val="28"/>
          <w:szCs w:val="28"/>
          <w:lang w:val="en-US"/>
        </w:rPr>
        <w:t>41, 53, 57, 67, 107, 111,</w:t>
      </w:r>
    </w:p>
    <w:p>
      <w:pPr>
        <w:pStyle w:val="BookText"/>
        <w:bidi w:val="0"/>
        <w:jc w:val="both"/>
        <w:rPr/>
      </w:pPr>
      <w:r>
        <w:rPr>
          <w:rFonts w:eastAsia="Times New Roman" w:cs="Times New Roman" w:ascii="Times New Roman" w:hAnsi="Times New Roman"/>
          <w:color w:val="111111"/>
          <w:sz w:val="28"/>
          <w:szCs w:val="28"/>
          <w:lang w:val="en-US"/>
        </w:rPr>
        <w:t>119, 121, 123, 145, 170,</w:t>
      </w:r>
    </w:p>
    <w:p>
      <w:pPr>
        <w:pStyle w:val="BookText"/>
        <w:bidi w:val="0"/>
        <w:jc w:val="both"/>
        <w:rPr/>
      </w:pPr>
      <w:r>
        <w:rPr>
          <w:rFonts w:eastAsia="Times New Roman" w:cs="Times New Roman" w:ascii="Times New Roman" w:hAnsi="Times New Roman"/>
          <w:color w:val="111111"/>
          <w:sz w:val="28"/>
          <w:szCs w:val="28"/>
          <w:lang w:val="en-US"/>
        </w:rPr>
        <w:t>177, 257, 264</w:t>
      </w:r>
    </w:p>
    <w:p>
      <w:pPr>
        <w:pStyle w:val="BookText"/>
        <w:bidi w:val="0"/>
        <w:jc w:val="both"/>
        <w:rPr/>
      </w:pPr>
      <w:r>
        <w:rPr>
          <w:rFonts w:eastAsia="Times New Roman" w:cs="Times New Roman" w:ascii="Times New Roman" w:hAnsi="Times New Roman"/>
          <w:color w:val="111111"/>
          <w:sz w:val="28"/>
          <w:szCs w:val="28"/>
          <w:lang w:val="en-US"/>
        </w:rPr>
        <w:t>ekspresi 12, 24, 38, 39, 44,</w:t>
      </w:r>
    </w:p>
    <w:p>
      <w:pPr>
        <w:pStyle w:val="BookText"/>
        <w:bidi w:val="0"/>
        <w:jc w:val="both"/>
        <w:rPr/>
      </w:pPr>
      <w:r>
        <w:rPr>
          <w:rFonts w:eastAsia="Times New Roman" w:cs="Times New Roman" w:ascii="Times New Roman" w:hAnsi="Times New Roman"/>
          <w:color w:val="111111"/>
          <w:sz w:val="28"/>
          <w:szCs w:val="28"/>
          <w:lang w:val="en-US"/>
        </w:rPr>
        <w:t>155, 174, 176</w:t>
      </w:r>
    </w:p>
    <w:p>
      <w:pPr>
        <w:pStyle w:val="BookText"/>
        <w:bidi w:val="0"/>
        <w:jc w:val="both"/>
        <w:rPr/>
      </w:pPr>
      <w:r>
        <w:rPr>
          <w:rFonts w:eastAsia="Times New Roman" w:cs="Times New Roman" w:ascii="Times New Roman" w:hAnsi="Times New Roman"/>
          <w:color w:val="111111"/>
          <w:sz w:val="28"/>
          <w:szCs w:val="28"/>
          <w:lang w:val="en-US"/>
        </w:rPr>
        <w:t>epistemologi 9, 10, 13, 15,</w:t>
      </w:r>
    </w:p>
    <w:p>
      <w:pPr>
        <w:pStyle w:val="BookText"/>
        <w:bidi w:val="0"/>
        <w:jc w:val="both"/>
        <w:rPr/>
      </w:pPr>
      <w:r>
        <w:rPr>
          <w:rFonts w:eastAsia="Times New Roman" w:cs="Times New Roman" w:ascii="Times New Roman" w:hAnsi="Times New Roman"/>
          <w:color w:val="111111"/>
          <w:sz w:val="28"/>
          <w:szCs w:val="28"/>
          <w:lang w:val="en-US"/>
        </w:rPr>
        <w:t>17, 18, 23, 31, 32, 39,</w:t>
      </w:r>
    </w:p>
    <w:p>
      <w:pPr>
        <w:pStyle w:val="BookText"/>
        <w:bidi w:val="0"/>
        <w:jc w:val="both"/>
        <w:rPr/>
      </w:pPr>
      <w:r>
        <w:rPr>
          <w:rFonts w:eastAsia="Times New Roman" w:cs="Times New Roman" w:ascii="Times New Roman" w:hAnsi="Times New Roman"/>
          <w:color w:val="111111"/>
          <w:sz w:val="28"/>
          <w:szCs w:val="28"/>
          <w:lang w:val="en-US"/>
        </w:rPr>
        <w:t>42, 48, 61, 68, 69, 78,</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109, 112, 119, 125, 127,</w:t>
      </w:r>
    </w:p>
    <w:p>
      <w:pPr>
        <w:pStyle w:val="BookText"/>
        <w:bidi w:val="0"/>
        <w:jc w:val="both"/>
        <w:rPr/>
      </w:pPr>
      <w:r>
        <w:rPr>
          <w:rFonts w:eastAsia="Times New Roman" w:cs="Times New Roman" w:ascii="Times New Roman" w:hAnsi="Times New Roman"/>
          <w:color w:val="111111"/>
          <w:sz w:val="28"/>
          <w:szCs w:val="28"/>
          <w:lang w:val="en-US"/>
        </w:rPr>
        <w:t>148, 160, 164, 173, 184,</w:t>
      </w:r>
    </w:p>
    <w:p>
      <w:pPr>
        <w:pStyle w:val="BookText"/>
        <w:bidi w:val="0"/>
        <w:jc w:val="both"/>
        <w:rPr/>
      </w:pPr>
      <w:r>
        <w:rPr>
          <w:rFonts w:eastAsia="Times New Roman" w:cs="Times New Roman" w:ascii="Times New Roman" w:hAnsi="Times New Roman"/>
          <w:color w:val="111111"/>
          <w:sz w:val="28"/>
          <w:szCs w:val="28"/>
          <w:lang w:val="en-US"/>
        </w:rPr>
        <w:t>197, 199, 205, 206, 207,</w:t>
      </w:r>
    </w:p>
    <w:p>
      <w:pPr>
        <w:pStyle w:val="BookText"/>
        <w:bidi w:val="0"/>
        <w:jc w:val="both"/>
        <w:rPr/>
      </w:pPr>
      <w:r>
        <w:rPr>
          <w:rFonts w:eastAsia="Times New Roman" w:cs="Times New Roman" w:ascii="Times New Roman" w:hAnsi="Times New Roman"/>
          <w:color w:val="111111"/>
          <w:sz w:val="28"/>
          <w:szCs w:val="28"/>
          <w:lang w:val="en-US"/>
        </w:rPr>
        <w:t>208, 211, 216, 221, 224,</w:t>
      </w:r>
    </w:p>
    <w:p>
      <w:pPr>
        <w:pStyle w:val="BookText"/>
        <w:bidi w:val="0"/>
        <w:jc w:val="both"/>
        <w:rPr/>
      </w:pPr>
      <w:r>
        <w:rPr>
          <w:rFonts w:eastAsia="Times New Roman" w:cs="Times New Roman" w:ascii="Times New Roman" w:hAnsi="Times New Roman"/>
          <w:color w:val="111111"/>
          <w:sz w:val="28"/>
          <w:szCs w:val="28"/>
          <w:lang w:val="en-US"/>
        </w:rPr>
        <w:t>225, 228, 245, 246, 296</w:t>
      </w:r>
    </w:p>
    <w:p>
      <w:pPr>
        <w:pStyle w:val="BookText"/>
        <w:bidi w:val="0"/>
        <w:jc w:val="both"/>
        <w:rPr/>
      </w:pPr>
      <w:r>
        <w:rPr>
          <w:rFonts w:eastAsia="Times New Roman" w:cs="Times New Roman" w:ascii="Times New Roman" w:hAnsi="Times New Roman"/>
          <w:color w:val="111111"/>
          <w:sz w:val="28"/>
          <w:szCs w:val="28"/>
          <w:lang w:val="en-US"/>
        </w:rPr>
        <w:t>esensi 13, 42, 54, 95, 96, 131,</w:t>
      </w:r>
    </w:p>
    <w:p>
      <w:pPr>
        <w:pStyle w:val="BookText"/>
        <w:bidi w:val="0"/>
        <w:jc w:val="both"/>
        <w:rPr/>
      </w:pPr>
      <w:r>
        <w:rPr>
          <w:rFonts w:eastAsia="Times New Roman" w:cs="Times New Roman" w:ascii="Times New Roman" w:hAnsi="Times New Roman"/>
          <w:color w:val="111111"/>
          <w:sz w:val="28"/>
          <w:szCs w:val="28"/>
          <w:lang w:val="en-US"/>
        </w:rPr>
        <w:t>138, 139, 143, 144, 149,</w:t>
      </w:r>
    </w:p>
    <w:p>
      <w:pPr>
        <w:pStyle w:val="BookText"/>
        <w:bidi w:val="0"/>
        <w:jc w:val="both"/>
        <w:rPr/>
      </w:pPr>
      <w:r>
        <w:rPr>
          <w:rFonts w:eastAsia="Times New Roman" w:cs="Times New Roman" w:ascii="Times New Roman" w:hAnsi="Times New Roman"/>
          <w:color w:val="111111"/>
          <w:sz w:val="28"/>
          <w:szCs w:val="28"/>
          <w:lang w:val="en-US"/>
        </w:rPr>
        <w:t>150, 151, 152, 153, 156,</w:t>
      </w:r>
    </w:p>
    <w:p>
      <w:pPr>
        <w:pStyle w:val="BookText"/>
        <w:bidi w:val="0"/>
        <w:jc w:val="both"/>
        <w:rPr/>
      </w:pPr>
      <w:r>
        <w:rPr>
          <w:rFonts w:eastAsia="Times New Roman" w:cs="Times New Roman" w:ascii="Times New Roman" w:hAnsi="Times New Roman"/>
          <w:color w:val="111111"/>
          <w:sz w:val="28"/>
          <w:szCs w:val="28"/>
          <w:lang w:val="en-US"/>
        </w:rPr>
        <w:t>159, 161, 165, 166, 167,</w:t>
      </w:r>
    </w:p>
    <w:p>
      <w:pPr>
        <w:pStyle w:val="BookText"/>
        <w:bidi w:val="0"/>
        <w:jc w:val="both"/>
        <w:rPr/>
      </w:pPr>
      <w:r>
        <w:rPr>
          <w:rFonts w:eastAsia="Times New Roman" w:cs="Times New Roman" w:ascii="Times New Roman" w:hAnsi="Times New Roman"/>
          <w:color w:val="111111"/>
          <w:sz w:val="28"/>
          <w:szCs w:val="28"/>
          <w:lang w:val="en-US"/>
        </w:rPr>
        <w:t>168, 176, 180, 187, 188,</w:t>
      </w:r>
    </w:p>
    <w:p>
      <w:pPr>
        <w:pStyle w:val="BookText"/>
        <w:bidi w:val="0"/>
        <w:jc w:val="both"/>
        <w:rPr/>
      </w:pPr>
      <w:r>
        <w:rPr>
          <w:rFonts w:eastAsia="Times New Roman" w:cs="Times New Roman" w:ascii="Times New Roman" w:hAnsi="Times New Roman"/>
          <w:color w:val="111111"/>
          <w:sz w:val="28"/>
          <w:szCs w:val="28"/>
          <w:lang w:val="en-US"/>
        </w:rPr>
        <w:t>197, 199, 201, 202, 204,</w:t>
      </w:r>
    </w:p>
    <w:p>
      <w:pPr>
        <w:pStyle w:val="BookText"/>
        <w:bidi w:val="0"/>
        <w:jc w:val="both"/>
        <w:rPr/>
      </w:pPr>
      <w:r>
        <w:rPr>
          <w:rFonts w:eastAsia="Times New Roman" w:cs="Times New Roman" w:ascii="Times New Roman" w:hAnsi="Times New Roman"/>
          <w:color w:val="111111"/>
          <w:sz w:val="28"/>
          <w:szCs w:val="28"/>
          <w:lang w:val="en-US"/>
        </w:rPr>
        <w:t>208, 210, 211, 212, 216,</w:t>
      </w:r>
    </w:p>
    <w:p>
      <w:pPr>
        <w:pStyle w:val="BookText"/>
        <w:bidi w:val="0"/>
        <w:jc w:val="both"/>
        <w:rPr/>
      </w:pPr>
      <w:r>
        <w:rPr>
          <w:rFonts w:eastAsia="Times New Roman" w:cs="Times New Roman" w:ascii="Times New Roman" w:hAnsi="Times New Roman"/>
          <w:color w:val="111111"/>
          <w:sz w:val="28"/>
          <w:szCs w:val="28"/>
          <w:lang w:val="en-US"/>
        </w:rPr>
        <w:t>filsafat 9, 10, 11, 12, 14, 15,</w:t>
      </w:r>
    </w:p>
    <w:p>
      <w:pPr>
        <w:pStyle w:val="BookText"/>
        <w:bidi w:val="0"/>
        <w:jc w:val="both"/>
        <w:rPr/>
      </w:pPr>
      <w:r>
        <w:rPr>
          <w:rFonts w:eastAsia="Times New Roman" w:cs="Times New Roman" w:ascii="Times New Roman" w:hAnsi="Times New Roman"/>
          <w:color w:val="111111"/>
          <w:sz w:val="28"/>
          <w:szCs w:val="28"/>
          <w:lang w:val="en-US"/>
        </w:rPr>
        <w:t>17, 18, 19, 20, 21, 22,</w:t>
      </w:r>
    </w:p>
    <w:p>
      <w:pPr>
        <w:pStyle w:val="BookText"/>
        <w:bidi w:val="0"/>
        <w:jc w:val="both"/>
        <w:rPr/>
      </w:pPr>
      <w:r>
        <w:rPr>
          <w:rFonts w:eastAsia="Times New Roman" w:cs="Times New Roman" w:ascii="Times New Roman" w:hAnsi="Times New Roman"/>
          <w:color w:val="111111"/>
          <w:sz w:val="28"/>
          <w:szCs w:val="28"/>
          <w:lang w:val="en-US"/>
        </w:rPr>
        <w:t>23, 24, 25, 26, 27, 29,</w:t>
      </w:r>
    </w:p>
    <w:p>
      <w:pPr>
        <w:pStyle w:val="BookText"/>
        <w:bidi w:val="0"/>
        <w:jc w:val="both"/>
        <w:rPr/>
      </w:pPr>
      <w:r>
        <w:rPr>
          <w:rFonts w:eastAsia="Times New Roman" w:cs="Times New Roman" w:ascii="Times New Roman" w:hAnsi="Times New Roman"/>
          <w:color w:val="111111"/>
          <w:sz w:val="28"/>
          <w:szCs w:val="28"/>
          <w:lang w:val="en-US"/>
        </w:rPr>
        <w:t>30, 31, 32, 33, 34, 35,</w:t>
      </w:r>
    </w:p>
    <w:p>
      <w:pPr>
        <w:pStyle w:val="BookText"/>
        <w:bidi w:val="0"/>
        <w:jc w:val="both"/>
        <w:rPr/>
      </w:pPr>
      <w:r>
        <w:rPr>
          <w:rFonts w:eastAsia="Times New Roman" w:cs="Times New Roman" w:ascii="Times New Roman" w:hAnsi="Times New Roman"/>
          <w:color w:val="111111"/>
          <w:sz w:val="28"/>
          <w:szCs w:val="28"/>
          <w:lang w:val="en-US"/>
        </w:rPr>
        <w:t>36, 37, 38, 39, 40, 41,</w:t>
      </w:r>
    </w:p>
    <w:p>
      <w:pPr>
        <w:pStyle w:val="BookText"/>
        <w:bidi w:val="0"/>
        <w:jc w:val="both"/>
        <w:rPr/>
      </w:pPr>
      <w:r>
        <w:rPr>
          <w:rFonts w:eastAsia="Times New Roman" w:cs="Times New Roman" w:ascii="Times New Roman" w:hAnsi="Times New Roman"/>
          <w:color w:val="111111"/>
          <w:sz w:val="28"/>
          <w:szCs w:val="28"/>
          <w:lang w:val="en-US"/>
        </w:rPr>
        <w:t>42, 43, 44, 45, 46, 47,</w:t>
      </w:r>
    </w:p>
    <w:p>
      <w:pPr>
        <w:pStyle w:val="BookText"/>
        <w:bidi w:val="0"/>
        <w:jc w:val="both"/>
        <w:rPr/>
      </w:pPr>
      <w:r>
        <w:rPr>
          <w:rFonts w:eastAsia="Times New Roman" w:cs="Times New Roman" w:ascii="Times New Roman" w:hAnsi="Times New Roman"/>
          <w:color w:val="111111"/>
          <w:sz w:val="28"/>
          <w:szCs w:val="28"/>
          <w:lang w:val="en-US"/>
        </w:rPr>
        <w:t>48, 51, 52, 53, 54, 55,</w:t>
      </w:r>
    </w:p>
    <w:p>
      <w:pPr>
        <w:pStyle w:val="BookText"/>
        <w:bidi w:val="0"/>
        <w:jc w:val="both"/>
        <w:rPr/>
      </w:pPr>
      <w:r>
        <w:rPr>
          <w:rFonts w:eastAsia="Times New Roman" w:cs="Times New Roman" w:ascii="Times New Roman" w:hAnsi="Times New Roman"/>
          <w:color w:val="111111"/>
          <w:sz w:val="28"/>
          <w:szCs w:val="28"/>
          <w:lang w:val="en-US"/>
        </w:rPr>
        <w:t>57, 58, 59, 60, 61, 62,</w:t>
      </w:r>
    </w:p>
    <w:p>
      <w:pPr>
        <w:pStyle w:val="BookText"/>
        <w:bidi w:val="0"/>
        <w:jc w:val="both"/>
        <w:rPr/>
      </w:pPr>
      <w:r>
        <w:rPr>
          <w:rFonts w:eastAsia="Times New Roman" w:cs="Times New Roman" w:ascii="Times New Roman" w:hAnsi="Times New Roman"/>
          <w:color w:val="111111"/>
          <w:sz w:val="28"/>
          <w:szCs w:val="28"/>
          <w:lang w:val="en-US"/>
        </w:rPr>
        <w:t>64, 65, 67, 68, 69, 70,</w:t>
      </w:r>
    </w:p>
    <w:p>
      <w:pPr>
        <w:pStyle w:val="BookText"/>
        <w:bidi w:val="0"/>
        <w:jc w:val="both"/>
        <w:rPr/>
      </w:pPr>
      <w:r>
        <w:rPr>
          <w:rFonts w:eastAsia="Times New Roman" w:cs="Times New Roman" w:ascii="Times New Roman" w:hAnsi="Times New Roman"/>
          <w:color w:val="111111"/>
          <w:sz w:val="28"/>
          <w:szCs w:val="28"/>
          <w:lang w:val="en-US"/>
        </w:rPr>
        <w:t>72, 73, 74, 75, 76, 78,</w:t>
      </w:r>
    </w:p>
    <w:p>
      <w:pPr>
        <w:pStyle w:val="BookText"/>
        <w:bidi w:val="0"/>
        <w:jc w:val="both"/>
        <w:rPr/>
      </w:pPr>
      <w:r>
        <w:rPr>
          <w:rFonts w:eastAsia="Times New Roman" w:cs="Times New Roman" w:ascii="Times New Roman" w:hAnsi="Times New Roman"/>
          <w:color w:val="111111"/>
          <w:sz w:val="28"/>
          <w:szCs w:val="28"/>
          <w:lang w:val="en-US"/>
        </w:rPr>
        <w:t>84, 88, 89, 90, 93, 103,</w:t>
      </w:r>
    </w:p>
    <w:p>
      <w:pPr>
        <w:pStyle w:val="BookText"/>
        <w:bidi w:val="0"/>
        <w:jc w:val="both"/>
        <w:rPr/>
      </w:pPr>
      <w:r>
        <w:rPr>
          <w:rFonts w:eastAsia="Times New Roman" w:cs="Times New Roman" w:ascii="Times New Roman" w:hAnsi="Times New Roman"/>
          <w:color w:val="111111"/>
          <w:sz w:val="28"/>
          <w:szCs w:val="28"/>
          <w:lang w:val="en-US"/>
        </w:rPr>
        <w:t>104, 105, 106, 108, 109,</w:t>
      </w:r>
    </w:p>
    <w:p>
      <w:pPr>
        <w:pStyle w:val="BookText"/>
        <w:bidi w:val="0"/>
        <w:jc w:val="both"/>
        <w:rPr/>
      </w:pPr>
      <w:r>
        <w:rPr>
          <w:rFonts w:eastAsia="Times New Roman" w:cs="Times New Roman" w:ascii="Times New Roman" w:hAnsi="Times New Roman"/>
          <w:color w:val="111111"/>
          <w:sz w:val="28"/>
          <w:szCs w:val="28"/>
          <w:lang w:val="en-US"/>
        </w:rPr>
        <w:t>112, 115, 117, 119, 120,</w:t>
      </w:r>
    </w:p>
    <w:p>
      <w:pPr>
        <w:pStyle w:val="BookText"/>
        <w:bidi w:val="0"/>
        <w:jc w:val="both"/>
        <w:rPr/>
      </w:pPr>
      <w:r>
        <w:rPr>
          <w:rFonts w:eastAsia="Times New Roman" w:cs="Times New Roman" w:ascii="Times New Roman" w:hAnsi="Times New Roman"/>
          <w:color w:val="111111"/>
          <w:sz w:val="28"/>
          <w:szCs w:val="28"/>
          <w:lang w:val="en-US"/>
        </w:rPr>
        <w:t>122, 123, 124, 125, 126,</w:t>
      </w:r>
    </w:p>
    <w:p>
      <w:pPr>
        <w:pStyle w:val="BookText"/>
        <w:bidi w:val="0"/>
        <w:jc w:val="both"/>
        <w:rPr/>
      </w:pPr>
      <w:r>
        <w:rPr>
          <w:rFonts w:eastAsia="Times New Roman" w:cs="Times New Roman" w:ascii="Times New Roman" w:hAnsi="Times New Roman"/>
          <w:color w:val="111111"/>
          <w:sz w:val="28"/>
          <w:szCs w:val="28"/>
          <w:lang w:val="en-US"/>
        </w:rPr>
        <w:t>127, 128, 129, 130, 131,</w:t>
      </w:r>
    </w:p>
    <w:p>
      <w:pPr>
        <w:pStyle w:val="BookText"/>
        <w:bidi w:val="0"/>
        <w:jc w:val="both"/>
        <w:rPr/>
      </w:pPr>
      <w:r>
        <w:rPr>
          <w:rFonts w:eastAsia="Times New Roman" w:cs="Times New Roman" w:ascii="Times New Roman" w:hAnsi="Times New Roman"/>
          <w:color w:val="111111"/>
          <w:sz w:val="28"/>
          <w:szCs w:val="28"/>
          <w:lang w:val="en-US"/>
        </w:rPr>
        <w:t>132, 137, 138, 139, 140,</w:t>
      </w:r>
    </w:p>
    <w:p>
      <w:pPr>
        <w:pStyle w:val="BookText"/>
        <w:bidi w:val="0"/>
        <w:jc w:val="both"/>
        <w:rPr/>
      </w:pPr>
      <w:r>
        <w:rPr>
          <w:rFonts w:eastAsia="Times New Roman" w:cs="Times New Roman" w:ascii="Times New Roman" w:hAnsi="Times New Roman"/>
          <w:color w:val="111111"/>
          <w:sz w:val="28"/>
          <w:szCs w:val="28"/>
          <w:lang w:val="en-US"/>
        </w:rPr>
        <w:t>143, 146, 147, 149, 150,</w:t>
      </w:r>
    </w:p>
    <w:p>
      <w:pPr>
        <w:pStyle w:val="BookText"/>
        <w:bidi w:val="0"/>
        <w:jc w:val="both"/>
        <w:rPr/>
      </w:pPr>
      <w:r>
        <w:rPr>
          <w:rFonts w:eastAsia="Times New Roman" w:cs="Times New Roman" w:ascii="Times New Roman" w:hAnsi="Times New Roman"/>
          <w:color w:val="111111"/>
          <w:sz w:val="28"/>
          <w:szCs w:val="28"/>
          <w:lang w:val="en-US"/>
        </w:rPr>
        <w:t>154, 155, 157, 160, 162,</w:t>
      </w:r>
    </w:p>
    <w:p>
      <w:pPr>
        <w:pStyle w:val="BookText"/>
        <w:bidi w:val="0"/>
        <w:jc w:val="both"/>
        <w:rPr/>
      </w:pPr>
      <w:r>
        <w:rPr>
          <w:rFonts w:eastAsia="Times New Roman" w:cs="Times New Roman" w:ascii="Times New Roman" w:hAnsi="Times New Roman"/>
          <w:color w:val="111111"/>
          <w:sz w:val="28"/>
          <w:szCs w:val="28"/>
          <w:lang w:val="en-US"/>
        </w:rPr>
        <w:t>163, 164, 166, 172, 173,</w:t>
      </w:r>
    </w:p>
    <w:p>
      <w:pPr>
        <w:pStyle w:val="BookText"/>
        <w:bidi w:val="0"/>
        <w:jc w:val="both"/>
        <w:rPr/>
      </w:pPr>
      <w:r>
        <w:rPr>
          <w:rFonts w:eastAsia="Times New Roman" w:cs="Times New Roman" w:ascii="Times New Roman" w:hAnsi="Times New Roman"/>
          <w:color w:val="111111"/>
          <w:sz w:val="28"/>
          <w:szCs w:val="28"/>
          <w:lang w:val="en-US"/>
        </w:rPr>
        <w:t>174, 175, 176, 178, 183,</w:t>
      </w:r>
    </w:p>
    <w:p>
      <w:pPr>
        <w:pStyle w:val="BookText"/>
        <w:bidi w:val="0"/>
        <w:jc w:val="both"/>
        <w:rPr/>
      </w:pPr>
      <w:r>
        <w:rPr>
          <w:rFonts w:eastAsia="Times New Roman" w:cs="Times New Roman" w:ascii="Times New Roman" w:hAnsi="Times New Roman"/>
          <w:color w:val="111111"/>
          <w:sz w:val="28"/>
          <w:szCs w:val="28"/>
          <w:lang w:val="en-US"/>
        </w:rPr>
        <w:t>187, 192, 194, 197, 198,</w:t>
      </w:r>
    </w:p>
    <w:p>
      <w:pPr>
        <w:pStyle w:val="BookText"/>
        <w:bidi w:val="0"/>
        <w:jc w:val="both"/>
        <w:rPr/>
      </w:pPr>
      <w:r>
        <w:rPr>
          <w:rFonts w:eastAsia="Times New Roman" w:cs="Times New Roman" w:ascii="Times New Roman" w:hAnsi="Times New Roman"/>
          <w:color w:val="111111"/>
          <w:sz w:val="28"/>
          <w:szCs w:val="28"/>
          <w:lang w:val="en-US"/>
        </w:rPr>
        <w:t>205, 208, 217, 228, 234,</w:t>
      </w:r>
    </w:p>
    <w:p>
      <w:pPr>
        <w:pStyle w:val="BookText"/>
        <w:bidi w:val="0"/>
        <w:jc w:val="both"/>
        <w:rPr/>
      </w:pPr>
      <w:r>
        <w:rPr>
          <w:rFonts w:eastAsia="Times New Roman" w:cs="Times New Roman" w:ascii="Times New Roman" w:hAnsi="Times New Roman"/>
          <w:color w:val="111111"/>
          <w:sz w:val="28"/>
          <w:szCs w:val="28"/>
          <w:lang w:val="en-US"/>
        </w:rPr>
        <w:t>243, 247, 261, 263, 264,</w:t>
      </w:r>
    </w:p>
    <w:p>
      <w:pPr>
        <w:pStyle w:val="BookText"/>
        <w:bidi w:val="0"/>
        <w:jc w:val="both"/>
        <w:rPr/>
      </w:pPr>
      <w:r>
        <w:rPr>
          <w:rFonts w:eastAsia="Times New Roman" w:cs="Times New Roman" w:ascii="Times New Roman" w:hAnsi="Times New Roman"/>
          <w:color w:val="111111"/>
          <w:sz w:val="28"/>
          <w:szCs w:val="28"/>
          <w:lang w:val="en-US"/>
        </w:rPr>
        <w:t>265, 266, 267, 270, 275,</w:t>
      </w:r>
    </w:p>
    <w:p>
      <w:pPr>
        <w:pStyle w:val="BookText"/>
        <w:bidi w:val="0"/>
        <w:jc w:val="both"/>
        <w:rPr/>
      </w:pPr>
      <w:r>
        <w:rPr>
          <w:rFonts w:eastAsia="Times New Roman" w:cs="Times New Roman" w:ascii="Times New Roman" w:hAnsi="Times New Roman"/>
          <w:color w:val="111111"/>
          <w:sz w:val="28"/>
          <w:szCs w:val="28"/>
          <w:lang w:val="en-US"/>
        </w:rPr>
        <w:t>285, 295</w:t>
      </w:r>
    </w:p>
    <w:p>
      <w:pPr>
        <w:pStyle w:val="BookText"/>
        <w:bidi w:val="0"/>
        <w:jc w:val="both"/>
        <w:rPr/>
      </w:pPr>
      <w:r>
        <w:rPr>
          <w:rFonts w:eastAsia="Times New Roman" w:cs="Times New Roman" w:ascii="Times New Roman" w:hAnsi="Times New Roman"/>
          <w:color w:val="111111"/>
          <w:sz w:val="28"/>
          <w:szCs w:val="28"/>
          <w:lang w:val="en-US"/>
        </w:rPr>
        <w:t>filsafat diskursif 24, 25, 31,</w:t>
      </w:r>
    </w:p>
    <w:p>
      <w:pPr>
        <w:pStyle w:val="BookText"/>
        <w:bidi w:val="0"/>
        <w:jc w:val="both"/>
        <w:rPr/>
      </w:pPr>
      <w:r>
        <w:rPr>
          <w:rFonts w:eastAsia="Times New Roman" w:cs="Times New Roman" w:ascii="Times New Roman" w:hAnsi="Times New Roman"/>
          <w:color w:val="111111"/>
          <w:sz w:val="28"/>
          <w:szCs w:val="28"/>
          <w:lang w:val="en-US"/>
        </w:rPr>
        <w:t>32, 33, 34, 36, 42, 43,</w:t>
      </w:r>
    </w:p>
    <w:p>
      <w:pPr>
        <w:pStyle w:val="BookText"/>
        <w:bidi w:val="0"/>
        <w:jc w:val="both"/>
        <w:rPr/>
      </w:pPr>
      <w:r>
        <w:rPr>
          <w:rFonts w:eastAsia="Times New Roman" w:cs="Times New Roman" w:ascii="Times New Roman" w:hAnsi="Times New Roman"/>
          <w:color w:val="111111"/>
          <w:sz w:val="28"/>
          <w:szCs w:val="28"/>
          <w:lang w:val="en-US"/>
        </w:rPr>
        <w:t>52, 53, 59, 65, 197, 198,</w:t>
      </w:r>
    </w:p>
    <w:p>
      <w:pPr>
        <w:pStyle w:val="BookText"/>
        <w:bidi w:val="0"/>
        <w:jc w:val="both"/>
        <w:rPr/>
      </w:pPr>
      <w:r>
        <w:rPr>
          <w:rFonts w:eastAsia="Times New Roman" w:cs="Times New Roman" w:ascii="Times New Roman" w:hAnsi="Times New Roman"/>
          <w:color w:val="111111"/>
          <w:sz w:val="28"/>
          <w:szCs w:val="28"/>
          <w:lang w:val="en-US"/>
        </w:rPr>
        <w:t>264, 265, 266</w:t>
      </w:r>
    </w:p>
    <w:p>
      <w:pPr>
        <w:pStyle w:val="BookText"/>
        <w:bidi w:val="0"/>
        <w:jc w:val="both"/>
        <w:rPr/>
      </w:pPr>
      <w:r>
        <w:rPr>
          <w:rFonts w:eastAsia="Times New Roman" w:cs="Times New Roman" w:ascii="Times New Roman" w:hAnsi="Times New Roman"/>
          <w:color w:val="111111"/>
          <w:sz w:val="28"/>
          <w:szCs w:val="28"/>
          <w:lang w:val="en-US"/>
        </w:rPr>
        <w:t>filsafat intuitif 24, 25, 33, 43,</w:t>
      </w:r>
    </w:p>
    <w:p>
      <w:pPr>
        <w:pStyle w:val="BookText"/>
        <w:bidi w:val="0"/>
        <w:jc w:val="both"/>
        <w:rPr/>
      </w:pPr>
      <w:r>
        <w:rPr>
          <w:rFonts w:eastAsia="Times New Roman" w:cs="Times New Roman" w:ascii="Times New Roman" w:hAnsi="Times New Roman"/>
          <w:color w:val="111111"/>
          <w:sz w:val="28"/>
          <w:szCs w:val="28"/>
          <w:lang w:val="en-US"/>
        </w:rPr>
        <w:t>52, 53, 59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formal 71, 72, 74, 75, 77, 78, </w:t>
      </w:r>
    </w:p>
    <w:p>
      <w:pPr>
        <w:pStyle w:val="BookText"/>
        <w:bidi w:val="0"/>
        <w:rPr/>
      </w:pPr>
      <w:r>
        <w:rPr>
          <w:rFonts w:eastAsia="Times New Roman" w:cs="Times New Roman" w:ascii="Times New Roman" w:hAnsi="Times New Roman"/>
          <w:color w:val="111111"/>
          <w:sz w:val="28"/>
          <w:szCs w:val="28"/>
          <w:lang w:val="en-US"/>
        </w:rPr>
        <w:t>82, 84, 94, 97, 99, 101,</w:t>
      </w:r>
    </w:p>
    <w:p>
      <w:pPr>
        <w:pStyle w:val="BookText"/>
        <w:bidi w:val="0"/>
        <w:jc w:val="both"/>
        <w:rPr/>
      </w:pPr>
      <w:r>
        <w:rPr>
          <w:rFonts w:eastAsia="Times New Roman" w:cs="Times New Roman" w:ascii="Times New Roman" w:hAnsi="Times New Roman"/>
          <w:color w:val="111111"/>
          <w:sz w:val="28"/>
          <w:szCs w:val="28"/>
          <w:lang w:val="en-US"/>
        </w:rPr>
        <w:t>104, 105, 108, 112, 115,</w:t>
      </w:r>
    </w:p>
    <w:p>
      <w:pPr>
        <w:pStyle w:val="BookText"/>
        <w:bidi w:val="0"/>
        <w:jc w:val="both"/>
        <w:rPr/>
      </w:pPr>
      <w:r>
        <w:rPr>
          <w:rFonts w:eastAsia="Times New Roman" w:cs="Times New Roman" w:ascii="Times New Roman" w:hAnsi="Times New Roman"/>
          <w:color w:val="111111"/>
          <w:sz w:val="28"/>
          <w:szCs w:val="28"/>
          <w:lang w:val="en-US"/>
        </w:rPr>
        <w:t>121, 124, 125, 126, 130,</w:t>
      </w:r>
    </w:p>
    <w:p>
      <w:pPr>
        <w:pStyle w:val="BookText"/>
        <w:bidi w:val="0"/>
        <w:jc w:val="both"/>
        <w:rPr/>
      </w:pPr>
      <w:r>
        <w:rPr>
          <w:rFonts w:eastAsia="Times New Roman" w:cs="Times New Roman" w:ascii="Times New Roman" w:hAnsi="Times New Roman"/>
          <w:color w:val="111111"/>
          <w:sz w:val="28"/>
          <w:szCs w:val="28"/>
          <w:lang w:val="en-US"/>
        </w:rPr>
        <w:t>131, 132, 133, 134, 137,</w:t>
      </w:r>
    </w:p>
    <w:p>
      <w:pPr>
        <w:pStyle w:val="BookText"/>
        <w:bidi w:val="0"/>
        <w:jc w:val="both"/>
        <w:rPr/>
      </w:pPr>
      <w:r>
        <w:rPr>
          <w:rFonts w:eastAsia="Times New Roman" w:cs="Times New Roman" w:ascii="Times New Roman" w:hAnsi="Times New Roman"/>
          <w:color w:val="111111"/>
          <w:sz w:val="28"/>
          <w:szCs w:val="28"/>
          <w:lang w:val="en-US"/>
        </w:rPr>
        <w:t>142, 143, 148, 153, 166,</w:t>
      </w:r>
    </w:p>
    <w:p>
      <w:pPr>
        <w:pStyle w:val="BookText"/>
        <w:bidi w:val="0"/>
        <w:jc w:val="both"/>
        <w:rPr/>
      </w:pPr>
      <w:r>
        <w:rPr>
          <w:rFonts w:eastAsia="Times New Roman" w:cs="Times New Roman" w:ascii="Times New Roman" w:hAnsi="Times New Roman"/>
          <w:color w:val="111111"/>
          <w:sz w:val="28"/>
          <w:szCs w:val="28"/>
          <w:lang w:val="en-US"/>
        </w:rPr>
        <w:t>172, 173, 174, 175, 176,</w:t>
      </w:r>
    </w:p>
    <w:p>
      <w:pPr>
        <w:pStyle w:val="BookText"/>
        <w:bidi w:val="0"/>
        <w:jc w:val="both"/>
        <w:rPr/>
      </w:pPr>
      <w:r>
        <w:rPr>
          <w:rFonts w:eastAsia="Times New Roman" w:cs="Times New Roman" w:ascii="Times New Roman" w:hAnsi="Times New Roman"/>
          <w:color w:val="111111"/>
          <w:sz w:val="28"/>
          <w:szCs w:val="28"/>
          <w:lang w:val="en-US"/>
        </w:rPr>
        <w:t>182, 183, 193, 197, 199,</w:t>
      </w:r>
    </w:p>
    <w:p>
      <w:pPr>
        <w:pStyle w:val="BookText"/>
        <w:bidi w:val="0"/>
        <w:jc w:val="both"/>
        <w:rPr/>
      </w:pPr>
      <w:r>
        <w:rPr>
          <w:rFonts w:eastAsia="Times New Roman" w:cs="Times New Roman" w:ascii="Times New Roman" w:hAnsi="Times New Roman"/>
          <w:color w:val="111111"/>
          <w:sz w:val="28"/>
          <w:szCs w:val="28"/>
          <w:lang w:val="en-US"/>
        </w:rPr>
        <w:t>206, 207, 211, 212, 236,</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formasi 50</w:t>
      </w:r>
    </w:p>
    <w:p>
      <w:pPr>
        <w:pStyle w:val="BookText"/>
        <w:bidi w:val="0"/>
        <w:jc w:val="both"/>
        <w:rPr/>
      </w:pPr>
      <w:r>
        <w:rPr>
          <w:rFonts w:eastAsia="Times New Roman" w:cs="Times New Roman" w:ascii="Times New Roman" w:hAnsi="Times New Roman"/>
          <w:color w:val="111111"/>
          <w:sz w:val="28"/>
          <w:szCs w:val="28"/>
          <w:lang w:val="en-US"/>
        </w:rPr>
        <w:t>formulasi 9, 24, 42, 142, 158,</w:t>
      </w:r>
    </w:p>
    <w:p>
      <w:pPr>
        <w:pStyle w:val="BookText"/>
        <w:bidi w:val="0"/>
        <w:jc w:val="both"/>
        <w:rPr/>
      </w:pPr>
      <w:r>
        <w:rPr>
          <w:rFonts w:eastAsia="Times New Roman" w:cs="Times New Roman" w:ascii="Times New Roman" w:hAnsi="Times New Roman"/>
          <w:color w:val="111111"/>
          <w:sz w:val="28"/>
          <w:szCs w:val="28"/>
          <w:lang w:val="en-US"/>
        </w:rPr>
        <w:t>160, 172</w:t>
      </w:r>
    </w:p>
    <w:p>
      <w:pPr>
        <w:pStyle w:val="BookText"/>
        <w:bidi w:val="0"/>
        <w:jc w:val="both"/>
        <w:rPr/>
      </w:pPr>
      <w:r>
        <w:rPr>
          <w:rFonts w:eastAsia="Times New Roman" w:cs="Times New Roman" w:ascii="Times New Roman" w:hAnsi="Times New Roman"/>
          <w:color w:val="111111"/>
          <w:sz w:val="28"/>
          <w:szCs w:val="28"/>
          <w:lang w:val="en-US"/>
        </w:rPr>
        <w:t>201, 202, 204, 237, 238,</w:t>
      </w:r>
    </w:p>
    <w:p>
      <w:pPr>
        <w:pStyle w:val="BookText"/>
        <w:bidi w:val="0"/>
        <w:jc w:val="both"/>
        <w:rPr/>
      </w:pPr>
      <w:r>
        <w:rPr>
          <w:rFonts w:eastAsia="Times New Roman" w:cs="Times New Roman" w:ascii="Times New Roman" w:hAnsi="Times New Roman"/>
          <w:color w:val="111111"/>
          <w:sz w:val="28"/>
          <w:szCs w:val="28"/>
          <w:lang w:val="en-US"/>
        </w:rPr>
        <w:t>270, 275, 276</w:t>
      </w:r>
    </w:p>
    <w:p>
      <w:pPr>
        <w:pStyle w:val="BookText"/>
        <w:bidi w:val="0"/>
        <w:jc w:val="both"/>
        <w:rPr/>
      </w:pPr>
      <w:r>
        <w:rPr>
          <w:rFonts w:eastAsia="Times New Roman" w:cs="Times New Roman" w:ascii="Times New Roman" w:hAnsi="Times New Roman"/>
          <w:color w:val="111111"/>
          <w:sz w:val="28"/>
          <w:szCs w:val="28"/>
          <w:lang w:val="en-US"/>
        </w:rPr>
        <w:t>Hikmah Al-Isyrāq xii, 12, 14,</w:t>
      </w:r>
    </w:p>
    <w:p>
      <w:pPr>
        <w:pStyle w:val="BookText"/>
        <w:bidi w:val="0"/>
        <w:jc w:val="both"/>
        <w:rPr/>
      </w:pPr>
      <w:r>
        <w:rPr>
          <w:rFonts w:eastAsia="Times New Roman" w:cs="Times New Roman" w:ascii="Times New Roman" w:hAnsi="Times New Roman"/>
          <w:color w:val="111111"/>
          <w:sz w:val="28"/>
          <w:szCs w:val="28"/>
          <w:lang w:val="en-US"/>
        </w:rPr>
        <w:t>15, 19, 20, 22, 25, 28,</w:t>
      </w:r>
    </w:p>
    <w:p>
      <w:pPr>
        <w:pStyle w:val="BookText"/>
        <w:bidi w:val="0"/>
        <w:jc w:val="both"/>
        <w:rPr/>
      </w:pPr>
      <w:r>
        <w:rPr>
          <w:rFonts w:eastAsia="Times New Roman" w:cs="Times New Roman" w:ascii="Times New Roman" w:hAnsi="Times New Roman"/>
          <w:color w:val="111111"/>
          <w:sz w:val="28"/>
          <w:szCs w:val="28"/>
          <w:lang w:val="en-US"/>
        </w:rPr>
        <w:t>30, 32, 33, 34, 35, 36,</w:t>
      </w:r>
    </w:p>
    <w:p>
      <w:pPr>
        <w:pStyle w:val="BookText"/>
        <w:bidi w:val="0"/>
        <w:jc w:val="both"/>
        <w:rPr/>
      </w:pPr>
      <w:r>
        <w:rPr>
          <w:rFonts w:eastAsia="Times New Roman" w:cs="Times New Roman" w:ascii="Times New Roman" w:hAnsi="Times New Roman"/>
          <w:color w:val="111111"/>
          <w:sz w:val="28"/>
          <w:szCs w:val="28"/>
          <w:lang w:val="en-US"/>
        </w:rPr>
        <w:t>37, 38, 41, 42, 43, 44,</w:t>
      </w:r>
    </w:p>
    <w:p>
      <w:pPr>
        <w:pStyle w:val="BookText"/>
        <w:bidi w:val="0"/>
        <w:jc w:val="both"/>
        <w:rPr/>
      </w:pPr>
      <w:r>
        <w:rPr>
          <w:rFonts w:eastAsia="Times New Roman" w:cs="Times New Roman" w:ascii="Times New Roman" w:hAnsi="Times New Roman"/>
          <w:color w:val="111111"/>
          <w:sz w:val="28"/>
          <w:szCs w:val="28"/>
          <w:lang w:val="en-US"/>
        </w:rPr>
        <w:t>45, 46, 47, 48, 49, 51,</w:t>
      </w:r>
    </w:p>
    <w:p>
      <w:pPr>
        <w:pStyle w:val="BookText"/>
        <w:bidi w:val="0"/>
        <w:jc w:val="both"/>
        <w:rPr/>
      </w:pPr>
      <w:r>
        <w:rPr>
          <w:rFonts w:eastAsia="Times New Roman" w:cs="Times New Roman" w:ascii="Times New Roman" w:hAnsi="Times New Roman"/>
          <w:color w:val="111111"/>
          <w:sz w:val="28"/>
          <w:szCs w:val="28"/>
          <w:lang w:val="en-US"/>
        </w:rPr>
        <w:t>52, 53, 54, 55, 57, 59,</w:t>
      </w:r>
    </w:p>
    <w:p>
      <w:pPr>
        <w:pStyle w:val="BookText"/>
        <w:bidi w:val="0"/>
        <w:jc w:val="both"/>
        <w:rPr/>
      </w:pPr>
      <w:r>
        <w:rPr>
          <w:rFonts w:eastAsia="Times New Roman" w:cs="Times New Roman" w:ascii="Times New Roman" w:hAnsi="Times New Roman"/>
          <w:color w:val="111111"/>
          <w:sz w:val="28"/>
          <w:szCs w:val="28"/>
          <w:lang w:val="en-US"/>
        </w:rPr>
        <w:t>62, 63, 67, 75, 76, 77,</w:t>
      </w:r>
    </w:p>
    <w:p>
      <w:pPr>
        <w:pStyle w:val="BookText"/>
        <w:bidi w:val="0"/>
        <w:jc w:val="both"/>
        <w:rPr/>
      </w:pPr>
      <w:r>
        <w:rPr>
          <w:rFonts w:eastAsia="Times New Roman" w:cs="Times New Roman" w:ascii="Times New Roman" w:hAnsi="Times New Roman"/>
          <w:color w:val="111111"/>
          <w:sz w:val="28"/>
          <w:szCs w:val="28"/>
          <w:lang w:val="en-US"/>
        </w:rPr>
        <w:t>80, 87, 88, 89, 90, 91,</w:t>
      </w:r>
    </w:p>
    <w:p>
      <w:pPr>
        <w:pStyle w:val="BookText"/>
        <w:bidi w:val="0"/>
        <w:jc w:val="both"/>
        <w:rPr/>
      </w:pPr>
      <w:r>
        <w:rPr>
          <w:rFonts w:eastAsia="Times New Roman" w:cs="Times New Roman" w:ascii="Times New Roman" w:hAnsi="Times New Roman"/>
          <w:color w:val="111111"/>
          <w:sz w:val="28"/>
          <w:szCs w:val="28"/>
          <w:lang w:val="en-US"/>
        </w:rPr>
        <w:t>93, 97, 100, 103, 104,</w:t>
      </w:r>
    </w:p>
    <w:p>
      <w:pPr>
        <w:pStyle w:val="BookText"/>
        <w:bidi w:val="0"/>
        <w:jc w:val="both"/>
        <w:rPr/>
      </w:pPr>
      <w:r>
        <w:rPr>
          <w:rFonts w:eastAsia="Times New Roman" w:cs="Times New Roman" w:ascii="Times New Roman" w:hAnsi="Times New Roman"/>
          <w:color w:val="111111"/>
          <w:sz w:val="28"/>
          <w:szCs w:val="28"/>
          <w:lang w:val="en-US"/>
        </w:rPr>
        <w:t>105, 107, 108, 111, 115,</w:t>
      </w:r>
    </w:p>
    <w:p>
      <w:pPr>
        <w:pStyle w:val="BookText"/>
        <w:bidi w:val="0"/>
        <w:jc w:val="both"/>
        <w:rPr/>
      </w:pPr>
      <w:r>
        <w:rPr>
          <w:rFonts w:eastAsia="Times New Roman" w:cs="Times New Roman" w:ascii="Times New Roman" w:hAnsi="Times New Roman"/>
          <w:color w:val="111111"/>
          <w:sz w:val="28"/>
          <w:szCs w:val="28"/>
          <w:lang w:val="en-US"/>
        </w:rPr>
        <w:t>119, 123, 142, 146, 153,</w:t>
      </w:r>
    </w:p>
    <w:p>
      <w:pPr>
        <w:pStyle w:val="BookText"/>
        <w:bidi w:val="0"/>
        <w:jc w:val="both"/>
        <w:rPr/>
      </w:pPr>
      <w:r>
        <w:rPr>
          <w:rFonts w:eastAsia="Times New Roman" w:cs="Times New Roman" w:ascii="Times New Roman" w:hAnsi="Times New Roman"/>
          <w:color w:val="111111"/>
          <w:sz w:val="28"/>
          <w:szCs w:val="28"/>
          <w:lang w:val="en-US"/>
        </w:rPr>
        <w:t>157, 158, 162, 172, 191,</w:t>
      </w:r>
    </w:p>
    <w:p>
      <w:pPr>
        <w:pStyle w:val="BookText"/>
        <w:bidi w:val="0"/>
        <w:jc w:val="both"/>
        <w:rPr/>
      </w:pPr>
      <w:r>
        <w:rPr>
          <w:rFonts w:eastAsia="Times New Roman" w:cs="Times New Roman" w:ascii="Times New Roman" w:hAnsi="Times New Roman"/>
          <w:color w:val="111111"/>
          <w:sz w:val="28"/>
          <w:szCs w:val="28"/>
          <w:lang w:val="en-US"/>
        </w:rPr>
        <w:t>192, 199, 208, 209, 214,</w:t>
      </w:r>
    </w:p>
    <w:p>
      <w:pPr>
        <w:pStyle w:val="BookText"/>
        <w:bidi w:val="0"/>
        <w:jc w:val="both"/>
        <w:rPr/>
      </w:pPr>
      <w:r>
        <w:rPr>
          <w:rFonts w:eastAsia="Times New Roman" w:cs="Times New Roman" w:ascii="Times New Roman" w:hAnsi="Times New Roman"/>
          <w:color w:val="111111"/>
          <w:sz w:val="28"/>
          <w:szCs w:val="28"/>
          <w:lang w:val="en-US"/>
        </w:rPr>
        <w:t>218, 220, 230, 234, 239,</w:t>
      </w:r>
    </w:p>
    <w:p>
      <w:pPr>
        <w:pStyle w:val="BookText"/>
        <w:bidi w:val="0"/>
        <w:jc w:val="both"/>
        <w:rPr/>
      </w:pPr>
      <w:r>
        <w:rPr>
          <w:rFonts w:eastAsia="Times New Roman" w:cs="Times New Roman" w:ascii="Times New Roman" w:hAnsi="Times New Roman"/>
          <w:color w:val="111111"/>
          <w:sz w:val="28"/>
          <w:szCs w:val="28"/>
          <w:lang w:val="en-US"/>
        </w:rPr>
        <w:t>240, 247, 256, 261, 262,</w:t>
      </w:r>
    </w:p>
    <w:p>
      <w:pPr>
        <w:pStyle w:val="BookText"/>
        <w:bidi w:val="0"/>
        <w:jc w:val="both"/>
        <w:rPr/>
      </w:pPr>
      <w:r>
        <w:rPr>
          <w:rFonts w:eastAsia="Times New Roman" w:cs="Times New Roman" w:ascii="Times New Roman" w:hAnsi="Times New Roman"/>
          <w:color w:val="111111"/>
          <w:sz w:val="28"/>
          <w:szCs w:val="28"/>
          <w:lang w:val="en-US"/>
        </w:rPr>
        <w:t>267, 269, 285</w:t>
      </w:r>
    </w:p>
    <w:p>
      <w:pPr>
        <w:pStyle w:val="BookText"/>
        <w:bidi w:val="0"/>
        <w:jc w:val="both"/>
        <w:rPr/>
      </w:pPr>
      <w:r>
        <w:rPr>
          <w:rFonts w:eastAsia="Times New Roman" w:cs="Times New Roman" w:ascii="Times New Roman" w:hAnsi="Times New Roman"/>
          <w:color w:val="111111"/>
          <w:sz w:val="28"/>
          <w:szCs w:val="28"/>
          <w:lang w:val="en-US"/>
        </w:rPr>
        <w:t>gaya 35, 54, 57, 82, 88, 167,</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gelap 241, 263</w:t>
      </w:r>
    </w:p>
    <w:p>
      <w:pPr>
        <w:pStyle w:val="BookText"/>
        <w:bidi w:val="0"/>
        <w:jc w:val="both"/>
        <w:rPr/>
      </w:pPr>
      <w:r>
        <w:rPr>
          <w:rFonts w:eastAsia="Times New Roman" w:cs="Times New Roman" w:ascii="Times New Roman" w:hAnsi="Times New Roman"/>
          <w:color w:val="111111"/>
          <w:sz w:val="28"/>
          <w:szCs w:val="28"/>
          <w:lang w:val="en-US"/>
        </w:rPr>
        <w:t>genus 95, 120, 123, 125, 138,</w:t>
      </w:r>
    </w:p>
    <w:p>
      <w:pPr>
        <w:pStyle w:val="BookText"/>
        <w:bidi w:val="0"/>
        <w:jc w:val="both"/>
        <w:rPr/>
      </w:pPr>
      <w:r>
        <w:rPr>
          <w:rFonts w:eastAsia="Times New Roman" w:cs="Times New Roman" w:ascii="Times New Roman" w:hAnsi="Times New Roman"/>
          <w:color w:val="111111"/>
          <w:sz w:val="28"/>
          <w:szCs w:val="28"/>
          <w:lang w:val="en-US"/>
        </w:rPr>
        <w:t>139, 140, 144, 145, 146,</w:t>
      </w:r>
    </w:p>
    <w:p>
      <w:pPr>
        <w:pStyle w:val="BookText"/>
        <w:bidi w:val="0"/>
        <w:jc w:val="both"/>
        <w:rPr/>
      </w:pPr>
      <w:r>
        <w:rPr>
          <w:rFonts w:eastAsia="Times New Roman" w:cs="Times New Roman" w:ascii="Times New Roman" w:hAnsi="Times New Roman"/>
          <w:color w:val="111111"/>
          <w:sz w:val="28"/>
          <w:szCs w:val="28"/>
          <w:lang w:val="en-US"/>
        </w:rPr>
        <w:t>151, 152, 154, 158, 159,</w:t>
      </w:r>
    </w:p>
    <w:p>
      <w:pPr>
        <w:pStyle w:val="BookText"/>
        <w:bidi w:val="0"/>
        <w:jc w:val="both"/>
        <w:rPr/>
      </w:pPr>
      <w:r>
        <w:rPr>
          <w:rFonts w:eastAsia="Times New Roman" w:cs="Times New Roman" w:ascii="Times New Roman" w:hAnsi="Times New Roman"/>
          <w:color w:val="111111"/>
          <w:sz w:val="28"/>
          <w:szCs w:val="28"/>
          <w:lang w:val="en-US"/>
        </w:rPr>
        <w:t>168, 177, 180, 188, 229,</w:t>
      </w:r>
    </w:p>
    <w:p>
      <w:pPr>
        <w:pStyle w:val="BookText"/>
        <w:bidi w:val="0"/>
        <w:jc w:val="both"/>
        <w:rPr/>
      </w:pPr>
      <w:r>
        <w:rPr>
          <w:rFonts w:eastAsia="Times New Roman" w:cs="Times New Roman" w:ascii="Times New Roman" w:hAnsi="Times New Roman"/>
          <w:color w:val="111111"/>
          <w:sz w:val="28"/>
          <w:szCs w:val="28"/>
          <w:lang w:val="en-US"/>
        </w:rPr>
        <w:t>238, 248, 272, 273, 276</w:t>
      </w:r>
    </w:p>
    <w:p>
      <w:pPr>
        <w:pStyle w:val="BookText"/>
        <w:bidi w:val="0"/>
        <w:jc w:val="both"/>
        <w:rPr/>
      </w:pPr>
      <w:r>
        <w:rPr>
          <w:rFonts w:eastAsia="Times New Roman" w:cs="Times New Roman" w:ascii="Times New Roman" w:hAnsi="Times New Roman"/>
          <w:color w:val="111111"/>
          <w:sz w:val="28"/>
          <w:szCs w:val="28"/>
          <w:lang w:val="en-US"/>
        </w:rPr>
        <w:t>Guru 17, 26, 30, 59, 194, 215,</w:t>
      </w:r>
    </w:p>
    <w:p>
      <w:pPr>
        <w:pStyle w:val="BookText"/>
        <w:bidi w:val="0"/>
        <w:jc w:val="both"/>
        <w:rPr/>
      </w:pPr>
      <w:r>
        <w:rPr>
          <w:rFonts w:eastAsia="Times New Roman" w:cs="Times New Roman" w:ascii="Times New Roman" w:hAnsi="Times New Roman"/>
          <w:color w:val="111111"/>
          <w:sz w:val="28"/>
          <w:szCs w:val="28"/>
          <w:lang w:val="en-US"/>
        </w:rPr>
        <w:t>250, 264</w:t>
      </w:r>
    </w:p>
    <w:p>
      <w:pPr>
        <w:pStyle w:val="BookText"/>
        <w:bidi w:val="0"/>
        <w:jc w:val="both"/>
        <w:rPr/>
      </w:pPr>
      <w:r>
        <w:rPr>
          <w:rFonts w:eastAsia="Times New Roman" w:cs="Times New Roman" w:ascii="Times New Roman" w:hAnsi="Times New Roman"/>
          <w:color w:val="111111"/>
          <w:sz w:val="28"/>
          <w:szCs w:val="28"/>
          <w:lang w:val="en-US"/>
        </w:rPr>
        <w:t>hadd 71, 80, 100, 119, 120,</w:t>
      </w:r>
    </w:p>
    <w:p>
      <w:pPr>
        <w:pStyle w:val="BookText"/>
        <w:bidi w:val="0"/>
        <w:jc w:val="both"/>
        <w:rPr/>
      </w:pPr>
      <w:r>
        <w:rPr>
          <w:rFonts w:eastAsia="Times New Roman" w:cs="Times New Roman" w:ascii="Times New Roman" w:hAnsi="Times New Roman"/>
          <w:color w:val="111111"/>
          <w:sz w:val="28"/>
          <w:szCs w:val="28"/>
          <w:lang w:val="en-US"/>
        </w:rPr>
        <w:t>121, 141, 178, 187, 189,</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hakikat 9, 31, 32, 39, 58, 67,</w:t>
      </w:r>
    </w:p>
    <w:p>
      <w:pPr>
        <w:pStyle w:val="BookText"/>
        <w:bidi w:val="0"/>
        <w:jc w:val="both"/>
        <w:rPr/>
      </w:pPr>
      <w:r>
        <w:rPr>
          <w:rFonts w:eastAsia="Times New Roman" w:cs="Times New Roman" w:ascii="Times New Roman" w:hAnsi="Times New Roman"/>
          <w:color w:val="111111"/>
          <w:sz w:val="28"/>
          <w:szCs w:val="28"/>
          <w:lang w:val="en-US"/>
        </w:rPr>
        <w:t>128, 130, 136, 137, 138,</w:t>
      </w:r>
    </w:p>
    <w:p>
      <w:pPr>
        <w:pStyle w:val="BookText"/>
        <w:bidi w:val="0"/>
        <w:jc w:val="both"/>
        <w:rPr/>
      </w:pPr>
      <w:r>
        <w:rPr>
          <w:rFonts w:eastAsia="Times New Roman" w:cs="Times New Roman" w:ascii="Times New Roman" w:hAnsi="Times New Roman"/>
          <w:color w:val="111111"/>
          <w:sz w:val="28"/>
          <w:szCs w:val="28"/>
          <w:lang w:val="en-US"/>
        </w:rPr>
        <w:t>139, 153, 170, 175, 181,</w:t>
      </w:r>
    </w:p>
    <w:p>
      <w:pPr>
        <w:pStyle w:val="BookText"/>
        <w:bidi w:val="0"/>
        <w:jc w:val="both"/>
        <w:rPr/>
      </w:pPr>
      <w:r>
        <w:rPr>
          <w:rFonts w:eastAsia="Times New Roman" w:cs="Times New Roman" w:ascii="Times New Roman" w:hAnsi="Times New Roman"/>
          <w:color w:val="111111"/>
          <w:sz w:val="28"/>
          <w:szCs w:val="28"/>
          <w:lang w:val="en-US"/>
        </w:rPr>
        <w:t>210, 216, 222</w:t>
      </w:r>
    </w:p>
    <w:p>
      <w:pPr>
        <w:pStyle w:val="BookText"/>
        <w:bidi w:val="0"/>
        <w:jc w:val="both"/>
        <w:rPr/>
      </w:pPr>
      <w:r>
        <w:rPr>
          <w:rFonts w:eastAsia="Times New Roman" w:cs="Times New Roman" w:ascii="Times New Roman" w:hAnsi="Times New Roman"/>
          <w:color w:val="111111"/>
          <w:sz w:val="28"/>
          <w:szCs w:val="28"/>
          <w:lang w:val="en-US"/>
        </w:rPr>
        <w:t>hakiki 13, 18, 50, 83, 96, 123,</w:t>
      </w:r>
    </w:p>
    <w:p>
      <w:pPr>
        <w:pStyle w:val="BookText"/>
        <w:bidi w:val="0"/>
        <w:jc w:val="both"/>
        <w:rPr/>
      </w:pPr>
      <w:r>
        <w:rPr>
          <w:rFonts w:eastAsia="Times New Roman" w:cs="Times New Roman" w:ascii="Times New Roman" w:hAnsi="Times New Roman"/>
          <w:color w:val="111111"/>
          <w:sz w:val="28"/>
          <w:szCs w:val="28"/>
          <w:lang w:val="en-US"/>
        </w:rPr>
        <w:t>126, 127, 130, 134, 138,</w:t>
      </w:r>
    </w:p>
    <w:p>
      <w:pPr>
        <w:pStyle w:val="BookText"/>
        <w:bidi w:val="0"/>
        <w:jc w:val="both"/>
        <w:rPr/>
      </w:pPr>
      <w:r>
        <w:rPr>
          <w:rFonts w:eastAsia="Times New Roman" w:cs="Times New Roman" w:ascii="Times New Roman" w:hAnsi="Times New Roman"/>
          <w:color w:val="111111"/>
          <w:sz w:val="28"/>
          <w:szCs w:val="28"/>
          <w:lang w:val="en-US"/>
        </w:rPr>
        <w:t>139, 145, 146, 153, 159,</w:t>
      </w:r>
    </w:p>
    <w:p>
      <w:pPr>
        <w:pStyle w:val="BookText"/>
        <w:bidi w:val="0"/>
        <w:jc w:val="both"/>
        <w:rPr/>
      </w:pPr>
      <w:r>
        <w:rPr>
          <w:rFonts w:eastAsia="Times New Roman" w:cs="Times New Roman" w:ascii="Times New Roman" w:hAnsi="Times New Roman"/>
          <w:color w:val="111111"/>
          <w:sz w:val="28"/>
          <w:szCs w:val="28"/>
          <w:lang w:val="en-US"/>
        </w:rPr>
        <w:t>165, 166, 167, 173, 176,</w:t>
      </w:r>
    </w:p>
    <w:p>
      <w:pPr>
        <w:pStyle w:val="BookText"/>
        <w:bidi w:val="0"/>
        <w:jc w:val="both"/>
        <w:rPr/>
      </w:pPr>
      <w:r>
        <w:rPr>
          <w:rFonts w:eastAsia="Times New Roman" w:cs="Times New Roman" w:ascii="Times New Roman" w:hAnsi="Times New Roman"/>
          <w:color w:val="111111"/>
          <w:sz w:val="28"/>
          <w:szCs w:val="28"/>
          <w:lang w:val="en-US"/>
        </w:rPr>
        <w:t>178, 181, 183, 188, 199,</w:t>
      </w:r>
    </w:p>
    <w:p>
      <w:pPr>
        <w:pStyle w:val="BookText"/>
        <w:bidi w:val="0"/>
        <w:jc w:val="both"/>
        <w:rPr/>
      </w:pPr>
      <w:r>
        <w:rPr>
          <w:rFonts w:eastAsia="Times New Roman" w:cs="Times New Roman" w:ascii="Times New Roman" w:hAnsi="Times New Roman"/>
          <w:color w:val="111111"/>
          <w:sz w:val="28"/>
          <w:szCs w:val="28"/>
          <w:lang w:val="en-US"/>
        </w:rPr>
        <w:t>Iluminasi vi, xi, xii, xiii, xiv, 9,</w:t>
      </w:r>
    </w:p>
    <w:p>
      <w:pPr>
        <w:pStyle w:val="BookText"/>
        <w:bidi w:val="0"/>
        <w:jc w:val="both"/>
        <w:rPr/>
      </w:pPr>
      <w:r>
        <w:rPr>
          <w:rFonts w:eastAsia="Times New Roman" w:cs="Times New Roman" w:ascii="Times New Roman" w:hAnsi="Times New Roman"/>
          <w:color w:val="111111"/>
          <w:sz w:val="28"/>
          <w:szCs w:val="28"/>
          <w:lang w:val="en-US"/>
        </w:rPr>
        <w:t>11, 12, 13, 14, 15, 17,</w:t>
      </w:r>
    </w:p>
    <w:p>
      <w:pPr>
        <w:pStyle w:val="BookText"/>
        <w:bidi w:val="0"/>
        <w:jc w:val="both"/>
        <w:rPr/>
      </w:pPr>
      <w:r>
        <w:rPr>
          <w:rFonts w:eastAsia="Times New Roman" w:cs="Times New Roman" w:ascii="Times New Roman" w:hAnsi="Times New Roman"/>
          <w:color w:val="111111"/>
          <w:sz w:val="28"/>
          <w:szCs w:val="28"/>
          <w:lang w:val="en-US"/>
        </w:rPr>
        <w:t>18, 19, 20, 21, 22, 23,</w:t>
      </w:r>
    </w:p>
    <w:p>
      <w:pPr>
        <w:pStyle w:val="BookText"/>
        <w:bidi w:val="0"/>
        <w:jc w:val="both"/>
        <w:rPr/>
      </w:pPr>
      <w:r>
        <w:rPr>
          <w:rFonts w:eastAsia="Times New Roman" w:cs="Times New Roman" w:ascii="Times New Roman" w:hAnsi="Times New Roman"/>
          <w:color w:val="111111"/>
          <w:sz w:val="28"/>
          <w:szCs w:val="28"/>
          <w:lang w:val="en-US"/>
        </w:rPr>
        <w:t>24, 25, 28, 29, 30, 32,</w:t>
      </w:r>
    </w:p>
    <w:p>
      <w:pPr>
        <w:pStyle w:val="BookText"/>
        <w:bidi w:val="0"/>
        <w:jc w:val="both"/>
        <w:rPr/>
      </w:pPr>
      <w:r>
        <w:rPr>
          <w:rFonts w:eastAsia="Times New Roman" w:cs="Times New Roman" w:ascii="Times New Roman" w:hAnsi="Times New Roman"/>
          <w:color w:val="111111"/>
          <w:sz w:val="28"/>
          <w:szCs w:val="28"/>
          <w:lang w:val="en-US"/>
        </w:rPr>
        <w:t>33, 34, 35, 36, 37, 38,</w:t>
      </w:r>
    </w:p>
    <w:p>
      <w:pPr>
        <w:pStyle w:val="BookText"/>
        <w:bidi w:val="0"/>
        <w:jc w:val="both"/>
        <w:rPr/>
      </w:pPr>
      <w:r>
        <w:rPr>
          <w:rFonts w:eastAsia="Times New Roman" w:cs="Times New Roman" w:ascii="Times New Roman" w:hAnsi="Times New Roman"/>
          <w:color w:val="111111"/>
          <w:sz w:val="28"/>
          <w:szCs w:val="28"/>
          <w:lang w:val="en-US"/>
        </w:rPr>
        <w:t>39, 40, 41, 42, 43, 44,</w:t>
      </w:r>
    </w:p>
    <w:p>
      <w:pPr>
        <w:pStyle w:val="BookText"/>
        <w:bidi w:val="0"/>
        <w:jc w:val="both"/>
        <w:rPr/>
      </w:pPr>
      <w:r>
        <w:rPr>
          <w:rFonts w:eastAsia="Times New Roman" w:cs="Times New Roman" w:ascii="Times New Roman" w:hAnsi="Times New Roman"/>
          <w:color w:val="111111"/>
          <w:sz w:val="28"/>
          <w:szCs w:val="28"/>
          <w:lang w:val="en-US"/>
        </w:rPr>
        <w:t>45, 46, 47, 48, 49, 51,</w:t>
      </w:r>
    </w:p>
    <w:p>
      <w:pPr>
        <w:pStyle w:val="BookText"/>
        <w:bidi w:val="0"/>
        <w:jc w:val="both"/>
        <w:rPr/>
      </w:pPr>
      <w:r>
        <w:rPr>
          <w:rFonts w:eastAsia="Times New Roman" w:cs="Times New Roman" w:ascii="Times New Roman" w:hAnsi="Times New Roman"/>
          <w:color w:val="111111"/>
          <w:sz w:val="28"/>
          <w:szCs w:val="28"/>
          <w:lang w:val="en-US"/>
        </w:rPr>
        <w:t>52, 53, 55, 59, 61, 62,</w:t>
      </w:r>
    </w:p>
    <w:p>
      <w:pPr>
        <w:pStyle w:val="BookText"/>
        <w:bidi w:val="0"/>
        <w:jc w:val="both"/>
        <w:rPr/>
      </w:pPr>
      <w:r>
        <w:rPr>
          <w:rFonts w:eastAsia="Times New Roman" w:cs="Times New Roman" w:ascii="Times New Roman" w:hAnsi="Times New Roman"/>
          <w:color w:val="111111"/>
          <w:sz w:val="28"/>
          <w:szCs w:val="28"/>
          <w:lang w:val="en-US"/>
        </w:rPr>
        <w:t>63, 64, 67, 68, 69, 70,</w:t>
      </w:r>
    </w:p>
    <w:p>
      <w:pPr>
        <w:pStyle w:val="BookText"/>
        <w:bidi w:val="0"/>
        <w:jc w:val="both"/>
        <w:rPr/>
      </w:pPr>
      <w:r>
        <w:rPr>
          <w:rFonts w:eastAsia="Times New Roman" w:cs="Times New Roman" w:ascii="Times New Roman" w:hAnsi="Times New Roman"/>
          <w:color w:val="111111"/>
          <w:sz w:val="28"/>
          <w:szCs w:val="28"/>
          <w:lang w:val="en-US"/>
        </w:rPr>
        <w:t>72, 74, 76, 78, 81, 84,</w:t>
      </w:r>
    </w:p>
    <w:p>
      <w:pPr>
        <w:pStyle w:val="BookText"/>
        <w:bidi w:val="0"/>
        <w:jc w:val="both"/>
        <w:rPr/>
      </w:pPr>
      <w:r>
        <w:rPr>
          <w:rFonts w:eastAsia="Times New Roman" w:cs="Times New Roman" w:ascii="Times New Roman" w:hAnsi="Times New Roman"/>
          <w:color w:val="111111"/>
          <w:sz w:val="28"/>
          <w:szCs w:val="28"/>
          <w:lang w:val="en-US"/>
        </w:rPr>
        <w:t>86, 88, 89, 90, 93, 94,</w:t>
      </w:r>
    </w:p>
    <w:p>
      <w:pPr>
        <w:pStyle w:val="BookText"/>
        <w:bidi w:val="0"/>
        <w:jc w:val="both"/>
        <w:rPr/>
      </w:pPr>
      <w:r>
        <w:rPr>
          <w:rFonts w:eastAsia="Times New Roman" w:cs="Times New Roman" w:ascii="Times New Roman" w:hAnsi="Times New Roman"/>
          <w:color w:val="111111"/>
          <w:sz w:val="28"/>
          <w:szCs w:val="28"/>
          <w:lang w:val="en-US"/>
        </w:rPr>
        <w:t>95, 97, 99, 100, 101,</w:t>
      </w:r>
    </w:p>
    <w:p>
      <w:pPr>
        <w:pStyle w:val="BookText"/>
        <w:bidi w:val="0"/>
        <w:jc w:val="both"/>
        <w:rPr/>
      </w:pPr>
      <w:r>
        <w:rPr>
          <w:rFonts w:eastAsia="Times New Roman" w:cs="Times New Roman" w:ascii="Times New Roman" w:hAnsi="Times New Roman"/>
          <w:color w:val="111111"/>
          <w:sz w:val="28"/>
          <w:szCs w:val="28"/>
          <w:lang w:val="en-US"/>
        </w:rPr>
        <w:t>103, 105, 107, 108, 109,</w:t>
      </w:r>
    </w:p>
    <w:p>
      <w:pPr>
        <w:pStyle w:val="BookText"/>
        <w:bidi w:val="0"/>
        <w:jc w:val="both"/>
        <w:rPr/>
      </w:pPr>
      <w:r>
        <w:rPr>
          <w:rFonts w:eastAsia="Times New Roman" w:cs="Times New Roman" w:ascii="Times New Roman" w:hAnsi="Times New Roman"/>
          <w:color w:val="111111"/>
          <w:sz w:val="28"/>
          <w:szCs w:val="28"/>
          <w:lang w:val="en-US"/>
        </w:rPr>
        <w:t>112, 115, 117, 120, 123,</w:t>
      </w:r>
    </w:p>
    <w:p>
      <w:pPr>
        <w:pStyle w:val="BookText"/>
        <w:bidi w:val="0"/>
        <w:jc w:val="both"/>
        <w:rPr/>
      </w:pPr>
      <w:r>
        <w:rPr>
          <w:rFonts w:eastAsia="Times New Roman" w:cs="Times New Roman" w:ascii="Times New Roman" w:hAnsi="Times New Roman"/>
          <w:color w:val="111111"/>
          <w:sz w:val="28"/>
          <w:szCs w:val="28"/>
          <w:lang w:val="en-US"/>
        </w:rPr>
        <w:t>125, 126, 128, 129, 131,</w:t>
      </w:r>
    </w:p>
    <w:p>
      <w:pPr>
        <w:pStyle w:val="BookText"/>
        <w:bidi w:val="0"/>
        <w:jc w:val="both"/>
        <w:rPr/>
      </w:pPr>
      <w:r>
        <w:rPr>
          <w:rFonts w:eastAsia="Times New Roman" w:cs="Times New Roman" w:ascii="Times New Roman" w:hAnsi="Times New Roman"/>
          <w:color w:val="111111"/>
          <w:sz w:val="28"/>
          <w:szCs w:val="28"/>
          <w:lang w:val="en-US"/>
        </w:rPr>
        <w:t>132, 137, 140, 142, 143,</w:t>
      </w:r>
    </w:p>
    <w:p>
      <w:pPr>
        <w:pStyle w:val="BookText"/>
        <w:bidi w:val="0"/>
        <w:jc w:val="both"/>
        <w:rPr/>
      </w:pPr>
      <w:r>
        <w:rPr>
          <w:rFonts w:eastAsia="Times New Roman" w:cs="Times New Roman" w:ascii="Times New Roman" w:hAnsi="Times New Roman"/>
          <w:color w:val="111111"/>
          <w:sz w:val="28"/>
          <w:szCs w:val="28"/>
          <w:lang w:val="en-US"/>
        </w:rPr>
        <w:t>145, 146, 148, 154, 155,</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156, 157, 160, 162, 163, </w:t>
      </w:r>
    </w:p>
    <w:p>
      <w:pPr>
        <w:pStyle w:val="BookText"/>
        <w:bidi w:val="0"/>
        <w:rPr/>
      </w:pPr>
      <w:r>
        <w:rPr>
          <w:rFonts w:eastAsia="Times New Roman" w:cs="Times New Roman" w:ascii="Times New Roman" w:hAnsi="Times New Roman"/>
          <w:color w:val="111111"/>
          <w:sz w:val="28"/>
          <w:szCs w:val="28"/>
          <w:lang w:val="en-US"/>
        </w:rPr>
        <w:t>285, 295</w:t>
      </w:r>
    </w:p>
    <w:p>
      <w:pPr>
        <w:pStyle w:val="BookText"/>
        <w:bidi w:val="0"/>
        <w:jc w:val="both"/>
        <w:rPr/>
      </w:pPr>
      <w:r>
        <w:rPr>
          <w:rFonts w:eastAsia="Times New Roman" w:cs="Times New Roman" w:ascii="Times New Roman" w:hAnsi="Times New Roman"/>
          <w:color w:val="111111"/>
          <w:sz w:val="28"/>
          <w:szCs w:val="28"/>
          <w:lang w:val="en-US"/>
        </w:rPr>
        <w:t>jiwa 24, 32, 39, 41, 70, 86,</w:t>
      </w:r>
    </w:p>
    <w:p>
      <w:pPr>
        <w:pStyle w:val="BookText"/>
        <w:bidi w:val="0"/>
        <w:jc w:val="both"/>
        <w:rPr/>
      </w:pPr>
      <w:r>
        <w:rPr>
          <w:rFonts w:eastAsia="Times New Roman" w:cs="Times New Roman" w:ascii="Times New Roman" w:hAnsi="Times New Roman"/>
          <w:color w:val="111111"/>
          <w:sz w:val="28"/>
          <w:szCs w:val="28"/>
          <w:lang w:val="en-US"/>
        </w:rPr>
        <w:t>126, 152, 158, 166, 167,</w:t>
      </w:r>
    </w:p>
    <w:p>
      <w:pPr>
        <w:pStyle w:val="BookText"/>
        <w:bidi w:val="0"/>
        <w:jc w:val="both"/>
        <w:rPr/>
      </w:pPr>
      <w:r>
        <w:rPr>
          <w:rFonts w:eastAsia="Times New Roman" w:cs="Times New Roman" w:ascii="Times New Roman" w:hAnsi="Times New Roman"/>
          <w:color w:val="111111"/>
          <w:sz w:val="28"/>
          <w:szCs w:val="28"/>
          <w:lang w:val="en-US"/>
        </w:rPr>
        <w:t>193, 200, 213, 215, 216,</w:t>
      </w:r>
    </w:p>
    <w:p>
      <w:pPr>
        <w:pStyle w:val="BookText"/>
        <w:bidi w:val="0"/>
        <w:jc w:val="both"/>
        <w:rPr/>
      </w:pPr>
      <w:r>
        <w:rPr>
          <w:rFonts w:eastAsia="Times New Roman" w:cs="Times New Roman" w:ascii="Times New Roman" w:hAnsi="Times New Roman"/>
          <w:color w:val="111111"/>
          <w:sz w:val="28"/>
          <w:szCs w:val="28"/>
          <w:lang w:val="en-US"/>
        </w:rPr>
        <w:t>218, 219, 220, 222, 226,</w:t>
      </w:r>
    </w:p>
    <w:p>
      <w:pPr>
        <w:pStyle w:val="BookText"/>
        <w:bidi w:val="0"/>
        <w:jc w:val="both"/>
        <w:rPr/>
      </w:pPr>
      <w:r>
        <w:rPr>
          <w:rFonts w:eastAsia="Times New Roman" w:cs="Times New Roman" w:ascii="Times New Roman" w:hAnsi="Times New Roman"/>
          <w:color w:val="111111"/>
          <w:sz w:val="28"/>
          <w:szCs w:val="28"/>
          <w:lang w:val="en-US"/>
        </w:rPr>
        <w:t>227, 237, 239, 262, 267,</w:t>
      </w:r>
    </w:p>
    <w:p>
      <w:pPr>
        <w:pStyle w:val="BookText"/>
        <w:bidi w:val="0"/>
        <w:jc w:val="both"/>
        <w:rPr/>
      </w:pPr>
      <w:r>
        <w:rPr>
          <w:rFonts w:eastAsia="Times New Roman" w:cs="Times New Roman" w:ascii="Times New Roman" w:hAnsi="Times New Roman"/>
          <w:color w:val="111111"/>
          <w:sz w:val="28"/>
          <w:szCs w:val="28"/>
          <w:lang w:val="en-US"/>
        </w:rPr>
        <w:t>269, 271</w:t>
      </w:r>
    </w:p>
    <w:p>
      <w:pPr>
        <w:pStyle w:val="BookText"/>
        <w:bidi w:val="0"/>
        <w:jc w:val="both"/>
        <w:rPr/>
      </w:pPr>
      <w:r>
        <w:rPr>
          <w:rFonts w:eastAsia="Times New Roman" w:cs="Times New Roman" w:ascii="Times New Roman" w:hAnsi="Times New Roman"/>
          <w:color w:val="111111"/>
          <w:sz w:val="28"/>
          <w:szCs w:val="28"/>
          <w:lang w:val="en-US"/>
        </w:rPr>
        <w:t>164, 166, 167, 169, 171,</w:t>
      </w:r>
    </w:p>
    <w:p>
      <w:pPr>
        <w:pStyle w:val="BookText"/>
        <w:bidi w:val="0"/>
        <w:jc w:val="both"/>
        <w:rPr/>
      </w:pPr>
      <w:r>
        <w:rPr>
          <w:rFonts w:eastAsia="Times New Roman" w:cs="Times New Roman" w:ascii="Times New Roman" w:hAnsi="Times New Roman"/>
          <w:color w:val="111111"/>
          <w:sz w:val="28"/>
          <w:szCs w:val="28"/>
          <w:lang w:val="en-US"/>
        </w:rPr>
        <w:t>172, 173, 174, 175, 176,</w:t>
      </w:r>
    </w:p>
    <w:p>
      <w:pPr>
        <w:pStyle w:val="BookText"/>
        <w:bidi w:val="0"/>
        <w:jc w:val="both"/>
        <w:rPr/>
      </w:pPr>
      <w:r>
        <w:rPr>
          <w:rFonts w:eastAsia="Times New Roman" w:cs="Times New Roman" w:ascii="Times New Roman" w:hAnsi="Times New Roman"/>
          <w:color w:val="111111"/>
          <w:sz w:val="28"/>
          <w:szCs w:val="28"/>
          <w:lang w:val="en-US"/>
        </w:rPr>
        <w:t>177, 194, 197, 198, 200,</w:t>
      </w:r>
    </w:p>
    <w:p>
      <w:pPr>
        <w:pStyle w:val="BookText"/>
        <w:bidi w:val="0"/>
        <w:jc w:val="both"/>
        <w:rPr/>
      </w:pPr>
      <w:r>
        <w:rPr>
          <w:rFonts w:eastAsia="Times New Roman" w:cs="Times New Roman" w:ascii="Times New Roman" w:hAnsi="Times New Roman"/>
          <w:color w:val="111111"/>
          <w:sz w:val="28"/>
          <w:szCs w:val="28"/>
          <w:lang w:val="en-US"/>
        </w:rPr>
        <w:t>201, 202, 203, 204, 205,</w:t>
      </w:r>
    </w:p>
    <w:p>
      <w:pPr>
        <w:pStyle w:val="BookText"/>
        <w:bidi w:val="0"/>
        <w:jc w:val="both"/>
        <w:rPr/>
      </w:pPr>
      <w:r>
        <w:rPr>
          <w:rFonts w:eastAsia="Times New Roman" w:cs="Times New Roman" w:ascii="Times New Roman" w:hAnsi="Times New Roman"/>
          <w:color w:val="111111"/>
          <w:sz w:val="28"/>
          <w:szCs w:val="28"/>
          <w:lang w:val="en-US"/>
        </w:rPr>
        <w:t>206, 207, 208, 210, 211,</w:t>
      </w:r>
    </w:p>
    <w:p>
      <w:pPr>
        <w:pStyle w:val="BookText"/>
        <w:bidi w:val="0"/>
        <w:jc w:val="both"/>
        <w:rPr/>
      </w:pPr>
      <w:r>
        <w:rPr>
          <w:rFonts w:eastAsia="Times New Roman" w:cs="Times New Roman" w:ascii="Times New Roman" w:hAnsi="Times New Roman"/>
          <w:color w:val="111111"/>
          <w:sz w:val="28"/>
          <w:szCs w:val="28"/>
          <w:lang w:val="en-US"/>
        </w:rPr>
        <w:t>212, 213, 214, 215, 216,</w:t>
      </w:r>
    </w:p>
    <w:p>
      <w:pPr>
        <w:pStyle w:val="BookText"/>
        <w:bidi w:val="0"/>
        <w:jc w:val="both"/>
        <w:rPr/>
      </w:pPr>
      <w:r>
        <w:rPr>
          <w:rFonts w:eastAsia="Times New Roman" w:cs="Times New Roman" w:ascii="Times New Roman" w:hAnsi="Times New Roman"/>
          <w:color w:val="111111"/>
          <w:sz w:val="28"/>
          <w:szCs w:val="28"/>
          <w:lang w:val="en-US"/>
        </w:rPr>
        <w:t>217, 219, 220, 221, 222,</w:t>
      </w:r>
    </w:p>
    <w:p>
      <w:pPr>
        <w:pStyle w:val="BookText"/>
        <w:bidi w:val="0"/>
        <w:jc w:val="both"/>
        <w:rPr/>
      </w:pPr>
      <w:r>
        <w:rPr>
          <w:rFonts w:eastAsia="Times New Roman" w:cs="Times New Roman" w:ascii="Times New Roman" w:hAnsi="Times New Roman"/>
          <w:color w:val="111111"/>
          <w:sz w:val="28"/>
          <w:szCs w:val="28"/>
          <w:lang w:val="en-US"/>
        </w:rPr>
        <w:t>223, 224, 225, 226, 227,</w:t>
      </w:r>
    </w:p>
    <w:p>
      <w:pPr>
        <w:pStyle w:val="BookText"/>
        <w:bidi w:val="0"/>
        <w:jc w:val="both"/>
        <w:rPr/>
      </w:pPr>
      <w:r>
        <w:rPr>
          <w:rFonts w:eastAsia="Times New Roman" w:cs="Times New Roman" w:ascii="Times New Roman" w:hAnsi="Times New Roman"/>
          <w:color w:val="111111"/>
          <w:sz w:val="28"/>
          <w:szCs w:val="28"/>
          <w:lang w:val="en-US"/>
        </w:rPr>
        <w:t>228, 229, 230, 231, 232,</w:t>
      </w:r>
    </w:p>
    <w:p>
      <w:pPr>
        <w:pStyle w:val="BookText"/>
        <w:bidi w:val="0"/>
        <w:jc w:val="both"/>
        <w:rPr/>
      </w:pPr>
      <w:r>
        <w:rPr>
          <w:rFonts w:eastAsia="Times New Roman" w:cs="Times New Roman" w:ascii="Times New Roman" w:hAnsi="Times New Roman"/>
          <w:color w:val="111111"/>
          <w:sz w:val="28"/>
          <w:szCs w:val="28"/>
          <w:lang w:val="en-US"/>
        </w:rPr>
        <w:t>233, 234, 236, 237, 238,</w:t>
      </w:r>
    </w:p>
    <w:p>
      <w:pPr>
        <w:pStyle w:val="BookText"/>
        <w:bidi w:val="0"/>
        <w:jc w:val="both"/>
        <w:rPr/>
      </w:pPr>
      <w:r>
        <w:rPr>
          <w:rFonts w:eastAsia="Times New Roman" w:cs="Times New Roman" w:ascii="Times New Roman" w:hAnsi="Times New Roman"/>
          <w:color w:val="111111"/>
          <w:sz w:val="28"/>
          <w:szCs w:val="28"/>
          <w:lang w:val="en-US"/>
        </w:rPr>
        <w:t>240, 241, 246, 250, 253,</w:t>
      </w:r>
    </w:p>
    <w:p>
      <w:pPr>
        <w:pStyle w:val="BookText"/>
        <w:bidi w:val="0"/>
        <w:jc w:val="both"/>
        <w:rPr/>
      </w:pPr>
      <w:r>
        <w:rPr>
          <w:rFonts w:eastAsia="Times New Roman" w:cs="Times New Roman" w:ascii="Times New Roman" w:hAnsi="Times New Roman"/>
          <w:color w:val="111111"/>
          <w:sz w:val="28"/>
          <w:szCs w:val="28"/>
          <w:lang w:val="en-US"/>
        </w:rPr>
        <w:t>255, 258, 261, 266, 267,</w:t>
      </w:r>
    </w:p>
    <w:p>
      <w:pPr>
        <w:pStyle w:val="BookText"/>
        <w:bidi w:val="0"/>
        <w:jc w:val="both"/>
        <w:rPr/>
      </w:pPr>
      <w:r>
        <w:rPr>
          <w:rFonts w:eastAsia="Times New Roman" w:cs="Times New Roman" w:ascii="Times New Roman" w:hAnsi="Times New Roman"/>
          <w:color w:val="111111"/>
          <w:sz w:val="28"/>
          <w:szCs w:val="28"/>
          <w:lang w:val="en-US"/>
        </w:rPr>
        <w:t>271, 273, 275, 295</w:t>
      </w:r>
    </w:p>
    <w:p>
      <w:pPr>
        <w:pStyle w:val="BookText"/>
        <w:bidi w:val="0"/>
        <w:jc w:val="both"/>
        <w:rPr/>
      </w:pPr>
      <w:r>
        <w:rPr>
          <w:rFonts w:eastAsia="Times New Roman" w:cs="Times New Roman" w:ascii="Times New Roman" w:hAnsi="Times New Roman"/>
          <w:color w:val="111111"/>
          <w:sz w:val="28"/>
          <w:szCs w:val="28"/>
          <w:lang w:val="en-US"/>
        </w:rPr>
        <w:t>Iluminasionis xiii, 11, 30, 41,</w:t>
      </w:r>
    </w:p>
    <w:p>
      <w:pPr>
        <w:pStyle w:val="BookText"/>
        <w:bidi w:val="0"/>
        <w:jc w:val="both"/>
        <w:rPr/>
      </w:pPr>
      <w:r>
        <w:rPr>
          <w:rFonts w:eastAsia="Times New Roman" w:cs="Times New Roman" w:ascii="Times New Roman" w:hAnsi="Times New Roman"/>
          <w:color w:val="111111"/>
          <w:sz w:val="28"/>
          <w:szCs w:val="28"/>
          <w:lang w:val="en-US"/>
        </w:rPr>
        <w:t>54, 55, 61, 62, 63, 120,</w:t>
      </w:r>
    </w:p>
    <w:p>
      <w:pPr>
        <w:pStyle w:val="BookText"/>
        <w:bidi w:val="0"/>
        <w:jc w:val="both"/>
        <w:rPr/>
      </w:pPr>
      <w:r>
        <w:rPr>
          <w:rFonts w:eastAsia="Times New Roman" w:cs="Times New Roman" w:ascii="Times New Roman" w:hAnsi="Times New Roman"/>
          <w:color w:val="111111"/>
          <w:sz w:val="28"/>
          <w:szCs w:val="28"/>
          <w:lang w:val="en-US"/>
        </w:rPr>
        <w:t>127, 155, 208, 209, 210,</w:t>
      </w:r>
    </w:p>
    <w:p>
      <w:pPr>
        <w:pStyle w:val="BookText"/>
        <w:bidi w:val="0"/>
        <w:jc w:val="both"/>
        <w:rPr/>
      </w:pPr>
      <w:r>
        <w:rPr>
          <w:rFonts w:eastAsia="Times New Roman" w:cs="Times New Roman" w:ascii="Times New Roman" w:hAnsi="Times New Roman"/>
          <w:color w:val="111111"/>
          <w:sz w:val="28"/>
          <w:szCs w:val="28"/>
          <w:lang w:val="en-US"/>
        </w:rPr>
        <w:t>216, 266</w:t>
      </w:r>
    </w:p>
    <w:p>
      <w:pPr>
        <w:pStyle w:val="BookText"/>
        <w:bidi w:val="0"/>
        <w:jc w:val="both"/>
        <w:rPr/>
      </w:pPr>
      <w:r>
        <w:rPr>
          <w:rFonts w:eastAsia="Times New Roman" w:cs="Times New Roman" w:ascii="Times New Roman" w:hAnsi="Times New Roman"/>
          <w:color w:val="111111"/>
          <w:sz w:val="28"/>
          <w:szCs w:val="28"/>
          <w:lang w:val="en-US"/>
        </w:rPr>
        <w:t>indra 90, 102, 169, 203, 204,</w:t>
      </w:r>
    </w:p>
    <w:p>
      <w:pPr>
        <w:pStyle w:val="BookText"/>
        <w:bidi w:val="0"/>
        <w:jc w:val="both"/>
        <w:rPr/>
      </w:pPr>
      <w:r>
        <w:rPr>
          <w:rFonts w:eastAsia="Times New Roman" w:cs="Times New Roman" w:ascii="Times New Roman" w:hAnsi="Times New Roman"/>
          <w:color w:val="111111"/>
          <w:sz w:val="28"/>
          <w:szCs w:val="28"/>
          <w:lang w:val="en-US"/>
        </w:rPr>
        <w:t>210, 225, 227, 228, 232,</w:t>
      </w:r>
    </w:p>
    <w:p>
      <w:pPr>
        <w:pStyle w:val="BookText"/>
        <w:bidi w:val="0"/>
        <w:jc w:val="both"/>
        <w:rPr/>
      </w:pPr>
      <w:r>
        <w:rPr>
          <w:rFonts w:eastAsia="Times New Roman" w:cs="Times New Roman" w:ascii="Times New Roman" w:hAnsi="Times New Roman"/>
          <w:color w:val="111111"/>
          <w:sz w:val="28"/>
          <w:szCs w:val="28"/>
          <w:lang w:val="en-US"/>
        </w:rPr>
        <w:t>245, 256, 272, 275</w:t>
      </w:r>
    </w:p>
    <w:p>
      <w:pPr>
        <w:pStyle w:val="BookText"/>
        <w:bidi w:val="0"/>
        <w:jc w:val="both"/>
        <w:rPr/>
      </w:pPr>
      <w:r>
        <w:rPr>
          <w:rFonts w:eastAsia="Times New Roman" w:cs="Times New Roman" w:ascii="Times New Roman" w:hAnsi="Times New Roman"/>
          <w:color w:val="111111"/>
          <w:sz w:val="28"/>
          <w:szCs w:val="28"/>
          <w:lang w:val="en-US"/>
        </w:rPr>
        <w:t>intuisi 11, 24, 26, 29, 31, 32,</w:t>
      </w:r>
    </w:p>
    <w:p>
      <w:pPr>
        <w:pStyle w:val="BookText"/>
        <w:bidi w:val="0"/>
        <w:jc w:val="both"/>
        <w:rPr/>
      </w:pPr>
      <w:r>
        <w:rPr>
          <w:rFonts w:eastAsia="Times New Roman" w:cs="Times New Roman" w:ascii="Times New Roman" w:hAnsi="Times New Roman"/>
          <w:color w:val="111111"/>
          <w:sz w:val="28"/>
          <w:szCs w:val="28"/>
          <w:lang w:val="en-US"/>
        </w:rPr>
        <w:t>40, 48, 50, 61, 70, 71,</w:t>
      </w:r>
    </w:p>
    <w:p>
      <w:pPr>
        <w:pStyle w:val="BookText"/>
        <w:bidi w:val="0"/>
        <w:jc w:val="both"/>
        <w:rPr/>
      </w:pPr>
      <w:r>
        <w:rPr>
          <w:rFonts w:eastAsia="Times New Roman" w:cs="Times New Roman" w:ascii="Times New Roman" w:hAnsi="Times New Roman"/>
          <w:color w:val="111111"/>
          <w:sz w:val="28"/>
          <w:szCs w:val="28"/>
          <w:lang w:val="en-US"/>
        </w:rPr>
        <w:t>102, 107, 117, 131, 132,</w:t>
      </w:r>
    </w:p>
    <w:p>
      <w:pPr>
        <w:pStyle w:val="BookText"/>
        <w:bidi w:val="0"/>
        <w:jc w:val="both"/>
        <w:rPr/>
      </w:pPr>
      <w:r>
        <w:rPr>
          <w:rFonts w:eastAsia="Times New Roman" w:cs="Times New Roman" w:ascii="Times New Roman" w:hAnsi="Times New Roman"/>
          <w:color w:val="111111"/>
          <w:sz w:val="28"/>
          <w:szCs w:val="28"/>
          <w:lang w:val="en-US"/>
        </w:rPr>
        <w:t>161, 166, 167, 175, 176,</w:t>
      </w:r>
    </w:p>
    <w:p>
      <w:pPr>
        <w:pStyle w:val="BookText"/>
        <w:bidi w:val="0"/>
        <w:jc w:val="both"/>
        <w:rPr/>
      </w:pPr>
      <w:r>
        <w:rPr>
          <w:rFonts w:eastAsia="Times New Roman" w:cs="Times New Roman" w:ascii="Times New Roman" w:hAnsi="Times New Roman"/>
          <w:color w:val="111111"/>
          <w:sz w:val="28"/>
          <w:szCs w:val="28"/>
          <w:lang w:val="en-US"/>
        </w:rPr>
        <w:t>179, 193, 194, 197, 198,</w:t>
      </w:r>
    </w:p>
    <w:p>
      <w:pPr>
        <w:pStyle w:val="BookText"/>
        <w:bidi w:val="0"/>
        <w:jc w:val="both"/>
        <w:rPr/>
      </w:pPr>
      <w:r>
        <w:rPr>
          <w:rFonts w:eastAsia="Times New Roman" w:cs="Times New Roman" w:ascii="Times New Roman" w:hAnsi="Times New Roman"/>
          <w:color w:val="111111"/>
          <w:sz w:val="28"/>
          <w:szCs w:val="28"/>
          <w:lang w:val="en-US"/>
        </w:rPr>
        <w:t>207, 210, 212, 224, 225,</w:t>
      </w:r>
    </w:p>
    <w:p>
      <w:pPr>
        <w:pStyle w:val="BookText"/>
        <w:bidi w:val="0"/>
        <w:jc w:val="both"/>
        <w:rPr/>
      </w:pPr>
      <w:r>
        <w:rPr>
          <w:rFonts w:eastAsia="Times New Roman" w:cs="Times New Roman" w:ascii="Times New Roman" w:hAnsi="Times New Roman"/>
          <w:color w:val="111111"/>
          <w:sz w:val="28"/>
          <w:szCs w:val="28"/>
          <w:lang w:val="en-US"/>
        </w:rPr>
        <w:t>243, 244, 245, 247, 249,</w:t>
      </w:r>
    </w:p>
    <w:p>
      <w:pPr>
        <w:pStyle w:val="BookText"/>
        <w:bidi w:val="0"/>
        <w:jc w:val="both"/>
        <w:rPr/>
      </w:pPr>
      <w:r>
        <w:rPr>
          <w:rFonts w:eastAsia="Times New Roman" w:cs="Times New Roman" w:ascii="Times New Roman" w:hAnsi="Times New Roman"/>
          <w:color w:val="111111"/>
          <w:sz w:val="28"/>
          <w:szCs w:val="28"/>
          <w:lang w:val="en-US"/>
        </w:rPr>
        <w:t>262, 263</w:t>
      </w:r>
    </w:p>
    <w:p>
      <w:pPr>
        <w:pStyle w:val="BookText"/>
        <w:bidi w:val="0"/>
        <w:jc w:val="both"/>
        <w:rPr/>
      </w:pPr>
      <w:r>
        <w:rPr>
          <w:rFonts w:eastAsia="Times New Roman" w:cs="Times New Roman" w:ascii="Times New Roman" w:hAnsi="Times New Roman"/>
          <w:color w:val="111111"/>
          <w:sz w:val="28"/>
          <w:szCs w:val="28"/>
          <w:lang w:val="en-US"/>
        </w:rPr>
        <w:t>intuitif 21, 24, 25, 32, 33, 40,</w:t>
      </w:r>
    </w:p>
    <w:p>
      <w:pPr>
        <w:pStyle w:val="BookText"/>
        <w:bidi w:val="0"/>
        <w:jc w:val="both"/>
        <w:rPr/>
      </w:pPr>
      <w:r>
        <w:rPr>
          <w:rFonts w:eastAsia="Times New Roman" w:cs="Times New Roman" w:ascii="Times New Roman" w:hAnsi="Times New Roman"/>
          <w:color w:val="111111"/>
          <w:sz w:val="28"/>
          <w:szCs w:val="28"/>
          <w:lang w:val="en-US"/>
        </w:rPr>
        <w:t>43, 52, 53, 59, 61, 83,</w:t>
      </w:r>
    </w:p>
    <w:p>
      <w:pPr>
        <w:pStyle w:val="BookText"/>
        <w:bidi w:val="0"/>
        <w:jc w:val="both"/>
        <w:rPr/>
      </w:pPr>
      <w:r>
        <w:rPr>
          <w:rFonts w:eastAsia="Times New Roman" w:cs="Times New Roman" w:ascii="Times New Roman" w:hAnsi="Times New Roman"/>
          <w:color w:val="111111"/>
          <w:sz w:val="28"/>
          <w:szCs w:val="28"/>
          <w:lang w:val="en-US"/>
        </w:rPr>
        <w:t>102, 117, 128, 157, 175,</w:t>
      </w:r>
    </w:p>
    <w:p>
      <w:pPr>
        <w:pStyle w:val="BookText"/>
        <w:bidi w:val="0"/>
        <w:jc w:val="both"/>
        <w:rPr/>
      </w:pPr>
      <w:r>
        <w:rPr>
          <w:rFonts w:eastAsia="Times New Roman" w:cs="Times New Roman" w:ascii="Times New Roman" w:hAnsi="Times New Roman"/>
          <w:color w:val="111111"/>
          <w:sz w:val="28"/>
          <w:szCs w:val="28"/>
          <w:lang w:val="en-US"/>
        </w:rPr>
        <w:t>176, 198, 204, 205, 207,</w:t>
      </w:r>
    </w:p>
    <w:p>
      <w:pPr>
        <w:pStyle w:val="BookText"/>
        <w:bidi w:val="0"/>
        <w:jc w:val="both"/>
        <w:rPr/>
      </w:pPr>
      <w:r>
        <w:rPr>
          <w:rFonts w:eastAsia="Times New Roman" w:cs="Times New Roman" w:ascii="Times New Roman" w:hAnsi="Times New Roman"/>
          <w:color w:val="111111"/>
          <w:sz w:val="28"/>
          <w:szCs w:val="28"/>
          <w:lang w:val="en-US"/>
        </w:rPr>
        <w:t>220, 243, 244, 249</w:t>
      </w:r>
    </w:p>
    <w:p>
      <w:pPr>
        <w:pStyle w:val="BookText"/>
        <w:bidi w:val="0"/>
        <w:jc w:val="both"/>
        <w:rPr/>
      </w:pPr>
      <w:r>
        <w:rPr>
          <w:rFonts w:eastAsia="Times New Roman" w:cs="Times New Roman" w:ascii="Times New Roman" w:hAnsi="Times New Roman"/>
          <w:color w:val="111111"/>
          <w:sz w:val="28"/>
          <w:szCs w:val="28"/>
          <w:lang w:val="en-US"/>
        </w:rPr>
        <w:t>Islam 9, 10, 31, 32, 47, 56, 60,</w:t>
      </w:r>
    </w:p>
    <w:p>
      <w:pPr>
        <w:pStyle w:val="BookText"/>
        <w:bidi w:val="0"/>
        <w:jc w:val="both"/>
        <w:rPr/>
      </w:pPr>
      <w:r>
        <w:rPr>
          <w:rFonts w:eastAsia="Times New Roman" w:cs="Times New Roman" w:ascii="Times New Roman" w:hAnsi="Times New Roman"/>
          <w:color w:val="111111"/>
          <w:sz w:val="28"/>
          <w:szCs w:val="28"/>
          <w:lang w:val="en-US"/>
        </w:rPr>
        <w:t>61, 62, 106, 112, 114,</w:t>
      </w:r>
    </w:p>
    <w:p>
      <w:pPr>
        <w:pStyle w:val="BookText"/>
        <w:bidi w:val="0"/>
        <w:jc w:val="both"/>
        <w:rPr/>
      </w:pPr>
      <w:r>
        <w:rPr>
          <w:rFonts w:eastAsia="Times New Roman" w:cs="Times New Roman" w:ascii="Times New Roman" w:hAnsi="Times New Roman"/>
          <w:color w:val="111111"/>
          <w:sz w:val="28"/>
          <w:szCs w:val="28"/>
          <w:lang w:val="en-US"/>
        </w:rPr>
        <w:t>120, 123, 124, 125, 129,</w:t>
      </w:r>
    </w:p>
    <w:p>
      <w:pPr>
        <w:pStyle w:val="BookText"/>
        <w:bidi w:val="0"/>
        <w:jc w:val="both"/>
        <w:rPr/>
      </w:pPr>
      <w:r>
        <w:rPr>
          <w:rFonts w:eastAsia="Times New Roman" w:cs="Times New Roman" w:ascii="Times New Roman" w:hAnsi="Times New Roman"/>
          <w:color w:val="111111"/>
          <w:sz w:val="28"/>
          <w:szCs w:val="28"/>
          <w:lang w:val="en-US"/>
        </w:rPr>
        <w:t>140, 141, 154, 160, 172,</w:t>
      </w:r>
    </w:p>
    <w:p>
      <w:pPr>
        <w:pStyle w:val="BookText"/>
        <w:bidi w:val="0"/>
        <w:jc w:val="both"/>
        <w:rPr/>
      </w:pPr>
      <w:r>
        <w:rPr>
          <w:rFonts w:eastAsia="Times New Roman" w:cs="Times New Roman" w:ascii="Times New Roman" w:hAnsi="Times New Roman"/>
          <w:color w:val="111111"/>
          <w:sz w:val="28"/>
          <w:szCs w:val="28"/>
          <w:lang w:val="en-US"/>
        </w:rPr>
        <w:t>173, 178, 254, 280, 284,</w:t>
      </w:r>
    </w:p>
    <w:p>
      <w:pPr>
        <w:pStyle w:val="BookText"/>
        <w:bidi w:val="0"/>
        <w:jc w:val="both"/>
        <w:rPr/>
      </w:pPr>
      <w:r>
        <w:rPr>
          <w:rFonts w:eastAsia="Times New Roman" w:cs="Times New Roman" w:ascii="Times New Roman" w:hAnsi="Times New Roman"/>
          <w:color w:val="111111"/>
          <w:sz w:val="28"/>
          <w:szCs w:val="28"/>
          <w:lang w:val="en-US"/>
        </w:rPr>
        <w:t>kegelapan 13, 38</w:t>
      </w:r>
    </w:p>
    <w:p>
      <w:pPr>
        <w:pStyle w:val="BookText"/>
        <w:bidi w:val="0"/>
        <w:jc w:val="both"/>
        <w:rPr/>
      </w:pPr>
      <w:r>
        <w:rPr>
          <w:rFonts w:eastAsia="Times New Roman" w:cs="Times New Roman" w:ascii="Times New Roman" w:hAnsi="Times New Roman"/>
          <w:color w:val="111111"/>
          <w:sz w:val="28"/>
          <w:szCs w:val="28"/>
          <w:lang w:val="en-US"/>
        </w:rPr>
        <w:t>keraguan 266</w:t>
      </w:r>
    </w:p>
    <w:p>
      <w:pPr>
        <w:pStyle w:val="BookText"/>
        <w:bidi w:val="0"/>
        <w:jc w:val="both"/>
        <w:rPr/>
      </w:pPr>
      <w:r>
        <w:rPr>
          <w:rFonts w:eastAsia="Times New Roman" w:cs="Times New Roman" w:ascii="Times New Roman" w:hAnsi="Times New Roman"/>
          <w:color w:val="111111"/>
          <w:sz w:val="28"/>
          <w:szCs w:val="28"/>
          <w:lang w:val="en-US"/>
        </w:rPr>
        <w:t>keyakinan 83, 133, 184, 185,</w:t>
      </w:r>
    </w:p>
    <w:p>
      <w:pPr>
        <w:pStyle w:val="BookText"/>
        <w:bidi w:val="0"/>
        <w:jc w:val="both"/>
        <w:rPr/>
      </w:pPr>
      <w:r>
        <w:rPr>
          <w:rFonts w:eastAsia="Times New Roman" w:cs="Times New Roman" w:ascii="Times New Roman" w:hAnsi="Times New Roman"/>
          <w:color w:val="111111"/>
          <w:sz w:val="28"/>
          <w:szCs w:val="28"/>
          <w:lang w:val="en-US"/>
        </w:rPr>
        <w:t>197, 198, 263</w:t>
      </w:r>
    </w:p>
    <w:p>
      <w:pPr>
        <w:pStyle w:val="BookText"/>
        <w:bidi w:val="0"/>
        <w:jc w:val="both"/>
        <w:rPr/>
      </w:pPr>
      <w:r>
        <w:rPr>
          <w:rFonts w:eastAsia="Times New Roman" w:cs="Times New Roman" w:ascii="Times New Roman" w:hAnsi="Times New Roman"/>
          <w:color w:val="111111"/>
          <w:sz w:val="28"/>
          <w:szCs w:val="28"/>
          <w:lang w:val="en-US"/>
        </w:rPr>
        <w:t>komentator 10, 33, 35, 39, 46,</w:t>
      </w:r>
    </w:p>
    <w:p>
      <w:pPr>
        <w:pStyle w:val="BookText"/>
        <w:bidi w:val="0"/>
        <w:jc w:val="both"/>
        <w:rPr/>
      </w:pPr>
      <w:r>
        <w:rPr>
          <w:rFonts w:eastAsia="Times New Roman" w:cs="Times New Roman" w:ascii="Times New Roman" w:hAnsi="Times New Roman"/>
          <w:color w:val="111111"/>
          <w:sz w:val="28"/>
          <w:szCs w:val="28"/>
          <w:lang w:val="en-US"/>
        </w:rPr>
        <w:t>89, 112, 205, 209, 210</w:t>
      </w:r>
    </w:p>
    <w:p>
      <w:pPr>
        <w:pStyle w:val="BookText"/>
        <w:bidi w:val="0"/>
        <w:jc w:val="both"/>
        <w:rPr/>
      </w:pPr>
      <w:r>
        <w:rPr>
          <w:rFonts w:eastAsia="Times New Roman" w:cs="Times New Roman" w:ascii="Times New Roman" w:hAnsi="Times New Roman"/>
          <w:color w:val="111111"/>
          <w:sz w:val="28"/>
          <w:szCs w:val="28"/>
          <w:lang w:val="en-US"/>
        </w:rPr>
        <w:t>kontemporer 10, 88</w:t>
      </w:r>
    </w:p>
    <w:p>
      <w:pPr>
        <w:pStyle w:val="BookText"/>
        <w:bidi w:val="0"/>
        <w:jc w:val="both"/>
        <w:rPr/>
      </w:pPr>
      <w:r>
        <w:rPr>
          <w:rFonts w:eastAsia="Times New Roman" w:cs="Times New Roman" w:ascii="Times New Roman" w:hAnsi="Times New Roman"/>
          <w:color w:val="111111"/>
          <w:sz w:val="28"/>
          <w:szCs w:val="28"/>
          <w:lang w:val="en-US"/>
        </w:rPr>
        <w:t>kosmologi 13, 15, 222, 231,</w:t>
      </w:r>
    </w:p>
    <w:p>
      <w:pPr>
        <w:pStyle w:val="BookText"/>
        <w:bidi w:val="0"/>
        <w:jc w:val="both"/>
        <w:rPr/>
      </w:pPr>
      <w:r>
        <w:rPr>
          <w:rFonts w:eastAsia="Times New Roman" w:cs="Times New Roman" w:ascii="Times New Roman" w:hAnsi="Times New Roman"/>
          <w:color w:val="111111"/>
          <w:sz w:val="28"/>
          <w:szCs w:val="28"/>
          <w:lang w:val="en-US"/>
        </w:rPr>
        <w:t>237, 241, 246, 253, 254</w:t>
      </w:r>
    </w:p>
    <w:p>
      <w:pPr>
        <w:pStyle w:val="BookText"/>
        <w:bidi w:val="0"/>
        <w:jc w:val="both"/>
        <w:rPr/>
      </w:pPr>
      <w:r>
        <w:rPr>
          <w:rFonts w:eastAsia="Times New Roman" w:cs="Times New Roman" w:ascii="Times New Roman" w:hAnsi="Times New Roman"/>
          <w:color w:val="111111"/>
          <w:sz w:val="28"/>
          <w:szCs w:val="28"/>
          <w:lang w:val="en-US"/>
        </w:rPr>
        <w:t>logika 10, 14, 17, 18, 21, 22,</w:t>
      </w:r>
    </w:p>
    <w:p>
      <w:pPr>
        <w:pStyle w:val="BookText"/>
        <w:bidi w:val="0"/>
        <w:jc w:val="both"/>
        <w:rPr/>
      </w:pPr>
      <w:r>
        <w:rPr>
          <w:rFonts w:eastAsia="Times New Roman" w:cs="Times New Roman" w:ascii="Times New Roman" w:hAnsi="Times New Roman"/>
          <w:color w:val="111111"/>
          <w:sz w:val="28"/>
          <w:szCs w:val="28"/>
          <w:lang w:val="en-US"/>
        </w:rPr>
        <w:t>27, 36, 67, 68, 70, 71,</w:t>
      </w:r>
    </w:p>
    <w:p>
      <w:pPr>
        <w:pStyle w:val="BookText"/>
        <w:bidi w:val="0"/>
        <w:jc w:val="both"/>
        <w:rPr/>
      </w:pPr>
      <w:r>
        <w:rPr>
          <w:rFonts w:eastAsia="Times New Roman" w:cs="Times New Roman" w:ascii="Times New Roman" w:hAnsi="Times New Roman"/>
          <w:color w:val="111111"/>
          <w:sz w:val="28"/>
          <w:szCs w:val="28"/>
          <w:lang w:val="en-US"/>
        </w:rPr>
        <w:t>72, 73, 74, 75, 76, 77,</w:t>
      </w:r>
    </w:p>
    <w:p>
      <w:pPr>
        <w:pStyle w:val="BookText"/>
        <w:bidi w:val="0"/>
        <w:jc w:val="both"/>
        <w:rPr/>
      </w:pPr>
      <w:r>
        <w:rPr>
          <w:rFonts w:eastAsia="Times New Roman" w:cs="Times New Roman" w:ascii="Times New Roman" w:hAnsi="Times New Roman"/>
          <w:color w:val="111111"/>
          <w:sz w:val="28"/>
          <w:szCs w:val="28"/>
          <w:lang w:val="en-US"/>
        </w:rPr>
        <w:t>78, 79, 80, 81, 82, 84,</w:t>
      </w:r>
    </w:p>
    <w:p>
      <w:pPr>
        <w:pStyle w:val="BookText"/>
        <w:bidi w:val="0"/>
        <w:jc w:val="both"/>
        <w:rPr/>
      </w:pPr>
      <w:r>
        <w:rPr>
          <w:rFonts w:eastAsia="Times New Roman" w:cs="Times New Roman" w:ascii="Times New Roman" w:hAnsi="Times New Roman"/>
          <w:color w:val="111111"/>
          <w:sz w:val="28"/>
          <w:szCs w:val="28"/>
          <w:lang w:val="en-US"/>
        </w:rPr>
        <w:t>85, 86, 87, 88, 89, 92,</w:t>
      </w:r>
    </w:p>
    <w:p>
      <w:pPr>
        <w:pStyle w:val="BookText"/>
        <w:bidi w:val="0"/>
        <w:jc w:val="both"/>
        <w:rPr/>
      </w:pPr>
      <w:r>
        <w:rPr>
          <w:rFonts w:eastAsia="Times New Roman" w:cs="Times New Roman" w:ascii="Times New Roman" w:hAnsi="Times New Roman"/>
          <w:color w:val="111111"/>
          <w:sz w:val="28"/>
          <w:szCs w:val="28"/>
          <w:lang w:val="en-US"/>
        </w:rPr>
        <w:t>93, 94, 98, 99, 100, 101,</w:t>
      </w:r>
    </w:p>
    <w:p>
      <w:pPr>
        <w:pStyle w:val="BookText"/>
        <w:bidi w:val="0"/>
        <w:jc w:val="both"/>
        <w:rPr/>
      </w:pPr>
      <w:r>
        <w:rPr>
          <w:rFonts w:eastAsia="Times New Roman" w:cs="Times New Roman" w:ascii="Times New Roman" w:hAnsi="Times New Roman"/>
          <w:color w:val="111111"/>
          <w:sz w:val="28"/>
          <w:szCs w:val="28"/>
          <w:lang w:val="en-US"/>
        </w:rPr>
        <w:t>103, 104, 105, 106, 108,</w:t>
      </w:r>
    </w:p>
    <w:p>
      <w:pPr>
        <w:pStyle w:val="BookText"/>
        <w:bidi w:val="0"/>
        <w:jc w:val="both"/>
        <w:rPr/>
      </w:pPr>
      <w:r>
        <w:rPr>
          <w:rFonts w:eastAsia="Times New Roman" w:cs="Times New Roman" w:ascii="Times New Roman" w:hAnsi="Times New Roman"/>
          <w:color w:val="111111"/>
          <w:sz w:val="28"/>
          <w:szCs w:val="28"/>
          <w:lang w:val="en-US"/>
        </w:rPr>
        <w:t>109, 111, 113, 115, 118,</w:t>
      </w:r>
    </w:p>
    <w:p>
      <w:pPr>
        <w:pStyle w:val="BookText"/>
        <w:bidi w:val="0"/>
        <w:jc w:val="both"/>
        <w:rPr/>
      </w:pPr>
      <w:r>
        <w:rPr>
          <w:rFonts w:eastAsia="Times New Roman" w:cs="Times New Roman" w:ascii="Times New Roman" w:hAnsi="Times New Roman"/>
          <w:color w:val="111111"/>
          <w:sz w:val="28"/>
          <w:szCs w:val="28"/>
          <w:lang w:val="en-US"/>
        </w:rPr>
        <w:t>119, 120, 121, 122, 123,</w:t>
      </w:r>
    </w:p>
    <w:p>
      <w:pPr>
        <w:pStyle w:val="BookText"/>
        <w:bidi w:val="0"/>
        <w:jc w:val="both"/>
        <w:rPr/>
      </w:pPr>
      <w:r>
        <w:rPr>
          <w:rFonts w:eastAsia="Times New Roman" w:cs="Times New Roman" w:ascii="Times New Roman" w:hAnsi="Times New Roman"/>
          <w:color w:val="111111"/>
          <w:sz w:val="28"/>
          <w:szCs w:val="28"/>
          <w:lang w:val="en-US"/>
        </w:rPr>
        <w:t>124, 127, 134, 141, 142,</w:t>
      </w:r>
    </w:p>
    <w:p>
      <w:pPr>
        <w:pStyle w:val="BookText"/>
        <w:bidi w:val="0"/>
        <w:jc w:val="both"/>
        <w:rPr/>
      </w:pPr>
      <w:r>
        <w:rPr>
          <w:rFonts w:eastAsia="Times New Roman" w:cs="Times New Roman" w:ascii="Times New Roman" w:hAnsi="Times New Roman"/>
          <w:color w:val="111111"/>
          <w:sz w:val="28"/>
          <w:szCs w:val="28"/>
          <w:lang w:val="en-US"/>
        </w:rPr>
        <w:t>143, 144, 146, 147, 149,</w:t>
      </w:r>
    </w:p>
    <w:p>
      <w:pPr>
        <w:pStyle w:val="BookText"/>
        <w:bidi w:val="0"/>
        <w:jc w:val="both"/>
        <w:rPr/>
      </w:pPr>
      <w:r>
        <w:rPr>
          <w:rFonts w:eastAsia="Times New Roman" w:cs="Times New Roman" w:ascii="Times New Roman" w:hAnsi="Times New Roman"/>
          <w:color w:val="111111"/>
          <w:sz w:val="28"/>
          <w:szCs w:val="28"/>
          <w:lang w:val="en-US"/>
        </w:rPr>
        <w:t>155, 159, 162, 172, 176,</w:t>
      </w:r>
    </w:p>
    <w:p>
      <w:pPr>
        <w:pStyle w:val="BookText"/>
        <w:bidi w:val="0"/>
        <w:jc w:val="both"/>
        <w:rPr/>
      </w:pPr>
      <w:r>
        <w:rPr>
          <w:rFonts w:eastAsia="Times New Roman" w:cs="Times New Roman" w:ascii="Times New Roman" w:hAnsi="Times New Roman"/>
          <w:color w:val="111111"/>
          <w:sz w:val="28"/>
          <w:szCs w:val="28"/>
          <w:lang w:val="en-US"/>
        </w:rPr>
        <w:t>178, 179, 205, 275</w:t>
      </w:r>
    </w:p>
    <w:p>
      <w:pPr>
        <w:pStyle w:val="BookText"/>
        <w:bidi w:val="0"/>
        <w:jc w:val="both"/>
        <w:rPr/>
      </w:pPr>
      <w:r>
        <w:rPr>
          <w:rFonts w:eastAsia="Times New Roman" w:cs="Times New Roman" w:ascii="Times New Roman" w:hAnsi="Times New Roman"/>
          <w:color w:val="111111"/>
          <w:sz w:val="28"/>
          <w:szCs w:val="28"/>
          <w:lang w:val="en-US"/>
        </w:rPr>
        <w:t>logis 70, 72, 73, 86, 108, 148,</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180, 207, 245 </w:t>
      </w:r>
    </w:p>
    <w:p>
      <w:pPr>
        <w:pStyle w:val="BookText"/>
        <w:bidi w:val="0"/>
        <w:rPr/>
      </w:pPr>
      <w:r>
        <w:rPr>
          <w:rFonts w:eastAsia="Times New Roman" w:cs="Times New Roman" w:ascii="Times New Roman" w:hAnsi="Times New Roman"/>
          <w:color w:val="111111"/>
          <w:sz w:val="28"/>
          <w:szCs w:val="28"/>
          <w:lang w:val="en-US"/>
        </w:rPr>
        <w:t>Manthiq Al-Masyriqiyyin 146,</w:t>
      </w:r>
    </w:p>
    <w:p>
      <w:pPr>
        <w:pStyle w:val="BookText"/>
        <w:bidi w:val="0"/>
        <w:jc w:val="both"/>
        <w:rPr/>
      </w:pPr>
      <w:r>
        <w:rPr>
          <w:rFonts w:eastAsia="Times New Roman" w:cs="Times New Roman" w:ascii="Times New Roman" w:hAnsi="Times New Roman"/>
          <w:color w:val="111111"/>
          <w:sz w:val="28"/>
          <w:szCs w:val="28"/>
          <w:lang w:val="en-US"/>
        </w:rPr>
        <w:t>155, 179, 188, 282</w:t>
      </w:r>
    </w:p>
    <w:p>
      <w:pPr>
        <w:pStyle w:val="BookText"/>
        <w:bidi w:val="0"/>
        <w:jc w:val="both"/>
        <w:rPr/>
      </w:pPr>
      <w:r>
        <w:rPr>
          <w:rFonts w:eastAsia="Times New Roman" w:cs="Times New Roman" w:ascii="Times New Roman" w:hAnsi="Times New Roman"/>
          <w:color w:val="111111"/>
          <w:sz w:val="28"/>
          <w:szCs w:val="28"/>
          <w:lang w:val="en-US"/>
        </w:rPr>
        <w:t>metafisika 18, 21, 22, 30, 36, 38,</w:t>
      </w:r>
    </w:p>
    <w:p>
      <w:pPr>
        <w:pStyle w:val="BookText"/>
        <w:bidi w:val="0"/>
        <w:jc w:val="both"/>
        <w:rPr/>
      </w:pPr>
      <w:r>
        <w:rPr>
          <w:rFonts w:eastAsia="Times New Roman" w:cs="Times New Roman" w:ascii="Times New Roman" w:hAnsi="Times New Roman"/>
          <w:color w:val="111111"/>
          <w:sz w:val="28"/>
          <w:szCs w:val="28"/>
          <w:lang w:val="en-US"/>
        </w:rPr>
        <w:t>54, 57, 62, 79, 84, 87, 103,</w:t>
      </w:r>
    </w:p>
    <w:p>
      <w:pPr>
        <w:pStyle w:val="BookText"/>
        <w:bidi w:val="0"/>
        <w:jc w:val="both"/>
        <w:rPr/>
      </w:pPr>
      <w:r>
        <w:rPr>
          <w:rFonts w:eastAsia="Times New Roman" w:cs="Times New Roman" w:ascii="Times New Roman" w:hAnsi="Times New Roman"/>
          <w:color w:val="111111"/>
          <w:sz w:val="28"/>
          <w:szCs w:val="28"/>
          <w:lang w:val="en-US"/>
        </w:rPr>
        <w:t>126, 127, 192, 227, 230,</w:t>
      </w:r>
    </w:p>
    <w:p>
      <w:pPr>
        <w:pStyle w:val="BookText"/>
        <w:bidi w:val="0"/>
        <w:jc w:val="both"/>
        <w:rPr/>
      </w:pPr>
      <w:r>
        <w:rPr>
          <w:rFonts w:eastAsia="Times New Roman" w:cs="Times New Roman" w:ascii="Times New Roman" w:hAnsi="Times New Roman"/>
          <w:color w:val="111111"/>
          <w:sz w:val="28"/>
          <w:szCs w:val="28"/>
          <w:lang w:val="en-US"/>
        </w:rPr>
        <w:t>238, 249, 252</w:t>
      </w:r>
    </w:p>
    <w:p>
      <w:pPr>
        <w:pStyle w:val="BookText"/>
        <w:bidi w:val="0"/>
        <w:jc w:val="both"/>
        <w:rPr/>
      </w:pPr>
      <w:r>
        <w:rPr>
          <w:rFonts w:eastAsia="Times New Roman" w:cs="Times New Roman" w:ascii="Times New Roman" w:hAnsi="Times New Roman"/>
          <w:color w:val="111111"/>
          <w:sz w:val="28"/>
          <w:szCs w:val="28"/>
          <w:lang w:val="en-US"/>
        </w:rPr>
        <w:t>metode 9, 19, 20, 25, 31, 34, 36,</w:t>
      </w:r>
    </w:p>
    <w:p>
      <w:pPr>
        <w:pStyle w:val="BookText"/>
        <w:bidi w:val="0"/>
        <w:jc w:val="both"/>
        <w:rPr/>
      </w:pPr>
      <w:r>
        <w:rPr>
          <w:rFonts w:eastAsia="Times New Roman" w:cs="Times New Roman" w:ascii="Times New Roman" w:hAnsi="Times New Roman"/>
          <w:color w:val="111111"/>
          <w:sz w:val="28"/>
          <w:szCs w:val="28"/>
          <w:lang w:val="en-US"/>
        </w:rPr>
        <w:t>42, 43, 45, 54, 59, 61, 62,</w:t>
      </w:r>
    </w:p>
    <w:p>
      <w:pPr>
        <w:pStyle w:val="BookText"/>
        <w:bidi w:val="0"/>
        <w:jc w:val="both"/>
        <w:rPr/>
      </w:pPr>
      <w:r>
        <w:rPr>
          <w:rFonts w:eastAsia="Times New Roman" w:cs="Times New Roman" w:ascii="Times New Roman" w:hAnsi="Times New Roman"/>
          <w:color w:val="111111"/>
          <w:sz w:val="28"/>
          <w:szCs w:val="28"/>
          <w:lang w:val="en-US"/>
        </w:rPr>
        <w:t>71, 82, 86, 97, 102, 122,</w:t>
      </w:r>
    </w:p>
    <w:p>
      <w:pPr>
        <w:pStyle w:val="BookText"/>
        <w:bidi w:val="0"/>
        <w:jc w:val="both"/>
        <w:rPr/>
      </w:pPr>
      <w:r>
        <w:rPr>
          <w:rFonts w:eastAsia="Times New Roman" w:cs="Times New Roman" w:ascii="Times New Roman" w:hAnsi="Times New Roman"/>
          <w:color w:val="111111"/>
          <w:sz w:val="28"/>
          <w:szCs w:val="28"/>
          <w:lang w:val="en-US"/>
        </w:rPr>
        <w:t>125, 126, 129, 130, 131,</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154, 156, 159, 161, 167,</w:t>
      </w:r>
    </w:p>
    <w:p>
      <w:pPr>
        <w:pStyle w:val="BookText"/>
        <w:bidi w:val="0"/>
        <w:jc w:val="both"/>
        <w:rPr/>
      </w:pPr>
      <w:r>
        <w:rPr>
          <w:rFonts w:eastAsia="Times New Roman" w:cs="Times New Roman" w:ascii="Times New Roman" w:hAnsi="Times New Roman"/>
          <w:color w:val="111111"/>
          <w:sz w:val="28"/>
          <w:szCs w:val="28"/>
          <w:lang w:val="en-US"/>
        </w:rPr>
        <w:t>170, 173, 175, 179, 182,</w:t>
      </w:r>
    </w:p>
    <w:p>
      <w:pPr>
        <w:pStyle w:val="BookText"/>
        <w:bidi w:val="0"/>
        <w:jc w:val="both"/>
        <w:rPr/>
      </w:pPr>
      <w:r>
        <w:rPr>
          <w:rFonts w:eastAsia="Times New Roman" w:cs="Times New Roman" w:ascii="Times New Roman" w:hAnsi="Times New Roman"/>
          <w:color w:val="111111"/>
          <w:sz w:val="28"/>
          <w:szCs w:val="28"/>
          <w:lang w:val="en-US"/>
        </w:rPr>
        <w:t>183, 197, 198, 207, 208,</w:t>
      </w:r>
    </w:p>
    <w:p>
      <w:pPr>
        <w:pStyle w:val="BookText"/>
        <w:bidi w:val="0"/>
        <w:jc w:val="both"/>
        <w:rPr/>
      </w:pPr>
      <w:r>
        <w:rPr>
          <w:rFonts w:eastAsia="Times New Roman" w:cs="Times New Roman" w:ascii="Times New Roman" w:hAnsi="Times New Roman"/>
          <w:color w:val="111111"/>
          <w:sz w:val="28"/>
          <w:szCs w:val="28"/>
          <w:lang w:val="en-US"/>
        </w:rPr>
        <w:t>214, 247, 262, 263, 266,</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metodologi 10, 11, 21, 23, 29,</w:t>
      </w:r>
    </w:p>
    <w:p>
      <w:pPr>
        <w:pStyle w:val="BookText"/>
        <w:bidi w:val="0"/>
        <w:jc w:val="both"/>
        <w:rPr/>
      </w:pPr>
      <w:r>
        <w:rPr>
          <w:rFonts w:eastAsia="Times New Roman" w:cs="Times New Roman" w:ascii="Times New Roman" w:hAnsi="Times New Roman"/>
          <w:color w:val="111111"/>
          <w:sz w:val="28"/>
          <w:szCs w:val="28"/>
          <w:lang w:val="en-US"/>
        </w:rPr>
        <w:t>30, 31, 33, 34, 35, 37, 42,</w:t>
      </w:r>
    </w:p>
    <w:p>
      <w:pPr>
        <w:pStyle w:val="BookText"/>
        <w:bidi w:val="0"/>
        <w:jc w:val="both"/>
        <w:rPr/>
      </w:pPr>
      <w:r>
        <w:rPr>
          <w:rFonts w:eastAsia="Times New Roman" w:cs="Times New Roman" w:ascii="Times New Roman" w:hAnsi="Times New Roman"/>
          <w:color w:val="111111"/>
          <w:sz w:val="28"/>
          <w:szCs w:val="28"/>
          <w:lang w:val="en-US"/>
        </w:rPr>
        <w:t>45, 48, 49, 52, 54, 59, 62,</w:t>
      </w:r>
    </w:p>
    <w:p>
      <w:pPr>
        <w:pStyle w:val="BookText"/>
        <w:bidi w:val="0"/>
        <w:jc w:val="both"/>
        <w:rPr/>
      </w:pPr>
      <w:r>
        <w:rPr>
          <w:rFonts w:eastAsia="Times New Roman" w:cs="Times New Roman" w:ascii="Times New Roman" w:hAnsi="Times New Roman"/>
          <w:color w:val="111111"/>
          <w:sz w:val="28"/>
          <w:szCs w:val="28"/>
          <w:lang w:val="en-US"/>
        </w:rPr>
        <w:t>70, 102, 105, 109, 123,</w:t>
      </w:r>
    </w:p>
    <w:p>
      <w:pPr>
        <w:pStyle w:val="BookText"/>
        <w:bidi w:val="0"/>
        <w:jc w:val="both"/>
        <w:rPr/>
      </w:pPr>
      <w:r>
        <w:rPr>
          <w:rFonts w:eastAsia="Times New Roman" w:cs="Times New Roman" w:ascii="Times New Roman" w:hAnsi="Times New Roman"/>
          <w:color w:val="111111"/>
          <w:sz w:val="28"/>
          <w:szCs w:val="28"/>
          <w:lang w:val="en-US"/>
        </w:rPr>
        <w:t>127, 131, 133, 139, 140,</w:t>
      </w:r>
    </w:p>
    <w:p>
      <w:pPr>
        <w:pStyle w:val="BookText"/>
        <w:bidi w:val="0"/>
        <w:jc w:val="both"/>
        <w:rPr/>
      </w:pPr>
      <w:r>
        <w:rPr>
          <w:rFonts w:eastAsia="Times New Roman" w:cs="Times New Roman" w:ascii="Times New Roman" w:hAnsi="Times New Roman"/>
          <w:color w:val="111111"/>
          <w:sz w:val="28"/>
          <w:szCs w:val="28"/>
          <w:lang w:val="en-US"/>
        </w:rPr>
        <w:t>143, 148, 155, 160, 173,</w:t>
      </w:r>
    </w:p>
    <w:p>
      <w:pPr>
        <w:pStyle w:val="BookText"/>
        <w:bidi w:val="0"/>
        <w:jc w:val="both"/>
        <w:rPr/>
      </w:pPr>
      <w:r>
        <w:rPr>
          <w:rFonts w:eastAsia="Times New Roman" w:cs="Times New Roman" w:ascii="Times New Roman" w:hAnsi="Times New Roman"/>
          <w:color w:val="111111"/>
          <w:sz w:val="28"/>
          <w:szCs w:val="28"/>
          <w:lang w:val="en-US"/>
        </w:rPr>
        <w:t>176, 199, 235</w:t>
      </w:r>
    </w:p>
    <w:p>
      <w:pPr>
        <w:pStyle w:val="BookText"/>
        <w:bidi w:val="0"/>
        <w:jc w:val="both"/>
        <w:rPr/>
      </w:pPr>
      <w:r>
        <w:rPr>
          <w:rFonts w:eastAsia="Times New Roman" w:cs="Times New Roman" w:ascii="Times New Roman" w:hAnsi="Times New Roman"/>
          <w:color w:val="111111"/>
          <w:sz w:val="28"/>
          <w:szCs w:val="28"/>
          <w:lang w:val="en-US"/>
        </w:rPr>
        <w:t>mimpi 32, 214, 215, 216, 250</w:t>
      </w:r>
    </w:p>
    <w:p>
      <w:pPr>
        <w:pStyle w:val="BookText"/>
        <w:bidi w:val="0"/>
        <w:jc w:val="both"/>
        <w:rPr/>
      </w:pPr>
      <w:r>
        <w:rPr>
          <w:rFonts w:eastAsia="Times New Roman" w:cs="Times New Roman" w:ascii="Times New Roman" w:hAnsi="Times New Roman"/>
          <w:color w:val="111111"/>
          <w:sz w:val="28"/>
          <w:szCs w:val="28"/>
          <w:lang w:val="en-US"/>
        </w:rPr>
        <w:t>mistis 9, 10, 18, 19, 39, 42, 50,</w:t>
      </w:r>
    </w:p>
    <w:p>
      <w:pPr>
        <w:pStyle w:val="BookText"/>
        <w:bidi w:val="0"/>
        <w:jc w:val="both"/>
        <w:rPr/>
      </w:pPr>
      <w:r>
        <w:rPr>
          <w:rFonts w:eastAsia="Times New Roman" w:cs="Times New Roman" w:ascii="Times New Roman" w:hAnsi="Times New Roman"/>
          <w:color w:val="111111"/>
          <w:sz w:val="28"/>
          <w:szCs w:val="28"/>
          <w:lang w:val="en-US"/>
        </w:rPr>
        <w:t>65, 121, 160, 198</w:t>
      </w:r>
    </w:p>
    <w:p>
      <w:pPr>
        <w:pStyle w:val="BookText"/>
        <w:bidi w:val="0"/>
        <w:jc w:val="both"/>
        <w:rPr/>
      </w:pPr>
      <w:r>
        <w:rPr>
          <w:rFonts w:eastAsia="Times New Roman" w:cs="Times New Roman" w:ascii="Times New Roman" w:hAnsi="Times New Roman"/>
          <w:color w:val="111111"/>
          <w:sz w:val="28"/>
          <w:szCs w:val="28"/>
          <w:lang w:val="en-US"/>
        </w:rPr>
        <w:t>monumental 9, 10</w:t>
      </w:r>
    </w:p>
    <w:p>
      <w:pPr>
        <w:pStyle w:val="BookText"/>
        <w:bidi w:val="0"/>
        <w:jc w:val="both"/>
        <w:rPr/>
      </w:pPr>
      <w:r>
        <w:rPr>
          <w:rFonts w:eastAsia="Times New Roman" w:cs="Times New Roman" w:ascii="Times New Roman" w:hAnsi="Times New Roman"/>
          <w:color w:val="111111"/>
          <w:sz w:val="28"/>
          <w:szCs w:val="28"/>
          <w:lang w:val="en-US"/>
        </w:rPr>
        <w:t>pemikiran 9, 11, 12, 17, 18, 21,</w:t>
      </w:r>
    </w:p>
    <w:p>
      <w:pPr>
        <w:pStyle w:val="BookText"/>
        <w:bidi w:val="0"/>
        <w:jc w:val="both"/>
        <w:rPr/>
      </w:pPr>
      <w:r>
        <w:rPr>
          <w:rFonts w:eastAsia="Times New Roman" w:cs="Times New Roman" w:ascii="Times New Roman" w:hAnsi="Times New Roman"/>
          <w:color w:val="111111"/>
          <w:sz w:val="28"/>
          <w:szCs w:val="28"/>
          <w:lang w:val="en-US"/>
        </w:rPr>
        <w:t>28, 53, 54, 55, 69, 70, 76,</w:t>
      </w:r>
    </w:p>
    <w:p>
      <w:pPr>
        <w:pStyle w:val="BookText"/>
        <w:bidi w:val="0"/>
        <w:jc w:val="both"/>
        <w:rPr/>
      </w:pPr>
      <w:r>
        <w:rPr>
          <w:rFonts w:eastAsia="Times New Roman" w:cs="Times New Roman" w:ascii="Times New Roman" w:hAnsi="Times New Roman"/>
          <w:color w:val="111111"/>
          <w:sz w:val="28"/>
          <w:szCs w:val="28"/>
          <w:lang w:val="en-US"/>
        </w:rPr>
        <w:t>90, 135, 146, 158, 161,</w:t>
      </w:r>
    </w:p>
    <w:p>
      <w:pPr>
        <w:pStyle w:val="BookText"/>
        <w:bidi w:val="0"/>
        <w:jc w:val="both"/>
        <w:rPr/>
      </w:pPr>
      <w:r>
        <w:rPr>
          <w:rFonts w:eastAsia="Times New Roman" w:cs="Times New Roman" w:ascii="Times New Roman" w:hAnsi="Times New Roman"/>
          <w:color w:val="111111"/>
          <w:sz w:val="28"/>
          <w:szCs w:val="28"/>
          <w:lang w:val="en-US"/>
        </w:rPr>
        <w:t>185, 229, 234, 245, 262,</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pencerahan 70</w:t>
      </w:r>
    </w:p>
    <w:p>
      <w:pPr>
        <w:pStyle w:val="BookText"/>
        <w:bidi w:val="0"/>
        <w:jc w:val="both"/>
        <w:rPr/>
      </w:pPr>
      <w:r>
        <w:rPr>
          <w:rFonts w:eastAsia="Times New Roman" w:cs="Times New Roman" w:ascii="Times New Roman" w:hAnsi="Times New Roman"/>
          <w:color w:val="111111"/>
          <w:sz w:val="28"/>
          <w:szCs w:val="28"/>
          <w:lang w:val="en-US"/>
        </w:rPr>
        <w:t>pengalaman 19, 24, 32, 35, 36,</w:t>
      </w:r>
    </w:p>
    <w:p>
      <w:pPr>
        <w:pStyle w:val="BookText"/>
        <w:bidi w:val="0"/>
        <w:jc w:val="both"/>
        <w:rPr/>
      </w:pPr>
      <w:r>
        <w:rPr>
          <w:rFonts w:eastAsia="Times New Roman" w:cs="Times New Roman" w:ascii="Times New Roman" w:hAnsi="Times New Roman"/>
          <w:color w:val="111111"/>
          <w:sz w:val="28"/>
          <w:szCs w:val="28"/>
          <w:lang w:val="en-US"/>
        </w:rPr>
        <w:t>39, 40, 41, 42, 46, 47, 48,</w:t>
      </w:r>
    </w:p>
    <w:p>
      <w:pPr>
        <w:pStyle w:val="BookText"/>
        <w:bidi w:val="0"/>
        <w:jc w:val="both"/>
        <w:rPr/>
      </w:pPr>
      <w:r>
        <w:rPr>
          <w:rFonts w:eastAsia="Times New Roman" w:cs="Times New Roman" w:ascii="Times New Roman" w:hAnsi="Times New Roman"/>
          <w:color w:val="111111"/>
          <w:sz w:val="28"/>
          <w:szCs w:val="28"/>
          <w:lang w:val="en-US"/>
        </w:rPr>
        <w:t>49, 51, 54, 65, 111, 121,</w:t>
      </w:r>
    </w:p>
    <w:p>
      <w:pPr>
        <w:pStyle w:val="BookText"/>
        <w:bidi w:val="0"/>
        <w:jc w:val="both"/>
        <w:rPr/>
      </w:pPr>
      <w:r>
        <w:rPr>
          <w:rFonts w:eastAsia="Times New Roman" w:cs="Times New Roman" w:ascii="Times New Roman" w:hAnsi="Times New Roman"/>
          <w:color w:val="111111"/>
          <w:sz w:val="28"/>
          <w:szCs w:val="28"/>
          <w:lang w:val="en-US"/>
        </w:rPr>
        <w:t>132, 160, 175, 176, 177,</w:t>
      </w:r>
    </w:p>
    <w:p>
      <w:pPr>
        <w:pStyle w:val="BookText"/>
        <w:bidi w:val="0"/>
        <w:jc w:val="both"/>
        <w:rPr/>
      </w:pPr>
      <w:r>
        <w:rPr>
          <w:rFonts w:eastAsia="Times New Roman" w:cs="Times New Roman" w:ascii="Times New Roman" w:hAnsi="Times New Roman"/>
          <w:color w:val="111111"/>
          <w:sz w:val="28"/>
          <w:szCs w:val="28"/>
          <w:lang w:val="en-US"/>
        </w:rPr>
        <w:t>179, 197, 198, 211, 212,</w:t>
      </w:r>
    </w:p>
    <w:p>
      <w:pPr>
        <w:pStyle w:val="BookText"/>
        <w:bidi w:val="0"/>
        <w:jc w:val="both"/>
        <w:rPr/>
      </w:pPr>
      <w:r>
        <w:rPr>
          <w:rFonts w:eastAsia="Times New Roman" w:cs="Times New Roman" w:ascii="Times New Roman" w:hAnsi="Times New Roman"/>
          <w:color w:val="111111"/>
          <w:sz w:val="28"/>
          <w:szCs w:val="28"/>
          <w:lang w:val="en-US"/>
        </w:rPr>
        <w:t>213, 215, 219, 223, 227,</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pengetahuan 11, 12, 13, 24, 30,</w:t>
      </w:r>
    </w:p>
    <w:p>
      <w:pPr>
        <w:pStyle w:val="BookText"/>
        <w:bidi w:val="0"/>
        <w:jc w:val="both"/>
        <w:rPr/>
      </w:pPr>
      <w:r>
        <w:rPr>
          <w:rFonts w:eastAsia="Times New Roman" w:cs="Times New Roman" w:ascii="Times New Roman" w:hAnsi="Times New Roman"/>
          <w:color w:val="111111"/>
          <w:sz w:val="28"/>
          <w:szCs w:val="28"/>
          <w:lang w:val="en-US"/>
        </w:rPr>
        <w:t>31, 32, 38, 42, 48, 49, 50,</w:t>
      </w:r>
    </w:p>
    <w:p>
      <w:pPr>
        <w:pStyle w:val="BookText"/>
        <w:bidi w:val="0"/>
        <w:jc w:val="both"/>
        <w:rPr/>
      </w:pPr>
      <w:r>
        <w:rPr>
          <w:rFonts w:eastAsia="Times New Roman" w:cs="Times New Roman" w:ascii="Times New Roman" w:hAnsi="Times New Roman"/>
          <w:color w:val="111111"/>
          <w:sz w:val="28"/>
          <w:szCs w:val="28"/>
          <w:lang w:val="en-US"/>
        </w:rPr>
        <w:t>52, 61, 68, 69, 70, 71, 72,</w:t>
      </w:r>
    </w:p>
    <w:p>
      <w:pPr>
        <w:pStyle w:val="BookText"/>
        <w:bidi w:val="0"/>
        <w:jc w:val="both"/>
        <w:rPr/>
      </w:pPr>
      <w:r>
        <w:rPr>
          <w:rFonts w:eastAsia="Times New Roman" w:cs="Times New Roman" w:ascii="Times New Roman" w:hAnsi="Times New Roman"/>
          <w:color w:val="111111"/>
          <w:sz w:val="28"/>
          <w:szCs w:val="28"/>
          <w:lang w:val="en-US"/>
        </w:rPr>
        <w:t>74, 78, 90, 91, 92, 93, 94,</w:t>
      </w:r>
    </w:p>
    <w:p>
      <w:pPr>
        <w:pStyle w:val="BookText"/>
        <w:bidi w:val="0"/>
        <w:jc w:val="both"/>
        <w:rPr/>
      </w:pPr>
      <w:r>
        <w:rPr>
          <w:rFonts w:eastAsia="Times New Roman" w:cs="Times New Roman" w:ascii="Times New Roman" w:hAnsi="Times New Roman"/>
          <w:color w:val="111111"/>
          <w:sz w:val="28"/>
          <w:szCs w:val="28"/>
          <w:lang w:val="en-US"/>
        </w:rPr>
        <w:t>95, 96, 102, 105, 107, 112,</w:t>
      </w:r>
    </w:p>
    <w:p>
      <w:pPr>
        <w:pStyle w:val="BookText"/>
        <w:bidi w:val="0"/>
        <w:jc w:val="both"/>
        <w:rPr/>
      </w:pPr>
      <w:r>
        <w:rPr>
          <w:rFonts w:eastAsia="Times New Roman" w:cs="Times New Roman" w:ascii="Times New Roman" w:hAnsi="Times New Roman"/>
          <w:color w:val="111111"/>
          <w:sz w:val="28"/>
          <w:szCs w:val="28"/>
          <w:lang w:val="en-US"/>
        </w:rPr>
        <w:t>122, 123, 124, 125, 126,</w:t>
      </w:r>
    </w:p>
    <w:p>
      <w:pPr>
        <w:pStyle w:val="BookText"/>
        <w:bidi w:val="0"/>
        <w:jc w:val="both"/>
        <w:rPr/>
      </w:pPr>
      <w:r>
        <w:rPr>
          <w:rFonts w:eastAsia="Times New Roman" w:cs="Times New Roman" w:ascii="Times New Roman" w:hAnsi="Times New Roman"/>
          <w:color w:val="111111"/>
          <w:sz w:val="28"/>
          <w:szCs w:val="28"/>
          <w:lang w:val="en-US"/>
        </w:rPr>
        <w:t>128, 129, 130, 132, 133,</w:t>
      </w:r>
    </w:p>
    <w:p>
      <w:pPr>
        <w:pStyle w:val="BookText"/>
        <w:bidi w:val="0"/>
        <w:jc w:val="both"/>
        <w:rPr/>
      </w:pPr>
      <w:r>
        <w:rPr>
          <w:rFonts w:eastAsia="Times New Roman" w:cs="Times New Roman" w:ascii="Times New Roman" w:hAnsi="Times New Roman"/>
          <w:color w:val="111111"/>
          <w:sz w:val="28"/>
          <w:szCs w:val="28"/>
          <w:lang w:val="en-US"/>
        </w:rPr>
        <w:t>134, 135, 136, 138, 140,</w:t>
      </w:r>
    </w:p>
    <w:p>
      <w:pPr>
        <w:pStyle w:val="BookText"/>
        <w:bidi w:val="0"/>
        <w:jc w:val="both"/>
        <w:rPr/>
      </w:pPr>
      <w:r>
        <w:rPr>
          <w:rFonts w:eastAsia="Times New Roman" w:cs="Times New Roman" w:ascii="Times New Roman" w:hAnsi="Times New Roman"/>
          <w:color w:val="111111"/>
          <w:sz w:val="28"/>
          <w:szCs w:val="28"/>
          <w:lang w:val="en-US"/>
        </w:rPr>
        <w:t>143, 145, 146, 152, 156,</w:t>
      </w:r>
    </w:p>
    <w:p>
      <w:pPr>
        <w:pStyle w:val="BookText"/>
        <w:bidi w:val="0"/>
        <w:jc w:val="both"/>
        <w:rPr/>
      </w:pPr>
      <w:r>
        <w:rPr>
          <w:rFonts w:eastAsia="Times New Roman" w:cs="Times New Roman" w:ascii="Times New Roman" w:hAnsi="Times New Roman"/>
          <w:color w:val="111111"/>
          <w:sz w:val="28"/>
          <w:szCs w:val="28"/>
          <w:lang w:val="en-US"/>
        </w:rPr>
        <w:t>157, 159, 160, 161, 162,</w:t>
      </w:r>
    </w:p>
    <w:p>
      <w:pPr>
        <w:pStyle w:val="BookText"/>
        <w:bidi w:val="0"/>
        <w:jc w:val="both"/>
        <w:rPr/>
      </w:pPr>
      <w:r>
        <w:rPr>
          <w:rFonts w:eastAsia="Times New Roman" w:cs="Times New Roman" w:ascii="Times New Roman" w:hAnsi="Times New Roman"/>
          <w:color w:val="111111"/>
          <w:sz w:val="28"/>
          <w:szCs w:val="28"/>
          <w:lang w:val="en-US"/>
        </w:rPr>
        <w:t>164, 165, 166, 167, 169,</w:t>
      </w:r>
    </w:p>
    <w:p>
      <w:pPr>
        <w:pStyle w:val="BookText"/>
        <w:bidi w:val="0"/>
        <w:jc w:val="both"/>
        <w:rPr/>
      </w:pPr>
      <w:r>
        <w:rPr>
          <w:rFonts w:eastAsia="Times New Roman" w:cs="Times New Roman" w:ascii="Times New Roman" w:hAnsi="Times New Roman"/>
          <w:color w:val="111111"/>
          <w:sz w:val="28"/>
          <w:szCs w:val="28"/>
          <w:lang w:val="en-US"/>
        </w:rPr>
        <w:t>170, 171, 173, 174, 175,</w:t>
      </w:r>
    </w:p>
    <w:p>
      <w:pPr>
        <w:pStyle w:val="BookText"/>
        <w:bidi w:val="0"/>
        <w:jc w:val="both"/>
        <w:rPr/>
      </w:pPr>
      <w:r>
        <w:rPr>
          <w:rFonts w:eastAsia="Times New Roman" w:cs="Times New Roman" w:ascii="Times New Roman" w:hAnsi="Times New Roman"/>
          <w:color w:val="111111"/>
          <w:sz w:val="28"/>
          <w:szCs w:val="28"/>
          <w:lang w:val="en-US"/>
        </w:rPr>
        <w:t>176, 179, 181, 184, 193,</w:t>
      </w:r>
    </w:p>
    <w:p>
      <w:pPr>
        <w:pStyle w:val="BookText"/>
        <w:bidi w:val="0"/>
        <w:jc w:val="both"/>
        <w:rPr/>
      </w:pPr>
      <w:r>
        <w:rPr>
          <w:rFonts w:eastAsia="Times New Roman" w:cs="Times New Roman" w:ascii="Times New Roman" w:hAnsi="Times New Roman"/>
          <w:color w:val="111111"/>
          <w:sz w:val="28"/>
          <w:szCs w:val="28"/>
          <w:lang w:val="en-US"/>
        </w:rPr>
        <w:t>194, 197, 198, 199, 200,</w:t>
      </w:r>
    </w:p>
    <w:p>
      <w:pPr>
        <w:pStyle w:val="BookText"/>
        <w:bidi w:val="0"/>
        <w:jc w:val="both"/>
        <w:rPr/>
      </w:pPr>
      <w:r>
        <w:rPr>
          <w:rFonts w:eastAsia="Times New Roman" w:cs="Times New Roman" w:ascii="Times New Roman" w:hAnsi="Times New Roman"/>
          <w:color w:val="111111"/>
          <w:sz w:val="28"/>
          <w:szCs w:val="28"/>
          <w:lang w:val="en-US"/>
        </w:rPr>
        <w:t>201, 202, 203, 204, 205,</w:t>
      </w:r>
    </w:p>
    <w:p>
      <w:pPr>
        <w:pStyle w:val="BookText"/>
        <w:bidi w:val="0"/>
        <w:jc w:val="both"/>
        <w:rPr/>
      </w:pPr>
      <w:r>
        <w:rPr>
          <w:rFonts w:eastAsia="Times New Roman" w:cs="Times New Roman" w:ascii="Times New Roman" w:hAnsi="Times New Roman"/>
          <w:color w:val="111111"/>
          <w:sz w:val="28"/>
          <w:szCs w:val="28"/>
          <w:lang w:val="en-US"/>
        </w:rPr>
        <w:t>206, 207, 208, 209, 210,</w:t>
      </w:r>
    </w:p>
    <w:p>
      <w:pPr>
        <w:pStyle w:val="BookText"/>
        <w:bidi w:val="0"/>
        <w:jc w:val="both"/>
        <w:rPr/>
      </w:pPr>
      <w:r>
        <w:rPr>
          <w:rFonts w:eastAsia="Times New Roman" w:cs="Times New Roman" w:ascii="Times New Roman" w:hAnsi="Times New Roman"/>
          <w:color w:val="111111"/>
          <w:sz w:val="28"/>
          <w:szCs w:val="28"/>
          <w:lang w:val="en-US"/>
        </w:rPr>
        <w:t>211, 212, 213, 214, 215,</w:t>
      </w:r>
    </w:p>
    <w:p>
      <w:pPr>
        <w:pStyle w:val="BookText"/>
        <w:bidi w:val="0"/>
        <w:jc w:val="both"/>
        <w:rPr/>
      </w:pPr>
      <w:r>
        <w:rPr>
          <w:rFonts w:eastAsia="Times New Roman" w:cs="Times New Roman" w:ascii="Times New Roman" w:hAnsi="Times New Roman"/>
          <w:color w:val="111111"/>
          <w:sz w:val="28"/>
          <w:szCs w:val="28"/>
          <w:lang w:val="en-US"/>
        </w:rPr>
        <w:t>216, 217, 218, 219, 220,</w:t>
      </w:r>
    </w:p>
    <w:p>
      <w:pPr>
        <w:pStyle w:val="BookText"/>
        <w:bidi w:val="0"/>
        <w:jc w:val="both"/>
        <w:rPr/>
      </w:pPr>
      <w:r>
        <w:rPr>
          <w:rFonts w:eastAsia="Times New Roman" w:cs="Times New Roman" w:ascii="Times New Roman" w:hAnsi="Times New Roman"/>
          <w:color w:val="111111"/>
          <w:sz w:val="28"/>
          <w:szCs w:val="28"/>
          <w:lang w:val="en-US"/>
        </w:rPr>
        <w:t>221, 223, 224, 225, 227,</w:t>
      </w:r>
    </w:p>
    <w:p>
      <w:pPr>
        <w:pStyle w:val="BookText"/>
        <w:bidi w:val="0"/>
        <w:jc w:val="both"/>
        <w:rPr/>
      </w:pPr>
      <w:r>
        <w:rPr>
          <w:rFonts w:eastAsia="Times New Roman" w:cs="Times New Roman" w:ascii="Times New Roman" w:hAnsi="Times New Roman"/>
          <w:color w:val="111111"/>
          <w:sz w:val="28"/>
          <w:szCs w:val="28"/>
          <w:lang w:val="en-US"/>
        </w:rPr>
        <w:t>230, 232, 241, 243, 244,</w:t>
      </w:r>
    </w:p>
    <w:p>
      <w:pPr>
        <w:pStyle w:val="BookText"/>
        <w:bidi w:val="0"/>
        <w:jc w:val="both"/>
        <w:rPr/>
      </w:pPr>
      <w:r>
        <w:rPr>
          <w:rFonts w:eastAsia="Times New Roman" w:cs="Times New Roman" w:ascii="Times New Roman" w:hAnsi="Times New Roman"/>
          <w:color w:val="111111"/>
          <w:sz w:val="28"/>
          <w:szCs w:val="28"/>
          <w:lang w:val="en-US"/>
        </w:rPr>
        <w:t>245, 246, 247, 248, 249,</w:t>
      </w:r>
    </w:p>
    <w:p>
      <w:pPr>
        <w:pStyle w:val="BookText"/>
        <w:bidi w:val="0"/>
        <w:jc w:val="both"/>
        <w:rPr/>
      </w:pPr>
      <w:r>
        <w:rPr>
          <w:rFonts w:eastAsia="Times New Roman" w:cs="Times New Roman" w:ascii="Times New Roman" w:hAnsi="Times New Roman"/>
          <w:color w:val="111111"/>
          <w:sz w:val="28"/>
          <w:szCs w:val="28"/>
          <w:lang w:val="en-US"/>
        </w:rPr>
        <w:t>263, 269, 272, 273</w:t>
      </w:r>
    </w:p>
    <w:p>
      <w:pPr>
        <w:pStyle w:val="BookText"/>
        <w:bidi w:val="0"/>
        <w:jc w:val="both"/>
        <w:rPr/>
      </w:pPr>
      <w:r>
        <w:rPr>
          <w:rFonts w:eastAsia="Times New Roman" w:cs="Times New Roman" w:ascii="Times New Roman" w:hAnsi="Times New Roman"/>
          <w:color w:val="111111"/>
          <w:sz w:val="28"/>
          <w:szCs w:val="28"/>
          <w:lang w:val="en-US"/>
        </w:rPr>
        <w:t>pengetahuan bawaan 68, 69, 71,</w:t>
      </w:r>
    </w:p>
    <w:p>
      <w:pPr>
        <w:pStyle w:val="BookText"/>
        <w:bidi w:val="0"/>
        <w:jc w:val="both"/>
        <w:rPr/>
      </w:pPr>
      <w:r>
        <w:rPr>
          <w:rFonts w:eastAsia="Times New Roman" w:cs="Times New Roman" w:ascii="Times New Roman" w:hAnsi="Times New Roman"/>
          <w:color w:val="111111"/>
          <w:sz w:val="28"/>
          <w:szCs w:val="28"/>
          <w:lang w:val="en-US"/>
        </w:rPr>
        <w:t>107, 164</w:t>
      </w:r>
    </w:p>
    <w:p>
      <w:pPr>
        <w:pStyle w:val="BookText"/>
        <w:bidi w:val="0"/>
        <w:jc w:val="both"/>
        <w:rPr/>
      </w:pPr>
      <w:r>
        <w:rPr>
          <w:rFonts w:eastAsia="Times New Roman" w:cs="Times New Roman" w:ascii="Times New Roman" w:hAnsi="Times New Roman"/>
          <w:color w:val="111111"/>
          <w:sz w:val="28"/>
          <w:szCs w:val="28"/>
          <w:lang w:val="en-US"/>
        </w:rPr>
        <w:t>Nasr 17, 18, 56, 57, 58, 61, 88,</w:t>
      </w:r>
    </w:p>
    <w:p>
      <w:pPr>
        <w:pStyle w:val="BookText"/>
        <w:bidi w:val="0"/>
        <w:jc w:val="both"/>
        <w:rPr/>
      </w:pPr>
      <w:r>
        <w:rPr>
          <w:rFonts w:eastAsia="Times New Roman" w:cs="Times New Roman" w:ascii="Times New Roman" w:hAnsi="Times New Roman"/>
          <w:color w:val="111111"/>
          <w:sz w:val="28"/>
          <w:szCs w:val="28"/>
          <w:lang w:val="en-US"/>
        </w:rPr>
        <w:t>283, 286, 296</w:t>
      </w:r>
    </w:p>
    <w:p>
      <w:pPr>
        <w:pStyle w:val="BookText"/>
        <w:bidi w:val="0"/>
        <w:jc w:val="both"/>
        <w:rPr/>
      </w:pPr>
      <w:r>
        <w:rPr>
          <w:rFonts w:eastAsia="Times New Roman" w:cs="Times New Roman" w:ascii="Times New Roman" w:hAnsi="Times New Roman"/>
          <w:color w:val="111111"/>
          <w:sz w:val="28"/>
          <w:szCs w:val="28"/>
          <w:lang w:val="en-US"/>
        </w:rPr>
        <w:t>observasi 50, 198</w:t>
      </w:r>
    </w:p>
    <w:p>
      <w:pPr>
        <w:pStyle w:val="BookText"/>
        <w:bidi w:val="0"/>
        <w:jc w:val="both"/>
        <w:rPr/>
      </w:pPr>
      <w:r>
        <w:rPr>
          <w:rFonts w:eastAsia="Times New Roman" w:cs="Times New Roman" w:ascii="Times New Roman" w:hAnsi="Times New Roman"/>
          <w:color w:val="111111"/>
          <w:sz w:val="28"/>
          <w:szCs w:val="28"/>
          <w:lang w:val="en-US"/>
        </w:rPr>
        <w:t>Organon 71, 79, 80, 81, 94, 97,</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103, 104, 105, 141, 142 </w:t>
      </w:r>
    </w:p>
    <w:p>
      <w:pPr>
        <w:pStyle w:val="BookText"/>
        <w:bidi w:val="0"/>
        <w:rPr/>
      </w:pPr>
      <w:r>
        <w:rPr>
          <w:rFonts w:eastAsia="Times New Roman" w:cs="Times New Roman" w:ascii="Times New Roman" w:hAnsi="Times New Roman"/>
          <w:color w:val="111111"/>
          <w:sz w:val="28"/>
          <w:szCs w:val="28"/>
          <w:lang w:val="en-US"/>
        </w:rPr>
        <w:t>pengetahuan diri 12, 32, 95,</w:t>
      </w:r>
    </w:p>
    <w:p>
      <w:pPr>
        <w:pStyle w:val="BookText"/>
        <w:bidi w:val="0"/>
        <w:jc w:val="both"/>
        <w:rPr/>
      </w:pPr>
      <w:r>
        <w:rPr>
          <w:rFonts w:eastAsia="Times New Roman" w:cs="Times New Roman" w:ascii="Times New Roman" w:hAnsi="Times New Roman"/>
          <w:color w:val="111111"/>
          <w:sz w:val="28"/>
          <w:szCs w:val="28"/>
          <w:lang w:val="en-US"/>
        </w:rPr>
        <w:t>167, 215, 216, 217, 218,</w:t>
      </w:r>
    </w:p>
    <w:p>
      <w:pPr>
        <w:pStyle w:val="BookText"/>
        <w:bidi w:val="0"/>
        <w:jc w:val="both"/>
        <w:rPr/>
      </w:pPr>
      <w:r>
        <w:rPr>
          <w:rFonts w:eastAsia="Times New Roman" w:cs="Times New Roman" w:ascii="Times New Roman" w:hAnsi="Times New Roman"/>
          <w:color w:val="111111"/>
          <w:sz w:val="28"/>
          <w:szCs w:val="28"/>
          <w:lang w:val="en-US"/>
        </w:rPr>
        <w:t>219, 220, 221, 223, 247</w:t>
      </w:r>
    </w:p>
    <w:p>
      <w:pPr>
        <w:pStyle w:val="BookText"/>
        <w:bidi w:val="0"/>
        <w:jc w:val="both"/>
        <w:rPr/>
      </w:pPr>
      <w:r>
        <w:rPr>
          <w:rFonts w:eastAsia="Times New Roman" w:cs="Times New Roman" w:ascii="Times New Roman" w:hAnsi="Times New Roman"/>
          <w:color w:val="111111"/>
          <w:sz w:val="28"/>
          <w:szCs w:val="28"/>
          <w:lang w:val="en-US"/>
        </w:rPr>
        <w:t>pengetahuan perolehan 68, 69,</w:t>
      </w:r>
    </w:p>
    <w:p>
      <w:pPr>
        <w:pStyle w:val="BookText"/>
        <w:bidi w:val="0"/>
        <w:jc w:val="both"/>
        <w:rPr/>
      </w:pPr>
      <w:r>
        <w:rPr>
          <w:rFonts w:eastAsia="Times New Roman" w:cs="Times New Roman" w:ascii="Times New Roman" w:hAnsi="Times New Roman"/>
          <w:color w:val="111111"/>
          <w:sz w:val="28"/>
          <w:szCs w:val="28"/>
          <w:lang w:val="en-US"/>
        </w:rPr>
        <w:t>71, 107, 207</w:t>
      </w:r>
    </w:p>
    <w:p>
      <w:pPr>
        <w:pStyle w:val="BookText"/>
        <w:bidi w:val="0"/>
        <w:jc w:val="both"/>
        <w:rPr/>
      </w:pPr>
      <w:r>
        <w:rPr>
          <w:rFonts w:eastAsia="Times New Roman" w:cs="Times New Roman" w:ascii="Times New Roman" w:hAnsi="Times New Roman"/>
          <w:color w:val="111111"/>
          <w:sz w:val="28"/>
          <w:szCs w:val="28"/>
          <w:lang w:val="en-US"/>
        </w:rPr>
        <w:t>Peripatetik xiii, 9, 12, 20, 21,</w:t>
      </w:r>
    </w:p>
    <w:p>
      <w:pPr>
        <w:pStyle w:val="BookText"/>
        <w:bidi w:val="0"/>
        <w:jc w:val="both"/>
        <w:rPr/>
      </w:pPr>
      <w:r>
        <w:rPr>
          <w:rFonts w:eastAsia="Times New Roman" w:cs="Times New Roman" w:ascii="Times New Roman" w:hAnsi="Times New Roman"/>
          <w:color w:val="111111"/>
          <w:sz w:val="28"/>
          <w:szCs w:val="28"/>
          <w:lang w:val="en-US"/>
        </w:rPr>
        <w:t>22, 24, 27, 28, 29, 30, 31,</w:t>
      </w:r>
    </w:p>
    <w:p>
      <w:pPr>
        <w:pStyle w:val="BookText"/>
        <w:bidi w:val="0"/>
        <w:jc w:val="both"/>
        <w:rPr/>
      </w:pPr>
      <w:r>
        <w:rPr>
          <w:rFonts w:eastAsia="Times New Roman" w:cs="Times New Roman" w:ascii="Times New Roman" w:hAnsi="Times New Roman"/>
          <w:color w:val="111111"/>
          <w:sz w:val="28"/>
          <w:szCs w:val="28"/>
          <w:lang w:val="en-US"/>
        </w:rPr>
        <w:t>33, 34, 36, 37, 38, 39, 42,</w:t>
      </w:r>
    </w:p>
    <w:p>
      <w:pPr>
        <w:pStyle w:val="BookText"/>
        <w:bidi w:val="0"/>
        <w:jc w:val="both"/>
        <w:rPr/>
      </w:pPr>
      <w:r>
        <w:rPr>
          <w:rFonts w:eastAsia="Times New Roman" w:cs="Times New Roman" w:ascii="Times New Roman" w:hAnsi="Times New Roman"/>
          <w:color w:val="111111"/>
          <w:sz w:val="28"/>
          <w:szCs w:val="28"/>
          <w:lang w:val="en-US"/>
        </w:rPr>
        <w:t>43, 44, 52, 54, 58, 59, 61,</w:t>
      </w:r>
    </w:p>
    <w:p>
      <w:pPr>
        <w:pStyle w:val="BookText"/>
        <w:bidi w:val="0"/>
        <w:jc w:val="both"/>
        <w:rPr/>
      </w:pPr>
      <w:r>
        <w:rPr>
          <w:rFonts w:eastAsia="Times New Roman" w:cs="Times New Roman" w:ascii="Times New Roman" w:hAnsi="Times New Roman"/>
          <w:color w:val="111111"/>
          <w:sz w:val="28"/>
          <w:szCs w:val="28"/>
          <w:lang w:val="en-US"/>
        </w:rPr>
        <w:t>62, 67, 70, 72, 73, 75, 76,</w:t>
      </w:r>
    </w:p>
    <w:p>
      <w:pPr>
        <w:pStyle w:val="BookText"/>
        <w:bidi w:val="0"/>
        <w:jc w:val="both"/>
        <w:rPr/>
      </w:pPr>
      <w:r>
        <w:rPr>
          <w:rFonts w:eastAsia="Times New Roman" w:cs="Times New Roman" w:ascii="Times New Roman" w:hAnsi="Times New Roman"/>
          <w:color w:val="111111"/>
          <w:sz w:val="28"/>
          <w:szCs w:val="28"/>
          <w:lang w:val="en-US"/>
        </w:rPr>
        <w:t>77, 78, 79, 80, 84, 86, 90,</w:t>
      </w:r>
    </w:p>
    <w:p>
      <w:pPr>
        <w:pStyle w:val="BookText"/>
        <w:bidi w:val="0"/>
        <w:jc w:val="both"/>
        <w:rPr/>
      </w:pPr>
      <w:r>
        <w:rPr>
          <w:rFonts w:eastAsia="Times New Roman" w:cs="Times New Roman" w:ascii="Times New Roman" w:hAnsi="Times New Roman"/>
          <w:color w:val="111111"/>
          <w:sz w:val="28"/>
          <w:szCs w:val="28"/>
          <w:lang w:val="en-US"/>
        </w:rPr>
        <w:t>91, 94, 95, 96, 99, 103,</w:t>
      </w:r>
    </w:p>
    <w:p>
      <w:pPr>
        <w:pStyle w:val="BookText"/>
        <w:bidi w:val="0"/>
        <w:jc w:val="both"/>
        <w:rPr/>
      </w:pPr>
      <w:r>
        <w:rPr>
          <w:rFonts w:eastAsia="Times New Roman" w:cs="Times New Roman" w:ascii="Times New Roman" w:hAnsi="Times New Roman"/>
          <w:color w:val="111111"/>
          <w:sz w:val="28"/>
          <w:szCs w:val="28"/>
          <w:lang w:val="en-US"/>
        </w:rPr>
        <w:t>104, 105, 106, 112, 113,</w:t>
      </w:r>
    </w:p>
    <w:p>
      <w:pPr>
        <w:pStyle w:val="BookText"/>
        <w:bidi w:val="0"/>
        <w:jc w:val="both"/>
        <w:rPr/>
      </w:pPr>
      <w:r>
        <w:rPr>
          <w:rFonts w:eastAsia="Times New Roman" w:cs="Times New Roman" w:ascii="Times New Roman" w:hAnsi="Times New Roman"/>
          <w:color w:val="111111"/>
          <w:sz w:val="28"/>
          <w:szCs w:val="28"/>
          <w:lang w:val="en-US"/>
        </w:rPr>
        <w:t>114, 117, 119, 120, 122,</w:t>
      </w:r>
    </w:p>
    <w:p>
      <w:pPr>
        <w:pStyle w:val="BookText"/>
        <w:bidi w:val="0"/>
        <w:jc w:val="both"/>
        <w:rPr/>
      </w:pPr>
      <w:r>
        <w:rPr>
          <w:rFonts w:eastAsia="Times New Roman" w:cs="Times New Roman" w:ascii="Times New Roman" w:hAnsi="Times New Roman"/>
          <w:color w:val="111111"/>
          <w:sz w:val="28"/>
          <w:szCs w:val="28"/>
          <w:lang w:val="en-US"/>
        </w:rPr>
        <w:t>123, 125, 127, 142, 143,</w:t>
      </w:r>
    </w:p>
    <w:p>
      <w:pPr>
        <w:pStyle w:val="BookText"/>
        <w:bidi w:val="0"/>
        <w:jc w:val="both"/>
        <w:rPr/>
      </w:pPr>
      <w:r>
        <w:rPr>
          <w:rFonts w:eastAsia="Times New Roman" w:cs="Times New Roman" w:ascii="Times New Roman" w:hAnsi="Times New Roman"/>
          <w:color w:val="111111"/>
          <w:sz w:val="28"/>
          <w:szCs w:val="28"/>
          <w:lang w:val="en-US"/>
        </w:rPr>
        <w:t>144, 145, 146, 147, 148,</w:t>
      </w:r>
    </w:p>
    <w:p>
      <w:pPr>
        <w:pStyle w:val="BookText"/>
        <w:bidi w:val="0"/>
        <w:jc w:val="both"/>
        <w:rPr/>
      </w:pPr>
      <w:r>
        <w:rPr>
          <w:rFonts w:eastAsia="Times New Roman" w:cs="Times New Roman" w:ascii="Times New Roman" w:hAnsi="Times New Roman"/>
          <w:color w:val="111111"/>
          <w:sz w:val="28"/>
          <w:szCs w:val="28"/>
          <w:lang w:val="en-US"/>
        </w:rPr>
        <w:t>149, 150, 151, 152, 153,</w:t>
      </w:r>
    </w:p>
    <w:p>
      <w:pPr>
        <w:pStyle w:val="BookText"/>
        <w:bidi w:val="0"/>
        <w:jc w:val="both"/>
        <w:rPr/>
      </w:pPr>
      <w:r>
        <w:rPr>
          <w:rFonts w:eastAsia="Times New Roman" w:cs="Times New Roman" w:ascii="Times New Roman" w:hAnsi="Times New Roman"/>
          <w:color w:val="111111"/>
          <w:sz w:val="28"/>
          <w:szCs w:val="28"/>
          <w:lang w:val="en-US"/>
        </w:rPr>
        <w:t>154, 155, 156, 159, 162,</w:t>
      </w:r>
    </w:p>
    <w:p>
      <w:pPr>
        <w:pStyle w:val="BookText"/>
        <w:bidi w:val="0"/>
        <w:jc w:val="both"/>
        <w:rPr/>
      </w:pPr>
      <w:r>
        <w:rPr>
          <w:rFonts w:eastAsia="Times New Roman" w:cs="Times New Roman" w:ascii="Times New Roman" w:hAnsi="Times New Roman"/>
          <w:color w:val="111111"/>
          <w:sz w:val="28"/>
          <w:szCs w:val="28"/>
          <w:lang w:val="en-US"/>
        </w:rPr>
        <w:t>166, 167, 168, 169, 170,</w:t>
      </w:r>
    </w:p>
    <w:p>
      <w:pPr>
        <w:pStyle w:val="BookText"/>
        <w:bidi w:val="0"/>
        <w:jc w:val="both"/>
        <w:rPr/>
      </w:pPr>
      <w:r>
        <w:rPr>
          <w:rFonts w:eastAsia="Times New Roman" w:cs="Times New Roman" w:ascii="Times New Roman" w:hAnsi="Times New Roman"/>
          <w:color w:val="111111"/>
          <w:sz w:val="28"/>
          <w:szCs w:val="28"/>
          <w:lang w:val="en-US"/>
        </w:rPr>
        <w:t>171, 172, 173, 174, 176,</w:t>
      </w:r>
    </w:p>
    <w:p>
      <w:pPr>
        <w:pStyle w:val="BookText"/>
        <w:bidi w:val="0"/>
        <w:jc w:val="both"/>
        <w:rPr/>
      </w:pPr>
      <w:r>
        <w:rPr>
          <w:rFonts w:eastAsia="Times New Roman" w:cs="Times New Roman" w:ascii="Times New Roman" w:hAnsi="Times New Roman"/>
          <w:color w:val="111111"/>
          <w:sz w:val="28"/>
          <w:szCs w:val="28"/>
          <w:lang w:val="en-US"/>
        </w:rPr>
        <w:t>179, 197, 199, 200, 201,</w:t>
      </w:r>
    </w:p>
    <w:p>
      <w:pPr>
        <w:pStyle w:val="BookText"/>
        <w:bidi w:val="0"/>
        <w:jc w:val="both"/>
        <w:rPr/>
      </w:pPr>
      <w:r>
        <w:rPr>
          <w:rFonts w:eastAsia="Times New Roman" w:cs="Times New Roman" w:ascii="Times New Roman" w:hAnsi="Times New Roman"/>
          <w:color w:val="111111"/>
          <w:sz w:val="28"/>
          <w:szCs w:val="28"/>
          <w:lang w:val="en-US"/>
        </w:rPr>
        <w:t>202, 203, 204, 205, 206,</w:t>
      </w:r>
    </w:p>
    <w:p>
      <w:pPr>
        <w:pStyle w:val="BookText"/>
        <w:bidi w:val="0"/>
        <w:jc w:val="both"/>
        <w:rPr/>
      </w:pPr>
      <w:r>
        <w:rPr>
          <w:rFonts w:eastAsia="Times New Roman" w:cs="Times New Roman" w:ascii="Times New Roman" w:hAnsi="Times New Roman"/>
          <w:color w:val="111111"/>
          <w:sz w:val="28"/>
          <w:szCs w:val="28"/>
          <w:lang w:val="en-US"/>
        </w:rPr>
        <w:t>207, 208, 209, 210, 211,</w:t>
      </w:r>
    </w:p>
    <w:p>
      <w:pPr>
        <w:pStyle w:val="BookText"/>
        <w:bidi w:val="0"/>
        <w:jc w:val="both"/>
        <w:rPr/>
      </w:pPr>
      <w:r>
        <w:rPr>
          <w:rFonts w:eastAsia="Times New Roman" w:cs="Times New Roman" w:ascii="Times New Roman" w:hAnsi="Times New Roman"/>
          <w:color w:val="111111"/>
          <w:sz w:val="28"/>
          <w:szCs w:val="28"/>
          <w:lang w:val="en-US"/>
        </w:rPr>
        <w:t>212, 213, 214, 215, 216,</w:t>
      </w:r>
    </w:p>
    <w:p>
      <w:pPr>
        <w:pStyle w:val="BookText"/>
        <w:bidi w:val="0"/>
        <w:jc w:val="both"/>
        <w:rPr/>
      </w:pPr>
      <w:r>
        <w:rPr>
          <w:rFonts w:eastAsia="Times New Roman" w:cs="Times New Roman" w:ascii="Times New Roman" w:hAnsi="Times New Roman"/>
          <w:color w:val="111111"/>
          <w:sz w:val="28"/>
          <w:szCs w:val="28"/>
          <w:lang w:val="en-US"/>
        </w:rPr>
        <w:t>219, 221, 222, 223, 224,</w:t>
      </w:r>
    </w:p>
    <w:p>
      <w:pPr>
        <w:pStyle w:val="BookText"/>
        <w:bidi w:val="0"/>
        <w:jc w:val="both"/>
        <w:rPr/>
      </w:pPr>
      <w:r>
        <w:rPr>
          <w:rFonts w:eastAsia="Times New Roman" w:cs="Times New Roman" w:ascii="Times New Roman" w:hAnsi="Times New Roman"/>
          <w:color w:val="111111"/>
          <w:sz w:val="28"/>
          <w:szCs w:val="28"/>
          <w:lang w:val="en-US"/>
        </w:rPr>
        <w:t>225, 239, 243, 244, 245,</w:t>
      </w:r>
    </w:p>
    <w:p>
      <w:pPr>
        <w:pStyle w:val="BookText"/>
        <w:bidi w:val="0"/>
        <w:jc w:val="both"/>
        <w:rPr/>
      </w:pPr>
      <w:r>
        <w:rPr>
          <w:rFonts w:eastAsia="Times New Roman" w:cs="Times New Roman" w:ascii="Times New Roman" w:hAnsi="Times New Roman"/>
          <w:color w:val="111111"/>
          <w:sz w:val="28"/>
          <w:szCs w:val="28"/>
          <w:lang w:val="en-US"/>
        </w:rPr>
        <w:t>246, 250, 253, 254, 262,</w:t>
      </w:r>
    </w:p>
    <w:p>
      <w:pPr>
        <w:pStyle w:val="BookText"/>
        <w:bidi w:val="0"/>
        <w:jc w:val="both"/>
        <w:rPr/>
      </w:pPr>
      <w:r>
        <w:rPr>
          <w:rFonts w:eastAsia="Times New Roman" w:cs="Times New Roman" w:ascii="Times New Roman" w:hAnsi="Times New Roman"/>
          <w:color w:val="111111"/>
          <w:sz w:val="28"/>
          <w:szCs w:val="28"/>
          <w:lang w:val="en-US"/>
        </w:rPr>
        <w:t>266, 270, 271, 272, 273</w:t>
      </w:r>
    </w:p>
    <w:p>
      <w:pPr>
        <w:pStyle w:val="BookText"/>
        <w:bidi w:val="0"/>
        <w:jc w:val="both"/>
        <w:rPr/>
      </w:pPr>
      <w:r>
        <w:rPr>
          <w:rFonts w:eastAsia="Times New Roman" w:cs="Times New Roman" w:ascii="Times New Roman" w:hAnsi="Times New Roman"/>
          <w:color w:val="111111"/>
          <w:sz w:val="28"/>
          <w:szCs w:val="28"/>
          <w:lang w:val="en-US"/>
        </w:rPr>
        <w:t>Peripatetisme 9</w:t>
      </w:r>
    </w:p>
    <w:p>
      <w:pPr>
        <w:pStyle w:val="BookText"/>
        <w:bidi w:val="0"/>
        <w:jc w:val="both"/>
        <w:rPr/>
      </w:pPr>
      <w:r>
        <w:rPr>
          <w:rFonts w:eastAsia="Times New Roman" w:cs="Times New Roman" w:ascii="Times New Roman" w:hAnsi="Times New Roman"/>
          <w:color w:val="111111"/>
          <w:sz w:val="28"/>
          <w:szCs w:val="28"/>
          <w:lang w:val="en-US"/>
        </w:rPr>
        <w:t>pikir 132</w:t>
      </w:r>
    </w:p>
    <w:p>
      <w:pPr>
        <w:pStyle w:val="BookText"/>
        <w:bidi w:val="0"/>
        <w:jc w:val="both"/>
        <w:rPr/>
      </w:pPr>
      <w:r>
        <w:rPr>
          <w:rFonts w:eastAsia="Times New Roman" w:cs="Times New Roman" w:ascii="Times New Roman" w:hAnsi="Times New Roman"/>
          <w:color w:val="111111"/>
          <w:sz w:val="28"/>
          <w:szCs w:val="28"/>
          <w:lang w:val="en-US"/>
        </w:rPr>
        <w:t>Plato xiii, 32, 52, 62, 123, 125,</w:t>
      </w:r>
    </w:p>
    <w:p>
      <w:pPr>
        <w:pStyle w:val="BookText"/>
        <w:bidi w:val="0"/>
        <w:jc w:val="both"/>
        <w:rPr/>
      </w:pPr>
      <w:r>
        <w:rPr>
          <w:rFonts w:eastAsia="Times New Roman" w:cs="Times New Roman" w:ascii="Times New Roman" w:hAnsi="Times New Roman"/>
          <w:color w:val="111111"/>
          <w:sz w:val="28"/>
          <w:szCs w:val="28"/>
          <w:lang w:val="en-US"/>
        </w:rPr>
        <w:t>129, 130, 131, 132, 133,</w:t>
      </w:r>
    </w:p>
    <w:p>
      <w:pPr>
        <w:pStyle w:val="BookText"/>
        <w:bidi w:val="0"/>
        <w:jc w:val="both"/>
        <w:rPr/>
      </w:pPr>
      <w:r>
        <w:rPr>
          <w:rFonts w:eastAsia="Times New Roman" w:cs="Times New Roman" w:ascii="Times New Roman" w:hAnsi="Times New Roman"/>
          <w:color w:val="111111"/>
          <w:sz w:val="28"/>
          <w:szCs w:val="28"/>
          <w:lang w:val="en-US"/>
        </w:rPr>
        <w:t>134, 135, 136, 137, 139,</w:t>
      </w:r>
    </w:p>
    <w:p>
      <w:pPr>
        <w:pStyle w:val="BookText"/>
        <w:bidi w:val="0"/>
        <w:jc w:val="both"/>
        <w:rPr/>
      </w:pPr>
      <w:r>
        <w:rPr>
          <w:rFonts w:eastAsia="Times New Roman" w:cs="Times New Roman" w:ascii="Times New Roman" w:hAnsi="Times New Roman"/>
          <w:color w:val="111111"/>
          <w:sz w:val="28"/>
          <w:szCs w:val="28"/>
          <w:lang w:val="en-US"/>
        </w:rPr>
        <w:t>140, 159, 160, 163, 164,</w:t>
      </w:r>
    </w:p>
    <w:p>
      <w:pPr>
        <w:pStyle w:val="BookText"/>
        <w:bidi w:val="0"/>
        <w:jc w:val="both"/>
        <w:rPr/>
      </w:pPr>
      <w:r>
        <w:rPr>
          <w:rFonts w:eastAsia="Times New Roman" w:cs="Times New Roman" w:ascii="Times New Roman" w:hAnsi="Times New Roman"/>
          <w:color w:val="111111"/>
          <w:sz w:val="28"/>
          <w:szCs w:val="28"/>
          <w:lang w:val="en-US"/>
        </w:rPr>
        <w:t>174, 180, 182, 183, 184,</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232, 233, 234,</w:t>
      </w:r>
    </w:p>
    <w:p>
      <w:pPr>
        <w:pStyle w:val="BookText"/>
        <w:bidi w:val="0"/>
        <w:jc w:val="both"/>
        <w:rPr/>
      </w:pPr>
      <w:r>
        <w:rPr>
          <w:rFonts w:eastAsia="Times New Roman" w:cs="Times New Roman" w:ascii="Times New Roman" w:hAnsi="Times New Roman"/>
          <w:color w:val="111111"/>
          <w:sz w:val="28"/>
          <w:szCs w:val="28"/>
          <w:lang w:val="en-US"/>
        </w:rPr>
        <w:t>235, 246, 256, 259, 263,</w:t>
      </w:r>
    </w:p>
    <w:p>
      <w:pPr>
        <w:pStyle w:val="BookText"/>
        <w:bidi w:val="0"/>
        <w:jc w:val="both"/>
        <w:rPr/>
      </w:pPr>
      <w:r>
        <w:rPr>
          <w:rFonts w:eastAsia="Times New Roman" w:cs="Times New Roman" w:ascii="Times New Roman" w:hAnsi="Times New Roman"/>
          <w:color w:val="111111"/>
          <w:sz w:val="28"/>
          <w:szCs w:val="28"/>
          <w:lang w:val="en-US"/>
        </w:rPr>
        <w:t>264, 280, 283, 284</w:t>
      </w:r>
    </w:p>
    <w:p>
      <w:pPr>
        <w:pStyle w:val="BookText"/>
        <w:bidi w:val="0"/>
        <w:jc w:val="both"/>
        <w:rPr/>
      </w:pPr>
      <w:r>
        <w:rPr>
          <w:rFonts w:eastAsia="Times New Roman" w:cs="Times New Roman" w:ascii="Times New Roman" w:hAnsi="Times New Roman"/>
          <w:color w:val="111111"/>
          <w:sz w:val="28"/>
          <w:szCs w:val="28"/>
          <w:lang w:val="en-US"/>
        </w:rPr>
        <w:t>Posterior Analytics 50, 117, 124,</w:t>
      </w:r>
    </w:p>
    <w:p>
      <w:pPr>
        <w:pStyle w:val="BookText"/>
        <w:bidi w:val="0"/>
        <w:jc w:val="both"/>
        <w:rPr/>
      </w:pPr>
      <w:r>
        <w:rPr>
          <w:rFonts w:eastAsia="Times New Roman" w:cs="Times New Roman" w:ascii="Times New Roman" w:hAnsi="Times New Roman"/>
          <w:color w:val="111111"/>
          <w:sz w:val="28"/>
          <w:szCs w:val="28"/>
          <w:lang w:val="en-US"/>
        </w:rPr>
        <w:t>130, 135, 137, 138, 141,</w:t>
      </w:r>
    </w:p>
    <w:p>
      <w:pPr>
        <w:pStyle w:val="BookText"/>
        <w:bidi w:val="0"/>
        <w:jc w:val="both"/>
        <w:rPr/>
      </w:pPr>
      <w:r>
        <w:rPr>
          <w:rFonts w:eastAsia="Times New Roman" w:cs="Times New Roman" w:ascii="Times New Roman" w:hAnsi="Times New Roman"/>
          <w:color w:val="111111"/>
          <w:sz w:val="28"/>
          <w:szCs w:val="28"/>
          <w:lang w:val="en-US"/>
        </w:rPr>
        <w:t>148, 179, 180, 181, 182,</w:t>
      </w:r>
    </w:p>
    <w:p>
      <w:pPr>
        <w:pStyle w:val="BookText"/>
        <w:bidi w:val="0"/>
        <w:jc w:val="both"/>
        <w:rPr/>
      </w:pPr>
      <w:r>
        <w:rPr>
          <w:rFonts w:eastAsia="Times New Roman" w:cs="Times New Roman" w:ascii="Times New Roman" w:hAnsi="Times New Roman"/>
          <w:color w:val="111111"/>
          <w:sz w:val="28"/>
          <w:szCs w:val="28"/>
          <w:lang w:val="en-US"/>
        </w:rPr>
        <w:t>185, 186, 187, 188, 189,</w:t>
      </w:r>
    </w:p>
    <w:p>
      <w:pPr>
        <w:pStyle w:val="BookText"/>
        <w:bidi w:val="0"/>
        <w:jc w:val="both"/>
        <w:rPr/>
      </w:pPr>
      <w:r>
        <w:rPr>
          <w:rFonts w:eastAsia="Times New Roman" w:cs="Times New Roman" w:ascii="Times New Roman" w:hAnsi="Times New Roman"/>
          <w:color w:val="111111"/>
          <w:sz w:val="28"/>
          <w:szCs w:val="28"/>
          <w:lang w:val="en-US"/>
        </w:rPr>
        <w:t>191, 193, 194, 244, 254</w:t>
      </w:r>
    </w:p>
    <w:p>
      <w:pPr>
        <w:pStyle w:val="BookText"/>
        <w:bidi w:val="0"/>
        <w:jc w:val="both"/>
        <w:rPr/>
      </w:pPr>
      <w:r>
        <w:rPr>
          <w:rFonts w:eastAsia="Times New Roman" w:cs="Times New Roman" w:ascii="Times New Roman" w:hAnsi="Times New Roman"/>
          <w:color w:val="111111"/>
          <w:sz w:val="28"/>
          <w:szCs w:val="28"/>
          <w:lang w:val="en-US"/>
        </w:rPr>
        <w:t>proposisi 70, 71, 72, 73, 78, 80,</w:t>
      </w:r>
    </w:p>
    <w:p>
      <w:pPr>
        <w:pStyle w:val="BookText"/>
        <w:bidi w:val="0"/>
        <w:jc w:val="both"/>
        <w:rPr/>
      </w:pPr>
      <w:r>
        <w:rPr>
          <w:rFonts w:eastAsia="Times New Roman" w:cs="Times New Roman" w:ascii="Times New Roman" w:hAnsi="Times New Roman"/>
          <w:color w:val="111111"/>
          <w:sz w:val="28"/>
          <w:szCs w:val="28"/>
          <w:lang w:val="en-US"/>
        </w:rPr>
        <w:t>81, 82, 97, 98, 99, 100,</w:t>
      </w:r>
    </w:p>
    <w:p>
      <w:pPr>
        <w:pStyle w:val="BookText"/>
        <w:bidi w:val="0"/>
        <w:jc w:val="both"/>
        <w:rPr/>
      </w:pPr>
      <w:r>
        <w:rPr>
          <w:rFonts w:eastAsia="Times New Roman" w:cs="Times New Roman" w:ascii="Times New Roman" w:hAnsi="Times New Roman"/>
          <w:color w:val="111111"/>
          <w:sz w:val="28"/>
          <w:szCs w:val="28"/>
          <w:lang w:val="en-US"/>
        </w:rPr>
        <w:t>105, 111, 115, 116, 120,</w:t>
      </w:r>
    </w:p>
    <w:p>
      <w:pPr>
        <w:pStyle w:val="BookText"/>
        <w:bidi w:val="0"/>
        <w:jc w:val="both"/>
        <w:rPr/>
      </w:pPr>
      <w:r>
        <w:rPr>
          <w:rFonts w:eastAsia="Times New Roman" w:cs="Times New Roman" w:ascii="Times New Roman" w:hAnsi="Times New Roman"/>
          <w:color w:val="111111"/>
          <w:sz w:val="28"/>
          <w:szCs w:val="28"/>
          <w:lang w:val="en-US"/>
        </w:rPr>
        <w:t>121, 122, 123, 142, 148,</w:t>
      </w:r>
    </w:p>
    <w:p>
      <w:pPr>
        <w:pStyle w:val="BookText"/>
        <w:bidi w:val="0"/>
        <w:jc w:val="both"/>
        <w:rPr/>
      </w:pPr>
      <w:r>
        <w:rPr>
          <w:rFonts w:eastAsia="Times New Roman" w:cs="Times New Roman" w:ascii="Times New Roman" w:hAnsi="Times New Roman"/>
          <w:color w:val="111111"/>
          <w:sz w:val="28"/>
          <w:szCs w:val="28"/>
          <w:lang w:val="en-US"/>
        </w:rPr>
        <w:t>159, 178, 179, 180, 203,</w:t>
      </w:r>
    </w:p>
    <w:p>
      <w:pPr>
        <w:pStyle w:val="BookText"/>
        <w:bidi w:val="0"/>
        <w:jc w:val="both"/>
        <w:rPr/>
      </w:pPr>
      <w:r>
        <w:rPr>
          <w:rFonts w:eastAsia="Times New Roman" w:cs="Times New Roman" w:ascii="Times New Roman" w:hAnsi="Times New Roman"/>
          <w:color w:val="111111"/>
          <w:sz w:val="28"/>
          <w:szCs w:val="28"/>
          <w:lang w:val="en-US"/>
        </w:rPr>
        <w:t>204, 247</w:t>
      </w:r>
    </w:p>
    <w:p>
      <w:pPr>
        <w:pStyle w:val="BookText"/>
        <w:bidi w:val="0"/>
        <w:jc w:val="both"/>
        <w:rPr/>
      </w:pPr>
      <w:r>
        <w:rPr>
          <w:rFonts w:eastAsia="Times New Roman" w:cs="Times New Roman" w:ascii="Times New Roman" w:hAnsi="Times New Roman"/>
          <w:color w:val="111111"/>
          <w:sz w:val="28"/>
          <w:szCs w:val="28"/>
          <w:lang w:val="en-US"/>
        </w:rPr>
        <w:t>proposisi bersyarat 73, 97</w:t>
      </w:r>
    </w:p>
    <w:p>
      <w:pPr>
        <w:pStyle w:val="BookText"/>
        <w:bidi w:val="0"/>
        <w:jc w:val="both"/>
        <w:rPr/>
      </w:pPr>
      <w:r>
        <w:rPr>
          <w:rFonts w:eastAsia="Times New Roman" w:cs="Times New Roman" w:ascii="Times New Roman" w:hAnsi="Times New Roman"/>
          <w:color w:val="111111"/>
          <w:sz w:val="28"/>
          <w:szCs w:val="28"/>
          <w:lang w:val="en-US"/>
        </w:rPr>
        <w:t>proposisi eksistensial 204</w:t>
      </w:r>
    </w:p>
    <w:p>
      <w:pPr>
        <w:pStyle w:val="BookText"/>
        <w:bidi w:val="0"/>
        <w:jc w:val="both"/>
        <w:rPr/>
      </w:pPr>
      <w:r>
        <w:rPr>
          <w:rFonts w:eastAsia="Times New Roman" w:cs="Times New Roman" w:ascii="Times New Roman" w:hAnsi="Times New Roman"/>
          <w:color w:val="111111"/>
          <w:sz w:val="28"/>
          <w:szCs w:val="28"/>
          <w:lang w:val="en-US"/>
        </w:rPr>
        <w:t>proposisi modal 78, 99, 116</w:t>
      </w:r>
    </w:p>
    <w:p>
      <w:pPr>
        <w:pStyle w:val="BookText"/>
        <w:bidi w:val="0"/>
        <w:jc w:val="both"/>
        <w:rPr/>
      </w:pPr>
      <w:r>
        <w:rPr>
          <w:rFonts w:eastAsia="Times New Roman" w:cs="Times New Roman" w:ascii="Times New Roman" w:hAnsi="Times New Roman"/>
          <w:color w:val="111111"/>
          <w:sz w:val="28"/>
          <w:szCs w:val="28"/>
          <w:lang w:val="en-US"/>
        </w:rPr>
        <w:t>proposisi partikular 98, 116</w:t>
      </w:r>
    </w:p>
    <w:p>
      <w:pPr>
        <w:pStyle w:val="BookText"/>
        <w:bidi w:val="0"/>
        <w:jc w:val="both"/>
        <w:rPr/>
      </w:pPr>
      <w:r>
        <w:rPr>
          <w:rFonts w:eastAsia="Times New Roman" w:cs="Times New Roman" w:ascii="Times New Roman" w:hAnsi="Times New Roman"/>
          <w:color w:val="111111"/>
          <w:sz w:val="28"/>
          <w:szCs w:val="28"/>
          <w:lang w:val="en-US"/>
        </w:rPr>
        <w:t>proposisi penjelas 70, 71, 72, 80,</w:t>
      </w:r>
    </w:p>
    <w:p>
      <w:pPr>
        <w:pStyle w:val="BookText"/>
        <w:bidi w:val="0"/>
        <w:jc w:val="both"/>
        <w:rPr/>
      </w:pPr>
      <w:r>
        <w:rPr>
          <w:rFonts w:eastAsia="Times New Roman" w:cs="Times New Roman" w:ascii="Times New Roman" w:hAnsi="Times New Roman"/>
          <w:color w:val="111111"/>
          <w:sz w:val="28"/>
          <w:szCs w:val="28"/>
          <w:lang w:val="en-US"/>
        </w:rPr>
        <w:t>105, 120, 121, 122, 123,</w:t>
      </w:r>
    </w:p>
    <w:p>
      <w:pPr>
        <w:pStyle w:val="BookText"/>
        <w:bidi w:val="0"/>
        <w:jc w:val="both"/>
        <w:rPr/>
      </w:pPr>
      <w:r>
        <w:rPr>
          <w:rFonts w:eastAsia="Times New Roman" w:cs="Times New Roman" w:ascii="Times New Roman" w:hAnsi="Times New Roman"/>
          <w:color w:val="111111"/>
          <w:sz w:val="28"/>
          <w:szCs w:val="28"/>
          <w:lang w:val="en-US"/>
        </w:rPr>
        <w:t>148, 178, 179, 180</w:t>
      </w:r>
    </w:p>
    <w:p>
      <w:pPr>
        <w:pStyle w:val="BookText"/>
        <w:bidi w:val="0"/>
        <w:jc w:val="both"/>
        <w:rPr/>
      </w:pPr>
      <w:r>
        <w:rPr>
          <w:rFonts w:eastAsia="Times New Roman" w:cs="Times New Roman" w:ascii="Times New Roman" w:hAnsi="Times New Roman"/>
          <w:color w:val="111111"/>
          <w:sz w:val="28"/>
          <w:szCs w:val="28"/>
          <w:lang w:val="en-US"/>
        </w:rPr>
        <w:t>proposisi predikatif 73, 98, 99,</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proposisi universal 98, 116</w:t>
      </w:r>
    </w:p>
    <w:p>
      <w:pPr>
        <w:pStyle w:val="BookText"/>
        <w:bidi w:val="0"/>
        <w:jc w:val="both"/>
        <w:rPr/>
      </w:pPr>
      <w:r>
        <w:rPr>
          <w:rFonts w:eastAsia="Times New Roman" w:cs="Times New Roman" w:ascii="Times New Roman" w:hAnsi="Times New Roman"/>
          <w:color w:val="111111"/>
          <w:sz w:val="28"/>
          <w:szCs w:val="28"/>
          <w:lang w:val="en-US"/>
        </w:rPr>
        <w:t>Puisi 79</w:t>
      </w:r>
    </w:p>
    <w:p>
      <w:pPr>
        <w:pStyle w:val="BookText"/>
        <w:bidi w:val="0"/>
        <w:jc w:val="both"/>
        <w:rPr/>
      </w:pPr>
      <w:r>
        <w:rPr>
          <w:rFonts w:eastAsia="Times New Roman" w:cs="Times New Roman" w:ascii="Times New Roman" w:hAnsi="Times New Roman"/>
          <w:color w:val="111111"/>
          <w:sz w:val="28"/>
          <w:szCs w:val="28"/>
          <w:lang w:val="en-US"/>
        </w:rPr>
        <w:t>ragu 76, 266</w:t>
      </w:r>
    </w:p>
    <w:p>
      <w:pPr>
        <w:pStyle w:val="BookText"/>
        <w:bidi w:val="0"/>
        <w:jc w:val="both"/>
        <w:rPr/>
      </w:pPr>
      <w:r>
        <w:rPr>
          <w:rFonts w:eastAsia="Times New Roman" w:cs="Times New Roman" w:ascii="Times New Roman" w:hAnsi="Times New Roman"/>
          <w:color w:val="111111"/>
          <w:sz w:val="28"/>
          <w:szCs w:val="28"/>
          <w:lang w:val="en-US"/>
        </w:rPr>
        <w:t>realis 108, 113, 123, 134, 180</w:t>
      </w:r>
    </w:p>
    <w:p>
      <w:pPr>
        <w:pStyle w:val="BookText"/>
        <w:bidi w:val="0"/>
        <w:jc w:val="both"/>
        <w:rPr/>
      </w:pPr>
      <w:r>
        <w:rPr>
          <w:rFonts w:eastAsia="Times New Roman" w:cs="Times New Roman" w:ascii="Times New Roman" w:hAnsi="Times New Roman"/>
          <w:color w:val="111111"/>
          <w:sz w:val="28"/>
          <w:szCs w:val="28"/>
          <w:lang w:val="en-US"/>
        </w:rPr>
        <w:t>sejarah 9, 14, 31, 45, 52, 60, 78,</w:t>
      </w:r>
    </w:p>
    <w:p>
      <w:pPr>
        <w:pStyle w:val="BookText"/>
        <w:bidi w:val="0"/>
        <w:jc w:val="both"/>
        <w:rPr/>
      </w:pPr>
      <w:r>
        <w:rPr>
          <w:rFonts w:eastAsia="Times New Roman" w:cs="Times New Roman" w:ascii="Times New Roman" w:hAnsi="Times New Roman"/>
          <w:color w:val="111111"/>
          <w:sz w:val="28"/>
          <w:szCs w:val="28"/>
          <w:lang w:val="en-US"/>
        </w:rPr>
        <w:t>101, 123, 124, 135, 154,</w:t>
      </w:r>
    </w:p>
    <w:p>
      <w:pPr>
        <w:pStyle w:val="BookText"/>
        <w:bidi w:val="0"/>
        <w:jc w:val="both"/>
        <w:rPr/>
      </w:pPr>
      <w:r>
        <w:rPr>
          <w:rFonts w:eastAsia="Times New Roman" w:cs="Times New Roman" w:ascii="Times New Roman" w:hAnsi="Times New Roman"/>
          <w:color w:val="111111"/>
          <w:sz w:val="28"/>
          <w:szCs w:val="28"/>
          <w:lang w:val="en-US"/>
        </w:rPr>
        <w:t>160, 172, 173, 229, 248,</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Shalahuddin Al-Ayyubi 27, 47</w:t>
      </w:r>
    </w:p>
    <w:p>
      <w:pPr>
        <w:pStyle w:val="BookText"/>
        <w:bidi w:val="0"/>
        <w:jc w:val="both"/>
        <w:rPr/>
      </w:pPr>
      <w:r>
        <w:rPr>
          <w:rFonts w:eastAsia="Times New Roman" w:cs="Times New Roman" w:ascii="Times New Roman" w:hAnsi="Times New Roman"/>
          <w:color w:val="111111"/>
          <w:sz w:val="28"/>
          <w:szCs w:val="28"/>
          <w:lang w:val="en-US"/>
        </w:rPr>
        <w:t>siklus 12, 20, 24</w:t>
      </w:r>
    </w:p>
    <w:p>
      <w:pPr>
        <w:pStyle w:val="BookText"/>
        <w:bidi w:val="0"/>
        <w:jc w:val="both"/>
        <w:rPr/>
      </w:pPr>
      <w:r>
        <w:rPr>
          <w:rFonts w:eastAsia="Times New Roman" w:cs="Times New Roman" w:ascii="Times New Roman" w:hAnsi="Times New Roman"/>
          <w:color w:val="111111"/>
          <w:sz w:val="28"/>
          <w:szCs w:val="28"/>
          <w:lang w:val="en-US"/>
        </w:rPr>
        <w:t>sistematis 9, 10, 18, 19, 20, 24,</w:t>
      </w:r>
    </w:p>
    <w:p>
      <w:pPr>
        <w:pStyle w:val="BookText"/>
        <w:bidi w:val="0"/>
        <w:jc w:val="both"/>
        <w:rPr/>
      </w:pPr>
      <w:r>
        <w:rPr>
          <w:rFonts w:eastAsia="Times New Roman" w:cs="Times New Roman" w:ascii="Times New Roman" w:hAnsi="Times New Roman"/>
          <w:color w:val="111111"/>
          <w:sz w:val="28"/>
          <w:szCs w:val="28"/>
          <w:lang w:val="en-US"/>
        </w:rPr>
        <w:t>29, 42, 44, 67, 121, 141,</w:t>
      </w:r>
    </w:p>
    <w:p>
      <w:pPr>
        <w:pStyle w:val="BookText"/>
        <w:bidi w:val="0"/>
        <w:jc w:val="both"/>
        <w:rPr/>
      </w:pPr>
      <w:r>
        <w:rPr>
          <w:rFonts w:eastAsia="Times New Roman" w:cs="Times New Roman" w:ascii="Times New Roman" w:hAnsi="Times New Roman"/>
          <w:color w:val="111111"/>
          <w:sz w:val="28"/>
          <w:szCs w:val="28"/>
          <w:lang w:val="en-US"/>
        </w:rPr>
        <w:t>145, 150, 186, 198, 259</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Socrates 63, 131, 132, 134, 135, </w:t>
      </w:r>
    </w:p>
    <w:p>
      <w:pPr>
        <w:pStyle w:val="BookText"/>
        <w:bidi w:val="0"/>
        <w:rPr/>
      </w:pPr>
      <w:r>
        <w:rPr>
          <w:rFonts w:eastAsia="Times New Roman" w:cs="Times New Roman" w:ascii="Times New Roman" w:hAnsi="Times New Roman"/>
          <w:color w:val="111111"/>
          <w:sz w:val="28"/>
          <w:szCs w:val="28"/>
          <w:lang w:val="en-US"/>
        </w:rPr>
        <w:t>183, 185, 264</w:t>
      </w:r>
    </w:p>
    <w:p>
      <w:pPr>
        <w:pStyle w:val="BookText"/>
        <w:bidi w:val="0"/>
        <w:jc w:val="both"/>
        <w:rPr/>
      </w:pPr>
      <w:r>
        <w:rPr>
          <w:rFonts w:eastAsia="Times New Roman" w:cs="Times New Roman" w:ascii="Times New Roman" w:hAnsi="Times New Roman"/>
          <w:color w:val="111111"/>
          <w:sz w:val="28"/>
          <w:szCs w:val="28"/>
          <w:lang w:val="en-US"/>
        </w:rPr>
        <w:t>spiritual 17, 47, 50, 52, 62, 64,</w:t>
      </w:r>
    </w:p>
    <w:p>
      <w:pPr>
        <w:pStyle w:val="BookText"/>
        <w:bidi w:val="0"/>
        <w:jc w:val="both"/>
        <w:rPr/>
      </w:pPr>
      <w:r>
        <w:rPr>
          <w:rFonts w:eastAsia="Times New Roman" w:cs="Times New Roman" w:ascii="Times New Roman" w:hAnsi="Times New Roman"/>
          <w:color w:val="111111"/>
          <w:sz w:val="28"/>
          <w:szCs w:val="28"/>
          <w:lang w:val="en-US"/>
        </w:rPr>
        <w:t>198, 216, 243, 266</w:t>
      </w:r>
    </w:p>
    <w:p>
      <w:pPr>
        <w:pStyle w:val="BookText"/>
        <w:bidi w:val="0"/>
        <w:jc w:val="both"/>
        <w:rPr/>
      </w:pPr>
      <w:r>
        <w:rPr>
          <w:rFonts w:eastAsia="Times New Roman" w:cs="Times New Roman" w:ascii="Times New Roman" w:hAnsi="Times New Roman"/>
          <w:color w:val="111111"/>
          <w:sz w:val="28"/>
          <w:szCs w:val="28"/>
          <w:lang w:val="en-US"/>
        </w:rPr>
        <w:t>utama 12, 19, 20, 22, 24, 29, 31,</w:t>
      </w:r>
    </w:p>
    <w:p>
      <w:pPr>
        <w:pStyle w:val="BookText"/>
        <w:bidi w:val="0"/>
        <w:jc w:val="both"/>
        <w:rPr/>
      </w:pPr>
      <w:r>
        <w:rPr>
          <w:rFonts w:eastAsia="Times New Roman" w:cs="Times New Roman" w:ascii="Times New Roman" w:hAnsi="Times New Roman"/>
          <w:color w:val="111111"/>
          <w:sz w:val="28"/>
          <w:szCs w:val="28"/>
          <w:lang w:val="en-US"/>
        </w:rPr>
        <w:t>substansi 118, 130, 138, 145,</w:t>
      </w:r>
    </w:p>
    <w:p>
      <w:pPr>
        <w:pStyle w:val="BookText"/>
        <w:bidi w:val="0"/>
        <w:jc w:val="both"/>
        <w:rPr/>
      </w:pPr>
      <w:r>
        <w:rPr>
          <w:rFonts w:eastAsia="Times New Roman" w:cs="Times New Roman" w:ascii="Times New Roman" w:hAnsi="Times New Roman"/>
          <w:color w:val="111111"/>
          <w:sz w:val="28"/>
          <w:szCs w:val="28"/>
          <w:lang w:val="en-US"/>
        </w:rPr>
        <w:t>34, 39, 40, 45, 73, 82, 101,</w:t>
      </w:r>
    </w:p>
    <w:p>
      <w:pPr>
        <w:pStyle w:val="BookText"/>
        <w:bidi w:val="0"/>
        <w:jc w:val="both"/>
        <w:rPr/>
      </w:pPr>
      <w:r>
        <w:rPr>
          <w:rFonts w:eastAsia="Times New Roman" w:cs="Times New Roman" w:ascii="Times New Roman" w:hAnsi="Times New Roman"/>
          <w:color w:val="111111"/>
          <w:sz w:val="28"/>
          <w:szCs w:val="28"/>
          <w:lang w:val="en-US"/>
        </w:rPr>
        <w:t>146, 200, 204, 214, 239,</w:t>
      </w:r>
    </w:p>
    <w:p>
      <w:pPr>
        <w:pStyle w:val="BookText"/>
        <w:bidi w:val="0"/>
        <w:jc w:val="both"/>
        <w:rPr/>
      </w:pPr>
      <w:r>
        <w:rPr>
          <w:rFonts w:eastAsia="Times New Roman" w:cs="Times New Roman" w:ascii="Times New Roman" w:hAnsi="Times New Roman"/>
          <w:color w:val="111111"/>
          <w:sz w:val="28"/>
          <w:szCs w:val="28"/>
          <w:lang w:val="en-US"/>
        </w:rPr>
        <w:t>112, 115, 129, 137, 143,</w:t>
      </w:r>
    </w:p>
    <w:p>
      <w:pPr>
        <w:pStyle w:val="BookText"/>
        <w:bidi w:val="0"/>
        <w:jc w:val="both"/>
        <w:rPr/>
      </w:pPr>
      <w:r>
        <w:rPr>
          <w:rFonts w:eastAsia="Times New Roman" w:cs="Times New Roman" w:ascii="Times New Roman" w:hAnsi="Times New Roman"/>
          <w:color w:val="111111"/>
          <w:sz w:val="28"/>
          <w:szCs w:val="28"/>
          <w:lang w:val="en-US"/>
        </w:rPr>
        <w:t>241, 243</w:t>
      </w:r>
    </w:p>
    <w:p>
      <w:pPr>
        <w:pStyle w:val="BookText"/>
        <w:bidi w:val="0"/>
        <w:jc w:val="both"/>
        <w:rPr/>
      </w:pPr>
      <w:r>
        <w:rPr>
          <w:rFonts w:eastAsia="Times New Roman" w:cs="Times New Roman" w:ascii="Times New Roman" w:hAnsi="Times New Roman"/>
          <w:color w:val="111111"/>
          <w:sz w:val="28"/>
          <w:szCs w:val="28"/>
          <w:lang w:val="en-US"/>
        </w:rPr>
        <w:t>149, 167, 176, 179, 181,</w:t>
      </w:r>
    </w:p>
    <w:p>
      <w:pPr>
        <w:pStyle w:val="BookText"/>
        <w:bidi w:val="0"/>
        <w:jc w:val="both"/>
        <w:rPr/>
      </w:pPr>
      <w:r>
        <w:rPr>
          <w:rFonts w:eastAsia="Times New Roman" w:cs="Times New Roman" w:ascii="Times New Roman" w:hAnsi="Times New Roman"/>
          <w:color w:val="111111"/>
          <w:sz w:val="28"/>
          <w:szCs w:val="28"/>
          <w:lang w:val="en-US"/>
        </w:rPr>
        <w:t>187, 203, 240, 267</w:t>
      </w:r>
    </w:p>
    <w:p>
      <w:pPr>
        <w:pStyle w:val="BookText"/>
        <w:bidi w:val="0"/>
        <w:jc w:val="both"/>
        <w:rPr/>
      </w:pPr>
      <w:r>
        <w:rPr>
          <w:rFonts w:eastAsia="Times New Roman" w:cs="Times New Roman" w:ascii="Times New Roman" w:hAnsi="Times New Roman"/>
          <w:color w:val="111111"/>
          <w:sz w:val="28"/>
          <w:szCs w:val="28"/>
          <w:lang w:val="en-US"/>
        </w:rPr>
        <w:t>valid 102, 125, 135, 146, 151,</w:t>
      </w:r>
    </w:p>
    <w:p>
      <w:pPr>
        <w:pStyle w:val="BookText"/>
        <w:bidi w:val="0"/>
        <w:jc w:val="both"/>
        <w:rPr/>
      </w:pPr>
      <w:r>
        <w:rPr>
          <w:rFonts w:eastAsia="Times New Roman" w:cs="Times New Roman" w:ascii="Times New Roman" w:hAnsi="Times New Roman"/>
          <w:color w:val="111111"/>
          <w:sz w:val="28"/>
          <w:szCs w:val="28"/>
          <w:lang w:val="en-US"/>
        </w:rPr>
        <w:t>152, 160, 161, 163, 165,</w:t>
      </w:r>
    </w:p>
    <w:p>
      <w:pPr>
        <w:pStyle w:val="BookText"/>
        <w:bidi w:val="0"/>
        <w:jc w:val="both"/>
        <w:rPr/>
      </w:pPr>
      <w:r>
        <w:rPr>
          <w:rFonts w:eastAsia="Times New Roman" w:cs="Times New Roman" w:ascii="Times New Roman" w:hAnsi="Times New Roman"/>
          <w:color w:val="111111"/>
          <w:sz w:val="28"/>
          <w:szCs w:val="28"/>
          <w:lang w:val="en-US"/>
        </w:rPr>
        <w:t>166, 170, 175, 179, 197,</w:t>
      </w:r>
    </w:p>
    <w:p>
      <w:pPr>
        <w:pStyle w:val="BookText"/>
        <w:bidi w:val="0"/>
        <w:jc w:val="both"/>
        <w:rPr/>
      </w:pPr>
      <w:r>
        <w:rPr>
          <w:rFonts w:eastAsia="Times New Roman" w:cs="Times New Roman" w:ascii="Times New Roman" w:hAnsi="Times New Roman"/>
          <w:color w:val="111111"/>
          <w:sz w:val="28"/>
          <w:szCs w:val="28"/>
          <w:lang w:val="en-US"/>
        </w:rPr>
        <w:t>202, 208, 210, 224, 243</w:t>
      </w:r>
    </w:p>
    <w:p>
      <w:pPr>
        <w:pStyle w:val="BookText"/>
        <w:bidi w:val="0"/>
        <w:jc w:val="both"/>
        <w:rPr/>
      </w:pPr>
      <w:r>
        <w:rPr>
          <w:rFonts w:eastAsia="Times New Roman" w:cs="Times New Roman" w:ascii="Times New Roman" w:hAnsi="Times New Roman"/>
          <w:color w:val="111111"/>
          <w:sz w:val="28"/>
          <w:szCs w:val="28"/>
          <w:lang w:val="en-US"/>
        </w:rPr>
        <w:t>visi 9, 32, 49, 51, 71, 107, 157,</w:t>
      </w:r>
    </w:p>
    <w:p>
      <w:pPr>
        <w:pStyle w:val="BookText"/>
        <w:bidi w:val="0"/>
        <w:jc w:val="both"/>
        <w:rPr/>
      </w:pPr>
      <w:r>
        <w:rPr>
          <w:rFonts w:eastAsia="Times New Roman" w:cs="Times New Roman" w:ascii="Times New Roman" w:hAnsi="Times New Roman"/>
          <w:color w:val="111111"/>
          <w:sz w:val="28"/>
          <w:szCs w:val="28"/>
          <w:lang w:val="en-US"/>
        </w:rPr>
        <w:t>174, 198, 202, 204, 207,</w:t>
      </w:r>
    </w:p>
    <w:p>
      <w:pPr>
        <w:pStyle w:val="BookText"/>
        <w:bidi w:val="0"/>
        <w:jc w:val="both"/>
        <w:rPr/>
      </w:pPr>
      <w:r>
        <w:rPr>
          <w:rFonts w:eastAsia="Times New Roman" w:cs="Times New Roman" w:ascii="Times New Roman" w:hAnsi="Times New Roman"/>
          <w:color w:val="111111"/>
          <w:sz w:val="28"/>
          <w:szCs w:val="28"/>
          <w:lang w:val="en-US"/>
        </w:rPr>
        <w:t>210, 214, 215, 216, 219,</w:t>
      </w:r>
    </w:p>
    <w:p>
      <w:pPr>
        <w:pStyle w:val="BookText"/>
        <w:bidi w:val="0"/>
        <w:jc w:val="both"/>
        <w:rPr/>
      </w:pPr>
      <w:r>
        <w:rPr>
          <w:rFonts w:eastAsia="Times New Roman" w:cs="Times New Roman" w:ascii="Times New Roman" w:hAnsi="Times New Roman"/>
          <w:color w:val="111111"/>
          <w:sz w:val="28"/>
          <w:szCs w:val="28"/>
          <w:lang w:val="en-US"/>
        </w:rPr>
        <w:t>225, 227, 228, 229, 230,</w:t>
      </w:r>
    </w:p>
    <w:p>
      <w:pPr>
        <w:pStyle w:val="BookText"/>
        <w:bidi w:val="0"/>
        <w:jc w:val="both"/>
        <w:rPr/>
      </w:pPr>
      <w:r>
        <w:rPr>
          <w:rFonts w:eastAsia="Times New Roman" w:cs="Times New Roman" w:ascii="Times New Roman" w:hAnsi="Times New Roman"/>
          <w:color w:val="111111"/>
          <w:sz w:val="28"/>
          <w:szCs w:val="28"/>
          <w:lang w:val="en-US"/>
        </w:rPr>
        <w:t>231, 236, 250, 255, 258,</w:t>
      </w:r>
    </w:p>
    <w:p>
      <w:pPr>
        <w:pStyle w:val="BookText"/>
        <w:bidi w:val="0"/>
        <w:jc w:val="both"/>
        <w:rPr/>
      </w:pPr>
      <w:r>
        <w:rPr>
          <w:rFonts w:eastAsia="Times New Roman" w:cs="Times New Roman" w:ascii="Times New Roman" w:hAnsi="Times New Roman"/>
          <w:color w:val="111111"/>
          <w:sz w:val="28"/>
          <w:szCs w:val="28"/>
          <w:lang w:val="en-US"/>
        </w:rPr>
        <w:t>263, 267</w:t>
      </w:r>
    </w:p>
    <w:p>
      <w:pPr>
        <w:pStyle w:val="BookText"/>
        <w:bidi w:val="0"/>
        <w:jc w:val="both"/>
        <w:rPr/>
      </w:pPr>
      <w:r>
        <w:rPr>
          <w:rFonts w:eastAsia="Times New Roman" w:cs="Times New Roman" w:ascii="Times New Roman" w:hAnsi="Times New Roman"/>
          <w:color w:val="111111"/>
          <w:sz w:val="28"/>
          <w:szCs w:val="28"/>
          <w:lang w:val="en-US"/>
        </w:rPr>
        <w:t>visi Iluminasi 219, 225, 228,</w:t>
      </w:r>
    </w:p>
    <w:p>
      <w:pPr>
        <w:pStyle w:val="BookText"/>
        <w:bidi w:val="0"/>
        <w:jc w:val="both"/>
        <w:rPr/>
      </w:pPr>
      <w:r>
        <w:rPr>
          <w:rFonts w:eastAsia="Times New Roman" w:cs="Times New Roman" w:ascii="Times New Roman" w:hAnsi="Times New Roman"/>
          <w:color w:val="111111"/>
          <w:sz w:val="28"/>
          <w:szCs w:val="28"/>
          <w:lang w:val="en-US"/>
        </w:rPr>
        <w:t>231, 250</w:t>
      </w:r>
    </w:p>
    <w:p>
      <w:pPr>
        <w:pStyle w:val="BookText"/>
        <w:bidi w:val="0"/>
        <w:jc w:val="both"/>
        <w:rPr/>
      </w:pPr>
      <w:r>
        <w:rPr>
          <w:rFonts w:eastAsia="Times New Roman" w:cs="Times New Roman" w:ascii="Times New Roman" w:hAnsi="Times New Roman"/>
          <w:color w:val="111111"/>
          <w:sz w:val="28"/>
          <w:szCs w:val="28"/>
          <w:lang w:val="en-US"/>
        </w:rPr>
        <w:t>tashawwur 68, 69, 72, 73, 75,</w:t>
      </w:r>
    </w:p>
    <w:p>
      <w:pPr>
        <w:pStyle w:val="BookText"/>
        <w:bidi w:val="0"/>
        <w:jc w:val="both"/>
        <w:rPr/>
      </w:pPr>
      <w:r>
        <w:rPr>
          <w:rFonts w:eastAsia="Times New Roman" w:cs="Times New Roman" w:ascii="Times New Roman" w:hAnsi="Times New Roman"/>
          <w:color w:val="111111"/>
          <w:sz w:val="28"/>
          <w:szCs w:val="28"/>
          <w:lang w:val="en-US"/>
        </w:rPr>
        <w:t>89, 106, 112, 122, 143,</w:t>
      </w:r>
    </w:p>
    <w:p>
      <w:pPr>
        <w:pStyle w:val="BookText"/>
        <w:bidi w:val="0"/>
        <w:jc w:val="both"/>
        <w:rPr/>
      </w:pPr>
      <w:r>
        <w:rPr>
          <w:rFonts w:eastAsia="Times New Roman" w:cs="Times New Roman" w:ascii="Times New Roman" w:hAnsi="Times New Roman"/>
          <w:color w:val="111111"/>
          <w:sz w:val="28"/>
          <w:szCs w:val="28"/>
          <w:lang w:val="en-US"/>
        </w:rPr>
        <w:t>198, 205, 206, 207, 208,</w:t>
      </w:r>
    </w:p>
    <w:p>
      <w:pPr>
        <w:pStyle w:val="BookText"/>
        <w:bidi w:val="0"/>
        <w:jc w:val="both"/>
        <w:rPr/>
      </w:pPr>
      <w:r>
        <w:rPr>
          <w:rFonts w:eastAsia="Times New Roman" w:cs="Times New Roman" w:ascii="Times New Roman" w:hAnsi="Times New Roman"/>
          <w:color w:val="111111"/>
          <w:sz w:val="28"/>
          <w:szCs w:val="28"/>
          <w:lang w:val="en-US"/>
        </w:rPr>
        <w:t>209, 210, 211, 247</w:t>
      </w:r>
    </w:p>
    <w:p>
      <w:pPr>
        <w:pStyle w:val="BookText"/>
        <w:bidi w:val="0"/>
        <w:jc w:val="both"/>
        <w:rPr/>
      </w:pPr>
      <w:r>
        <w:rPr>
          <w:rFonts w:eastAsia="Times New Roman" w:cs="Times New Roman" w:ascii="Times New Roman" w:hAnsi="Times New Roman"/>
          <w:color w:val="111111"/>
          <w:sz w:val="28"/>
          <w:szCs w:val="28"/>
          <w:lang w:val="en-US"/>
        </w:rPr>
        <w:t>tashdiq 68, 69, 71, 72, 73, 75,</w:t>
      </w:r>
    </w:p>
    <w:p>
      <w:pPr>
        <w:pStyle w:val="BookText"/>
        <w:bidi w:val="0"/>
        <w:jc w:val="both"/>
        <w:rPr/>
      </w:pPr>
      <w:r>
        <w:rPr>
          <w:rFonts w:eastAsia="Times New Roman" w:cs="Times New Roman" w:ascii="Times New Roman" w:hAnsi="Times New Roman"/>
          <w:color w:val="111111"/>
          <w:sz w:val="28"/>
          <w:szCs w:val="28"/>
          <w:lang w:val="en-US"/>
        </w:rPr>
        <w:t>89, 106, 112, 122, 143,</w:t>
      </w:r>
    </w:p>
    <w:p>
      <w:pPr>
        <w:pStyle w:val="BookText"/>
        <w:bidi w:val="0"/>
        <w:jc w:val="both"/>
        <w:rPr/>
      </w:pPr>
      <w:r>
        <w:rPr>
          <w:rFonts w:eastAsia="Times New Roman" w:cs="Times New Roman" w:ascii="Times New Roman" w:hAnsi="Times New Roman"/>
          <w:color w:val="111111"/>
          <w:sz w:val="28"/>
          <w:szCs w:val="28"/>
          <w:lang w:val="en-US"/>
        </w:rPr>
        <w:t>198, 205, 206, 207, 208,</w:t>
      </w:r>
    </w:p>
    <w:p>
      <w:pPr>
        <w:pStyle w:val="BookText"/>
        <w:bidi w:val="0"/>
        <w:jc w:val="both"/>
        <w:rPr/>
      </w:pPr>
      <w:r>
        <w:rPr>
          <w:rFonts w:eastAsia="Times New Roman" w:cs="Times New Roman" w:ascii="Times New Roman" w:hAnsi="Times New Roman"/>
          <w:color w:val="111111"/>
          <w:sz w:val="28"/>
          <w:szCs w:val="28"/>
          <w:lang w:val="en-US"/>
        </w:rPr>
        <w:t>209, 210, 211, 247</w:t>
      </w:r>
    </w:p>
    <w:p>
      <w:pPr>
        <w:pStyle w:val="BookText"/>
        <w:bidi w:val="0"/>
        <w:jc w:val="both"/>
        <w:rPr/>
      </w:pPr>
      <w:r>
        <w:rPr>
          <w:rFonts w:eastAsia="Times New Roman" w:cs="Times New Roman" w:ascii="Times New Roman" w:hAnsi="Times New Roman"/>
          <w:color w:val="111111"/>
          <w:sz w:val="28"/>
          <w:szCs w:val="28"/>
          <w:lang w:val="en-US"/>
        </w:rPr>
        <w:t>teologi 10, 26, 243</w:t>
      </w:r>
    </w:p>
    <w:p>
      <w:pPr>
        <w:pStyle w:val="BookText"/>
        <w:bidi w:val="0"/>
        <w:jc w:val="both"/>
        <w:rPr/>
      </w:pPr>
      <w:r>
        <w:rPr>
          <w:rFonts w:eastAsia="Times New Roman" w:cs="Times New Roman" w:ascii="Times New Roman" w:hAnsi="Times New Roman"/>
          <w:color w:val="111111"/>
          <w:sz w:val="28"/>
          <w:szCs w:val="28"/>
          <w:lang w:val="en-US"/>
        </w:rPr>
        <w:t>teori 12, 30, 48, 54, 58, 78, 79,</w:t>
      </w:r>
    </w:p>
    <w:p>
      <w:pPr>
        <w:pStyle w:val="BookText"/>
        <w:bidi w:val="0"/>
        <w:jc w:val="both"/>
        <w:rPr/>
      </w:pPr>
      <w:r>
        <w:rPr>
          <w:rFonts w:eastAsia="Times New Roman" w:cs="Times New Roman" w:ascii="Times New Roman" w:hAnsi="Times New Roman"/>
          <w:color w:val="111111"/>
          <w:sz w:val="28"/>
          <w:szCs w:val="28"/>
          <w:lang w:val="en-US"/>
        </w:rPr>
        <w:t>81, 90, 93, 94, 100, 101,</w:t>
      </w:r>
    </w:p>
    <w:p>
      <w:pPr>
        <w:pStyle w:val="BookText"/>
        <w:bidi w:val="0"/>
        <w:jc w:val="both"/>
        <w:rPr/>
      </w:pPr>
      <w:r>
        <w:rPr>
          <w:rFonts w:eastAsia="Times New Roman" w:cs="Times New Roman" w:ascii="Times New Roman" w:hAnsi="Times New Roman"/>
          <w:color w:val="111111"/>
          <w:sz w:val="28"/>
          <w:szCs w:val="28"/>
          <w:lang w:val="en-US"/>
        </w:rPr>
        <w:t>111, 112, 113, 114, 118,</w:t>
      </w:r>
    </w:p>
    <w:p>
      <w:pPr>
        <w:pStyle w:val="BookText"/>
        <w:bidi w:val="0"/>
        <w:jc w:val="both"/>
        <w:rPr/>
      </w:pPr>
      <w:r>
        <w:rPr>
          <w:rFonts w:eastAsia="Times New Roman" w:cs="Times New Roman" w:ascii="Times New Roman" w:hAnsi="Times New Roman"/>
          <w:color w:val="111111"/>
          <w:sz w:val="28"/>
          <w:szCs w:val="28"/>
          <w:lang w:val="en-US"/>
        </w:rPr>
        <w:t>122, 123, 124, 125, 127,</w:t>
      </w:r>
    </w:p>
    <w:p>
      <w:pPr>
        <w:pStyle w:val="BookText"/>
        <w:bidi w:val="0"/>
        <w:jc w:val="both"/>
        <w:rPr/>
      </w:pPr>
      <w:r>
        <w:rPr>
          <w:rFonts w:eastAsia="Times New Roman" w:cs="Times New Roman" w:ascii="Times New Roman" w:hAnsi="Times New Roman"/>
          <w:color w:val="111111"/>
          <w:sz w:val="28"/>
          <w:szCs w:val="28"/>
          <w:lang w:val="en-US"/>
        </w:rPr>
        <w:t>131, 132, 134, 137, 140,</w:t>
      </w:r>
    </w:p>
    <w:p>
      <w:pPr>
        <w:pStyle w:val="BookText"/>
        <w:bidi w:val="0"/>
        <w:jc w:val="both"/>
        <w:rPr/>
      </w:pPr>
      <w:r>
        <w:rPr>
          <w:rFonts w:eastAsia="Times New Roman" w:cs="Times New Roman" w:ascii="Times New Roman" w:hAnsi="Times New Roman"/>
          <w:color w:val="111111"/>
          <w:sz w:val="28"/>
          <w:szCs w:val="28"/>
          <w:lang w:val="en-US"/>
        </w:rPr>
        <w:t>141, 143, 147, 149, 150,</w:t>
      </w:r>
    </w:p>
    <w:p>
      <w:pPr>
        <w:pStyle w:val="BookText"/>
        <w:bidi w:val="0"/>
        <w:jc w:val="both"/>
        <w:rPr/>
      </w:pPr>
      <w:r>
        <w:rPr>
          <w:rFonts w:eastAsia="Times New Roman" w:cs="Times New Roman" w:ascii="Times New Roman" w:hAnsi="Times New Roman"/>
          <w:color w:val="111111"/>
          <w:sz w:val="28"/>
          <w:szCs w:val="28"/>
          <w:lang w:val="en-US"/>
        </w:rPr>
        <w:t>151, 152, 155, 156, 157,</w:t>
      </w:r>
    </w:p>
    <w:p>
      <w:pPr>
        <w:pStyle w:val="BookText"/>
        <w:bidi w:val="0"/>
        <w:jc w:val="both"/>
        <w:rPr/>
      </w:pPr>
      <w:r>
        <w:rPr>
          <w:rFonts w:eastAsia="Times New Roman" w:cs="Times New Roman" w:ascii="Times New Roman" w:hAnsi="Times New Roman"/>
          <w:color w:val="111111"/>
          <w:sz w:val="28"/>
          <w:szCs w:val="28"/>
          <w:lang w:val="en-US"/>
        </w:rPr>
        <w:t>160, 162, 169, 170, 171,</w:t>
      </w:r>
    </w:p>
    <w:p>
      <w:pPr>
        <w:pStyle w:val="BookText"/>
        <w:bidi w:val="0"/>
        <w:jc w:val="both"/>
        <w:rPr/>
      </w:pPr>
      <w:r>
        <w:rPr>
          <w:rFonts w:eastAsia="Times New Roman" w:cs="Times New Roman" w:ascii="Times New Roman" w:hAnsi="Times New Roman"/>
          <w:color w:val="111111"/>
          <w:sz w:val="28"/>
          <w:szCs w:val="28"/>
          <w:lang w:val="en-US"/>
        </w:rPr>
        <w:t>172, 173, 174, 176, 177,</w:t>
      </w:r>
    </w:p>
    <w:p>
      <w:pPr>
        <w:pStyle w:val="BookText"/>
        <w:bidi w:val="0"/>
        <w:jc w:val="both"/>
        <w:rPr/>
      </w:pPr>
      <w:r>
        <w:rPr>
          <w:rFonts w:eastAsia="Times New Roman" w:cs="Times New Roman" w:ascii="Times New Roman" w:hAnsi="Times New Roman"/>
          <w:color w:val="111111"/>
          <w:sz w:val="28"/>
          <w:szCs w:val="28"/>
          <w:lang w:val="en-US"/>
        </w:rPr>
        <w:t>183, 186, 188, 198, 199,</w:t>
      </w:r>
    </w:p>
    <w:p>
      <w:pPr>
        <w:pStyle w:val="BookText"/>
        <w:bidi w:val="0"/>
        <w:jc w:val="both"/>
        <w:rPr/>
      </w:pPr>
      <w:r>
        <w:rPr>
          <w:rFonts w:eastAsia="Times New Roman" w:cs="Times New Roman" w:ascii="Times New Roman" w:hAnsi="Times New Roman"/>
          <w:color w:val="111111"/>
          <w:sz w:val="28"/>
          <w:szCs w:val="28"/>
          <w:lang w:val="en-US"/>
        </w:rPr>
        <w:t>201, 206, 208, 209, 211,</w:t>
      </w:r>
    </w:p>
    <w:p>
      <w:pPr>
        <w:pStyle w:val="BookText"/>
        <w:bidi w:val="0"/>
        <w:jc w:val="both"/>
        <w:rPr/>
      </w:pPr>
      <w:r>
        <w:rPr>
          <w:rFonts w:eastAsia="Times New Roman" w:cs="Times New Roman" w:ascii="Times New Roman" w:hAnsi="Times New Roman"/>
          <w:color w:val="111111"/>
          <w:sz w:val="28"/>
          <w:szCs w:val="28"/>
          <w:lang w:val="en-US"/>
        </w:rPr>
        <w:t>212, 214, 216, 220, 221,</w:t>
      </w:r>
    </w:p>
    <w:p>
      <w:pPr>
        <w:pStyle w:val="BookText"/>
        <w:bidi w:val="0"/>
        <w:jc w:val="both"/>
        <w:rPr/>
      </w:pPr>
      <w:r>
        <w:rPr>
          <w:rFonts w:eastAsia="Times New Roman" w:cs="Times New Roman" w:ascii="Times New Roman" w:hAnsi="Times New Roman"/>
          <w:color w:val="111111"/>
          <w:sz w:val="28"/>
          <w:szCs w:val="28"/>
          <w:lang w:val="en-US"/>
        </w:rPr>
        <w:t>222, 224, 227, 228, 229,</w:t>
      </w:r>
    </w:p>
    <w:p>
      <w:pPr>
        <w:pStyle w:val="BookText"/>
        <w:bidi w:val="0"/>
        <w:jc w:val="both"/>
        <w:rPr/>
      </w:pPr>
      <w:r>
        <w:rPr>
          <w:rFonts w:eastAsia="Times New Roman" w:cs="Times New Roman" w:ascii="Times New Roman" w:hAnsi="Times New Roman"/>
          <w:color w:val="111111"/>
          <w:sz w:val="28"/>
          <w:szCs w:val="28"/>
          <w:lang w:val="en-US"/>
        </w:rPr>
        <w:t>230, 231, 232, 233, 237,</w:t>
      </w:r>
    </w:p>
    <w:p>
      <w:pPr>
        <w:pStyle w:val="BookText"/>
        <w:bidi w:val="0"/>
        <w:jc w:val="both"/>
        <w:rPr/>
      </w:pPr>
      <w:r>
        <w:rPr>
          <w:rFonts w:eastAsia="Times New Roman" w:cs="Times New Roman" w:ascii="Times New Roman" w:hAnsi="Times New Roman"/>
          <w:color w:val="111111"/>
          <w:sz w:val="28"/>
          <w:szCs w:val="28"/>
          <w:lang w:val="en-US"/>
        </w:rPr>
        <w:t>238, 240, 241, 245, 246,</w:t>
      </w:r>
    </w:p>
    <w:p>
      <w:pPr>
        <w:pStyle w:val="BookText"/>
        <w:bidi w:val="0"/>
        <w:jc w:val="both"/>
        <w:rPr/>
      </w:pPr>
      <w:r>
        <w:rPr>
          <w:rFonts w:eastAsia="Times New Roman" w:cs="Times New Roman" w:ascii="Times New Roman" w:hAnsi="Times New Roman"/>
          <w:color w:val="111111"/>
          <w:sz w:val="28"/>
          <w:szCs w:val="28"/>
          <w:lang w:val="en-US"/>
        </w:rPr>
        <w:t>259, 262, 266, 267, 275</w:t>
      </w:r>
    </w:p>
    <w:p>
      <w:pPr>
        <w:pStyle w:val="BookText"/>
        <w:bidi w:val="0"/>
        <w:jc w:val="both"/>
        <w:rPr/>
      </w:pPr>
      <w:r>
        <w:rPr>
          <w:rFonts w:eastAsia="Times New Roman" w:cs="Times New Roman" w:ascii="Times New Roman" w:hAnsi="Times New Roman"/>
          <w:color w:val="111111"/>
          <w:sz w:val="28"/>
          <w:szCs w:val="28"/>
          <w:lang w:val="en-US"/>
        </w:rPr>
        <w:t>teosofi 10, 53, 264, 265, 266</w:t>
      </w:r>
    </w:p>
    <w:p>
      <w:pPr>
        <w:pStyle w:val="BookText"/>
        <w:bidi w:val="0"/>
        <w:jc w:val="both"/>
        <w:rPr/>
      </w:pPr>
      <w:r>
        <w:rPr>
          <w:rFonts w:eastAsia="Times New Roman" w:cs="Times New Roman" w:ascii="Times New Roman" w:hAnsi="Times New Roman"/>
          <w:color w:val="111111"/>
          <w:sz w:val="28"/>
          <w:szCs w:val="28"/>
          <w:lang w:val="en-US"/>
        </w:rPr>
        <w:t>Timur v, vi, 7, 10, 25, 62, 154,</w:t>
      </w:r>
    </w:p>
    <w:p>
      <w:pPr>
        <w:pStyle w:val="BookText"/>
        <w:bidi w:val="0"/>
        <w:jc w:val="both"/>
        <w:rPr/>
      </w:pPr>
      <w:r>
        <w:rPr>
          <w:rFonts w:eastAsia="Times New Roman" w:cs="Times New Roman" w:ascii="Times New Roman" w:hAnsi="Times New Roman"/>
          <w:color w:val="111111"/>
          <w:sz w:val="28"/>
          <w:szCs w:val="28"/>
          <w:lang w:val="en-US"/>
        </w:rPr>
        <w:t>155, 160, 250, 263</w:t>
      </w:r>
    </w:p>
    <w:p>
      <w:pPr>
        <w:pStyle w:val="BookText"/>
        <w:bidi w:val="0"/>
        <w:jc w:val="both"/>
        <w:rPr/>
      </w:pPr>
      <w:r>
        <w:rPr>
          <w:rFonts w:eastAsia="Times New Roman" w:cs="Times New Roman" w:ascii="Times New Roman" w:hAnsi="Times New Roman"/>
          <w:color w:val="111111"/>
          <w:sz w:val="28"/>
          <w:szCs w:val="28"/>
          <w:lang w:val="en-US"/>
        </w:rPr>
        <w:t>wujud 13, 38, 39, 50, 70, 86, 90,</w:t>
      </w:r>
    </w:p>
    <w:p>
      <w:pPr>
        <w:pStyle w:val="BookText"/>
        <w:bidi w:val="0"/>
        <w:jc w:val="both"/>
        <w:rPr/>
      </w:pPr>
      <w:r>
        <w:rPr>
          <w:rFonts w:eastAsia="Times New Roman" w:cs="Times New Roman" w:ascii="Times New Roman" w:hAnsi="Times New Roman"/>
          <w:color w:val="111111"/>
          <w:sz w:val="28"/>
          <w:szCs w:val="28"/>
          <w:lang w:val="en-US"/>
        </w:rPr>
        <w:t>108, 109, 125, 127, 131,</w:t>
      </w:r>
    </w:p>
    <w:p>
      <w:pPr>
        <w:pStyle w:val="BookText"/>
        <w:bidi w:val="0"/>
        <w:jc w:val="both"/>
        <w:rPr/>
      </w:pPr>
      <w:r>
        <w:rPr>
          <w:rFonts w:eastAsia="Times New Roman" w:cs="Times New Roman" w:ascii="Times New Roman" w:hAnsi="Times New Roman"/>
          <w:color w:val="111111"/>
          <w:sz w:val="28"/>
          <w:szCs w:val="28"/>
          <w:lang w:val="en-US"/>
        </w:rPr>
        <w:t>135, 144, 165, 166, 176,</w:t>
      </w:r>
    </w:p>
    <w:p>
      <w:pPr>
        <w:pStyle w:val="BookText"/>
        <w:bidi w:val="0"/>
        <w:jc w:val="both"/>
        <w:rPr/>
      </w:pPr>
      <w:r>
        <w:rPr>
          <w:rFonts w:eastAsia="Times New Roman" w:cs="Times New Roman" w:ascii="Times New Roman" w:hAnsi="Times New Roman"/>
          <w:color w:val="111111"/>
          <w:sz w:val="28"/>
          <w:szCs w:val="28"/>
          <w:lang w:val="en-US"/>
        </w:rPr>
        <w:t>199, 200, 201, 202, 206,</w:t>
      </w:r>
    </w:p>
    <w:p>
      <w:pPr>
        <w:pStyle w:val="BookText"/>
        <w:bidi w:val="0"/>
        <w:jc w:val="both"/>
        <w:rPr/>
      </w:pPr>
      <w:r>
        <w:rPr>
          <w:rFonts w:eastAsia="Times New Roman" w:cs="Times New Roman" w:ascii="Times New Roman" w:hAnsi="Times New Roman"/>
          <w:color w:val="111111"/>
          <w:sz w:val="28"/>
          <w:szCs w:val="28"/>
          <w:lang w:val="en-US"/>
        </w:rPr>
        <w:t>217, 218, 221, 225, 226,</w:t>
      </w:r>
    </w:p>
    <w:p>
      <w:pPr>
        <w:pStyle w:val="BookText"/>
        <w:bidi w:val="0"/>
        <w:jc w:val="both"/>
        <w:rPr/>
      </w:pPr>
      <w:r>
        <w:rPr>
          <w:rFonts w:eastAsia="Times New Roman" w:cs="Times New Roman" w:ascii="Times New Roman" w:hAnsi="Times New Roman"/>
          <w:color w:val="111111"/>
          <w:sz w:val="28"/>
          <w:szCs w:val="28"/>
          <w:lang w:val="en-US"/>
        </w:rPr>
        <w:t>228, 232, 237, 238, 239,</w:t>
      </w:r>
    </w:p>
    <w:p>
      <w:pPr>
        <w:pStyle w:val="BookText"/>
        <w:bidi w:val="0"/>
        <w:jc w:val="both"/>
        <w:rPr/>
      </w:pPr>
      <w:r>
        <w:rPr>
          <w:rFonts w:eastAsia="Times New Roman" w:cs="Times New Roman" w:ascii="Times New Roman" w:hAnsi="Times New Roman"/>
          <w:color w:val="111111"/>
          <w:sz w:val="28"/>
          <w:szCs w:val="28"/>
          <w:lang w:val="en-US"/>
        </w:rPr>
        <w:t>240, 241, 242, 244, 246,</w:t>
      </w:r>
    </w:p>
    <w:p>
      <w:pPr>
        <w:pStyle w:val="BookText"/>
        <w:bidi w:val="0"/>
        <w:jc w:val="both"/>
        <w:rPr/>
      </w:pPr>
      <w:r>
        <w:rPr>
          <w:rFonts w:eastAsia="Times New Roman" w:cs="Times New Roman" w:ascii="Times New Roman" w:hAnsi="Times New Roman"/>
          <w:color w:val="111111"/>
          <w:sz w:val="28"/>
          <w:szCs w:val="28"/>
          <w:lang w:val="en-US"/>
        </w:rPr>
        <w:t>249, 259, 264</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yakin 43, 113, 132, 185, 229,</w:t>
      </w:r>
    </w:p>
    <w:p>
      <w:pPr>
        <w:pStyle w:val="BookText"/>
        <w:bidi w:val="0"/>
        <w:jc w:val="both"/>
        <w:rPr/>
      </w:pPr>
      <w:r>
        <w:rPr>
          <w:rFonts w:eastAsia="Times New Roman" w:cs="Times New Roman" w:ascii="Times New Roman" w:hAnsi="Times New Roman"/>
          <w:color w:val="111111"/>
          <w:sz w:val="28"/>
          <w:szCs w:val="28"/>
          <w:lang w:val="en-US"/>
        </w:rPr>
        <w:t>266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zaman 9, 32, 123, 125, 155 </w:t>
      </w:r>
      <w:bookmarkStart w:id="244" w:name="pg6442_57569"/>
    </w:p>
    <w:p>
      <w:pPr>
        <w:pStyle w:val="Heading2"/>
        <w:numPr>
          <w:ilvl w:val="1"/>
          <w:numId w:val="1"/>
        </w:numPr>
        <w:bidi w:val="0"/>
        <w:jc w:val="left"/>
        <w:rPr/>
      </w:pPr>
      <w:bookmarkStart w:id="245" w:name="__RefHeading___Toc924740_653776707"/>
      <w:bookmarkStart w:id="246" w:name="_Toc83"/>
      <w:bookmarkEnd w:id="244"/>
      <w:bookmarkEnd w:id="245"/>
      <w:r>
        <w:rPr/>
        <w:t>Biografi Penulis</w:t>
      </w:r>
      <w:bookmarkEnd w:id="246"/>
    </w:p>
    <w:p>
      <w:pPr>
        <w:pStyle w:val="BookText"/>
        <w:bidi w:val="0"/>
        <w:jc w:val="both"/>
        <w:rPr/>
      </w:pPr>
      <w:r>
        <w:rPr/>
        <mc:AlternateContent>
          <mc:Choice Requires="wps">
            <w:drawing>
              <wp:inline distT="0" distB="0" distL="0" distR="0">
                <wp:extent cx="1104900" cy="1270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8"/>
                        <a:stretch/>
                      </pic:blipFill>
                      <pic:spPr>
                        <a:xfrm>
                          <a:off x="0" y="0"/>
                          <a:ext cx="1104840" cy="1270080"/>
                        </a:xfrm>
                        <a:prstGeom prst="rect">
                          <a:avLst/>
                        </a:prstGeom>
                        <a:ln w="0">
                          <a:noFill/>
                        </a:ln>
                      </pic:spPr>
                    </pic:pic>
                  </a:graphicData>
                </a:graphic>
              </wp:inline>
            </w:drawing>
          </mc:Choice>
          <mc:Fallback>
            <w:pict>
              <v:shape id="shape_0" stroked="f" o:allowincell="f" style="position:absolute;margin-left:0pt;margin-top:-100.05pt;width:86.95pt;height:99.95pt;mso-wrap-style:none;v-text-anchor:middle;mso-position-horizontal:left;mso-position-vertical:top" type="_x0000_t75">
                <v:imagedata r:id="rId319" o:detectmouseclick="t"/>
                <v:stroke color="#3465a4" joinstyle="round" endcap="flat"/>
                <w10:wrap type="none"/>
              </v:shape>
            </w:pict>
          </mc:Fallback>
        </mc:AlternateContent>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Dr. Hossein Ziai lahir pada 6 Juli  1944. la merupakan pemikir dan peneliti  Filsafat Islam, terutama aliran Filsafat Iluminasi.</w:t>
      </w:r>
    </w:p>
    <w:p>
      <w:pPr>
        <w:pStyle w:val="BookText"/>
        <w:bidi w:val="0"/>
        <w:jc w:val="both"/>
        <w:rPr/>
      </w:pPr>
      <w:r>
        <w:rPr>
          <w:rFonts w:eastAsia="Times New Roman" w:cs="Times New Roman" w:ascii="Times New Roman" w:hAnsi="Times New Roman"/>
          <w:color w:val="111111"/>
          <w:sz w:val="28"/>
          <w:szCs w:val="28"/>
          <w:lang w:val="en-US"/>
        </w:rPr>
        <w:t>Pria berkebangsaan Iran-Amerika ini mendapat  gelar B.S. (Bachelor of Science) tahun 1967  tentang Matematika dan Fisika dari Universitas  Yaler, dan gelar Ph.D di bidang Filsafat Islam  dari Universitas Harvard tahun 1976. Ziai merupakan Profesor  tetap di bidang Studi Islam dan Iran, dan sebagai direktur studi  Iran di University of California Los Angeles (UCLA), universitas  di mana dia mengajar sejak tahun 1988. Sebelum di UCLA, Ziai  pernah mengajar di Universitas Tehran dan Universitas Sharif di  Iran, Universitas Harvard, Universitas Brown, serta Oberlin College  di USA.</w:t>
      </w:r>
    </w:p>
    <w:p>
      <w:pPr>
        <w:pStyle w:val="BookText"/>
        <w:bidi w:val="0"/>
        <w:jc w:val="both"/>
        <w:rPr/>
      </w:pPr>
      <w:r>
        <w:rPr>
          <w:rFonts w:eastAsia="Times New Roman" w:cs="Times New Roman" w:ascii="Times New Roman" w:hAnsi="Times New Roman"/>
          <w:color w:val="111111"/>
          <w:sz w:val="28"/>
          <w:szCs w:val="28"/>
          <w:lang w:val="en-US"/>
        </w:rPr>
        <w:t>Dalam kancah internasional, Ziai memangku beberapa  jabatan penting, di antaranya pada Desember 2010 terpilih  sebagai Presiden dalam Société Internationale d'Histoire des  Sciences et de la Philosophie Arabes et Islamiques (S.I.H.S.P.A.I.,  Masyarakat Internasional untuk Sejarah Sains dan Filsafat Arab  dan Islam), dan Anggota Kehormatan di La Société Internationale  Pour l'étude de la Philosophie Médiévale (Masyarakat  Internasional untuk Studi Filsafat Abad Pertengahan).</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Ziai telah menerbitkan beberapa jilid buku dan sejumlah  artikel tentang Filsafat Islam-khususnya tentang tradisi Filsafat  Illuminasi Islam yang didirikan oleh Suhrawardi-dan dampak  filsafat dalam puisi Persia yang dihubungkannya dengan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epistemologi ilmu Hudhuri. Berikut beberapa karyanya, di  antaranya: (1) Philosophy of Mathematics; (2) Anvāriyyeh (The  Realm of Lights); (3) Knowledge and illumination: A Study of  Suhrawardi Hikmah al-Ishrāq; (4) Shahrazūri's Sharh Hikmah al-  Ishrāq, on Illuminationist Philosophy; (5) The Book of Radiance;  (6) The Philosophy of illumination; (7) The Ball and Polo Stick;  (8) Ibn Kammūna's Sharh Al-Talwihāt, on Natural Philosophy  and Psychology  Selain itu, dia juga berkontribusi dalam beberapa jilid  buku, di antaranya: Beyond Philosophy dalam buku Myth and  Philosophy, diedit oleh Frank Reynolds dan David Tracy; The  Source and Nature of Authority dalam buku The Political Aspects  of Islamic Philosophy, diedit oleh Charles Butterworth; tiga bab  dari The Routledge History of Islamic Philosophy, diedit oleh  Seyyed Hossein Nasr dan Oliver Leaman.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Lihat Bab 1, sub 2.5 dan seterusnya.</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Syarh Hikmah Al-Isyrāq (Komentar atas Filsafat Iluminasi) karya  Asy-Syahrazuri belum diterbitkan. Saya telah mempersiapkan  edisi kritis naskah tulisan pendahuluan. Namun, sebelum  diterbitkan, saya akan merujuk dahulu pada catatan folio  Istanbul, Saray Ahmad III, MS 3230.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3.Edisi teks dan terjemahan Moshe Perlman atas karya polemik  Ibn Kammunah, Tanqih Al-Abhāts li Al-Milal Al-Tsalāts, adalah  satu-satunya kajian atas Ibn Kammunah. Lihat, Moshe Perlman,  Sa'd b. Manshur Ibn Kammunah's Examination of The  Inquiries Into The Three Faiths: A Thirteenth Century Essay in  Comparative Religion. (Berkeley and Los Angeles: University  of California Press, teks 1967 dan terjemahan 1971). Ibn  Kammunah adalah seorang tokoh penting dalam sejarah filsafat  pasca-Ibn Sina. Bab Logika dari karyanya, Syarh At-Talwīhāt  (Komentar atas At-Talwihāt Suhrawardi) dicetak di catatan-  pinggir karya Suhrawardi, Manthiq At-Talwībāt (Logika dalam  At-Talwihāt), yang disunting oleh Ali Akbar Fayyaz, (Tehran: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Lihat Carra de Vaux, “La Philosophie Illuminative d'après Suhrawerdi Meqtoul", Journal Asiatique, Vol. 19 (t.t. : t.p,1902), hlm. 63-64.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Lihat Max Horten, Die Philosophies der Erleutung nach  Suhrawardi. (Halle, 1912).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Lihat Louis Massignon, Recuil de Textes Inédits. (Paris: Paul  Gauthner, 1929), hlm. 111-113.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4.Lihat Otto Spies, Three Treatise on Mysticism by Shihabuddin  Suhrawardi Maqtul. (Stuttgart: Kohlhammer, 1935).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5.Lihat Helmut Ritter, “Philologika IX: Die vier Suhrawardi", Der  Islam, Vol. 24 (t.t. : t.p, 1937), hlm. 270-286; dan Vol. 25 (t.t.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9.Hanya bagian-bagian ihwal metafisika dari tiga karya  Suhrawardi, yakni At-Talwīhāt, Al-Muqāwamāt, Al-Masyāri' wa  Al-Muthārahāt (yang masing-masing disebut oleh Suhrawardi  sebagai “Ilmu Ketiga Tentang Metafisika" [al-ʻIlm ats-Tsālits  fi al-Ilāhiyyāt]) yang sudah disunting dan diterbitkan dalam  “Opera Metaphysica et Mystica l", disunting oleh H. Corbin,  (Istanbul: Maarif Matbaasi, 1945), selanjutnya disebut Opera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Diterbitkan dalam "Opera Metaphysica et Mystica II",  disunting oleh H. Corbin, (Tehran: Institut Franco-Iranien, 1952), selanjutnya disebut Opera II.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Persoalan ihwal maksud dan tujuan penulis dalam menelaah  teks-teks filsafat abad pertengahan adalah suatu hal yang krusial.</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Suhrawardi, Opera I, hlm. 194.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Suhrawardi, Opera I, hlm. 124. Struktur “penjelasan  tambahan" bagi At-Talwīhāt ini berkaitan dengan struktur  At-Talwīhāt, kita hanya akan menelaah struktur At-Talwāhāt,  kecuali dalam hal-hal tertentu, yang akan kita sebut dalam  catatan kaki.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Yakni, 'alā thariq masyā'in. Suhrawardi, Opera II, hlm. 10.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Ibid., hlm. 10-11.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Suhrawardi, Kitāb Al-Lamahāt, disunting oleh Emile Maalouf,  (Beirut: Dar an-Nahar, 1969), hlm. 57. Selanjutnya disebut  Al-Lamahāt.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E. Maalouf dalam “Pengantar” edisi Al-Lamahāt (hlm. vii)  menegaskan bahwa karya ini dianggap sebagai “tonggak dari  ikhtisar teori Peripatetik".</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Suhrawardi memutuskan keinginannya untuk menyusun karya  yang menjadi penjelasan topik-topik penting Filsafat Peripatetik,  (Al-Lamahāt, hlm. 57). Seperti biasa, dalam semua karyanya,  Suhrawardi jarang merujuk pandangan Peripatetik dengan  sebutan Al-Masyā'iyyūn, karena ini satu-satunya contoh  dalam Al-Lamahāt.</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Di sini, Suhrawardi menggeneralisasi konsep Huwiyyah (zat atau  hakikat) dengan menggunakan konsep istilah Persia ū’i dan  memberlakukannya untuk orang pertama dan juga orang  kedua. Dengan demikian, manī untuk “keakuan”, tū’i untuk  “keengkauan", dan ū'i untuk "kediaan".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Opera I, hlm. xvi.</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Bagi Suhrawardi, “filsafat diskursif" adalah sikap, metodologi,  dan bahasa teknis filsafat, yang sebagian besar, (tetapi tidak  semua) diasosiasikan dengan karya-karya Peripatetik Ibn Sina.</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Ad-Dawwani menetapkan karya ini sebagai karya bercorak  alegoris (marmūzah), yang mengandung rahasia-rahasia  kearifan Iluminasi, bentuk kearifan yang dikaruniakan kepada  orang pilihan yang dekat dengan Tuhan (Al-Qqirābah Al-  Ilāhiyyah), fols. 2r-3v; 82v-84r.</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Asy-Syahrazuri, Nuzhah al-Arwāh M.S., (Istanbul: Yeni Cami, 908), fols. 233v. Karya Asy-Syahrazuri tentang sejarah filsafat  adalah satu-satunya sumber ekstensif dalam uraiannya ihwal  riwayat hidup Suhrawardi. Asy-Syahrazuri mungkin memiliki  sumber-sumber lisan tentang masalah ini karena kita tidak  bisa menempatkan sumber-sumber tertulis lain untuk biografi  seperti dilakukan dalam Nuzhah al-Arwāh. Namun, terdapat  informasi tambahan tertentu tentang Suhrawardi yang meski  tidak ekstensif, bisa menambah pemahaman kita tentang  kehidupannya. Kita akan menunjukkan ini saat kita meneruskan  kajian ini. Versi terbaru karya Asy-Syahrazuri yang telah dicetak  juga ada. Lihat, Asy-Syahrazuri, Nuzhah Al-Arwāh wa Raudhah  Al-Afrah fī Tārīkh al-Hukamā' wa Al-Falāsifah, disunting oleh  Seyyed Khursid Ahmad, (Hayderabad: Osmania Oriental  Publication Bureau, 1976). Terjemahan karya abad ke-16 M  berbahasa Persia oleh Maqshud ‘Ali Tabrizi sudah diterbitkan.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Asy-Syahrazuri, Nuzhah al-Arwāh, fol. 231r.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Yaqut, Irsyād, hlm. vii dan 269.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Ibn Abi Ushaibi'ah, Thabaqāt I, hlm. 299-301.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Tampaknya Mardini, yang pernah tinggal selama beberapa  tahun (587-589 H) di Damaskus, pergi ke Aleppo dan diterima  oleh Malik azh-Zhahir. Ibid., hlm. 289-290.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Al-Qifthi, Tārīkh al-Hukamā' (terjemahan bahasa Persia abad      ke-11 M), disunting oleh Bahman Dara'i, (Tehran: Tehran  University Press, 1347 H), hlm. 345.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Abu Al-Barakat Al-Baghdadi, Kitāb Al-Mu'tabar. (Haydarabad:</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Suhrawardi, Opera I, hlm. 146, 278, dan 352. Menarik untuk  dicatat bahwa As-Sawi menulis sebuah komentar atas karya Ibn  Sina, Risalah Ath-Thair, dalam bahasa Persia (GAL I, 456. 44),  sebuah risalah alegoris yang disusun kembali oleh Suhrawardi,  (diterjemahkan dalam The Mystical and Visionary Treatise of  Suhrawardi, oleh Thackson, hlm. 21-25). As-Sawi adalah salah  seorang pemikir lluminasionis awal dalam Islam.</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Sarjana-sarjana mutakhir dewasa ini juga sudah menerima  karya-karya Suhrawardi seperti At-Talwībāt, Al-Muqāwamāt,  dan Al-Masyāri' wa Al-Muthārahāt sebagai karya-karya  Peripatetik, yang secara esensial tidak berkaitan dengan  Filsafat Iluminasi yang disusun dalam kurun waktu sebelum  Suhrawardi mengembangkan berbagai prinsip, kaidah, dan  metode lluminasi. Lihat Louis Massignon, Recueil de textes  inédits. (Paris: Paul Geuthner, 1929), hlm. 111-113; Carl  Brockelman, GAL I, hlm. 437-438, GAL SI, hlm. 481-483;  Henry Corbin, “Prolegomènes,” Opera II; Seyyed Hossein  Nasr, “Syihabuddin Suhrawardi Maqtul”, A History of Muslim  Philosophy, disunting oleh M. M. Syarif, (Weisbaden: Otto  Harrasowitz, 1963), hlm. 374; dan juga yang lain-lain  yang mengikuti klasifikasi tidak lengkap atas karya-karya  Suhrawardi seperti penulis-penulis ini.</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Lihat, misalnya Suhrawardi, Opera I, hlm. 59, 121, 128, 131,      146, 183, 185, 192, 194, 195, 278, 340, 361, 371, 401, 484, 506. Suhrawardi memandang semua teks penting tersebut saling  berkaitan satu sama lain.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Yaqut, Irsyad, hlm. vii dan 269.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Suhrawardi, Opera I, hlm. 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Suhrawardi, Opera II, hlm. 10. Ada sejumlah contoh dalam  keempat karya Suhrawardi di mana ia membahas relevansi  “metode Peripatetik” (tharīq al-masysyā'īn) bagi murid  Filsafat lluminasi. Semua ini akan kita telaah dalam bab-  bab berikutnya. Kebanyakan sarjana gagal melihat bahwa  metodologi Iluminasionis tidak menegasikan metodologi  Peripatetik; sebaliknya, ia memadukannya sebagai piranti  dalam rekonstruksi metafisika. Segera bisa kita pastikan dalam  bagian pendahuluan ini, pentingnya metodologi Peripatetik  dari pernyataan Suhrawardi di bagian akhir Hikmah Al-Isyrāq,  “Sampaikanlah dan ajarkanlah Filsafat Iluminasi hanya kepada  mereka yang sudah memahami dan benar-benar kompeten  dalam metodologi Peripatetik.” (Opera II, hlm. 258).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Yakni Al-'ilm At-Tajarrudi Al-Mitsāli Asy-syuhūdi. Bandingkan  R. Arnaldez, El?, s.v. "Ishraq."</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Suhrawardi, Opera I, hlm. 120-121.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Ibid., hlm. 70-74.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Pada dasarnya, ini pandangan tentang “sumber-sumber"  Suhrawardi, bukan dalam pengertian historis yang kaku,  melainkan dalam pengertian genealogi spiritual. Pandangan  ini mempertimbangkan adanya dua cabang dalam genealogi  spiritual, yang satu Barat yang meliputi Empedokles,  Phythagoras, Plato, dan dalam Islam (masih Barat) yang  meliputi Dzūn-Nun al-Mishri dan Sahl bin 'Abdullāh at-  Tustarī; dan cabang Timur lain yang meliputi Gayomarth,  Faridun, Kay Khusrau, serta dalam Islam (masih Timur) Abū  Yazid Basthami, Manshur Al-Hallaj dan al-Kharraqāni. Kedua  cabang ini diawali dari Hermes, “Bapak para Filsafat" (wālid al-    hukamā') dan berakhir dengan Suhrawardi. Lihat R. Arnaldez,  EP, s.v. “Ishrākiyyūn." Harus diperhatikan bahwa setiap filsuf  Iluminasionis diberkati dengan suatu “tanda" khas atau kualitas,  yang mengingatkan Saipóviov dari Socrates, dan disamakan  dengan khvarnah Persia, yang disebut Suhrawardi dengan  kiyān kharra atau farra-yi izadi.</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Opera I, hlm. 58.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Suhrawardi, Opera II, hlm. 12. Bandingkan Quthbuddin  Asy-Syirazi, Syarh Hikmah Al-Isyrāq Komentar atas Filsafat  Iluminasi], (Tehran, 1313 A.H.), hlm. 3-4, (selanjutnya disebut  Syarh II). Pendahuluan Suhrawardi untuk karya ini sangatlah  penting. Jadi, kami suguhkan kepada pembaca terjemahan  lengkapnya. Lihat Appendiks A di bagian belakang buku ini.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Suhrawardi, Opera I, hlm. 484.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Ibid., hlm. 128, 146, 183, 188.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Yakni Thariq, At-Talwībāt. Ibid., hlm. 188. “Rahasia-Rahasia,"  atau “metafor-metafor” (ar-rum ūz) dalam Al-Talwāhāt dikatakan  harus dipahami hanya dalam kaitannya dengan pembahasan  dalam Al-Muqāwamāt.</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Suhrawardi, Opera I, hlm. 192.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Bagian Al-Masyāri' wa Al-Muthārahāt yang sudah diterbitkan  (dalam Corbin, Opera I), hanya memuat Al-Qism ats-Tsālits: Fi  al-'Ilm al-Ilāhi (Bagian Ketiga: Ihwal Metafisika), yang memuat  kurang dari sepertiga dari keseluruhannya dan bahkan lebih  banyak dibandingkan dengan keseluruhan Hikmah Al-Isyrāq.</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Yakni Mukharrajah Musyahadah min Tasharrufāt. Bandingkan  Al-Baghdadi, Al-Mu'tabar, hlm. 1-4.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Ada sejumlah rujukan kepada orang yang disebut sebagai Al-  Qayyim 'alā Al-Isyrāq dalam karya-karya Suhrawardi. Dalam  Hikmah Al-Isyrāq, orang seperti ini disebut qayyim al-kitāb  (Opera II, hlm. 258). Suhrawardi menyebut orang itu sebagai  al-qayyim bi ‘ilm al-kitab fi ‘ahdinā (Opera II, hlm. 260). Fungsi  orang seperti itu, tidak seperti mursyid sufi, harus “menjaga"    rahasia-rahasia Filsafat Iluminasi dan membahasnya hanya  bersama murid-murid, yang untuk mereka, ia bertindak  sebagai pembimbing dan mentor. Quthbuddin Asy-Syirazi  menyebut orang seperti ini sebagai “orang yang menyadari  rahasia-rahasia (asrār) Filsafat Iluminasi”, (Syarh II, hlm. 561).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Sandi-sandi itu tidak digambarkan di sini. Lihat Opera I, hlm. 124 catatan pada baris  12.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Suhrawardi, Opera I, hlm. 194-195.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Lihat, misalnya, Ibid., hlm. 361, 401.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Ibid., hlm. 505.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Ibid., hlm.483.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Ibid., hlm. 494.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Kami simpulkan dari berbagai sebutan dalam semua karya  Suhrawardi dengan “saudara-saudaraku" (ikhwānī), “sahabat-  sahabat kami” (ashhābunā), dan sebagainya. Lihat, misalnya  Suhrawardi, Opera II, hlm. 10, 257-260.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Suhrawardi, Opera I, hlm. 334.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Ikhwān at-Tajrid adalah kelompok yang meliputi Suhrawardi dan  murid-muridnya langsung, tetapi juga melampaui mereka  sehingga mencakup para filsuf dan mistikus sebelumnya.</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Suhrawardi, Opera I, hlm. 334.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Suhrawardi, Opera II, hlm. 11.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Asy-Syirazi, Syarh II, hlm. 15.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Suhrawardi, Opera I, hlm. 361, 401, 484, serta 488.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Suhrawardi, Opera II, hlm. 11.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Asy-Syirazi, Syarh II, hlm. 15.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Suhrawardi, Opera II, hlm. 10.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Asy-Syirazi, Syarh II, hlm. 13. Lihat juga, Asy-Syahrazuri, Syarh,  fol. 19 r.</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Ibn Syaddad dalam Biografi Shalāhuddin menyebut Suhrawardi        sebagai “Suhrawardi Muda" dan juga “sufi". Ia menegaskan bahwa  raja sudah diperingatkan tentang pengaruh penyelewengan filsuf  atas Hukum Tuhan (syari'ah). Lihat Ibn Syaddad, An-Nawādir as-  Sulthāniyyah, hlm. 10 dan 59.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Asy-Syahrazuri menuturkan bahwa para Ulama fiqih menuduh  Suhrawardi mengaku sebagai seorang nabi. Asy-Syahrazuri,  Nuzhah al-Arwāh, fol. 232v.</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Suhrawardi, Opera II, hlm. 248.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Yakni, al-'ulüm al-haqiqiyyah la yusta'mal fiha illā al-burhān.</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Suhrawardi telah menyusun sejumlah kisah mistis, visioner,  dan alegoris. Setiap kisah ditujukan kepada murid-murid dan  sahabat-sahabatnya. Belakangan ini terbit sebuah terjemahan  bahasa Inggris dari kisah-kisah tersebut, yang sebagian besar  darinya berbahasa Persia (tidak seperti karya-karyanya yang  lebih teoretis, yang kebanyakan ditulis dalam bahasa Arab) –  oleh W. M. Thackston, Jr., Mystical and Visionary Treatise of  Suhrawardi. (London: Octagon Press, 1984).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Ada lima belas tahap visioner yang digambarkan oleh  Suhrawardi, dan setiap tahap digambarkan sebagai “cahaya"  yang berhubungan dengan pengalaman yang diawali dengan  “seberkas cahaya" bagi para pemula (ahl al-bidāyah), dan  makin meningkat intensitasnya saat pengalaman visioner sang  murid mengalami kemajuan. Tahap kelima belas, digambarkan  sebagai seberkas cahaya kuat yang bisa merobek bagian badan  yang berkaitan. Lihat Opera II, hlm. 252-254.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Sejumlah kategori orang bijak dijelaskan, ini dilakukan dengan  meningkatkan kemahiran dalam filsafat Ilahi (Tawaghghul fi  At-Ta'alluh) dan kemahiran dalam filsafat diskursif (Tawaghghul  fi Al-Bahts) sebagai kualitas-kualitas yang dipadukan dalam diri  seseorang (atau tidak) hingga mencapai tingkatan sempurna atau  kurang sempurna (kategori-kategori aktual berjumlah sepuluh).</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Suhrawardi, Manthiq At-Talwāhāt, disunting oleh A. A. Fayyaz,  (Tehran: Tehran University Press, 1334/1955) (selanjutnya  disebut At-Talwīhāt: Manthiq).</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2.Logika dan fisika Suhrawardi dalam Al-Masyāri' wa Al-  Muthārahāt (belum diterbitkan). Saya menggunakan karya  MS berikut, tertanggal 707 H: Al-Masyāri' wa Al-Muthārahāt,  MS Leiden Or. 365 (selanjutnya disebut Al-Masyāri' wa Al-  Muthārahāt).</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3.Penekanan khusus akan ditempatkan pada logika Sinkretisme  Peripatetik, yakni logika mazhab Peripatetik setelah  Theoprastus dan pada mazhab Megaric Stois. Untuk bahasan  tentang logika Sinkretisme Peripatetik. Lihat, I. M. Bochenski,  Ancient Formal Logic. (Amsterdam: North-Hollan, 1951),  hlm. 9-13; William and Martha Kneale, The Development of  Logic. (Oxford: Oxford University Press, Clarendon Press,  1968), hlm. 101-117; dan untuk bahasan tentang transmisi  logika Megaric Stoic ke dunia Islam. Lihat, Fehmi Jadaane,  L'influence du Stoicism sur la Pensee Musulmane. (Beirut: Dar  al-Masyriq, 1968), hlm. 43-98.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At-Talwībāt: Manthiq, hlm. 1-3.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Pandangan tentang konsepsi dan penilaian semacam itu  sesuai dengan pandangan Al-Baghdadi dan As-Sawi. Lihat, Al-  Baghdadi, Al-Mu'tabar, I, hlm. 34-37; As-Sawi, At-Tabshirah,  disunting oleh M. T. Danesh-Pajouh dalam Tabshīrah va Dū  Risālah-yi Digar Dar Manthiq. (Tehran: Tehran University  Press, 1958), hlm. 4. Penilaian yang sama juga diberikan  oleh Suhrawardi dalam Al-Lamahāt. (hlm. 58-59). Teori  konsepsi (tashawwur) dan penilaian (tashdiq) mempunyai  kedudukan penting dalam Filsafat Persia dan Arab abad  pertengahan. Terdapat pandangan yang berbeda berdasarkan  asal-usul Yunaninya. Harry A. Wolfson menganggap asal-  usul “konsepsi" adalah vónos, Aristoteles atau pavtaoía        λογική Stoic dan menganggap penilaian adalah Iogos λόγος  ÁTrogavtikós Aristoteles (de Int. 1728) atau áfíwu. Stoic  (Harry A. Wolfson, Studies in the History of Philosophy  and Religion, disunting oleh Isadore Twersky dan George  H. Williams (Cambridge: Harvard University Press, 1973),  hlm. 478-490. Sohail Afnan dan A. M. Goichon menganggap  “penilaian" sebagai terjemahan langsung vónois. Lebih jauh,  Afnan membandingkan “konsepsi" dengan tepi javtaoís  Stoic. Lihat, S. Afnan, Philosophical Lexicon in Persian and  Arabic, hlm. 143, 154-155; A. M. Goichon, Lexique de Langue  Philosophie d'Ibn Sina: Supplement, hlm. 15. Lihat juga  Jaddne, L'influence du Stoicisme, hlm. 106-113.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6.Bisa jadi terdapat perbandingan yang dibuat oleh Al-Baghdadi,  yang juga membedakan antara pengetahuan bawaan dan  pengetahuan perolehan yang digabungkan dalam epistemologi  pengetahuan yang “ jelas” (Al-Mu'tabar, 1, 40-46), tetapi istilah  yang digunakan oleh Al-Baghdadi untuk bawaan adalah Al-  gharīzi. Istilah yang sama juga digunakan oleh As-Sawi, (At-  Tabshīrah, hlm. 31).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7.Lam yuhshal (ya'ni hikmah Al-Isyrāq) li awwalin bi al-fikr, bal  kāna hushūluhu bin ‘amrin ākhar, (Suhrawardi, Opera II, hlm. 10). Inilah salah satu pernyataan metodologis Suhrawardi yang  paling eksplisit, dan para komentatornya memberikan catatan  tentang hal ini. Syamsuddin Muhammad Asy-Syahrazuri  menganggap “sesuatu yang lain” (“amr ākhar) sebagai visi  (musyāhadah) dan ilham pribadi (mukāsyafah), (Syarh Hikmah  Al-Isyrāq, fol. 11v.); Quthbuddin Asy-Syirazi menganggap  hal yang sama sebagai ilham dan ituisi (dzauq atau rasa)  personal khas para filsuf Iluminasi, (Syarh II, hlm. 16); dan  Muhammad Syarif Nizhamuddin Al-Harawi menilainya sebagai  "inspirasi" (ilhām), ilham, dan intuisi personal (Anwāriyyah,  hlm. 6). Dalam bentuk yang sama, penulisan karya penting  Filsafat Al-Baghdadi, Al-Mu'tabar, disebut Pines “sebagai    buku yang dibangun melalui refleksi personal". Lihat, Shlomo  Pines, “Studies in Abu Al-Barakat Al-Baghdadi's Poetics and  Metaphysics", dalam Scripta Hierosolymitana, Vol. VI, Studies  in Philosophy, disunting oleh S. H. Bergman, (Jerussalem:</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Suhrawardi, At-Talwīhāt: Manthiq, hlm. 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As-Sawi membuat pembedaan ganda yang sama dan  menggunakan istilah yang sama, (At-Tabshirah, hlm. 4-5).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Al-Masyāri' wa Al-Muthārahāt: Manthiq, fol. 1r.</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Ibid., fol. 2v.</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Ibid., bandingkan Ibn Sina, Asy-Syifā': Al-Madkhal, 1, 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Al-Masyāri' wa Al-Muthārahāt: Manthiq, fol. 1r.</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Ibid., fol. 2r.</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Para filsuf Persia belakangan menyebutnya “wujud logis"  (wujūd-i manthiqi). Lihat, Mehdi Haeri Yazdi, Hiram-i Hasti  (Piramida Wujud), (Tehran, 1980), hlm. 21; Jalaluddin  Ashtiyani, Hasti, (Masyhad. 1379 H), hlm. 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Posisi realis Filsafat Iluminasi menjadi bahan banyak  kontroversi dalam komentar-komentar atas Hikmah Al-Isyrāq.</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Al-Masyāri' wa Al-Muthārahāt: Manthiq, fol. 102v.</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Suhrawardi, Opera II, hlm. 14-105. Tampak bahwa Suhrawardi  menggunakan istilah “kaidah" (dhabith) sebagai ekstensi dari  istilah “hukum” (qānūn) yang lebih diterapkan dalam logika.</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lbid., hlm. 33.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Ibid., hlm. 56, 57.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Lihat Bochenski, Ancient Formal Logic, hlm. 87.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At-Talwihāt: Manthiq, hlm. 1, 1-13. Bab ini juga mengandung  bahasan tentang “tujuan logika" (ghardh Al-Manthiq).</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Ibid., hlm. 14-16. Lihat juga, Ibn Kammunah, Syarh At-  Talwīhāt, Ibid., hlm. 15, catatan 3, 11; 16.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Teori Suhrawardi tentang bukti disebut hujjah, meliputi  topik-topik yang diambil dari logika dan epistemologi, juga  dari psikologi. “Keseluruhan" hubungan antara sesuatu yang  diketahui (objek) dan yang mengetahui (subjek) adalah yang  menentukan bukti dari apa yang disimpulkan.</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At-Talwīhāt: Manthiq, hlm. 17-27.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Misalnya, Ibid., hlm. 25-26. Lihat juga, Ibn Kammunah, Syarh  At-Talwībāt, Ibid., hlm. 66, catatan 2-3.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At-Talwihāt: Manthiq, hlm. 46-73. Lihat, Ibn Kammunah,  Syarh At-Talwihāt, Ibid., hlm. 47, catatan 2-4.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At-Talwīhāt: Manthiq, hlm. 66-67. Lihat, Ibn Kammunah,  Syarh At-Talwāhāt, Ibid., hlm. 66, catatan 1-3.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Entimem didefinisikan sebagai silogisme yang terma mayornya  sudah dihilangkan, seperti “manusia adalah hewan, dengan  demikian, ia berjasad", At-Talwihāt: Manthiq, hlm. 68.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Kesimpulan ini sebagai bentuk khas pandangan tentang wujud,  berkaiatan dengan disposisi alami subjek (khulq), (At-Talwihāt:</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At-Talwīhāt: Manthiq, hlm. 69-73.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Lihat, Ibn Kammunah, Syarh At-Talwihāt, Ibid., hlm. 72,  catatan 1-3.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Lihat, Ibn Kammunah, Ibid., hlm. 73, catatan 1-3.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At-Talwihāt: Manthiq, hlm. 76-93.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Ibid., hlm. 76. Suatu pembedaan dilakukan antara "jika  sederhana" (hāl al-basīth) dan "jika majemuk" (hāl al-  murakkab).</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Ibid., hlm. 75. Lihat, Ibn Kammunah, Syarh At-Talwihāt, Ibid.,  hlm. 74, catatan 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At-Talwāhāt: Manthiq, hlm. 75-80.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Ibid., hlm. 80-83.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Ibid., hlm. 83-87. Lihat Ibn Kammunah, Syarh At-Talwāhāt,  Ibid., hlm. 83, catatan 1-5; 85, catatan 1, 3; 86, catatan 1; 87,  catatan 1-4.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Ibid., hlm. 88, catatan 1: Hātān al-lafzhatān, a'ni al-'arsyi wa  al-lauhi, qad ista'mala humā fi 'iddat mawādzi' min hādzā  al-kitāb wa lam yubayyin murādahu minhumā, wa la'allā  murāduhu bi al-'arsyi al-bahts al-ladzī hashalahu bin nazharihi,  wa bi al-lauhi mā akhadzahu min al-kutub.</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Dalam kaidah ini Suhrawardi menegaskan bahwa modalitas-  modalitas wajib (wājib), mungkin (  mumkin), mustahil  (mumtani“), serta masih mungkin (muhtamal) – catatan  tambahan bagi yang mungkin - semuanya adalah wajib,  jika membentuk bagian predikat (mahmūl). Gagasan tentang  modalitas yang berulang-ulang ini sepenuhnya dikembangkan      dalam logika Hikmah Al-Isyrāq, yang Suhrawardi anggap  proposisi tunggal, selalu wajib (adh-dharūriyyah al-battah),  sebagai bentuk tempat semua proposisi dapat direduksi ke  dalamnya.</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Lihat, Ibn Kammunah, Syarh At-Talwihāt, Ibid., hlm. 91,  catatan 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Ibid., hlm. 88-93.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Yakni, Fi Dhawābith Al-fikr. Suhrawardi, Opera II, hlm. 14-105.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Yakni, Fial-anwār al-llāhiwa nūr al-anwār wa mabādi' al-wujud  wa tartibihā. Ibid., hlm. 106-257.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Ibid., hlm. 14-21.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Contoh lain tempat istilah “kaidah" digunakan adalah dalam bab  keenam logika dalam At-Talwāhāt (yang seperti, kita catat,  berfungsi sebagai apendiks) yang di dalamnya sembilan kaidah  berkaitan dengan problem-problem logika diberikan, begitu  juga diskusi tentang problem-problem yang biasanya dibahas  dalam fisika.</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Jika skema semantik Artistoteles yang eksplisit lebih  sederhana – “kata-kata tertulis adalah simbol dari kata-kata  yang diucapkan, yakni simbol pengalaman-pengalaman mental  dan pengalaman-pengalaman mental adalah simbol sesuatu",  Bochenski, Ancient Formal Logic, (hlm. 29) – maka kaum Stoic  mengembangkan semantik ke dalam sistem yang kompleks  melalui teori mereka tentang lɛktóv dan subjek-subjek terkait.</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Quthbuddin Asy-Syirazi menganggap masalah konsepsi  (tashawwur) dan penilaian (tashdiq) sebagai “ilmu baru" yang  membahas kehadiran sesuatu yang dipahami (al-mudrak) pada  diri yang memahami (al-mudrik), (Syarh II, hlm. 38: 13-39: 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Suhrawardi, Opera II, hlm. 15. Istilah-istilah yang digunakan  Suhrawardi di sini bukan istilah-istilah Peripatetik.</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Asy-Syirazi, Syarh II, hlm. 45: 2-3; Kull haqiqah, ay mahiyyah  sawa' kānat fī al-a'yān au fī al-adzhān.</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Keteguhan Suhrawardi menggunakan haqiqah sebagai  ganti mahiyyah sesuai dengan posisinya yang “realis" yang  menyamakan ke-apa-an sesuatu dengan realitasnya, yakni  haqiqah dianggap sebagai sesuatu sebagaimana adanya.</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Bandingkan Asy-Syirazi, Syarh II, hlm. 45: 13-16.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Suhrawardi, Opera II, hlm. 15.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Ibid., hlm. 16-17. Bandingkan Asy-Syirazi, Syarh II, hlm. 47:12-49: 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Seperti manusia (al-insān), di mana sifat kehewanan (al-  hayawāniyyah) menjadi bagian yang dinisbatkan kepadanya.</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Misalnya, kemampuan berjalan adalah aksiden manusia yang  lebih umum (yang juga dimiliki oleh hewan), sementara  kemampuan tertawa adalah aksiden khas dan bersifat  koinsidental pada diri manusia.</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Suhrawardi, Opera II, hlm. 17. Istilah yang digunakan oleh  Suhrawardi di sini bukanlah istilah Peripatetik (al-kullī),  tetapi Asy-Syirazi menganggap kedua istilah itu identik (Syarh  II, hlm. 49: 2-52:16). Namun, Suhrawardi sangat berhati-  hati dalam memilih istilah yang digunakan, dan saya yakin  istilah-istilah ini sangat mendukung tradisi logika lain, yang    barangkali berasal dari Stoic.</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Quthbuddin Asy-Syirazi menganggap istilah al-ma'nā al-  'ām sebagai istilah baru yang digunakan Suhrawardi, dan ia  mengambilnya sebagai padanan kata al-kulli (Syarh II, hlm.49: 3), tetapi Mulla Sadra menganggap istilah al-ma'nā al-'ām  yang digunakan Suhrawardi disebabkan oleh kebingungan  antara al-kulli al-'aqli dan al-kulli al-thabi'i. Hanya istilah yang  disebutkan terdahulu saja yang tidak punya realitas di luar  pikiran, (Ta‘liqāt: Syarh II, hlm. 49, catatan pinggir).</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Istilah Peripatetik yang biasa adalah al-'ām al-mutasāwi.</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Lihat Asy-Syirazi, Syarh II, hlm. 5: 16-52: 15.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Kedudukan di sini, yakni idea bawaan yang punya peringkat  apriori, juga merupakan kedudukan metodologis Al-Baghdadi  yang penting. Ini telah dibahas oleh S. Pines dalam kajiannya  tentang Al-Baghdadi, lihat khususnya S. Pines, Nouvelles    etudes sur Awhad al-Zaman Abu Al-Barakat Al-Baghdadi.</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Suhrawardi, Opera II, hlm. 18-20. Lihat, Apendiks B berikut,  di mana disuguhkan terjemahan Hikmah Al-Isyrāq: Al-Qism  Al-Awwal, 1, 7: “Tentang Definisi dan Syarat-Syaratnya”.</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Yakni, Fi al-hujaj wa mabadi'ihā, Suhrawardi, Opera II, hlm. 22-45.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Bandingkan Asy-Syirazi, Syarh 11, hlm. 63: 4-70: 1; Al-Baghdadi,  Al-Mu'tabar, 1, 69-74; As-Sawi, At-Tabshīrah, hlm. 26-27. Baik Al-  Baghdadi maupun As-Sawi menggunakan istilah al-qaul al-jazim  (Woyos áttUQAvtikóc) yang sinonim dengan al-qadhiyyah.</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p (subjek) adalah q (predikat).</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Juga dikenal dengan proposisi “jika, maka" – hubungan  berdasarkan implikasi atau inferensi (luzūm) dapat direduksi  menjadi bentuk-bentuk hubungan yang lain, seperti kombinasi  konjungsi, disjungsi, dan negasi. Bentuk dasar proposisi ini  adalah [x, p, q): 9(x) dan kemudian p(x). Sikap Suhrawardi  terhadap kaidah-kaidah formal yang mengatur implikasi bisa  dibandingkan dengan Stoic. Lihat, Bochenski, Ancient Formal  Logic, hlm. 158-176; Mates, Stoic Logic, hlm. 42-57.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Juga dikenal dengan proposisi “entah, atau" – hubungan  melalui disjungsi, ‘inad, bisa direduksi menjadi bentuk-bentuk  hubungan yang lain. Bentuk dasar proposisi ini adalah [x, p,  q]: q(x) atau p(x). Dua bagian proposisi yang disatukan ini,    masing-masing, disebut anteseden dan konsekuensi.</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Suhrawardi, Opera II, hlm. 24-27. Bandingkan dengan Asy-  Syirazi, Syarh II, hlm. 70: 11-77: 3; Al-Baghdadi, Al-  Mu'tabar 1, 75-78; As-Sawi, At-Tabshīrah, hlm. 30-32.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Sebuah istilah non-Aristotelian. Lihat, Afnan, A Philosophical  Lexicon, hlm. 131.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p adalah q jika p adalah nama khusus.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Semua p adalah q, misalnya “semua manusia adalah hewan", dan  secara negatif "tidak ada manusia yang batu".</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Sebagian p adalah q dan sebagian p adalah bukan q.</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Problem ini dikemukakan sebagai berikut: Anggaplah C sebagai  kopula. Untuk menegasikan pCq, seseorang dapat mengatakan  dalam bahasa Arab p-Cy, atau PC-q, di mana ia berarti negasi.</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Suhrawardi, Opera II, hlm. 27-29. Untuk bahasan tentang  proposisi modal, lihat Hossein Ziai, “Modal Proposition in  Islamic Philosophy," Bulletin of Iranian Mathematical Society,  No. 12 1980.. Bandingkan Asy-Syirazi, Syarh II, hlm. 77: 33-78: 9; Al-Baghdadi, Al-Mu'tabar, I, 78-89; As-Sawi, At-  Tabshirah, hlm. 32-44.</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Istilah ini tampaknya diciptakan oleh Suhrawardi. M.T. Danesh  Pajouh menganggap usaha Suhrawardi untuk mereduksi semua  proposisi ke dalam satu bentuk berasal dari Aristoteles (At-  Tabshīrah, hlm. 21). Saya tidak menemukan bahwa Aristoteles  mengatakan sesuatu tentang akibat ini, dan pernyataannya  dalam Prior Analytics: “Karena semua proposisi dapat dibalik,  kecuali hanya proposisi partikular negatif", (Prior Analytics II,  52B7-8) membahas problem “konvensi" (al-‘aks fī al-qadhāyā)  dan bukan problem "reduksi proposisi" (radd al-qadhāyā).</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Suhrawardi, Opera II, hlm. 33-40. Bandingkan Asy-Syirazi,  Syarh II, hlm. 86:10 dan 89:5; Al-Baghdadi, Al-Mu 'tabar, I,    Logika dalam Filsafat Iluminasi  95-197; As-Sawi, At-Tabshirah, hlm. 44-51.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Suhrawardi, Opera II, hlm. 31-33. Bandingkan Asy-Syirazi,  Syarh II, hlm. 89: 6-95:5; As-Sawi, At-Tabshirah, hlm. 51-9.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Suhrawardi, Opera II, hlm. 33-40. Bandingkan Asy-Syirazi,  Syarh II, hlm. 95:5 dan 118:5; Al-Baghdadi, Al-Mu'tabar 1,  109-203; As-Sawi, At-Tabshīrah, hlm. 91-119.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Suhrawardi, Opera II, hlm. 40-45. Bandingkan Asy-Syirazi,  Syarh II, hlm. 118:6, 135:19; Al-Baghdadi, Al-Mu'tabar, I,  203-253; As-Sawi, At-Tabshīrah, hlm. 91-119.</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Bandingkan Tá Towta. Aristoteles, (Posterior Analytics 1,  71b26).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Premis-premis intuitif memainkan peran penting dalam  konstruksi Filsafat Iluminasi. Premis-premis ini juga ditemukan  dalam Filsafat Peripatetik. Misalnya, Ibn Sina menegaskan  bahwa intuisi adalah “gerakan membuat term tengah” (An-  Najat, disunting oleh Al-Kurdi, hlm. 87); ini adalah ungkapan  definisi Aristoteles tentang sifat “cepat mengerti" (quick wit  [áyívia]), (Posterior Analytics I, 89610). As-Sawi menetapkan  premis-premis intuitif sebagai “hukum intelek yang kuat” (At-  Tabshirah, hlm. 152).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Pertanyaan-pertanyaan mā, hal, “ayy, serta lima dianggap  sebagai pertanyaan-pertanyaan penting dalam ilmu (ushūl  al-mathālib al-'ilmiyyah), dengan pertanyaan-pertanyaan  sekunder sebagai berikut: kaif, kam, ‘aina, matā, serta  man. Skema umum Suhrawardi yang non-Peripatetik untuk  berbagai kategori adalah sebagai berikut. Aksiden ada empat:</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Yakni, fi al-mughālathāt wa ba'd al-hukumāt baina al-ahruf al-  istisyrāqiyyah wa baina al-ahruf al-masysyā'yyin. Suhrawardi,  Opera II, hlm. 46.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Struktur logika Al-Muqāwamāt berkaitan dengan logika At-  Talwihāt.</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Suhrawardi membahas kategori-kategori yang dianggapnya  bukan temuan Aristoteles, melainkan berasal dari Arkhuthus  dalam karya-karyanya tentang fisika. Singkatnya, teori  Suhrawardi menegaskan bahwa "intensitas” (syaddah wa  dha'f) dinisbatkan kepada semua kategori, substansi (jauhar),  kualitas (kaif), kuantitas (kam), hubungan (nisbah), serta gerak  (harakah). Lihat misalnya, Opera I, hlm. 1-12, hlm; 146-148;  Opera II, hlm. 113.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Ada sejumlah jenis definisi yang dikenal dan diketahui. Saya tidak  bisa menguraikan semuanya di sini, atau menunjukkan sumber-  sumber klasifikasi berbagai definisi dan penggunaannya dalam  logika dan filsafat, tetapi saya akan menyebutkan beberapa  jenis definisi yang penting. Sebuah karya penting tentang  definisi adalah Definition, karya Richard Robinson, (Oxford:</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3.Istilah proposisi penjelas sudah digunakan oleh para filsuf  sebelum Suhrawardi, tetapi dalam cara yang berbeda. Ibn Sina,  dan menyusul di belakangnya Al-Ghazali, menggunakannya  sebagai istilah equivokal untuk definisi esensialis (hadd bi at-  tasykik). Lihat, Ibn Sina, An-Najāh, hlm. 83; Al-Ghazali, Mi'yar  al-'ilm, ed. Sulaiman Dunya, (Kairo: t.p, 1961), hlm. 68, 271-  275. Filsuf pertama dalam periode Islam yang menekankan  penggunaan proposisi-proposisi penjelas sebagai sarana    untuk membagi logika secara struktural ke dalam dua bagian  adalah filsuf Persia, “Umar bin Sahlan As-Sawi. Perhatikan,  misalnya pernyataan As-Sawi berikut, “Konsepsi bisa  diperoleh melalui metode (rāh) yang disebut oleh orang Arab  sebagai al-qaul ash-sharīh. Ini berarti guft-i rausyan-kunanda  (dalam bahasa Persia, yakni proposisi penjelas). (Ketahuilah  bahwa) sebagian proposisi penjelas adalah valid, yang disebut  definisi esensialis; beberapa yang lainnya hanya sebagian saja  yang valid (nazdik bi rasti) yang disebut deskripsi (rasm) ....</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4.Bukti (hujjah) biasanya dibagi ke dalam tiga jenis: silogisme  (qiyās), induksi (istigrā”), dan analogi (tamtsil dan mitsāl).</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7.Lihat misalnya, Posterior Analytics II. hlm. 3, 7, 10; Topics VIII.</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8.Istilah qaul mempunyai sejumlah makna, yang paling mendasar  adalah “ungkapan majemuk . Lihat, Ibn Sina, An-Najāh,  hlm. 17. Bandingkan Goichon, Lexique, hlm. 319. Seperti  dalam istilah Yunani loyos, ia digunakan dalam beberapa    pengertian. Sebagai contoh, penggunaan istilah lóyos oleh  Plato. Lihat G. Matthews, Plato's Epistemology and Related  Logical Problems. (London: Faber and Faber, 1972), hlm. 11.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Untuk bahasan tentang pembedaan antara definisi realis  dari definisi nominalis. Lihat, Robinson, Definition, Bab VI.</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Lihat, Ibn Sina, Livre des Definitions, disunting dan  diterjemahkan oleh A. M. Goichun, (Kairo: Publications de  L'Institut Francais d'Archeologie Orientale du Caire, 1963),  hlm. 6, catatan 1. Bandingkan, Ibn Sina, Kitāb Al-Hudūd,  terjemahan Muhammad M. Fouladvan, (Tehran: Iranian Centre  for the Study of Civilizations: Islamic Studies Series, 2), hlm. 58 dan 69. Padanan-padanan yang kurang terbatas, barangkali  περιγραφή dan διαγραφή, harus dipertimbangkan.</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Deskripsi dianggap sebagai jenis definisi yang digunakan  untuk membedakan sesuatu (mutamayyiz); karenanya, ia  termasuk dalam jenis definisi ostensif. Lihat, Suhrawardi,  Al-Masyāri' wa Al-Muthārahāt: Manthiq, fol. 17r.; Ibn Sina,  An-Najāh, hlm. 79; idem., Livre des Definitions, hlm. 12; Al-  Ghazali, Mi'yar al-'ilm, hlm. 267.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Al-Masyāri' wa Al-Muthārahāt: Manthiq, fol. 15r.</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Aristoteles, Posterior Analytics 11.3, 90b1-24.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Ibid., 90b24. Tentang pandangan Aristoteles mengenai  hubungan antara definisi dan demonstrasi. Lihat, Posterior  Analytics 1.2, 27219-24; 1.8; 1.10; 1.22; 1.33. Problem ini  dibahas secara panjang lebar oleh Anfinn Stigen dalam kajian  filsafatnya, The Structure of Aristoteles's Thought, Bab IV.</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Lihat, Suhrawardi, Opera II, hlm. 40: “Hanya demonstrasi saja  yang digunakan dalam ilmu-ilmu hakiki.  Bandingkan, idem.,    Al-Masyāri' wa Al-Muthārahāt: Manthiq, fol. 98r.; idem., At-  Talwihāt: Manthiq, hlm. 82; dan Ibn Sina, Livre des Directives  et Remarques, hlm. 47; idem., Livre des Definitions, hlm. 2-11; idem., Asy-Syifā': Al-Jadal, VI, hlm. 5.</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Metode definisi “formal” dasar yang digunakan Plato  biasanya disebut metode dikotomi (atau pembagian). Metode  ini secara khusus digunakan Plato dalam Phaedrus, 134a-c;  Sophist, 580a-608d; dan Philebus, 610d-613a. Aristoteles  juga menggunakan metode dikotomi, yang biasanya  dipertentangkan dengan berbagai metode definisi lainnya.</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Metode definisi “formal  dasar yang digunakan Plato biasanya  disebut definisi melalui genera dan diferensia, yang terkadang  disebut sebagai sifat-sifat, baik esensial maupun nonesensial.</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Al-Farabi, Kitāb Al-Jam' baina Ra'yai Al-Hakāmain, disunting A.</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Lihat, A. Stigen, The Structure of Aristoteles's Thought, hlm. 138-139.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Definisi Plato  terdiri dari metode dikotomi  formal   plus keseluruhan proses dialektis seperti dua metode yang  digunakan dalam dialog untuk menemukan “definisi” dari  apa yang hakiki, yakni bentuk-bentuk yang tidak berubah  dan tanpa batas waktu, yang bila bisa ditemukan menandai  puncak capaian filsafat. Lihat, Sayre, Plato's Analytics Method,  Bab II, IV; Matthews, Plato's Epistemology, hlm. 13-39.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Lihat, bagian $2 sebelumnya.</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Bandingkan, Robinson, Definition, hlm. 149.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Aristoteles, Metaphysics XII. 1078b27-30:  Ini hanya untuk  memberikan penghargaan kepada Socrates karena dua  hal: argumen induktif dan pendefinisian secara universal,  yang keduanya berkenaan dengan prinsip-prinsip ilmu .</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Ibid., hlm. 437.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Ibid., hlm. 440.</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Lihat, Suhrawardi, Opera I, hlm. 401; idem., Al-Masyāri' wa  Al-Muthārahāt: Manthiq, fol. 15v.</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Lihat, Matthews, Plato's Epistemology, hlm. 13.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Lihat, Guthrie, A History of Greek Philosophy, IV, hlm. 242.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Ibid., hlm. 243. Gagasan subjek yang mengenali atau “melihat   objek, dan karena itu, mengetahuinya juga menjadi salah satu  gagasan epistemologi Suhrawardi yang penting. Lihat, bagian  $ 3.5 di bawah.</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Lihat, Matthews, Plato's Epistemology, hlm. 19; Sayre, Plato's  Analytics Method, Bab II, $11, Bab III.</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Lihat, Matthews, Plato's Epistemology, hlm. 12-29; Sayre,  Plato's Analytics Method, Bab II.</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Lihat, Matthews, Plato's Epistemology, hlm. 19: “Jika Plato  menerima tesis bahwa pengetahuan identik dengan keyakinan,  yang benar berikut suatu penuturan, maka sebaiknya kita  melihat pemikirannya tentang definisi dan kaitan erat bentuk-  bentuk dalam Sophist, Politic, dan Philebus.</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Lihat, Matthews, Ibid., hlm. 136-211.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Lihat, Suhrawardi, Opera II, hlm. 20-21.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Lihat, Sayre, Plato's Analytics Method, Bab IV; Matthews,  Plato's Epistemology, hlm. 36-40.</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Misalnya, Plato, Theaetetus, 202b-c: “Namun, kenyataannya  tidak terdapat formula, yang dengannya unsur-unsur dapat  diekspresikan; ia hanya dapat dinamai, karena nama meliputi  semua yang dimilikinya. Namun, ketika kita sampai pada  benda-benda yang tersusun dari unsur-unsur ini, karena benda-  benda tersebut juga kompleks, nama-nama dikombinasikan  untuk membentuk deskripsi (istilah di sini juga berarti  Jóyos), jelasnya deskripsi menjadi kombinasi nama-nama.”  Bandingkan, R. Robinson, Plato's Earlier Dialectic. (Oxford:</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lbid.,</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Lihat, Aristoteles, Posterior Analytics 11.17, 99a22-23. Cf.</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Lihat, Aristoteles, Metaphysics, 1.6, 98764-8: “Namun,  Socrates tidak menempatkan hal-hal universal sebagai  terpisah, termasuk definisi. Namun, para pemikir ini [Socrates,    Demokritus, dan Pythagoras] menganggap semua itu sebagai  tentang hal-hal lain, dan menyebut hal-hal seperti itu sebagai  ide-ide.  Bandingkan, ibid., XIII.4, 1078b30-38.</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Lihat, Aristoteles, Metaphysics XIII.4, 1078630-107994.</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Lihat, Aristoteles, Metaphysics XIII.8,1050b34-1051a2.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Lihat, Bab IV bagian $3 berikut.</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Meskipun tidak dibahas secara sistematis oleh Aristoteles, teori  Definisi disebutkan dalam karya-karya berikut, Poterior  Analytics II. hlm. 3-10 dan 13; Topics VI-VII; Metaphysics VII.</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Lihat, Aristoteles, Posterior Analytics 11.2, 90°35.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Lihat, Aristoteles, Posterior Analytics 11.3, 90b1-3.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Lihat, Aristoteles, Posterior Analytics 11.3, 90b10-27. Cf. idem.,  Posterior Analytics 11.4, 9125-12: “Ia berkembang sehingga  tidak semua yang bisa didefinisikan dapat didemonstrasikan,  dan juga tidak semua yang bisa didemosntrasikan dapat  didefinisikan; dan kita dapat menarik kesimpulan umum  bahwa tidak ada objek identik yang mungkin memiliki definisi  sekaligus demonstrasi. Jelasnya, definisi dan demonstrasi  tidak identik, dan juga tidak saling memuat, serta juga di  dalam satu sama lain: jika memang demikian halnya, maka  objek-objeknya mesti dikaitkan entah sebagai identik atau  keseluruhan dan bagian.</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Lihat, Aristoteles, Metaphysics VII.4, 103045.</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Lihat, Aristoteles, Posterior Analytics 11.9, 93b29-31.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Lihat, Aristoteles, Posterior Analytics 11.9, 93b29; 11.11, 94a11-  17; 11.7, 92b26.</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Ibid., 90616; idem, Topics V.3, 130b25-26, VI.3, 140934.</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Lihat, Aristoteles, Metaphysics VII.5, 1031011-12; idem.,  Topics, 1.2, 101638; VII.5, 154231-32.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Lihat, Aristoteles, Posterior Analytics 11.9, 93b29-31; idem.,    Metaphysics IV.8, 1017621-22, VII.1, 1042a17. Dalam  beberapahal, Aristoteles mengombinasikan istilah Tóyos  dengan ovoía. Lihat juga, Stigen, The Structure of Aristoteles's  Thought, hlm. 138.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Lihat, Aristoteles, Metaphysics VII.4, 1027217-102846.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Lihat, Aristoteles, Metaphysics XIII.1, 1087b9-12. Cf. Stigen,  The Structure of Aristoteles's Thought, hlm. 133-135.</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Lihat, Aristoteles, Metaphysics XIII.8, 108462-23.</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Ibid., VII.4, 1030b7-11.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Lihat, Aristoteles, Posterior Analytics 11.7, 92b26-34, 11.10,  93b29-37; idem., Metaphysics VIII.6, 1045b17-25; VII4,  103067-13.</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Lihat, Aristoteles, Metaphysics IX.1, 1087b9-12; VII.15,  1039620-104097; XIII.8, 108462-23. Bandingkan, ibid., VII.4,  103067-11:  Dengan demikian, hanya ada esensi dari hal-  hal yang punya formula yang disebut definisi. Namun, ada  sebuah definisi, bukan sekadar karena nama dan formulanya  mempunyai makna yang sama (karena semua formula akan  menjadi definisi, dan juga karena nama yang memiliki  makna yang sama sebagai formula tertentu sehingga Iliad  akan menjadi definisi), tetapi jika nama dan formulanya  melambangkan sesuatu yang utama.</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Lihat, Aristoteles, Posterior Analytics 1.22, 11.13-14; idem.,  Topics 1.4-9, IV-VII.</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Ibn Sina, Asy-Syifā': Al-Manthiq, VI. 4.1, hlm. 241: “Al-hudud  qad nanzhūr min amrihā fi annahā kaifa tu'allaf wa kaifa  tuktasab... wa an-nazhar al-awwal fi kaifiyyah ījād al-hadd wa  ats-tsāni fi kaifa i'tibār al-hadd al-maujūd.</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Tujuan banyak filsuf pasca-Ibn Sina dalam mengompilasi  filsafat “baru” bisa dicontohkan dengan karya Ibn Kammunah,  Al-Jadid fi Al-Hikmah.</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Lihat, Suhrawardi, Opera II, hlm. 36-39.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Proposisi modalitas Suhrawardi yang berulang mengambil    bentuk “la selalu mesti .</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Suhrawardi, At-Talwihāt: Al-Manthiq, hlm. 14.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Ibid.,</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Lihat, Ibn Sina, Livre des Definitions, $18. Bandingkan, Ibn  Sina, Asy-Syifā': Al-Manthiq: Al-Burhān, hlm. 233-237.</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Kita bisa berasumsi bahwa salah satu aspek teori Definisi  Suhrawardi dikaitkan dengan kritiknya atas induksi. la  membuat pembedan antara induksi yang sempurna dan yang  tidak sempurna (al-istiqrā' at-tamm wa an-nāqish). Misalnya,  Opera III, hlm. 5. Lihat, William Kneale, Probability and  Induction. (Oxford: Clarendon Press, 1966), hlm. 24-110.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Ibn Sina, Asy-Syifā': Al-Manthiq: Al-Burhān, IV. hlm. 4 dan  217-224.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Lihat, At-Talwībāt: Al-Manthiq, hlm. 14: “Mā lā tarkib fihi là  qaul dall 'alaih.</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Lihat, Aristoteles, Posterior Analytics 1.22.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Lihat, Ibn Sina, Manthiq Al-Masyriqiyyin, hlm. 34: “Sesuatu  yang disebut definisi apakah berdasarkan nama atau esensi?   Bandingkan, idem., Asy-Syifā': Al-Manthiq: Al-Burhān, hlm.217: “Di antara definisi, sebagian bersifat hakiki dan sesuai  dengan esensi, tetapi sebagian lainnya bersifat metaforis  (majāzī) dan berdasarkan nama (yakni, nominal).</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Suhrawardi, At-Talwihāt: Al-Manthiq, hlm. 14-15.</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Ibid., hlm. 7: “Tashawwur kunh asy-syai'.</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Ibid., hlm. 15.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Bandingkan, Ibn Sina, Livre des Definitions, $19.</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Lihat misalnya, At-Talwihāt: Al-Manthiq, hlm. 16: “Dan  Porphyry sudah sedemikian rupa sehingga genus perlu diambil  dalam definisi spesies dan spesies dalam definisi genus, dan  ini absurd.  Pernyataan ini juga dipakai oleh Ibn Sina dalam  Kitāb Al-Hudud. Lihat, Livre des Definitions, hlm. 11.</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Suhrawardi menggunakan istilah tertentu dalam teori  definisinya, termasuk matematika yang sepenuhnya bisa    dipahami dengan baik dalam pandangan karya Al-Baghdadi  sebelumnya. Lihat, Apendiks C berikut, di mana istilah-istilah  itu dianalisis.</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Lihat, Kneale, Probability and Induction, hlm. 25-30.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Aristoteles, Posterior Analytics 1, 76b35-77a4; Metaphysics 1.3.</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At-Talwībāt: Al-Manthiq, hlm. 82.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Ibid., hlm. 82-83.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Lihat, Al-Masyāri' wa Al-Muthārahāt: Al-Manthiq, fol. 15v.-19r.</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Ibid., fol. 15v.</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Al-Masyāri wa Al-Muthārahāt: Al-Manthiq, fol. 14v.</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Al-Masyāri' wa Al-Muthārahāt: Al-Manthiq, fol. 14v: “qaul  mufashshal dāll 'alā mahiyyah asy-syai'.</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Bandingkan, Ibn Sina, Manthiq al-Masyriqiyyin, hlm. 34: “al-qaul  al-mufashshal al-mu'arraf li adz-dzāt bi māhiyyatihi.”</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Al-Masyāri wa Al-Muthārahāt: Al-Manthiq, fol. 14r:</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Al-Masyāri' wa Al-Muthārahāt: Al-Manthiq, fol. 14r: “Al-  ladzī zāda fi al-hadd fa qāla: innahu al-qaul ad-dall 'alā kamal  māhiyyah asy-syai' ihtirāzan ‘an al-hadd an-nāqish, akhtha'a.</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Ibn Sina, Livre des Definitions, $18: “Mā dzakarahu al-hakim  fi kitāb thubiqa annahu al-qaul ad-dāll ‘alā māhiyyah al-syai'  ay ‘alā kamāl wujūdihi adz-dzāti wa huwa mā yatahashshala  lahu min jinsihi al-qarīb wa fashlihi.</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Al-Masyāri' wa Al-Muthārahāt: Al-Manthig, fol. 14v.</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Lihat, Suhrawardi, Opera II, hlm. 14; Asy-Syirazi, Syarh II,  hlm. 13-38; Al-Baghdadi, Al-Mu'tabar, 1,8; As-Sawi, At-  Tabshirah, hlm. 132; dan bandingkan, At-Talwihāt: Al-  Manthiq, hlm. 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Al-Masyāri' wa Al-Muthārahāt: Al-Manthiq, fol. v: “Rubbama  yanqadhih fi syarh al-hadd al-madzkūr an yuqāla  qaulunā    hayawān nāthiq dāll bi at-tadhammum 'alā māhiyyah al-  hayawān wa dalalah at-tadhammum mu'tabar,  fa hādzā al-  qaul ad-dāll 'alā haqiqah al-hayawān wa laisa nahidd lahu  wajhahu daf'atan anna lafzh al-hayawān dāll 'alā haqiqah  al-hayawān wa al-qaul bi mā huwa qaul mā dalla ‘alā al-  hayawāniyyah bal an-nāthiq dalla ‘alā syai' lahu nafs nāthiqah,  tsumma qaul mā dalla naʻlam min khārij annahu hayawān.</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Al-Masyāri' wa Al-Muthārahāt: Al-Manthiq, fol. 14v: “Syai' al-  basīth al-ladzilā juz' lahu lā qaul dāll 'alaih.</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Ibid., “Māhiyyah asy-syai' majmū' muqawwimatihi.”</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Bandingkan, Suhrawardi, Opera II, hlm. 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Al-Masyāri' wa Al-Muthārahāt: Al-Manthiq, fol. 15r:  I'lam  anna man i'tarafa bi anna as-sathh laisa miqdāran wa  laisa akhashsh mutahashshilan fi al-a'yān [akhtha'a] bal  miqdāriyyatuhu nafs sathhiyyatihi fi al-a'yān.</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Al-Masyāri' wa Al-Muthārahāt: Al-Manthiq, fol. 15v.:  Laisa  al-laun fi al-a'yān mutahashshilan wa lahu fashl mustaqill  bi al-wujud majm ū‘ahumā sawād, bal huwa syai' wāhid; wa  idzā kāna lā juz' lahu fī al-a'yān fa lā juz' lahu fi adz-dzihn li  anna ash-shūrah adz-dzihniyyah wājib an tuthābiq al-'aini.</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Al-Masyāri' wa Al-Muthārahāt: Al-Manthiq, fol 15v:  Anna al-  basā'ith tursam wa tuhadd.</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Ibid.,: “Sarraha asy-Syaikh Abū ‘Ali, fikarāris yansubuhā ilā  al-masyriqiyyin.</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Lihat, Ibn Sina, Manthiq Al-Mayriqiyyin, hlm. 1-4.</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Al-Masyāri' wa Al-Muthārahāt: Al-Manthiq, fol. 15r: “Fa  hādzihi al-karāris wa in yansubuhā ilā al-masyriq fa hiya bi  ‘ainihā qawāʻid al-masysyā'īn wa al-hikmah al-'āmmah, illā  annahu ghayyara al-'ibārah au tasharrafa fi ba'dh al-furū“,  tasharrufan gharīban là tubayyin kutubuhā al-ukhrā ... wa  Tā yataqarraru bihi al-ashl al-masyriqi al-muqarrar fi 'ahd  al-'ulamā' al-khusrawaniyyah.  Corbin sudah membahas  pandangan Suhrawardi tentang para filsuf Khusrawani dan    kebijaksanaan Iran Lama. Lihat, misalnya, Opera II, hlm. vi;  dan ibid., Prolegomena, hlm. 24-26.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Al-Masyāri' wa Al-Muthārahāt: Al-Manthiq, fol. 15r: “Wa  nahnu fi hādzā al-kitab la naqshud illā tatmīm tharā'iq al-  masysyā'in wa ta'rifahā wa tahdzibahā.</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Al-Masyāri' wa Al-Muthārahāt: Al-Manthiq, fol. 15r.</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Al-Masyāri' wa Al-Muthārahāt: Al-Manthiq, fol. 15v.: “Afa'in  'uniya bi al-ism nafs majmū' tilka ash-shifah wa hādzā ashahh  al-hudud.  Ini tentu, hanya mungkin bila sifat-sifat dari  sesuatu yang didefinisikan terbatas. Bandingkan, Aristoteles,  Posterior Analytics, 1.22, 82b36-39; 84a27.</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Al-Masyāri' wa Al-Muthārahāt: Al-Manthiq, fol. 15v.: “Al-  asmā' al-ishthilāhiyyah fī al-'ilm hudūduhā hiya al-aqwal ad-  dāllah ‘alā ghaira mā ishthalaha 'alaih.</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Bandingkan, Ibn Sina, Kitāb Al-Isyārāt wa At-Tanbihāt, hlm.11-12.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Al-Masyāri' wa Al-Muthārahāt: Al-Manthig, fol. 17v.</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Bandingkan, Ibn Sina, Manthiq al-Mayriqiyyin, hlm. 42-44.</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Al-Masyāri' wa Al-Muthārahāt: Al-Manthiq, fol. 16v-16r.</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Al-Masyāri' wa Al-Muthārahāt: Al-Manthiq, fol. 16v. Bandingkan,  Opera II, hlm. 20.</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Al-Masyāri' wa Al-Muthārahāt: Al-Manthiq, fol. 16v.</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Bandingkan, Ibn Sina, Manthiq Al-Mayriqiyyin, hlm. 34-36.</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Al-Masyāri' wa Al-Muthārahāt: Al-Manthiq, fol. 88V-101r.</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Al-Masyāri' wa Al-Muthārahāt: Al-Manthiq, fol. 97r. Istilah  yang digunakan Suhrawardi adalah Madzhab Al-Aflathūn.</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Ibid., fol. 98r.</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Kita melihat bahwa Suhrawardi menyebut gayanya sebagai  metaforis (marmūzah, istilah yang berarti misterius atau  rahasia). Bandingkan, Suhrawardi, Al-Masyāri' wa Al-  Muthārahāt: Al-Manthiq, fol. 15r:  Wa hiya hikmah al-  khāshiyyah; wa al-khathb al-'azhīm al-marmūz fi kitābinā al-  musytamil 'alā al-ushūl asy-syarīfah al-musammā bi Hikmah    Al-Isyrāq.” Selanjutnya, kita mencatat bahwa istilah ramz  yang digunakan dalam Hikmah Al-Isyrāq untuk menandai  gaya filsafat “kuno . Suhrawardi, Opera II, hlm. 10-11.</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Bagian ini, di antara bagian yang sangat penting dalam  buku ini, telah diterjemahkan sehingga pembaca bisa  memeriksanya langsung. Lihat, Apendiks B berikut.</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Baik istilah āhād maupun ijtimā' keduanya adalah matematis.</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Ini bagian dari karya Al-Baghdadi yang dianalisis dalam  Apendiks C.</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Lihat, Suhrawardi, Opera II, hlm. 18. Bandingkan, Al-  Baghdadi, Al-Mu'tabar, I. hlm. 8 dan 40-46; As-Sawi, At-  Tabshīrah, hlm. 3; Aristoteles, Posterior Analytics I, hlm. 1-3.</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Kemungkinan besar mengacu pada Ibn Sina, yakni Al-Isyārāt.</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Lihat, Suhrawardi, Opera II, hlm. 19-20.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Gedanken experiment Suhrawardi mengenai pengetahuan jiwa  atas dirinya, meskipun dalam konsepsi Ibn Sina menunjukkan  analisis lebih rinci dan digabungkan sepenuhnya ke dalam  pandangan komprehensif tentang psikologi. Lihat, Opera  III, hlm. 10-14. Bandingkan, Fazlur Rahman, Avicenna's  Psychology, hlm. 31.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Suhrawardi, Opera II, hlm. 40-46.</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Suhrawardi, Opera II, hlm. 21.</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Lihat, Suhrawardi, Al-Masyāri' wa Al-Muthārahāt, fol. 98v.;  idem., Opera III, hlm. 5.</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Untuk bahasan tentang hubungan antara “bagian-bagian   dan “jumlah , lihat, Apendiks C berikut.</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Suhrawardi, Opera II, hlm. 21.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Aristoteles, Posterior Analytics 11.3, 90b15: “Tanpa  mendefinisikan sesuatu sebagai sifat esensial atau aksiden-  kita tidak mendapat pengetahuan tentangnya.</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Bandingkan, Ibn Sina, Asy-Syifa': Al-Manthiq: Al-Burhān IV.4,  hlm. 217-224.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Aristoteles, Topics VI.4, 141923-142b.</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Suhrawardi, Opera II, hlm. 106.</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Peran filsuf Ilahi (Al-Hakim Al-Muta'allih) dalam mengajarkan  hikmah yang diperoleh melalui kajian Filsafat Iluminasi  sangatlah penting. Guru semacam itu sama dengan seorang  “kutub  (quthb) dalam tasawuf. Orang yang demikian itu biasa  disebut  penegak hikmah Iluminasi” (al-qayyīm 'alā Al-  Isyrāq). Lihat, Suhrawardi, Opera II, hlm. 10-13, 244, 256,  serta 260.</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Suhrawardi, Opera I, hlm. 401.</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Lihat, Immanuel Kant, Logic, terjemahan R. Hartman dan W.</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Alfred J. Ayer, Language, Truth, and Logic. (London: V. Cictor  Gollanz Ltd., 1950), hlm. 59-71. Bandingkan, Paul T. Sagal,   Implicit Definition,  dalam The Monist, vol. 57, no. 3 (Juli,  1973), hlm. 443-450.</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Istilah-istilah lain semisal himpunan, perangkat, kumpulan,  dan majemuk, juga digunakan dan mungkin ini yang    dimaksud oleh Suhrawardi dengan Al-ijtima'.</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Bertrand Russel, Introduction to Mathematical Philosophy.</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Suhrawardi sering menggunakan istilah yaqini atau  mutayaqqana ketika ia ingin memodifikasi pengetahuan  dengan sifat “pasti". Misalnya, Suhrawardi, Opera II, hlm. 21.</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Pembedaan antara penalaran dan pengetahuan intuitif telah  dilakukan oleh Aristoteles. Namun, ia tidak mengizinkan  intuisi memainkan kedudukan penting dalam konstruksi  filsafat, sebagaimana hal itu ditunut oleh Suhrawardi. Untuk  bahasan pandangan Aristoteles tentang hal ini, lihat Victor  Kal, On Intuition and Discursive Reasoning in Aristoteles.</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Sebutan khusus diberikan kepada ilmu Astronomi (al-  ‘ilm al-hai'ah) dengan implikasi, bahwa seperti seseorang  memprediksi kejadian-kejadian astronomis di masa depan, ia  juga bisa membuat prediksi-prediksi yang valid tentang alam  spiritual yang tak terlihat. Lihat, Suhrawardi, Opera II, hlm.13.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Lihat, Asy-Syirazi, Syarh II; Ibn Al-Khathib, Raudhah at-Ta'rif II, hlm. 564-565.</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Lihat, Bab III, * 3-4 sebelumnya.</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7.Ibid., hlm 73. Asy-Syirazi menambahkan, “[ketidakmungkinan  mengetahui] ini sebagai akibat, yang mesti dalil-dalil  Peripatetik, dan untuk alasan ini Suhrawardi menambahkan  ‘mereka menjadi pasti', " (Syarh II, hlm. 203:14-15).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Suhrawardi, Opera II, hlm 73.</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9.Lihat, Philip Merlan, From Platonism to Neoplatonism, 3rd.</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Dalam ontologi Peripatetik, wujud dianggap sebagai konsep umum  yang terbukti dengan sendirinya (mafhūm 'āmm badīhī). Lihat,  Tuni, Ilāhiyyāt, hlm. 5; Sayyid Jalaluddin Asytiyani, Hasti.</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Lihat Asy-Syirazi, Syarh II, hlm. 204: 11-14.</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Ibid.,</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Lihat, Suhrawardi, Opera II, hlm 42 dan 134-135.</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Suhrawardi, Al-Masyāri' wa Al-Muthārahāt: Al-Manthiq, fol. 15v.</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Suhrawardi, Opera II, hlm 73-74.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Yang dimaksudkan Suhrawardi dengan musyāhadah adalah  bentuk khas kognisi yang memungkinkan seseorang punya  penangkapan langsung atas esensi objek. Suhrawardi, Kalimah  At-Tashawwuf. (MS Tehran: Majlism Majmū'ah, 3071), hlm. 398: “Al-musyāhadah hiya syuruq al-anwār 'alā an-nafs bi  haitsu yangathi' munāza'ah al-wahm." Bandingkan, Mulla  Sadra, Ta‘liqāt, Syarh II, hlm. 204. (Catatan Pinggir).</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Yang saya maksudkan adalah jenis pengetahuan yang  melampaui pengetahuan biasa. Jenis pengetahuan ini  “sepenuhnya intuitif”. Tulis Philip Merlan, “Yang menangkap  pengetahuan ini berkaitan dengan hal-hal yang wataknya  mendiktekan bahwa mereka tidak mempunyai predikat apa  pun, seperti Tuhan. Pengetahuan ini berlaku pada benda-benda  "wujud atas" dan disebut áyxívola oleh Aristoteles, (Merlan,  Ibid., hlm 186). Biasanya diterjemahkan dengan “intuisi" atau  sifat "cepat mengerti". Bandingkan, Aristoteles, Posterior  Analytics 11.34, 89b10. Bandingkan, idem., Nicomachean Ethics VI.9, 1142b6. Plotinus yang dianggap pendukung  Yunani yang paling penting terhadap intuisi (misalnya, Kairo,  The Evolution of Theology in The Greek Philosophers, [Glasgow, 1923], vol. 1, hlm. 220-221). “Hal-hal esensial teori Intuisi  adalah: saya mempunyai pengenalan langsung mengenai  realitas eksternal dalam persepsi indra saya. Saya mempunyai  pengenalan langsung mengenai realitas internal, yakni melalui  proses pemikiran dengan introspeksi sebagai indra dalam”.</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Lihat, Asy-Syirazi, Syarh II, hlm. 41-42.</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Bandingkan, Ibn Sina, Asy-Syifā': Al-Madkhal, III, hlm. 17018;  idem., Asy-Syifa': Al-Burhān, I, hlm. 51-53; III, hlm. 57; idem.,  Asy-Syifā': Al-llāhiyyāt 1.1, hlm. 29-36; idem., An-Najāh, hlm. 3-4; Al-Ghazali, Mi'yar al-'Ilm, hlm. 67-68.</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Suhrawardi, Al-Masyari' wa Al-Muthārahāt: Al-Manthiq, fol. 1v.</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Ibid.,</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Ibid., fol, 1r.</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Suhrawardi, At-Talwībāt: Al-Manthiq, hlm. 2: “Yu'ayyid ibn al-  basyar bi rūh qudsi yurih asy-syai' kamā huwa." [Pertolongan  Tuhan sama dengan peran akal aktif dalam epistemologi  Peripatetik. Ruh Kudus (Ruh Al-Quddūs) dan sama dengan  bahasa Persia (ravān bakhsh), berarti dator spiritus, sebagai  pemberi pertolongan Tuhan, diidentifikasi oleh Suhrawardi  dalam berbagai contoh dengan akal aktif, yang juga disebut  "pemberi pengetahuan dan bantuan Tuhan" (wāhib al-'ilm  wa al-ta'yid)]. Suhrawardi, Opera II, hlm. 201. Bandingkan,  idem., Opera III, hlm. 221: “... sinar memancar dari Ruh  Kudus." Ruh Kudus selanjutnya diidentifikasi dengan dator      formarum (wāhib al-shuwar) dan Malaikat Jibril. (idem., Opera  II, hlm. 265). Dalam kosmologi Iluminasi, Ruh Kudus sama  dengan cahaya abstrak (non-duniawi) yang disebut Isfahbad  an-Nāsūt, yang di samping berperan sebagai akal aktif dan  dator formarum, mempunyai fungsi khusus (yakni, jenis  kesadaran diri murni juga), karena kesadaran ini menunjukkan  esensinya melalui dirinya: “wa huwa an-nūr al-mudabbir al-  ladzi huwa Isfahbad an-Nāsūt wa huwa al-musyār ilā nafsihi  bi al-'anā'iyyah". Idem., Opera II, hlm. 201. Untuk bahasan  rinci tentang peran dator formarum dalam epistemologi  lluminasi juga kedudukannya dalam fisika. Lihat Asy-Syirazi,  Syarh II, hlm. 263-269. Fungsi “tertinggi"-nya disebut sebagai  memberi wujud (wāhib al-shuwar yu'tī al-wujud). ibid., hlm. 268.</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Suhrawardi, At-Talwihāt: Al-Manthiq, hlm. 2; idem., Al-  Masyāri' wa al-Muthārahāt: Al-Manthiq, fol. 96r.; idem.,  Opera II, hlm. 18. Bandingkan, Al-Baghdadi, Al-Mu'tabar I, hlm. 7-8.</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Suhrawardi, Opera II, hlm. 18-19. Bandingkan, Al-Baghdadi, Al-Mu'tabar III, hlm. 1, 4 dan 35-41.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Kedudukan Iluminasi dalam teori Pengetahuan dapat disebut  sebagai teori “Plato". Bandingkan, F. E. Peters, Aristoteles and  The Arabs. (New York: New York University Press, 1968),  hlm. 173: “Senjata pengetahuan apriori (maʼrifah awwaliyyah)  digunakan untuk menentang keseluruhan struktur psikologi  Peripatetik, dan melalui penerapannya pada kriteria yang  sama Abu Al-Barakat Al-Baghdadi sampai pada kedudukan Ar-  Rāzī atau lebih baik, Plato tentang ruang dan waktu absolut."  Lihat, Pines, Studies in Abu Al-Barakat Al-Baghdadi's Poetics  and Metaphysics, hlm. 122.</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Misalnya, Ibn Sina, Asy-Syifā': Al-Madkhal III, hlm. 17-18.</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Lihat, Bab III  3 sebelumnya.</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Suhrawardi, At-Talwāhāt: Al-Manthiq, hlm. 2.</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Asy-Syirazi, Syarh II, hlm. 38:13-45:1.</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Suhrawardi, Opera II, hlm 15. Asy-Syirazi, Syarh II, hlm. 38:13. Bandingkan, Asy-Syahrazuri, Syarh, fol. 27r.</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Istilah tashdiq hanya sekali disebutkan dalam Hikmah Al-  Isyrāq, dalam pengertian "afirmasi” dalam hubungannya  dengan proposisi, (Opera II, hlm. 57).</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Terjemahan istilah idrak (seperti digunakan oleh Suhrawardi)  ke dalam bahasa Inggris mengandung banyak kesulitan. Istilah  “persepsi” mungkin paling dekat, tetapi harus dipahami  dalam pengertian “penangkapan" yang sangat umum.</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Asy-Syirazi, Syarh II, hlm. 39: 6-13. Jenis pengetahuan ini  semata-mata bergantung pada kehadiran (mujarrrad al-  hudhur) objek.</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Asy-Syirazi, Syarh II, hlm. 38: 16-19: “Al-'ilm Al-Isyrāqi al-  ladzi yakfi fihi mujarrad al-hudhur ka 'ilm al-bārī ta'ālā wa  ‘ilm al-mujarradāt al-mufarraqah wa 'ilminā bi anfusinā."  Bandingkan, Aristoteles, Metaphysics 1.2, 982b28-983a11;  XII. 7, 1178b14-16. Suhrawardi mengembangkan konsep- konsep, semisal al-'ilm Al-Isyrāqi, hudhūr, al-musyāhadah  Al-Isyrāqiyyah, dan sebagainya dalam “Al-Masyāri' wa al-  Muthārahāt". Opera I, hlm. 480-496.</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Lihat, Asy-Syirazi, Syarh II, hlm. 38: 16-19. Secara umum,  jenis pengetahuan yang menempatkan tekanan pada bentuk  kognisi intuitif benar-benar non-formal. Bandingkan, Aristotelse,  Metaphysics VII.10, 1036a1-8; XII.p, 1075-7; Plotinus, Enneads,  IV.3.18, V.3.3. Konsep Suhrawardi tentang pengetahuan dengan  kehadiran dapat disamakan dengan apa yang oleh Gilson  disebut “intuisi wujud." Lihat, Etienne Gilson, Being and  Some Philosophers. (Toronto: Pontifical Institute of Medieval  Studies, 1949), hlm. 190-215.</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Suhrawardi, Opera II, hlm. 15. Bandingkan, Asy-Syirazi, Syarh  II, hlm. 40:8-41:5.</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Suhrawardi, Opera I, hlm. 68: “Ba'dh an-nās zhanna anna  idrāk al-mudrik syai'an huwa an yasīra huwa huwa."</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Ibid., “Zhannū anna idrāk an-nafs huwa ittihāduhā bi al-'aql al-fa'āl."</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Hubungan dan disjungsi hanyalah sifat-sifat badan jasmani  yang menjadi diktum metafisika yang dicetuskan oleh  Suhrawardi, (Opera I, hlm. 68 dan 475), tetapi argumen untuk  mendukung diktum tersebut dikembangkan dalam fisika.</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Suhrawardi, Opera I, hlm. 474.</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Suhrawardi, Opera I, hlm. 474-475. Bandingkan, idem.,  Opera III, hlm. 23; “Tu'i-yi tu, kesadaran adalah keengkauan  engkau."</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Suhrawardi, Opera I, hlm. 475. Bandingkan, Al-Masyāri' wa  Al-Muthārahāt: Ath-Thabi'ah, fol. 115v.</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Suhrawardi, Opera I, hlm. 483.</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Ibid., hlm. 484.</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Ibid., "Wa huwa an yabhatsa al-insan fi 'ilmihi bi dzātihi  tsumma yartaqi ilā mā huwa aʻlā."</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Visi mimpi bertemu dengan “Aristoteles" diduga oleh Majid  Fakhry sebagai “Aristoteles” dalam Theologia. M. Fakhry,  A History of Islamic Philosophy. (New York: Columbia  University Press, 1970), hlm. 330, catatan 10. Bandingkan,  Opera I, catatan hlm. 112. Namun, tampak lebih mirip bahwa  yang dimaksudkan Suhrawardi Guru Filsafat Peripatetik, yakni  Aristoteles yang sebenarnya, bukan orang lain.</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Suhrawardi, Opera I, hlm. 70-74.</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Ibid., hlm. 484.</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Suhrawardi, Opera I, hlm. 70-74.</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Terdapat lima belas tangga yang dibahas untuk  mendeskripsikan pengalaman visi Iluminasi, dan masing-  masing ditegaskan dibarengi dengan pengalaman satu jenis  cahaya. Lihat, Suhrawardi, Opera II, hlm. 252; idem., Opera 1, hlm. 108 dan 114.</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Suhrawardi, Opera I, hlm. 70: “irji' ilā nafsika."</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Ibid., “Adraka dzātaka bi dzātika." Kesadaran diri, diri yang  menjadi subjek dapat disamakan dengan apa yang disebut  l'homme volant. Ibn Sina, (Peters, Aristoteles and the Arabs, hlm. 173). Lihat, Rahman, Avicenna's Psychology, hlm. 8-20.</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Suhrawardi, Opera I, hlm. 75. Bandingkan, Ibid., hlm. 121.</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Ibid., hlm. 74, 88 dan 90.</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Lihat, Suhrawardi, Opera I, hlm. 73, catatan 73, 95, 103, 113;  Idem., Opera II, hlm. 242 dan 252.</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Suhrawardi, Opera I, hlm. 115.</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Ibid., hlm. 116. Bandingkan, Al-Masyāri' wa Al-Muthārahāt:</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Suhrawardi, At-Talwihāt: Ath-Thabi'ah, fol. 60r-69r.</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Suhrawardi, At-Talwīhāt: ath-Thabi'ah, fol. 60: “Alaisa annaka  Tā taghib 'an dzātika fī hālatai naumika wa yazhatika?"</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Ibid., dalam Gendanken experiment, Suhrawardi, meski tidak  diragukan lagi mengetahui ide tentang manusia “tergantung"  dari Ibn Sina, ia tidak merujuk kepadanya.</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Ibid.,</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Lihat, Rahman, Avicenna's Psychology, hlm. 10; Peters,  Aristoteles and The Arabs, hlm. 173, catatan 216.</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Problem ini dibahas secara rinci dalam fisika, Al-Masyāri'  wa Al-Muthārahāt VI. 8. (Bagian sub ini berkaitan dengan  De Anima) berjudul "Fi Al-Idrāk Wa At-Tajridāt Wa Barāhin  Tajarrud An-Nafs 'an Al-Māddah Wa 'ignā‘atihi”, (Al-Masyāri'  wa Al-Muthārahāt: Ath-Thabi'ah, fol. 194v-198r).</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Suhrawardi, Al-Masyāri' Wa Al-Muthārahāt: Ath-Thabi'ah, fol. 63r-69r, terutama 11.2, fol.65r-69r, berjudul “Fi Tahrīrāt wa  Barāhīn wa Istibshārāt 'alā Tajarrud An-Nafs."</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Suhrawardi, Al-Masyāri' wa Al-Muthārahāt: Ath-Thabi'ah, fol.191r.</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Misalnya, Suhrawardi, Al-Masyāri' wa Al-Muthārahāt: Ath-  Thabi'ah, fol. 175r.</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Suhrawardi, Opera II, hlm. 110.</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Ibid.,</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Ibid., bandingkan, Asy-Syirazi, Syarh 11, hlm. 290:3-17.</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Suhrawardi, Opera I, hlm. 485.</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Ibid.,</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Ibid., hlm. 484.</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Ibid., hlm. 486.</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Ibid., hlm. 487.</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Ibid., hlm. 486: “Musyāhadah isyrāqiyyah li an-nafs," ibid.,  hlm. 487: “Al-'ilm Al-Isyrāqi là bi shūrah wa atsar, bal bi  mujarrad idhāfah khāshshah, huwa hudhur al-syai' hudhuran  isyrāqiyyan kamā li an-nafs."</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Ibid., hlm. 487.</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Bandingkan, Asy-Syirazi, Syarh II, hlm. 290, misalnya: “Man  yudriku dzātahu ka an-nafs an-nāthiqah matslan, fa huwa nū  mujarrad."</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Suhrawardi, Opera II, hlm. 111: “Idrak al-anā'iyyah huwa bi  'ainihi idrāk mā huwa huwa."</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Ibid., hlm. 112: “Mā anta bihi anta... huwa anā'iyyatuka."</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Bandingkan, Suhrawardi, Opera III, hlm. 23, 37: "Dzāti tū  dzātist qā'im bi khūd mujarrad az māddah ki az khud ghā'ib  nist.” Ide tentang kesadaran kosmis dan manusia sebagai  prinsip metafisika melalui mana prinsip sama diterapkan pada  entitas-entitas jasmani dan non-jasmani, ditemukan dalam  Plotinus. Lihat, Plotinus, Enneads, V.3, hlm. 2-3.</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Suhrawardi, Opera II, hlm. 113-114.</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Ibid., hlm. 114.</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Ibid., “Kull man adraka dzātahu fa huwa nūr mahdh, wa kull  nūr mahdh zhāhir li dzātihi wa mudrik li dzātihi." Asy-Syirazi  menganggap bahwa hal ini berarti kesatuan subjek dan objek.</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Ibid., Bagian ini (8 119) berjudul Hukūmah, dan bahasan yang  diberikan diambil dari Asy-Syirazi, Syarh II (hlm. 297:5-8).</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Suhrawardi, Opera II, hlm. 115.</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Ibid., hlm. 120.</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Ibid., hlm. 119, 126-127.</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Ibid., hlm. 120.</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Ibid., hlm. 201.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Ibid., hlm. 147.</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Ibid., hlm. 204-207.</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Ibid., hlm. 218-219.</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Pada dasarnya, Qahr sama dengan veïaos-nya pandangan  Empedocles. Lihat, Fakhry, A History of Islamic Philosophy,  hlm. 333.</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Suhrawardi, Opera II, hlm. 224-225.</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Suhrawardi, Opera II, hlm. 201.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Ibid., “Huwa musyir ila nafsihi bi al-anā'iyyah."</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Ibid., hlm. 226-228 dan 237.</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Dalam kosmologi Iluminasi, apa yang “termanasi", atau  diperoleh dari Sumber Cahaya dilambangkan dengan Sumber  Cahaya (Nür Al-Anwār), tidak terpisah darinya, tetapi terus  berkaitan dengannya; cahaya-cahaya yang terpancar juga  tidak berlainan. Misalnya, Suhrawardi, Opera II, hlm. 128:</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Suhrawardi, At-Talwihāt: Ath-Thabi'ah, fol. 64v; idem.,  Opera I, hlm. 57, 440; idem., Opera II, hlm. 53-55.</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Misalnya, Suhrawardi, Opera I, hlm. 57: “Al-hads ash-shahih  yahkum bi hādzā dūna hājah ilā burhān."</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Lihat, Aristoteles, Posterior Analytics 1.33, 89b10-20,  dan catatan 17 sebelumnya. Bandingkan, Aristoteles,  Nicomachean Ethics VI.9, 1142b5-6. Bandingkan,  Suhrawardi, At-Talwihāt: Ath-Thabi'ah, fol. 69r; idem., Al-  Masyāri' wa Al-Muthārahāt, fol. 201v.</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Misalnya, Suhrawardi, At-Talwībāt: Ath-Thabi'ah, fol. 69r.</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Misalnya, Ibid., fol.65v 69r.</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Ibid.,</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Suhrawardi, Opera II, hlm. 134.</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Ibid., hlm. 139-141: “Wa kull wāhid yusyahid Nür al-Anwār."</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Ibid., hlm. 142-143.</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Ibid., hlm. 142, 147-148, 175, serta 184-185.</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Ibid., hlm. 137 dan 146.</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Ibid., hlm. 139-140, 166-175, serta 185-186. Perlu dicatat  bahwa cahaya yang mengatur, di samping berfungsi pada tingkat manusia sebagai al-anwār al-insiyyah. (Opera II,  hlm. 201), juga pada tingkatan kosmis sebagai al-anwār al-  falakiyyah, (Opera II, hlm. 236).</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Ibid., hlm. 201 dan 213-215.</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Ibid., hlm. 122, 135-136, serta 197.</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Ibid., hlm. 124.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Ibid., hlm. 121-124.</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Ibid., hlm. 150.</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Ibid., hlm. 141 dan 204-205. Bandingkan, ibid., hlm. 13: “Al-  Isyrāqiyyūn là yantazhim amruhum dūna sawānih nūriyyah."</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Ini terjadi ketika subjek mengetahui sebagai monad yang  sadar diri, menjadi subjek yang kreatif.</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Ibid., hlm. 252: "Persaudaraan" ini menikmati tingkat  kemanusiaan yang paling tinggi, yaitu tingkat “Penciptaan",  yang melaluinya mereka bisa mengadakan (istilah yang  digunakan adalah ijād, yang bisa diterjemahkan sebagai  “menciptakan") apa pun yang mereka inginkan. Bandingkan,  ibid., hlm. 242: “Wa li Ikhwān al-tajrid maqām khāshsh fihi  yaqdirūna 'alā ījād mutsul qā'imah 'alā ayyi shūrah ‘aradh,  wa dzālika mā yusammā maqām kun."</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Ibid., hlm. 156 dan 162.</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Ibid., hlm. 253-254.</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Ibid., hlm. 97.</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Ibid., hlm. 98.</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Ibid., hlm. 99.</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Ibid., hlm. 100.</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Yang saya maksudkan dengan visi di sini adalah prinsip  yang menggabungkan penglihatan (ibshār) dan visi dalam  pengertian yang lebih luas (musyāhadah).</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Al-Farabi, Kitāb Al-Jamʻ Baina Ra'yai Al-Hakimain, disunting oleh  A.N. Nader, (Beirut, 1959), hlm. 91 dan seterusnya. Suatu  indikasi bahwa karya ini penting untuk mengkaji Filsafat  Tluminasi, bahwa karya ini dicetak pada catatan pinggir karya      Asy-Syirazi, Syarh Hikmah Al-Isyrāq.</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Ibid., Aristoteles telah membahas penglihatan ini di berbagai  tempat dalam karyanya, termasuk Topics (114a dan  seterusnya), di mana ia membahas hubungan antara benda  yang diketahui, indra yang dipahami, dan objek penglihatan.</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Lihat, Alexander Aphrodias, “fi radd ‘alā man yaqul anna  al-ibshār yakun bi ash-shuſā’āt al-khārijah inda khurūjihā  min al-bashar,” dalam Syurūh ‘alā Aristhū Mafqūdah fī Al-  Yunāniyyah, disunting A. Badawi (Beirut, 1969), hlm. 26-30. Suhrawardi, Opera II, hlm. 134.</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Suhrawardi, Opera II, hlm. 134.</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Ibid., hlm. 150.</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Ibid., hlm. 134-135. Baik kedekatan eksesif (qurb mufrath)  maupun jarak eksesif (bu'd mufrath) dianggap sebagai  halangan yang membendung aktualisasi “penglihatan".</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Sumber Cahaya tidak berbeda "dalam realitas" (fī al-haqiqah)  dari cahaya-cahaya lain, dan ia tidak punya kehendak, atas  dasar apa ia memancar berawal dari suatu saat terpilih ke  depan, Suhrawardi, Opera II, hlm. 122.</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Meskipun, Suhrawardi tidak pernah secara eksplisit  mengatakan dunia abadi menjadi akibat yang mesti dari  pandangannya bahwa emanasi adalah abadi (al-faidh al-  abadi). Bandingkan, ibid., hlm. 181. Keabadian adalah  konsep yang secara esensial menjadi bagian dari emanasi  Cahaya Segala Cahaya, karena "tindakan” emanasi ini  bukan suatu perubahan (taghyīr), juga tidak mengandung  ketiadaan (“adam). Dunia terus menjadi (sebagaimana ia  telah menjadi), dengan kontinuitas Cahaya Segala Cahaya,  Ibid., hlm. 177-183.</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Perbedaan antara Cahaya Segala Cahaya dan cahaya-cahaya  lain hanyalah tingkat kesempurnaan, dan ini digambarkan  dalam berbagai intensitas dalam “cahaya-cahaya”. Ini berarti  tidak ada “kesenjangan" atau prinsip perantara antara  Cahaya Segala Cahaya dan cahaya-cahaya lain. Bandingkan,  Suhrawardi, Opera II, hlm. 126-127.</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J. M. Rist, Plotinus: The Road to Reality, hlm. 36.</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Ibid., hlm. 66-69.</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Ibid., hlm. 66.</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Lihat, Ibid., Bab III, IV, VI.</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Ibid., hlm. 69.</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Cahaya Segala Cahaya adalah emanasi diri (fayyadh  bi adz-dzāt) dan "pengenal yang aktif" (al-darrāk al-      fa'āl), Suhrawardi, Opera II, hlm. 11. Karena tindakan  “mengetahui" (idrāk) adalah menifestasi diri, mengetahui  diri dan kesadaran diri. Ibid., hlm. 110-113. Cahaya Segala  Cahaya adalah kesadaran diri murni, tidak berubah, dan  merupakan emanasi abadi.</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Cahaya Pertama dibatasi, dan karenanya “terbatas", tetapi ia  punya suatu “ketidakterbatasan" kualitas yang diterimanya  dan dipancarkan darinya. Kenyataan bahwa Cahaya Pertama  mentransmisikan esensi dari Cahaya Segala Cahaya harus  berarti bahwa ia tak terbatas, tetapi tak terbatas yang  dibatasi.</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 Joseph Owens, The Doctrine of Being in the Aristotelian  Metaphysics. (Toronto: Pontifical Institue of Medieval  Studies, 1963), hlm. 35-63 dan 467-468.</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 Rist, Plotinus; The Road to Reality, hlm. 24. Bandingkan, The  Doctrine of Being in The Aristotelian Metaphysics, hlm. 39</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 Setiap cahaya yang lebih rendah meski dikendalikan dan  didominasi oleh cahaya yang lebih tinggi, bisa “melihat"  cahaya yang lebih tinggi, dan "saat” melihat adalah ketika  cahaya yang lebih rendah berkaitan dengan cahaya yang  lebih tinggi, dan selanjutnya dengan yang tertinggi. Lihat,  Suhrawardi, Opera II, hlm. 135-136. Istilah 'an dan lahzhah  menunjukkan pengertian saat atau masa yang tidak dapat  dibatasi. Hal itu juga menunjukkan ide ketiadaan durasi  seperti "ukuran" untuk menunjukkan “kapan" hubungan  antara yang terbatas dan yang tak terbatas, singkatnya,  "saat" visi dan Iluminasi.</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 Ibid., hlm. 126-127 dan 132.</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 Ibid., hlm. 125 dan 138-139. Suhrawardi tidak menggunakan  istilah shudūr atau faya yang lebih umum untuk  menggambarkan emanasi cahaya dari Cahaya Segala  Cahaya. Istilah yang digunakan adalah hushūl, yang berarti  “memperoleh” lebih terbatas dari istilah-istilah lain dan menggambarkan proses penyebaran cahaya yang lebih  “alami" ketimbang emanasi "yang dikehendaki" atau  "diinginkan” dari Sumber.</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 Ibid., hlm. 119, dan 126-127.</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 Ibid., hlm. 126.</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 Ibid., hlm. 135-137.</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 Ibid., hlm. 132-134.</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 Ibid., hlm. 133, dan 145-147.</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163. Ibid., hlm. 138-143.</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 Ibid., hlm. 138.</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 Ibid., hlm. 139-140.</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 Ibid., hlm. 138, 140.</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 Ibid., hlm. 190-191 dan 195.</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168. Ibid., hlm. 138-141. Rangkaian 211, bersama-sama dengan  rangkaian 3n-1, adalah dua rangkaian yang berperan sebagai  dasar penyelerasan Dunia Jiwa Plato. Lihat, F. M. Comford,  Plato's Cosmology. (New York: Bobbs-Meril, t.th), hlm. 49.</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 Suhrawardi, Opera II, hlm. 132, 139-140, 153-156, serta 170-178, 223.</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 Ibid., hlm. 143.</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 Lihat, Mulla Sadra, Ta‘liqāt, (Syirazi, Syarh II), hlm. 170- 206, catatan pinggir; idem., Kitāb Al-Masyā'ir, disunting  H. Corbin, (Tehran: Institute Franco-Iranien, 1964). Mulla  Sadra mencurahkan Bagian Pertama karyanya yang penting,  Al-Asfār Al-Arba'ah, untuk mengkaji dan menelaah ihwal  wujud.</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 Untuk bahasan rinci tentang teori Wujud Mulla Sadra, lihat,  Jalal Asytiyani, Hasti. (Masyhad: Khurasan Press, 1960),  hlm. 28-32 dan 69-103.</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 Teori wujud Suhrawardi dikembangkan melalui karya-  karyanya, tetapi tidak ada bagian khusus yang membahas  masalah tersebut secara sistematis. Lihat, Suhrawardi,  terutama, Opera I, hlm. 4 dan seterusnya. Lihat juga, idem.,Opera I, hlm. 19, 152-153; idem., Opera II, hlm. 20.</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 Suhrawardi, Operasi I, hlm. 4 dan seterusnya. Lihat juga,  idem., Opera I, hlm. 125, 199 dan seterusnya.</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 Lihat, Merlan, From Plotinus to Neoplatonism, hlm. 160- 220. Bandingkan, Suhrawardi, Opera II, hlm. 173.</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 Suhrawardi, Opera I, hlm. 4, dan 199-200.</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 Suhrawardi, Opera II, hlm. 10.</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 Ibid., hlm. 107, dan 121-124.</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 Ibid., hlm. 107-109.</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 Ibid., hlm. 189-190.</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 Ibid., hlm. 110, 112, dan 114. Bandingkan, Suhrawardi, Opera I, hlm. 115-116 dan 186-188.</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Asy-Syirazi memandang wāhib al-'ilm sebagai al-'aql al-fa'āl,  (Syarh II, hlm. 14).</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Tiga alam itu: 'ālam al-'aql, 'ālam an-nafs, 'ālam al-jism, yakni  akal, jiwa, dan materi. Bandingkan, Asy-Syirazi, Syarh II, hlm. 20.</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3.Teori-teori ini, meliputi wilayah khusus ajaran Iluminasi  dan membentuk bagian utama dalam Hikmah Al-Isyrāq.</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image" Target="media/image6.jpeg"/><Relationship Id="rId319" Type="http://schemas.openxmlformats.org/officeDocument/2006/relationships/image" Target="media/image6.jpeg"/><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09.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66378</Words>
  <Characters>433716</Characters>
  <CharactersWithSpaces>504350</CharactersWithSpaces>
  <Paragraphs>2985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2026-08-19T23:12:34Z</dcterms:created>
  <dc:creator>ghaemiyeh.com</dc:creator>
  <dc:description/>
  <dc:language>en-US</dc:language>
  <cp:lastModifiedBy/>
  <dcterms:modified xsi:type="dcterms:W3CDTF">2026-08-20T02:42:43Z</dcterms:modified>
  <cp:revision>1</cp:revision>
  <dc:subject/>
  <dc:title>Sang pencerah pengetahuan dari timur suhrawardi dan filsafat Iluminasi</dc:title>
</cp:coreProperties>
</file>

<file path=docProps/custom.xml><?xml version="1.0" encoding="utf-8"?>
<Properties xmlns="http://schemas.openxmlformats.org/officeDocument/2006/custom-properties" xmlns:vt="http://schemas.openxmlformats.org/officeDocument/2006/docPropsVTypes"/>
</file>