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Perjalanan Jiwa Menuju Akhirat Filsafat Eskatologi Mulla Sadra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08144_653776707">
            <w:r>
              <w:rPr>
                <w:webHidden/>
                <w:rStyle w:val="IndexLink"/>
              </w:rPr>
              <w:t>BOOK ID</w:t>
              <w:tab/>
              <w:t>5</w:t>
            </w:r>
          </w:hyperlink>
        </w:p>
        <w:p>
          <w:pPr>
            <w:pStyle w:val="Contents2"/>
            <w:tabs>
              <w:tab w:val="clear" w:pos="8743"/>
              <w:tab w:val="right" w:pos="9026" w:leader="dot"/>
            </w:tabs>
            <w:bidi w:val="0"/>
            <w:rPr/>
          </w:pPr>
          <w:hyperlink w:anchor="__RefHeading___Toc808146_653776707">
            <w:r>
              <w:rPr>
                <w:webHidden/>
                <w:rStyle w:val="IndexLink"/>
              </w:rPr>
              <w:t>Point</w:t>
              <w:tab/>
              <w:t>5</w:t>
            </w:r>
          </w:hyperlink>
        </w:p>
        <w:p>
          <w:pPr>
            <w:pStyle w:val="Contents2"/>
            <w:tabs>
              <w:tab w:val="clear" w:pos="8743"/>
              <w:tab w:val="right" w:pos="9026" w:leader="dot"/>
            </w:tabs>
            <w:bidi w:val="0"/>
            <w:rPr/>
          </w:pPr>
          <w:hyperlink w:anchor="__RefHeading___Toc808148_653776707">
            <w:r>
              <w:rPr>
                <w:webHidden/>
                <w:rStyle w:val="IndexLink"/>
              </w:rPr>
              <w:t>Pedoman Transliterasi Arab</w:t>
              <w:tab/>
              <w:t>9</w:t>
            </w:r>
          </w:hyperlink>
        </w:p>
        <w:p>
          <w:pPr>
            <w:pStyle w:val="Contents2"/>
            <w:tabs>
              <w:tab w:val="clear" w:pos="8743"/>
              <w:tab w:val="right" w:pos="9026" w:leader="dot"/>
            </w:tabs>
            <w:bidi w:val="0"/>
            <w:rPr/>
          </w:pPr>
          <w:hyperlink w:anchor="__RefHeading___Toc808150_653776707">
            <w:r>
              <w:rPr>
                <w:webHidden/>
                <w:rStyle w:val="IndexLink"/>
              </w:rPr>
              <w:t>Pedoman Transliterasi Persia</w:t>
              <w:tab/>
              <w:t>10</w:t>
            </w:r>
          </w:hyperlink>
        </w:p>
        <w:p>
          <w:pPr>
            <w:pStyle w:val="Contents2"/>
            <w:tabs>
              <w:tab w:val="clear" w:pos="8743"/>
              <w:tab w:val="right" w:pos="9026" w:leader="dot"/>
            </w:tabs>
            <w:bidi w:val="0"/>
            <w:rPr/>
          </w:pPr>
          <w:hyperlink w:anchor="__RefHeading___Toc808152_653776707">
            <w:r>
              <w:rPr>
                <w:webHidden/>
                <w:rStyle w:val="IndexLink"/>
              </w:rPr>
              <w:t>Daftar Isi</w:t>
              <w:tab/>
              <w:t>11</w:t>
            </w:r>
          </w:hyperlink>
        </w:p>
        <w:p>
          <w:pPr>
            <w:pStyle w:val="Contents2"/>
            <w:tabs>
              <w:tab w:val="clear" w:pos="8743"/>
              <w:tab w:val="right" w:pos="9026" w:leader="dot"/>
            </w:tabs>
            <w:bidi w:val="0"/>
            <w:rPr/>
          </w:pPr>
          <w:hyperlink w:anchor="__RefHeading___Toc808154_653776707">
            <w:r>
              <w:rPr>
                <w:webHidden/>
                <w:rStyle w:val="IndexLink"/>
              </w:rPr>
              <w:t>Kata Pengantar</w:t>
              <w:tab/>
              <w:t>14</w:t>
            </w:r>
          </w:hyperlink>
        </w:p>
        <w:p>
          <w:pPr>
            <w:pStyle w:val="Contents2"/>
            <w:tabs>
              <w:tab w:val="clear" w:pos="8743"/>
              <w:tab w:val="right" w:pos="9026" w:leader="dot"/>
            </w:tabs>
            <w:bidi w:val="0"/>
            <w:rPr/>
          </w:pPr>
          <w:hyperlink w:anchor="__RefHeading___Toc808156_653776707">
            <w:r>
              <w:rPr>
                <w:webHidden/>
                <w:rStyle w:val="IndexLink"/>
              </w:rPr>
              <w:t>Ucapan Terima Kasih</w:t>
              <w:tab/>
              <w:t>24</w:t>
            </w:r>
          </w:hyperlink>
        </w:p>
        <w:p>
          <w:pPr>
            <w:pStyle w:val="Contents2"/>
            <w:tabs>
              <w:tab w:val="clear" w:pos="8743"/>
              <w:tab w:val="right" w:pos="9026" w:leader="dot"/>
            </w:tabs>
            <w:bidi w:val="0"/>
            <w:rPr/>
          </w:pPr>
          <w:hyperlink w:anchor="__RefHeading___Toc808158_653776707">
            <w:r>
              <w:rPr>
                <w:webHidden/>
                <w:rStyle w:val="IndexLink"/>
              </w:rPr>
              <w:t>Pendahuluan</w:t>
              <w:tab/>
              <w:t>28</w:t>
            </w:r>
          </w:hyperlink>
        </w:p>
        <w:p>
          <w:pPr>
            <w:pStyle w:val="Contents2"/>
            <w:tabs>
              <w:tab w:val="clear" w:pos="8743"/>
              <w:tab w:val="right" w:pos="9026" w:leader="dot"/>
            </w:tabs>
            <w:bidi w:val="0"/>
            <w:rPr/>
          </w:pPr>
          <w:hyperlink w:anchor="__RefHeading___Toc808160_653776707">
            <w:r>
              <w:rPr>
                <w:webHidden/>
                <w:rStyle w:val="IndexLink"/>
              </w:rPr>
              <w:t>Catatan 1:</w:t>
              <w:tab/>
              <w:t>40</w:t>
            </w:r>
          </w:hyperlink>
        </w:p>
        <w:p>
          <w:pPr>
            <w:pStyle w:val="Contents2"/>
            <w:tabs>
              <w:tab w:val="clear" w:pos="8743"/>
              <w:tab w:val="right" w:pos="9026" w:leader="dot"/>
            </w:tabs>
            <w:bidi w:val="0"/>
            <w:rPr/>
          </w:pPr>
          <w:hyperlink w:anchor="__RefHeading___Toc808162_653776707">
            <w:r>
              <w:rPr>
                <w:webHidden/>
                <w:rStyle w:val="IndexLink"/>
              </w:rPr>
              <w:t>BAGIAN PERTAMA BIOGRAFI MULLA SADRA</w:t>
              <w:tab/>
              <w:t>45</w:t>
            </w:r>
          </w:hyperlink>
        </w:p>
        <w:p>
          <w:pPr>
            <w:pStyle w:val="Contents3"/>
            <w:tabs>
              <w:tab w:val="clear" w:pos="8459"/>
              <w:tab w:val="right" w:pos="9026" w:leader="dot"/>
            </w:tabs>
            <w:bidi w:val="0"/>
            <w:rPr/>
          </w:pPr>
          <w:hyperlink w:anchor="__RefHeading___Toc808164_653776707">
            <w:r>
              <w:rPr>
                <w:webHidden/>
                <w:rStyle w:val="IndexLink"/>
              </w:rPr>
              <w:t>1. Fase Kehidupan</w:t>
              <w:tab/>
              <w:t>45</w:t>
            </w:r>
          </w:hyperlink>
        </w:p>
        <w:p>
          <w:pPr>
            <w:pStyle w:val="Contents3"/>
            <w:tabs>
              <w:tab w:val="clear" w:pos="8459"/>
              <w:tab w:val="right" w:pos="9026" w:leader="dot"/>
            </w:tabs>
            <w:bidi w:val="0"/>
            <w:rPr/>
          </w:pPr>
          <w:hyperlink w:anchor="__RefHeading___Toc808166_653776707">
            <w:r>
              <w:rPr>
                <w:webHidden/>
                <w:rStyle w:val="IndexLink"/>
              </w:rPr>
              <w:t>2. Guru-Guru</w:t>
              <w:tab/>
              <w:t>53</w:t>
            </w:r>
          </w:hyperlink>
        </w:p>
        <w:p>
          <w:pPr>
            <w:pStyle w:val="Contents3"/>
            <w:tabs>
              <w:tab w:val="clear" w:pos="8459"/>
              <w:tab w:val="right" w:pos="9026" w:leader="dot"/>
            </w:tabs>
            <w:bidi w:val="0"/>
            <w:rPr/>
          </w:pPr>
          <w:hyperlink w:anchor="__RefHeading___Toc808168_653776707">
            <w:r>
              <w:rPr>
                <w:webHidden/>
                <w:rStyle w:val="IndexLink"/>
              </w:rPr>
              <w:t>3. Murid-Murid</w:t>
              <w:tab/>
              <w:t>57</w:t>
            </w:r>
          </w:hyperlink>
        </w:p>
        <w:p>
          <w:pPr>
            <w:pStyle w:val="Contents3"/>
            <w:tabs>
              <w:tab w:val="clear" w:pos="8459"/>
              <w:tab w:val="right" w:pos="9026" w:leader="dot"/>
            </w:tabs>
            <w:bidi w:val="0"/>
            <w:rPr/>
          </w:pPr>
          <w:hyperlink w:anchor="__RefHeading___Toc808170_653776707">
            <w:r>
              <w:rPr>
                <w:webHidden/>
                <w:rStyle w:val="IndexLink"/>
              </w:rPr>
              <w:t>4. Karya-karya</w:t>
              <w:tab/>
              <w:t>60</w:t>
            </w:r>
          </w:hyperlink>
        </w:p>
        <w:p>
          <w:pPr>
            <w:pStyle w:val="Contents3"/>
            <w:tabs>
              <w:tab w:val="clear" w:pos="8459"/>
              <w:tab w:val="right" w:pos="9026" w:leader="dot"/>
            </w:tabs>
            <w:bidi w:val="0"/>
            <w:rPr/>
          </w:pPr>
          <w:hyperlink w:anchor="__RefHeading___Toc808172_653776707">
            <w:r>
              <w:rPr>
                <w:webHidden/>
                <w:rStyle w:val="IndexLink"/>
              </w:rPr>
              <w:t>Catatan 2:</w:t>
              <w:tab/>
              <w:t>74</w:t>
            </w:r>
          </w:hyperlink>
        </w:p>
        <w:p>
          <w:pPr>
            <w:pStyle w:val="Contents2"/>
            <w:tabs>
              <w:tab w:val="clear" w:pos="8743"/>
              <w:tab w:val="right" w:pos="9026" w:leader="dot"/>
            </w:tabs>
            <w:bidi w:val="0"/>
            <w:rPr/>
          </w:pPr>
          <w:hyperlink w:anchor="__RefHeading___Toc808174_653776707">
            <w:r>
              <w:rPr>
                <w:webHidden/>
                <w:rStyle w:val="IndexLink"/>
              </w:rPr>
              <w:t>BAGIAN KEDUA PRINSIP-PRINSIP FILSAFAT</w:t>
              <w:tab/>
              <w:t>80</w:t>
            </w:r>
          </w:hyperlink>
        </w:p>
        <w:p>
          <w:pPr>
            <w:pStyle w:val="Contents3"/>
            <w:tabs>
              <w:tab w:val="clear" w:pos="8459"/>
              <w:tab w:val="right" w:pos="9026" w:leader="dot"/>
            </w:tabs>
            <w:bidi w:val="0"/>
            <w:rPr/>
          </w:pPr>
          <w:hyperlink w:anchor="__RefHeading___Toc808176_653776707">
            <w:r>
              <w:rPr>
                <w:webHidden/>
                <w:rStyle w:val="IndexLink"/>
              </w:rPr>
              <w:t>Point</w:t>
              <w:tab/>
              <w:t>80</w:t>
            </w:r>
          </w:hyperlink>
        </w:p>
        <w:p>
          <w:pPr>
            <w:pStyle w:val="Contents3"/>
            <w:tabs>
              <w:tab w:val="clear" w:pos="8459"/>
              <w:tab w:val="right" w:pos="9026" w:leader="dot"/>
            </w:tabs>
            <w:bidi w:val="0"/>
            <w:rPr/>
          </w:pPr>
          <w:hyperlink w:anchor="__RefHeading___Toc808178_653776707">
            <w:r>
              <w:rPr>
                <w:webHidden/>
                <w:rStyle w:val="IndexLink"/>
              </w:rPr>
              <w:t>1. Prinsipalitas Wujud dan Kerelatifan Kuiditas (Asalat Al-Wujud wa l’tibariyat Al-Māhiyyah)</w:t>
              <w:tab/>
              <w:t>81</w:t>
            </w:r>
          </w:hyperlink>
        </w:p>
        <w:p>
          <w:pPr>
            <w:pStyle w:val="Contents3"/>
            <w:tabs>
              <w:tab w:val="clear" w:pos="8459"/>
              <w:tab w:val="right" w:pos="9026" w:leader="dot"/>
            </w:tabs>
            <w:bidi w:val="0"/>
            <w:rPr/>
          </w:pPr>
          <w:hyperlink w:anchor="__RefHeading___Toc808180_653776707">
            <w:r>
              <w:rPr>
                <w:webHidden/>
                <w:rStyle w:val="IndexLink"/>
              </w:rPr>
              <w:t>2. Ambiguitas Wujud (Tasykik Al-Wujūd)</w:t>
              <w:tab/>
              <w:t>84</w:t>
            </w:r>
          </w:hyperlink>
        </w:p>
        <w:p>
          <w:pPr>
            <w:pStyle w:val="Contents3"/>
            <w:tabs>
              <w:tab w:val="clear" w:pos="8459"/>
              <w:tab w:val="right" w:pos="9026" w:leader="dot"/>
            </w:tabs>
            <w:bidi w:val="0"/>
            <w:rPr/>
          </w:pPr>
          <w:hyperlink w:anchor="__RefHeading___Toc808182_653776707">
            <w:r>
              <w:rPr>
                <w:webHidden/>
                <w:rStyle w:val="IndexLink"/>
              </w:rPr>
              <w:t>3. Kontinuitas Wujud</w:t>
              <w:tab/>
              <w:t>88</w:t>
            </w:r>
          </w:hyperlink>
        </w:p>
        <w:p>
          <w:pPr>
            <w:pStyle w:val="Contents3"/>
            <w:tabs>
              <w:tab w:val="clear" w:pos="8459"/>
              <w:tab w:val="right" w:pos="9026" w:leader="dot"/>
            </w:tabs>
            <w:bidi w:val="0"/>
            <w:rPr/>
          </w:pPr>
          <w:hyperlink w:anchor="__RefHeading___Toc808184_653776707">
            <w:r>
              <w:rPr>
                <w:webHidden/>
                <w:rStyle w:val="IndexLink"/>
              </w:rPr>
              <w:t>4. Wujud Mental (Wujud Al-Zihni)</w:t>
              <w:tab/>
              <w:t>89</w:t>
            </w:r>
          </w:hyperlink>
        </w:p>
        <w:p>
          <w:pPr>
            <w:pStyle w:val="Contents3"/>
            <w:tabs>
              <w:tab w:val="clear" w:pos="8459"/>
              <w:tab w:val="right" w:pos="9026" w:leader="dot"/>
            </w:tabs>
            <w:bidi w:val="0"/>
            <w:rPr/>
          </w:pPr>
          <w:hyperlink w:anchor="__RefHeading___Toc808186_653776707">
            <w:r>
              <w:rPr>
                <w:webHidden/>
                <w:rStyle w:val="IndexLink"/>
              </w:rPr>
              <w:t>5. Prinsip Emanasi</w:t>
              <w:tab/>
              <w:t>91</w:t>
            </w:r>
          </w:hyperlink>
        </w:p>
        <w:p>
          <w:pPr>
            <w:pStyle w:val="Contents3"/>
            <w:tabs>
              <w:tab w:val="clear" w:pos="8459"/>
              <w:tab w:val="right" w:pos="9026" w:leader="dot"/>
            </w:tabs>
            <w:bidi w:val="0"/>
            <w:rPr/>
          </w:pPr>
          <w:hyperlink w:anchor="__RefHeading___Toc808188_653776707">
            <w:r>
              <w:rPr>
                <w:webHidden/>
                <w:rStyle w:val="IndexLink"/>
              </w:rPr>
              <w:t>6. Gerakan Transubstansial (Al-Harākat Al-Jawharriyyah)</w:t>
              <w:tab/>
              <w:t>96</w:t>
            </w:r>
          </w:hyperlink>
        </w:p>
        <w:p>
          <w:pPr>
            <w:pStyle w:val="Contents3"/>
            <w:tabs>
              <w:tab w:val="clear" w:pos="8459"/>
              <w:tab w:val="right" w:pos="9026" w:leader="dot"/>
            </w:tabs>
            <w:bidi w:val="0"/>
            <w:rPr/>
          </w:pPr>
          <w:hyperlink w:anchor="__RefHeading___Toc808190_653776707">
            <w:r>
              <w:rPr>
                <w:webHidden/>
                <w:rStyle w:val="IndexLink"/>
              </w:rPr>
              <w:t>7. Kesatuan antara Subjek dan Objek Pengetahuan (Ittihad Al-'Āqil wa Al-Ma'qul)</w:t>
              <w:tab/>
              <w:t>100</w:t>
            </w:r>
          </w:hyperlink>
        </w:p>
        <w:p>
          <w:pPr>
            <w:pStyle w:val="Contents3"/>
            <w:tabs>
              <w:tab w:val="clear" w:pos="8459"/>
              <w:tab w:val="right" w:pos="9026" w:leader="dot"/>
            </w:tabs>
            <w:bidi w:val="0"/>
            <w:rPr/>
          </w:pPr>
          <w:hyperlink w:anchor="__RefHeading___Toc808192_653776707">
            <w:r>
              <w:rPr>
                <w:webHidden/>
                <w:rStyle w:val="IndexLink"/>
              </w:rPr>
              <w:t>8. Alam Imajinal (Al-'Alam Al-Mitsal)</w:t>
              <w:tab/>
              <w:t>105</w:t>
            </w:r>
          </w:hyperlink>
        </w:p>
        <w:p>
          <w:pPr>
            <w:pStyle w:val="Contents3"/>
            <w:tabs>
              <w:tab w:val="clear" w:pos="8459"/>
              <w:tab w:val="right" w:pos="9026" w:leader="dot"/>
            </w:tabs>
            <w:bidi w:val="0"/>
            <w:rPr/>
          </w:pPr>
          <w:hyperlink w:anchor="__RefHeading___Toc808194_653776707">
            <w:r>
              <w:rPr>
                <w:webHidden/>
                <w:rStyle w:val="IndexLink"/>
              </w:rPr>
              <w:t>Catatan3:</w:t>
              <w:tab/>
              <w:t>112</w:t>
            </w:r>
          </w:hyperlink>
        </w:p>
        <w:p>
          <w:pPr>
            <w:pStyle w:val="Contents2"/>
            <w:tabs>
              <w:tab w:val="clear" w:pos="8743"/>
              <w:tab w:val="right" w:pos="9026" w:leader="dot"/>
            </w:tabs>
            <w:bidi w:val="0"/>
            <w:rPr/>
          </w:pPr>
          <w:hyperlink w:anchor="__RefHeading___Toc808196_653776707">
            <w:r>
              <w:rPr>
                <w:webHidden/>
                <w:rStyle w:val="IndexLink"/>
              </w:rPr>
              <w:t>BAGIAN KETIGA PRINSIP-PRINSIP ESKATOLOGI</w:t>
              <w:tab/>
              <w:t>120</w:t>
            </w:r>
          </w:hyperlink>
        </w:p>
        <w:p>
          <w:pPr>
            <w:pStyle w:val="Contents3"/>
            <w:tabs>
              <w:tab w:val="clear" w:pos="8459"/>
              <w:tab w:val="right" w:pos="9026" w:leader="dot"/>
            </w:tabs>
            <w:bidi w:val="0"/>
            <w:rPr/>
          </w:pPr>
          <w:hyperlink w:anchor="__RefHeading___Toc808198_653776707">
            <w:r>
              <w:rPr>
                <w:webHidden/>
                <w:rStyle w:val="IndexLink"/>
              </w:rPr>
              <w:t>Point</w:t>
              <w:tab/>
              <w:t>120</w:t>
            </w:r>
          </w:hyperlink>
        </w:p>
        <w:p>
          <w:pPr>
            <w:pStyle w:val="Contents3"/>
            <w:tabs>
              <w:tab w:val="clear" w:pos="8459"/>
              <w:tab w:val="right" w:pos="9026" w:leader="dot"/>
            </w:tabs>
            <w:bidi w:val="0"/>
            <w:rPr/>
          </w:pPr>
          <w:hyperlink w:anchor="__RefHeading___Toc808200_653776707">
            <w:r>
              <w:rPr>
                <w:webHidden/>
                <w:rStyle w:val="IndexLink"/>
              </w:rPr>
              <w:t>1. Argumentasi Eskatologis</w:t>
              <w:tab/>
              <w:t>120</w:t>
            </w:r>
          </w:hyperlink>
        </w:p>
        <w:p>
          <w:pPr>
            <w:pStyle w:val="Contents3"/>
            <w:tabs>
              <w:tab w:val="clear" w:pos="8459"/>
              <w:tab w:val="right" w:pos="9026" w:leader="dot"/>
            </w:tabs>
            <w:bidi w:val="0"/>
            <w:rPr/>
          </w:pPr>
          <w:hyperlink w:anchor="__RefHeading___Toc808202_653776707">
            <w:r>
              <w:rPr>
                <w:webHidden/>
                <w:rStyle w:val="IndexLink"/>
              </w:rPr>
              <w:t>2. Realitas Jiwa</w:t>
              <w:tab/>
              <w:t>125</w:t>
            </w:r>
          </w:hyperlink>
        </w:p>
        <w:p>
          <w:pPr>
            <w:pStyle w:val="Contents3"/>
            <w:tabs>
              <w:tab w:val="clear" w:pos="8459"/>
              <w:tab w:val="right" w:pos="9026" w:leader="dot"/>
            </w:tabs>
            <w:bidi w:val="0"/>
            <w:rPr/>
          </w:pPr>
          <w:hyperlink w:anchor="__RefHeading___Toc808204_653776707">
            <w:r>
              <w:rPr>
                <w:webHidden/>
                <w:rStyle w:val="IndexLink"/>
              </w:rPr>
              <w:t>3. Persoalan Reinkarnasi</w:t>
              <w:tab/>
              <w:t>145</w:t>
            </w:r>
          </w:hyperlink>
        </w:p>
        <w:p>
          <w:pPr>
            <w:pStyle w:val="Contents3"/>
            <w:tabs>
              <w:tab w:val="clear" w:pos="8459"/>
              <w:tab w:val="right" w:pos="9026" w:leader="dot"/>
            </w:tabs>
            <w:bidi w:val="0"/>
            <w:rPr/>
          </w:pPr>
          <w:hyperlink w:anchor="__RefHeading___Toc808206_653776707">
            <w:r>
              <w:rPr>
                <w:webHidden/>
                <w:rStyle w:val="IndexLink"/>
              </w:rPr>
              <w:t>4. Sebelas Prinsip Dasar Eskatologi</w:t>
              <w:tab/>
              <w:t>161</w:t>
            </w:r>
          </w:hyperlink>
        </w:p>
        <w:p>
          <w:pPr>
            <w:pStyle w:val="Contents3"/>
            <w:tabs>
              <w:tab w:val="clear" w:pos="8459"/>
              <w:tab w:val="right" w:pos="9026" w:leader="dot"/>
            </w:tabs>
            <w:bidi w:val="0"/>
            <w:rPr/>
          </w:pPr>
          <w:hyperlink w:anchor="__RefHeading___Toc808208_653776707">
            <w:r>
              <w:rPr>
                <w:webHidden/>
                <w:rStyle w:val="IndexLink"/>
              </w:rPr>
              <w:t>5. Kritik terhadap Pandangan Eskatologi Pemikir Muslim</w:t>
              <w:tab/>
              <w:t>178</w:t>
            </w:r>
          </w:hyperlink>
        </w:p>
        <w:p>
          <w:pPr>
            <w:pStyle w:val="Contents3"/>
            <w:tabs>
              <w:tab w:val="clear" w:pos="8459"/>
              <w:tab w:val="right" w:pos="9026" w:leader="dot"/>
            </w:tabs>
            <w:bidi w:val="0"/>
            <w:rPr/>
          </w:pPr>
          <w:hyperlink w:anchor="__RefHeading___Toc808210_653776707">
            <w:r>
              <w:rPr>
                <w:webHidden/>
                <w:rStyle w:val="IndexLink"/>
              </w:rPr>
              <w:t>6. Mulla Sadra dan Persoalan Kebangkitan Jasmani</w:t>
              <w:tab/>
              <w:t>196</w:t>
            </w:r>
          </w:hyperlink>
        </w:p>
        <w:p>
          <w:pPr>
            <w:pStyle w:val="Contents3"/>
            <w:tabs>
              <w:tab w:val="clear" w:pos="8459"/>
              <w:tab w:val="right" w:pos="9026" w:leader="dot"/>
            </w:tabs>
            <w:bidi w:val="0"/>
            <w:rPr/>
          </w:pPr>
          <w:hyperlink w:anchor="__RefHeading___Toc808212_653776707">
            <w:r>
              <w:rPr>
                <w:webHidden/>
                <w:rStyle w:val="IndexLink"/>
              </w:rPr>
              <w:t>Catatan 4:</w:t>
              <w:tab/>
              <w:t>205</w:t>
            </w:r>
          </w:hyperlink>
        </w:p>
        <w:p>
          <w:pPr>
            <w:pStyle w:val="Contents2"/>
            <w:tabs>
              <w:tab w:val="clear" w:pos="8743"/>
              <w:tab w:val="right" w:pos="9026" w:leader="dot"/>
            </w:tabs>
            <w:bidi w:val="0"/>
            <w:rPr/>
          </w:pPr>
          <w:hyperlink w:anchor="__RefHeading___Toc808214_653776707">
            <w:r>
              <w:rPr>
                <w:webHidden/>
                <w:rStyle w:val="IndexLink"/>
              </w:rPr>
              <w:t>BAGIAN KEEMPAT MAKNA PERISTIWA-PERISTIWA ESKATOLOGI</w:t>
              <w:tab/>
              <w:t>224</w:t>
            </w:r>
          </w:hyperlink>
        </w:p>
        <w:p>
          <w:pPr>
            <w:pStyle w:val="Contents3"/>
            <w:tabs>
              <w:tab w:val="clear" w:pos="8459"/>
              <w:tab w:val="right" w:pos="9026" w:leader="dot"/>
            </w:tabs>
            <w:bidi w:val="0"/>
            <w:rPr/>
          </w:pPr>
          <w:hyperlink w:anchor="__RefHeading___Toc808216_653776707">
            <w:r>
              <w:rPr>
                <w:webHidden/>
                <w:rStyle w:val="IndexLink"/>
              </w:rPr>
              <w:t>Point</w:t>
              <w:tab/>
              <w:t>224</w:t>
            </w:r>
          </w:hyperlink>
        </w:p>
        <w:p>
          <w:pPr>
            <w:pStyle w:val="Contents3"/>
            <w:tabs>
              <w:tab w:val="clear" w:pos="8459"/>
              <w:tab w:val="right" w:pos="9026" w:leader="dot"/>
            </w:tabs>
            <w:bidi w:val="0"/>
            <w:rPr/>
          </w:pPr>
          <w:hyperlink w:anchor="__RefHeading___Toc808218_653776707">
            <w:r>
              <w:rPr>
                <w:webHidden/>
                <w:rStyle w:val="IndexLink"/>
              </w:rPr>
              <w:t>1. Hakikat Kematian dan Alam Kubur</w:t>
              <w:tab/>
              <w:t>224</w:t>
            </w:r>
          </w:hyperlink>
        </w:p>
        <w:p>
          <w:pPr>
            <w:pStyle w:val="Contents3"/>
            <w:tabs>
              <w:tab w:val="clear" w:pos="8459"/>
              <w:tab w:val="right" w:pos="9026" w:leader="dot"/>
            </w:tabs>
            <w:bidi w:val="0"/>
            <w:rPr/>
          </w:pPr>
          <w:hyperlink w:anchor="__RefHeading___Toc808220_653776707">
            <w:r>
              <w:rPr>
                <w:webHidden/>
                <w:rStyle w:val="IndexLink"/>
              </w:rPr>
              <w:t>2. Nikmat dan Azab Kubur</w:t>
              <w:tab/>
              <w:t>229</w:t>
            </w:r>
          </w:hyperlink>
        </w:p>
        <w:p>
          <w:pPr>
            <w:pStyle w:val="Contents3"/>
            <w:tabs>
              <w:tab w:val="clear" w:pos="8459"/>
              <w:tab w:val="right" w:pos="9026" w:leader="dot"/>
            </w:tabs>
            <w:bidi w:val="0"/>
            <w:rPr/>
          </w:pPr>
          <w:hyperlink w:anchor="__RefHeading___Toc808222_653776707">
            <w:r>
              <w:rPr>
                <w:webHidden/>
                <w:rStyle w:val="IndexLink"/>
              </w:rPr>
              <w:t>3. Keberlangsungan Daya Fisik Pascakematian</w:t>
              <w:tab/>
              <w:t>235</w:t>
            </w:r>
          </w:hyperlink>
        </w:p>
        <w:p>
          <w:pPr>
            <w:pStyle w:val="Contents3"/>
            <w:tabs>
              <w:tab w:val="clear" w:pos="8459"/>
              <w:tab w:val="right" w:pos="9026" w:leader="dot"/>
            </w:tabs>
            <w:bidi w:val="0"/>
            <w:rPr/>
          </w:pPr>
          <w:hyperlink w:anchor="__RefHeading___Toc808224_653776707">
            <w:r>
              <w:rPr>
                <w:webHidden/>
                <w:rStyle w:val="IndexLink"/>
              </w:rPr>
              <w:t>4. Hakikat Kiamat</w:t>
              <w:tab/>
              <w:t>238</w:t>
            </w:r>
          </w:hyperlink>
        </w:p>
        <w:p>
          <w:pPr>
            <w:pStyle w:val="Contents3"/>
            <w:tabs>
              <w:tab w:val="clear" w:pos="8459"/>
              <w:tab w:val="right" w:pos="9026" w:leader="dot"/>
            </w:tabs>
            <w:bidi w:val="0"/>
            <w:rPr/>
          </w:pPr>
          <w:hyperlink w:anchor="__RefHeading___Toc808226_653776707">
            <w:r>
              <w:rPr>
                <w:webHidden/>
                <w:rStyle w:val="IndexLink"/>
              </w:rPr>
              <w:t>5. Makna Kebangkitan dan Pengumpulan</w:t>
              <w:tab/>
              <w:t>244</w:t>
            </w:r>
          </w:hyperlink>
        </w:p>
        <w:p>
          <w:pPr>
            <w:pStyle w:val="Contents3"/>
            <w:tabs>
              <w:tab w:val="clear" w:pos="8459"/>
              <w:tab w:val="right" w:pos="9026" w:leader="dot"/>
            </w:tabs>
            <w:bidi w:val="0"/>
            <w:rPr/>
          </w:pPr>
          <w:hyperlink w:anchor="__RefHeading___Toc808228_653776707">
            <w:r>
              <w:rPr>
                <w:webHidden/>
                <w:rStyle w:val="IndexLink"/>
              </w:rPr>
              <w:t>6. Bahan Dasar Akhirat</w:t>
              <w:tab/>
              <w:t>255</w:t>
            </w:r>
          </w:hyperlink>
        </w:p>
        <w:p>
          <w:pPr>
            <w:pStyle w:val="Contents3"/>
            <w:tabs>
              <w:tab w:val="clear" w:pos="8459"/>
              <w:tab w:val="right" w:pos="9026" w:leader="dot"/>
            </w:tabs>
            <w:bidi w:val="0"/>
            <w:rPr/>
          </w:pPr>
          <w:hyperlink w:anchor="__RefHeading___Toc808230_653776707">
            <w:r>
              <w:rPr>
                <w:webHidden/>
                <w:rStyle w:val="IndexLink"/>
              </w:rPr>
              <w:t>7. Kebangkitan Jasmani dan Fisikalisasi Perbuatan</w:t>
              <w:tab/>
              <w:t>260</w:t>
            </w:r>
          </w:hyperlink>
        </w:p>
        <w:p>
          <w:pPr>
            <w:pStyle w:val="Contents3"/>
            <w:tabs>
              <w:tab w:val="clear" w:pos="8459"/>
              <w:tab w:val="right" w:pos="9026" w:leader="dot"/>
            </w:tabs>
            <w:bidi w:val="0"/>
            <w:rPr/>
          </w:pPr>
          <w:hyperlink w:anchor="__RefHeading___Toc808232_653776707">
            <w:r>
              <w:rPr>
                <w:webHidden/>
                <w:rStyle w:val="IndexLink"/>
              </w:rPr>
              <w:t>8. Sirāt, Lembaran dan Kitāb, Penghitungan dan Penimbangan</w:t>
              <w:tab/>
              <w:t>271</w:t>
            </w:r>
          </w:hyperlink>
        </w:p>
        <w:p>
          <w:pPr>
            <w:pStyle w:val="Contents3"/>
            <w:tabs>
              <w:tab w:val="clear" w:pos="8459"/>
              <w:tab w:val="right" w:pos="9026" w:leader="dot"/>
            </w:tabs>
            <w:bidi w:val="0"/>
            <w:rPr/>
          </w:pPr>
          <w:hyperlink w:anchor="__RefHeading___Toc808234_653776707">
            <w:r>
              <w:rPr>
                <w:webHidden/>
                <w:rStyle w:val="IndexLink"/>
              </w:rPr>
              <w:t>9. Tingkatan-Tingkatan dan keadaan Manusia pada Hari Kiamat</w:t>
              <w:tab/>
              <w:t>280</w:t>
            </w:r>
          </w:hyperlink>
        </w:p>
        <w:p>
          <w:pPr>
            <w:pStyle w:val="Contents3"/>
            <w:tabs>
              <w:tab w:val="clear" w:pos="8459"/>
              <w:tab w:val="right" w:pos="9026" w:leader="dot"/>
            </w:tabs>
            <w:bidi w:val="0"/>
            <w:rPr/>
          </w:pPr>
          <w:hyperlink w:anchor="__RefHeading___Toc808236_653776707">
            <w:r>
              <w:rPr>
                <w:webHidden/>
                <w:rStyle w:val="IndexLink"/>
              </w:rPr>
              <w:t>10. Hakikat Surga dan Neraka</w:t>
              <w:tab/>
              <w:t>282</w:t>
            </w:r>
          </w:hyperlink>
        </w:p>
        <w:p>
          <w:pPr>
            <w:pStyle w:val="Contents3"/>
            <w:tabs>
              <w:tab w:val="clear" w:pos="8459"/>
              <w:tab w:val="right" w:pos="9026" w:leader="dot"/>
            </w:tabs>
            <w:bidi w:val="0"/>
            <w:rPr/>
          </w:pPr>
          <w:hyperlink w:anchor="__RefHeading___Toc808238_653776707">
            <w:r>
              <w:rPr>
                <w:webHidden/>
                <w:rStyle w:val="IndexLink"/>
              </w:rPr>
              <w:t>11. Kebahagiaan dan Penderitaan</w:t>
              <w:tab/>
              <w:t>290</w:t>
            </w:r>
          </w:hyperlink>
        </w:p>
        <w:p>
          <w:pPr>
            <w:pStyle w:val="Contents3"/>
            <w:tabs>
              <w:tab w:val="clear" w:pos="8459"/>
              <w:tab w:val="right" w:pos="9026" w:leader="dot"/>
            </w:tabs>
            <w:bidi w:val="0"/>
            <w:rPr/>
          </w:pPr>
          <w:hyperlink w:anchor="__RefHeading___Toc808240_653776707">
            <w:r>
              <w:rPr>
                <w:webHidden/>
                <w:rStyle w:val="IndexLink"/>
              </w:rPr>
              <w:t>12. Makna keabadian dan Kontinuitas Pembaruan Penghuni Surga dan Neraka</w:t>
              <w:tab/>
              <w:t>295</w:t>
            </w:r>
          </w:hyperlink>
        </w:p>
        <w:p>
          <w:pPr>
            <w:pStyle w:val="Contents3"/>
            <w:tabs>
              <w:tab w:val="clear" w:pos="8459"/>
              <w:tab w:val="right" w:pos="9026" w:leader="dot"/>
            </w:tabs>
            <w:bidi w:val="0"/>
            <w:rPr/>
          </w:pPr>
          <w:hyperlink w:anchor="__RefHeading___Toc808242_653776707">
            <w:r>
              <w:rPr>
                <w:webHidden/>
                <w:rStyle w:val="IndexLink"/>
              </w:rPr>
              <w:t>Catatan 5:</w:t>
              <w:tab/>
              <w:t>300</w:t>
            </w:r>
          </w:hyperlink>
        </w:p>
        <w:p>
          <w:pPr>
            <w:pStyle w:val="Contents2"/>
            <w:tabs>
              <w:tab w:val="clear" w:pos="8743"/>
              <w:tab w:val="right" w:pos="9026" w:leader="dot"/>
            </w:tabs>
            <w:bidi w:val="0"/>
            <w:rPr/>
          </w:pPr>
          <w:hyperlink w:anchor="__RefHeading___Toc808244_653776707">
            <w:r>
              <w:rPr>
                <w:webHidden/>
                <w:rStyle w:val="IndexLink"/>
              </w:rPr>
              <w:t>Indeks</w:t>
              <w:tab/>
              <w:t>328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430_60504"/>
      <w:bookmarkStart w:id="1" w:name="pg6430_60504"/>
      <w:bookmarkEnd w:id="1"/>
    </w:p>
    <w:p>
      <w:pPr>
        <w:pStyle w:val="Heading2"/>
        <w:numPr>
          <w:ilvl w:val="1"/>
          <w:numId w:val="1"/>
        </w:numPr>
        <w:bidi w:val="0"/>
        <w:jc w:val="left"/>
        <w:rPr/>
      </w:pPr>
      <w:bookmarkStart w:id="2" w:name="pg6430_60504"/>
      <w:bookmarkStart w:id="3" w:name="__RefHeading___Toc808144_653776707"/>
      <w:bookmarkStart w:id="4" w:name="_Toc1"/>
      <w:bookmarkEnd w:id="2"/>
      <w:bookmarkEnd w:id="3"/>
      <w:r>
        <w:rPr/>
        <w:t>BOOK ID</w:t>
      </w:r>
      <w:bookmarkEnd w:id="4"/>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خالید</w:t>
      </w:r>
    </w:p>
    <w:p>
      <w:pPr>
        <w:pStyle w:val="BookText"/>
        <w:bidi w:val="0"/>
        <w:jc w:val="both"/>
        <w:rPr/>
      </w:pPr>
      <w:r>
        <w:rPr>
          <w:rFonts w:eastAsia="Times New Roman" w:cs="Times New Roman" w:ascii="Times New Roman" w:hAnsi="Times New Roman"/>
          <w:color w:val="111111"/>
          <w:sz w:val="28"/>
          <w:szCs w:val="28"/>
          <w:lang w:val="en-US"/>
        </w:rPr>
        <w:t>Al-Walid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Kholid</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Perjalanan Jiwa Menuju Akhirat Filsafat Eskatologi Mulla Sadra[Book]‏</w:t>
      </w:r>
      <w:r>
        <w:rPr>
          <w:rFonts w:eastAsia="Times New Roman" w:cs="Times New Roman" w:ascii="Times New Roman" w:hAnsi="Times New Roman"/>
          <w:color w:val="111111"/>
          <w:sz w:val="28"/>
          <w:szCs w:val="28"/>
          <w:lang w:val="en-US"/>
        </w:rPr>
        <w:t>‫‭‭/ Kholid Al-Walid.</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Qom‏</w:t>
      </w:r>
      <w:r>
        <w:rPr>
          <w:rFonts w:eastAsia="Times New Roman" w:cs="Times New Roman" w:ascii="Times New Roman" w:hAnsi="Times New Roman"/>
          <w:color w:val="111111"/>
          <w:sz w:val="28"/>
          <w:szCs w:val="28"/>
          <w:lang w:val="en-US"/>
        </w:rPr>
        <w:t>‫‭: pusat penerbitan danpenterjemahan internasional al Musthafa‏</w:t>
      </w:r>
      <w:r>
        <w:rPr>
          <w:rFonts w:eastAsia="Times New Roman" w:cs="Times New Roman" w:ascii="Times New Roman" w:hAnsi="Times New Roman"/>
          <w:color w:val="111111"/>
          <w:sz w:val="28"/>
          <w:szCs w:val="28"/>
          <w:lang w:val="en-US"/>
        </w:rPr>
        <w:t>‫‭, 2014‏</w:t>
      </w:r>
      <w:r>
        <w:rPr>
          <w:rFonts w:eastAsia="Times New Roman" w:cs="Times New Roman" w:ascii="Times New Roman" w:hAnsi="Times New Roman"/>
          <w:color w:val="111111"/>
          <w:sz w:val="28"/>
          <w:szCs w:val="28"/>
          <w:lang w:val="en-US"/>
        </w:rPr>
        <w:t>‫‭= 1393.</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ab/>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۲۷۴</w:t>
      </w:r>
      <w:r>
        <w:rPr>
          <w:rFonts w:eastAsia="IRNazanin" w:cs="IRNazanin"/>
          <w:color w:val="111111"/>
          <w:sz w:val="28"/>
          <w:szCs w:val="28"/>
          <w:lang w:bidi="fa-IR"/>
        </w:rPr>
        <w:t>/</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نمایندگی المصطفی در اندونزی‏‫؛</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‫‭978-964-195-052-3</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lang w:bidi="fa-IR"/>
        </w:rPr>
        <w:tab/>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پرجالانان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صدرالدین‌شیرازی، محمدبن‌ابراهیم،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معاد</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Sadradding shirazi</w:t>
      </w:r>
      <w:r>
        <w:rPr>
          <w:rFonts w:eastAsia="Times New Roman" w:cs="Times New Roman" w:ascii="Times New Roman" w:hAnsi="Times New Roman"/>
          <w:color w:val="111111"/>
          <w:sz w:val="28"/>
          <w:szCs w:val="28"/>
          <w:lang w:val="en-US"/>
        </w:rPr>
        <w:t>‪, Mohammad ebn Ebrahim</w:t>
      </w:r>
      <w:r>
        <w:rPr>
          <w:rFonts w:eastAsia="Times New Roman" w:cs="Times New Roman" w:ascii="Times New Roman" w:hAnsi="Times New Roman"/>
          <w:color w:val="111111"/>
          <w:sz w:val="28"/>
          <w:szCs w:val="28"/>
          <w:lang w:val="en-US"/>
        </w:rPr>
        <w:t>‪ -- View on eschatology</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BBR</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م۲۵‭‬‏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 ۱۳۹۳</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p>
    <w:p>
      <w:pPr>
        <w:pStyle w:val="BookText"/>
        <w:bidi w:val="0"/>
        <w:jc w:val="both"/>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۳۶۴۹۵۰۶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808146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Perjalanan Jiwa Menuju Akhirat</w:t>
      </w:r>
    </w:p>
    <w:p>
      <w:pPr>
        <w:pStyle w:val="BookText"/>
        <w:bidi w:val="0"/>
        <w:jc w:val="both"/>
        <w:rPr/>
      </w:pPr>
      <w:r>
        <w:rPr>
          <w:rFonts w:eastAsia="Times New Roman" w:cs="Times New Roman" w:ascii="Times New Roman" w:hAnsi="Times New Roman"/>
          <w:color w:val="111111"/>
          <w:sz w:val="28"/>
          <w:szCs w:val="28"/>
          <w:lang w:val="en-US"/>
        </w:rPr>
        <w:t>Filsafat Eskatologi Mulla Sadra</w:t>
      </w:r>
    </w:p>
    <w:p>
      <w:pPr>
        <w:pStyle w:val="BookText"/>
        <w:bidi w:val="0"/>
        <w:jc w:val="both"/>
        <w:rPr/>
      </w:pPr>
      <w:r>
        <w:rPr>
          <w:rFonts w:eastAsia="Times New Roman" w:cs="Times New Roman" w:ascii="Times New Roman" w:hAnsi="Times New Roman"/>
          <w:color w:val="111111"/>
          <w:sz w:val="28"/>
          <w:szCs w:val="28"/>
          <w:lang w:val="en-US"/>
        </w:rPr>
        <w:t>Dr. Kholid Al-Walid</w:t>
      </w:r>
    </w:p>
    <w:p>
      <w:pPr>
        <w:pStyle w:val="BookText"/>
        <w:bidi w:val="0"/>
        <w:jc w:val="both"/>
        <w:rPr/>
      </w:pPr>
      <w:r>
        <w:rPr/>
        <mc:AlternateContent>
          <mc:Choice Requires="wps">
            <w:drawing>
              <wp:inline distT="0" distB="0" distL="0" distR="0">
                <wp:extent cx="812800" cy="800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812880" cy="800280"/>
                        </a:xfrm>
                        <a:prstGeom prst="rect">
                          <a:avLst/>
                        </a:prstGeom>
                        <a:ln w="0">
                          <a:noFill/>
                        </a:ln>
                      </pic:spPr>
                    </pic:pic>
                  </a:graphicData>
                </a:graphic>
              </wp:inline>
            </w:drawing>
          </mc:Choice>
          <mc:Fallback>
            <w:pict>
              <v:shape id="shape_0" stroked="f" o:allowincell="f" style="position:absolute;margin-left:0pt;margin-top:-63.05pt;width:63.95pt;height:62.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Perjalanan Jiwa Menuju Akhirat Filsafat Eskatologi Mulla Sadra</w:t>
      </w:r>
    </w:p>
    <w:p>
      <w:pPr>
        <w:pStyle w:val="BookText"/>
        <w:bidi w:val="0"/>
        <w:jc w:val="both"/>
        <w:rPr/>
      </w:pPr>
      <w:r>
        <w:rPr>
          <w:rFonts w:eastAsia="Times New Roman" w:cs="Times New Roman" w:ascii="Times New Roman" w:hAnsi="Times New Roman"/>
          <w:color w:val="111111"/>
          <w:sz w:val="28"/>
          <w:szCs w:val="28"/>
          <w:lang w:val="en-US"/>
        </w:rPr>
        <w:t>penulis: Dr. Kholid Al-Walid</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978-964-195-052-3</w:t>
      </w:r>
    </w:p>
    <w:p>
      <w:pPr>
        <w:pStyle w:val="BookText"/>
        <w:bidi w:val="0"/>
        <w:jc w:val="both"/>
        <w:rPr/>
      </w:pPr>
      <w:r>
        <w:rPr>
          <w:rFonts w:ascii="IRNazanin" w:hAnsi="IRNazanin" w:eastAsia="IRNazanin"/>
          <w:color w:val="111111"/>
          <w:sz w:val="28"/>
          <w:sz w:val="28"/>
          <w:szCs w:val="28"/>
          <w:rtl w:val="true"/>
          <w:lang w:bidi="fa-IR"/>
        </w:rPr>
        <w:t>معاد شناسی ملاصدرا</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اعله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خالید الولید</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ORAN,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OIRAN,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OIRAN,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6430_60508"/>
    </w:p>
    <w:p>
      <w:pPr>
        <w:pStyle w:val="Heading2"/>
        <w:numPr>
          <w:ilvl w:val="1"/>
          <w:numId w:val="1"/>
        </w:numPr>
        <w:bidi w:val="0"/>
        <w:jc w:val="left"/>
        <w:rPr/>
      </w:pPr>
      <w:bookmarkStart w:id="8" w:name="__RefHeading___Toc808148_653776707"/>
      <w:bookmarkStart w:id="9" w:name="_Toc3"/>
      <w:bookmarkEnd w:id="7"/>
      <w:bookmarkEnd w:id="8"/>
      <w:r>
        <w:rPr/>
        <w:t>Pedoman Transliterasi Arab</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572000" cy="4559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72000" cy="4559400"/>
                        </a:xfrm>
                        <a:prstGeom prst="rect">
                          <a:avLst/>
                        </a:prstGeom>
                        <a:ln w="0">
                          <a:noFill/>
                        </a:ln>
                      </pic:spPr>
                    </pic:pic>
                  </a:graphicData>
                </a:graphic>
              </wp:inline>
            </w:drawing>
          </mc:Choice>
          <mc:Fallback>
            <w:pict>
              <v:shape id="shape_0" stroked="f" o:allowincell="f" style="position:absolute;margin-left:0pt;margin-top:-359.05pt;width:359.95pt;height:358.95pt;mso-wrap-style:none;v-text-anchor:middle;mso-position-horizontal:left;mso-position-vertical:top" type="_x0000_t75">
                <v:imagedata r:id="rId13" o:detectmouseclick="t"/>
                <v:stroke color="#3465a4" joinstyle="round" endcap="flat"/>
                <w10:wrap type="none"/>
              </v:shape>
            </w:pict>
          </mc:Fallback>
        </mc:AlternateContent>
      </w:r>
      <w:bookmarkStart w:id="10" w:name="pg6430_60509"/>
    </w:p>
    <w:p>
      <w:pPr>
        <w:pStyle w:val="Heading2"/>
        <w:numPr>
          <w:ilvl w:val="1"/>
          <w:numId w:val="1"/>
        </w:numPr>
        <w:bidi w:val="0"/>
        <w:jc w:val="left"/>
        <w:rPr/>
      </w:pPr>
      <w:bookmarkStart w:id="11" w:name="__RefHeading___Toc808150_653776707"/>
      <w:bookmarkStart w:id="12" w:name="_Toc4"/>
      <w:bookmarkEnd w:id="10"/>
      <w:bookmarkEnd w:id="11"/>
      <w:r>
        <w:rPr/>
        <w:t>Pedoman Transliterasi Persia</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381500" cy="4152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381560" cy="4152960"/>
                        </a:xfrm>
                        <a:prstGeom prst="rect">
                          <a:avLst/>
                        </a:prstGeom>
                        <a:ln w="0">
                          <a:noFill/>
                        </a:ln>
                      </pic:spPr>
                    </pic:pic>
                  </a:graphicData>
                </a:graphic>
              </wp:inline>
            </w:drawing>
          </mc:Choice>
          <mc:Fallback>
            <w:pict>
              <v:shape id="shape_0" stroked="f" o:allowincell="f" style="position:absolute;margin-left:0pt;margin-top:-327.05pt;width:344.95pt;height:326.95pt;mso-wrap-style:none;v-text-anchor:middle;mso-position-horizontal:left;mso-position-vertical:top" type="_x0000_t75">
                <v:imagedata r:id="rId16" o:detectmouseclick="t"/>
                <v:stroke color="#3465a4" joinstyle="round" endcap="flat"/>
                <w10:wrap type="none"/>
              </v:shape>
            </w:pict>
          </mc:Fallback>
        </mc:AlternateContent>
      </w:r>
      <w:bookmarkStart w:id="13" w:name="pg6430_60510"/>
    </w:p>
    <w:p>
      <w:pPr>
        <w:pStyle w:val="Heading2"/>
        <w:numPr>
          <w:ilvl w:val="1"/>
          <w:numId w:val="1"/>
        </w:numPr>
        <w:bidi w:val="0"/>
        <w:jc w:val="left"/>
        <w:rPr/>
      </w:pPr>
      <w:bookmarkStart w:id="14" w:name="__RefHeading___Toc808152_653776707"/>
      <w:bookmarkStart w:id="15" w:name="_Toc5"/>
      <w:bookmarkEnd w:id="13"/>
      <w:bookmarkEnd w:id="14"/>
      <w:r>
        <w:rPr/>
        <w:t>Daftar Isi</w:t>
      </w:r>
      <w:bookmarkEnd w:id="15"/>
    </w:p>
    <w:p>
      <w:pPr>
        <w:pStyle w:val="BookText"/>
        <w:bidi w:val="0"/>
        <w:jc w:val="both"/>
        <w:rPr/>
      </w:pPr>
      <w:r>
        <w:rPr>
          <w:rFonts w:eastAsia="Times New Roman" w:cs="Times New Roman" w:ascii="Times New Roman" w:hAnsi="Times New Roman"/>
          <w:color w:val="111111"/>
          <w:sz w:val="28"/>
          <w:szCs w:val="28"/>
          <w:lang w:val="en-US"/>
        </w:rPr>
        <w:t>Pedoman Transliterasi Arab – vii</w:t>
      </w:r>
    </w:p>
    <w:p>
      <w:pPr>
        <w:pStyle w:val="BookText"/>
        <w:bidi w:val="0"/>
        <w:jc w:val="both"/>
        <w:rPr/>
      </w:pPr>
      <w:r>
        <w:rPr>
          <w:rFonts w:eastAsia="Times New Roman" w:cs="Times New Roman" w:ascii="Times New Roman" w:hAnsi="Times New Roman"/>
          <w:color w:val="111111"/>
          <w:sz w:val="28"/>
          <w:szCs w:val="28"/>
          <w:lang w:val="en-US"/>
        </w:rPr>
        <w:t>Pedoman Transliterasi Persia - viii</w:t>
      </w:r>
    </w:p>
    <w:p>
      <w:pPr>
        <w:pStyle w:val="BookText"/>
        <w:bidi w:val="0"/>
        <w:jc w:val="both"/>
        <w:rPr/>
      </w:pPr>
      <w:r>
        <w:rPr>
          <w:rFonts w:eastAsia="Times New Roman" w:cs="Times New Roman" w:ascii="Times New Roman" w:hAnsi="Times New Roman"/>
          <w:color w:val="111111"/>
          <w:sz w:val="28"/>
          <w:szCs w:val="28"/>
          <w:lang w:val="en-US"/>
        </w:rPr>
        <w:t>Kata Pengantar — xi</w:t>
      </w:r>
    </w:p>
    <w:p>
      <w:pPr>
        <w:pStyle w:val="BookText"/>
        <w:bidi w:val="0"/>
        <w:jc w:val="both"/>
        <w:rPr/>
      </w:pPr>
      <w:r>
        <w:rPr>
          <w:rFonts w:eastAsia="Times New Roman" w:cs="Times New Roman" w:ascii="Times New Roman" w:hAnsi="Times New Roman"/>
          <w:color w:val="111111"/>
          <w:sz w:val="28"/>
          <w:szCs w:val="28"/>
          <w:lang w:val="en-US"/>
        </w:rPr>
        <w:t>Ucapan Terima Kasih - xxi</w:t>
      </w:r>
    </w:p>
    <w:p>
      <w:pPr>
        <w:pStyle w:val="BookText"/>
        <w:bidi w:val="0"/>
        <w:jc w:val="both"/>
        <w:rPr/>
      </w:pPr>
      <w:r>
        <w:rPr>
          <w:rFonts w:eastAsia="Times New Roman" w:cs="Times New Roman" w:ascii="Times New Roman" w:hAnsi="Times New Roman"/>
          <w:color w:val="111111"/>
          <w:sz w:val="28"/>
          <w:szCs w:val="28"/>
          <w:lang w:val="en-US"/>
        </w:rPr>
        <w:t>Pendahuluan - XXV</w:t>
      </w:r>
    </w:p>
    <w:p>
      <w:pPr>
        <w:pStyle w:val="BookText"/>
        <w:bidi w:val="0"/>
        <w:jc w:val="both"/>
        <w:rPr/>
      </w:pPr>
      <w:r>
        <w:rPr>
          <w:rFonts w:eastAsia="Times New Roman" w:cs="Times New Roman" w:ascii="Times New Roman" w:hAnsi="Times New Roman"/>
          <w:color w:val="111111"/>
          <w:sz w:val="28"/>
          <w:szCs w:val="28"/>
          <w:lang w:val="en-US"/>
        </w:rPr>
        <w:t>Catatan - XXXVI</w:t>
      </w:r>
    </w:p>
    <w:p>
      <w:pPr>
        <w:pStyle w:val="BookText"/>
        <w:bidi w:val="0"/>
        <w:jc w:val="both"/>
        <w:rPr/>
      </w:pPr>
      <w:r>
        <w:rPr>
          <w:rFonts w:eastAsia="Times New Roman" w:cs="Times New Roman" w:ascii="Times New Roman" w:hAnsi="Times New Roman"/>
          <w:color w:val="111111"/>
          <w:sz w:val="28"/>
          <w:szCs w:val="28"/>
          <w:lang w:val="en-US"/>
        </w:rPr>
        <w:t>BAGIAN PERTAMA BIOGRAFI MULLA SADRA-1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Fase Kehidupan – 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Guru-guru – 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Murid-Murid – 12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Karya-karya-15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Aliran Filsafat – 21</w:t>
      </w:r>
    </w:p>
    <w:p>
      <w:pPr>
        <w:pStyle w:val="BookText"/>
        <w:bidi w:val="0"/>
        <w:jc w:val="both"/>
        <w:rPr/>
      </w:pPr>
      <w:r>
        <w:rPr>
          <w:rFonts w:eastAsia="Times New Roman" w:cs="Times New Roman" w:ascii="Times New Roman" w:hAnsi="Times New Roman"/>
          <w:color w:val="111111"/>
          <w:sz w:val="28"/>
          <w:szCs w:val="28"/>
          <w:lang w:val="en-US"/>
        </w:rPr>
        <w:t>Catatan – 29</w:t>
      </w:r>
    </w:p>
    <w:p>
      <w:pPr>
        <w:pStyle w:val="BookText"/>
        <w:bidi w:val="0"/>
        <w:jc w:val="both"/>
        <w:rPr/>
      </w:pPr>
      <w:r>
        <w:rPr>
          <w:rFonts w:eastAsia="Times New Roman" w:cs="Times New Roman" w:ascii="Times New Roman" w:hAnsi="Times New Roman"/>
          <w:color w:val="111111"/>
          <w:sz w:val="28"/>
          <w:szCs w:val="28"/>
          <w:lang w:val="en-US"/>
        </w:rPr>
        <w:t>BAGIAN KEDUA PRINSIP-PRINSIP FILSAFAT – 35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Prinsipalitas Wujud dan Kerelatifan Kuiditas (Asālat AlWujūd wa l’tibariyat Al-Māhiyyāh) — 36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Ambiguitas Wujud (Tasykik Al-Wujūd) — 39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Kontinuitas Wujud – 43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Wujud Mental (Wujud Al-Zihni) – 44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Prinsip Emanasi – 46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Gerakan Transubstansial (Al-Harākat Al Jawharriyyah) — 51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Kesatuan antara Subjek dan Objek Pengetahuan (Ittihād Al-'Āqil wa Al-Ma'qūl) — 55</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Alam Imajinal (Al-'Alam Al-Mitsāl) – 60 </w:t>
      </w:r>
    </w:p>
    <w:p>
      <w:pPr>
        <w:pStyle w:val="BookText"/>
        <w:bidi w:val="0"/>
        <w:rPr/>
      </w:pPr>
      <w:r>
        <w:rPr>
          <w:rFonts w:eastAsia="Times New Roman" w:cs="Times New Roman" w:ascii="Times New Roman" w:hAnsi="Times New Roman"/>
          <w:color w:val="111111"/>
          <w:sz w:val="28"/>
          <w:szCs w:val="28"/>
          <w:lang w:val="en-US"/>
        </w:rPr>
        <w:t>Catatan - 67</w:t>
      </w:r>
    </w:p>
    <w:p>
      <w:pPr>
        <w:pStyle w:val="BookText"/>
        <w:bidi w:val="0"/>
        <w:jc w:val="both"/>
        <w:rPr/>
      </w:pPr>
      <w:r>
        <w:rPr>
          <w:rFonts w:eastAsia="Times New Roman" w:cs="Times New Roman" w:ascii="Times New Roman" w:hAnsi="Times New Roman"/>
          <w:color w:val="111111"/>
          <w:sz w:val="28"/>
          <w:szCs w:val="28"/>
          <w:lang w:val="en-US"/>
        </w:rPr>
        <w:t>BAGIAN KETIGA PRINSIP-PRINSIP ESKATOLOGI – 75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Argumentasi Eskatologis – 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Realitas Jiwa - 80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Persoalan Reinkarnasi – 100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Sebelas Prinsip Dasar Eskatologi – 114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Kritik Terhadap Pandangan Eskatologi Pemikir Muslim– 131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Mulla Sadra dan Persoalan Kebangkitan Jasmani – 238</w:t>
      </w:r>
    </w:p>
    <w:p>
      <w:pPr>
        <w:pStyle w:val="BookText"/>
        <w:bidi w:val="0"/>
        <w:jc w:val="both"/>
        <w:rPr/>
      </w:pPr>
      <w:r>
        <w:rPr>
          <w:rFonts w:eastAsia="Times New Roman" w:cs="Times New Roman" w:ascii="Times New Roman" w:hAnsi="Times New Roman"/>
          <w:color w:val="111111"/>
          <w:sz w:val="28"/>
          <w:szCs w:val="28"/>
          <w:lang w:val="en-US"/>
        </w:rPr>
        <w:t>Catatan – 156</w:t>
      </w:r>
    </w:p>
    <w:p>
      <w:pPr>
        <w:pStyle w:val="BookText"/>
        <w:bidi w:val="0"/>
        <w:jc w:val="both"/>
        <w:rPr/>
      </w:pPr>
      <w:r>
        <w:rPr>
          <w:rFonts w:eastAsia="Times New Roman" w:cs="Times New Roman" w:ascii="Times New Roman" w:hAnsi="Times New Roman"/>
          <w:color w:val="111111"/>
          <w:sz w:val="28"/>
          <w:szCs w:val="28"/>
          <w:lang w:val="en-US"/>
        </w:rPr>
        <w:t>BAGIAN KEEMPAT MAKNA PERISTIWA-PERISTIWA ESKA-TOLOGI – 175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Hakikat Kematian dan Alam Kubur – 175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Nikmat dan Azab Kubur – 180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Keberlangsungan Daya Fisik Pascakematian – 185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Hakikat Kiamat – 188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Makna Kebangkitan dan Pengumpulan – 192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Bahan Dasar Akhirat - 201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Kebangkitan Jasmani dan Fisikalisasi Perbuatan – 205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Sirāt, Lembaran dan Kitāb, Penghitungan dan Penimbangan- 214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Tingkatan-tingkatan dan Keadaan Manusia pada Hari Kiamat - 218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Hakikat Surga dan Neraka, 225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Kebahagiaan dan Penderitaan – 233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Makna Keabadian dan Kontinuitas Pembaruan Penghuni Surga dan Neraka– 238</w:t>
      </w:r>
    </w:p>
    <w:p>
      <w:pPr>
        <w:pStyle w:val="BookText"/>
        <w:bidi w:val="0"/>
        <w:jc w:val="both"/>
        <w:rPr/>
      </w:pPr>
      <w:r>
        <w:rPr>
          <w:rFonts w:eastAsia="Times New Roman" w:cs="Times New Roman" w:ascii="Times New Roman" w:hAnsi="Times New Roman"/>
          <w:color w:val="111111"/>
          <w:sz w:val="28"/>
          <w:szCs w:val="28"/>
          <w:lang w:val="en-US"/>
        </w:rPr>
        <w:t>Catatan – 243</w:t>
      </w:r>
    </w:p>
    <w:p>
      <w:pPr>
        <w:pStyle w:val="BookText"/>
        <w:bidi w:val="0"/>
        <w:jc w:val="both"/>
        <w:rPr/>
      </w:pPr>
      <w:r>
        <w:rPr>
          <w:rFonts w:eastAsia="Times New Roman" w:cs="Times New Roman" w:ascii="Times New Roman" w:hAnsi="Times New Roman"/>
          <w:color w:val="111111"/>
          <w:sz w:val="28"/>
          <w:szCs w:val="28"/>
          <w:lang w:val="en-US"/>
        </w:rPr>
        <w:t>Indeks – 271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Buku-Buku Sadra yang Telah Terbit </w:t>
      </w:r>
      <w:bookmarkStart w:id="16" w:name="pg6430_60512"/>
    </w:p>
    <w:p>
      <w:pPr>
        <w:pStyle w:val="Heading2"/>
        <w:numPr>
          <w:ilvl w:val="1"/>
          <w:numId w:val="1"/>
        </w:numPr>
        <w:bidi w:val="0"/>
        <w:jc w:val="left"/>
        <w:rPr/>
      </w:pPr>
      <w:bookmarkStart w:id="17" w:name="__RefHeading___Toc808154_653776707"/>
      <w:bookmarkStart w:id="18" w:name="_Toc6"/>
      <w:bookmarkEnd w:id="16"/>
      <w:bookmarkEnd w:id="17"/>
      <w:r>
        <w:rPr/>
        <w:t>Kata Pengantar</w:t>
      </w:r>
      <w:bookmarkEnd w:id="18"/>
    </w:p>
    <w:p>
      <w:pPr>
        <w:pStyle w:val="BookText"/>
        <w:bidi w:val="0"/>
        <w:jc w:val="both"/>
        <w:rPr/>
      </w:pPr>
      <w:r>
        <w:rPr>
          <w:rFonts w:eastAsia="Times New Roman" w:cs="Times New Roman" w:ascii="Times New Roman" w:hAnsi="Times New Roman"/>
          <w:color w:val="111111"/>
          <w:sz w:val="28"/>
          <w:szCs w:val="28"/>
          <w:lang w:val="en-US"/>
        </w:rPr>
        <w:t>Menyibak Misteri Kematian  Haidar Bagir  Suatu kali Nasruddin Hoja ditanya temannya,  “Kapan kiamat terjadi?" "Kiamat apa yang kau maksudkan?"  Nasruddin balik bertanya. “Apakah kiamat itu lebih dari satu?"  Temannya kembali bertanya. "Ya, ada Kiamat kecil dan ada  kiamat besar. Kiamat kecil adalah ketika istriku mati. Dan  Kiamat besar adalah ketika aku yang mati," jawab Nasruddin.</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saja, Nasruddin sedang bercanda. Namun,  Nasruddin benar ketika dia mengaitkan kiamat dengan  kematian. Hanya saja, Kiamat kecil bagi seseorang adalah  kematiannya, sebelum kelak ia dibangkitkan kembali ketika  Kiamat besar terjadi. Ibnul Qayyim Al-Jawziyah berkata, “Maut  adalah kebangkitan dan tempat kembali (ma'ad) pertama. Allah  menciptakan dua tempat kembali dan dua kebangkitan bagi  anak-cucu Adam. Dalam keduanya, Allah membalas orang jahat  dengan kejahatan yang setimpal dan membalas orang baik  dengan kebaikan yang lebih besar."  Namun, apa makna kematian atau maut itu? Menurut  Lisānul ‘Arab, kata maut berarti 'diam', 'padam', 'tenang',  'tak bergerak'. Sebagaimana kehidupan bermula ketika ruh  ditiupkan ke jasad, maka kematian terjadi ketika ruh terpisah </w:t>
      </w:r>
    </w:p>
    <w:p>
      <w:pPr>
        <w:pStyle w:val="BookText"/>
        <w:bidi w:val="0"/>
        <w:rPr/>
      </w:pPr>
      <w:r>
        <w:rPr>
          <w:rFonts w:eastAsia="Times New Roman" w:cs="Times New Roman" w:ascii="Times New Roman" w:hAnsi="Times New Roman"/>
          <w:color w:val="111111"/>
          <w:sz w:val="28"/>
          <w:szCs w:val="28"/>
          <w:lang w:val="en-US"/>
        </w:rPr>
        <w:t>dari badan. Maut juga berarti bergantinya keberadaan dan  berpindahnya (sesuatu) dari satu tempat ke tempat lain. Menjadi  jelaslah makna ucapan Rasulullah Saw. ketika ia mengatakan,  “Kalian diciptakan untuk keabadian, bukan untuk mengalami  kemusnahan. Kematian sesungguhnya adalah perpindahan dari  satu rumah ke rumah lain" - yakni dari rumah dunia ke rumah  akhirat.</w:t>
      </w:r>
    </w:p>
    <w:p>
      <w:pPr>
        <w:pStyle w:val="BookText"/>
        <w:bidi w:val="0"/>
        <w:jc w:val="both"/>
        <w:rPr/>
      </w:pPr>
      <w:r>
        <w:rPr>
          <w:rFonts w:eastAsia="Times New Roman" w:cs="Times New Roman" w:ascii="Times New Roman" w:hAnsi="Times New Roman"/>
          <w:color w:val="111111"/>
          <w:sz w:val="28"/>
          <w:szCs w:val="28"/>
          <w:lang w:val="en-US"/>
        </w:rPr>
        <w:t>Kematian, ungkap Syaikh Abbas Al-Qummi, adalah ketika  ruh meninggalkan badan, sebagaimana pelaut meninggalkan  kapalnya yang karam; atau bagaikan secercah cahaya yang  meninggalkan suatu tempat dan membiarkannya menjadi  padam atau gelap kembali, persis seperti saat ia belum masuk  ke dalamnya.</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Tapi, selain maut, Al-Qur'an juga menggunakan istilah  wafat untuk menunjuk makna mati. Murtadha Muthahhari  membuat sebuah analisis menarik tenang kata “tawaffa" (mati)  yang berakar pada kata yang sama dengan “wafat” lewat  pembandingannya dengan suatu kata dalam bahasa Persia  yang memiliki bunyi hampir sama, yakni “fuut". Menurut  Mutahahhari, sebagian orang Persia mengira bahwa kedua istilah  ini berasal dari kata yang sama. Mereka mengira bahwa “wafat  kard" – kata kerja bentukan dalam bahasa Persia yang berarti  meninggal — sama dengan "fuut kard". "Fuut" berarti ‘hilang'  atau ‘lepas dari pegangan'. Jika istilah “wafat” bermakna sama  dengan “fuut", maka kematian akan memiliki konotasi hilang,  musnah. Kenyataannya, makna istilah “fuut" malah berkebalikan  dengan makna istilah “wafat" yang dipergunakan Al-Qur'an  untuk menyatakan kematian. Sebaliknya, lepas dari pegangan,  istilah tawaffa berarti mengambil sesuatu dan menerimanya </w:t>
      </w:r>
    </w:p>
    <w:p>
      <w:pPr>
        <w:pStyle w:val="BookText"/>
        <w:bidi w:val="0"/>
        <w:rPr/>
      </w:pPr>
      <w:r>
        <w:rPr>
          <w:rFonts w:eastAsia="Times New Roman" w:cs="Times New Roman" w:ascii="Times New Roman" w:hAnsi="Times New Roman"/>
          <w:color w:val="111111"/>
          <w:sz w:val="28"/>
          <w:szCs w:val="28"/>
          <w:lang w:val="en-US"/>
        </w:rPr>
        <w:t>secara sempurna. Contohnya, jika Anda mendapatkan kembali  seluruh piutang Anda, bukan sebagian, maka itu disebut sebagai  tawaffa atau istifa. Al-Qur'an senantiasa mengaitkan kematian  dengan “menerima secara sempurna."  “Allah menerima (dengan sepenuhnya) jiwa-jiwa pada  saat kematiannya."  Di dalam surat Al-Sajdah [32]: 10-11 disebutkan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berkata, “Apakah ketika kami telah lenyap  (musnah) di dalam tanah, kami akan benar-benar menjadi  ciptaan yang baru?' Katakanlah: Malaikat Maut ditugasi  untuk menerimamu dan kepada Tuhanmulah kamu akan  dikembalikan."  Maka Mutahhari menyimpulkan bahwa mati berarti  dipindahkannya atau diserahkannya (ruh) si mati dari satu alam  ke alam lain. Malaikat-malaikat pesuruh Allah datang untuk  menerimanya dan membawanya. Pada saat itu, (ruh) manusia  diterima dalam keadaan utuh, sempurna. Tak ada yang musnah  atau berkurang. Kemusnahan hanya bisa dilekatkan kepada  wadag belaka.</w:t>
      </w:r>
    </w:p>
    <w:p>
      <w:pPr>
        <w:pStyle w:val="BookText"/>
        <w:bidi w:val="0"/>
        <w:jc w:val="both"/>
        <w:rPr/>
      </w:pPr>
      <w:r>
        <w:rPr>
          <w:rFonts w:eastAsia="Times New Roman" w:cs="Times New Roman" w:ascii="Times New Roman" w:hAnsi="Times New Roman"/>
          <w:color w:val="111111"/>
          <w:sz w:val="28"/>
          <w:szCs w:val="28"/>
          <w:lang w:val="en-US"/>
        </w:rPr>
        <w:t>Berhubungan dengan istilah wafat ini, dikenal juga istilah  kematian kecil. Yang ditunjuk oleh istilah ini adalah tidur. Tidur?  Bukankah Allah berfirman: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dialah yang mewafatkan kalian pada malam  hari....?"  "Allah menggenggam jiwa manusia ketika matinya  dan menggenggam jiwa (manusia) yang belum mati di  waktu tidurnya? Maka dia tahanlah jiwa orang yang telah  ditetapkan kematiannya, dan dia lepaskan jiwa yang lain  sampai waktu yang ditentukan. Sesungguhnya dalam hal  itu terdapat tanda-tanda kekuasaan Allah bagi kaum yang </w:t>
      </w:r>
    </w:p>
    <w:p>
      <w:pPr>
        <w:pStyle w:val="BookText"/>
        <w:bidi w:val="0"/>
        <w:rPr/>
      </w:pPr>
      <w:r>
        <w:rPr>
          <w:rFonts w:eastAsia="Times New Roman" w:cs="Times New Roman" w:ascii="Times New Roman" w:hAnsi="Times New Roman"/>
          <w:color w:val="111111"/>
          <w:sz w:val="28"/>
          <w:szCs w:val="28"/>
          <w:lang w:val="en-US"/>
        </w:rPr>
        <w:t>berpikir."  Memang, “Sesungguhnya," kata Sang Rasul, “Hidup manusia di  dunia ini bagaikan mimpi." “la terjaga ketika mati." Kematian  sesungguhnya adalah sebuah proses kembali ke-Sumber-nya.</w:t>
      </w:r>
    </w:p>
    <w:p>
      <w:pPr>
        <w:pStyle w:val="BookText"/>
        <w:bidi w:val="0"/>
        <w:jc w:val="both"/>
        <w:rPr/>
      </w:pPr>
      <w:r>
        <w:rPr>
          <w:rFonts w:eastAsia="Times New Roman" w:cs="Times New Roman" w:ascii="Times New Roman" w:hAnsi="Times New Roman"/>
          <w:color w:val="111111"/>
          <w:sz w:val="28"/>
          <w:szCs w:val="28"/>
          <w:lang w:val="en-US"/>
        </w:rPr>
        <w:t>Al-Qur'an telah jelas-jelas mengungkapkan bahwa mati berarti  kembali (ruju') kepada sumber atau keseluruhan yang darinya  wujud kita berasal. Allah.</w:t>
      </w:r>
    </w:p>
    <w:p>
      <w:pPr>
        <w:pStyle w:val="BookText"/>
        <w:bidi w:val="0"/>
        <w:jc w:val="both"/>
        <w:rPr/>
      </w:pPr>
      <w:r>
        <w:rPr>
          <w:rFonts w:eastAsia="Times New Roman" w:cs="Times New Roman" w:ascii="Times New Roman" w:hAnsi="Times New Roman"/>
          <w:color w:val="111111"/>
          <w:sz w:val="28"/>
          <w:szCs w:val="28"/>
          <w:lang w:val="en-US"/>
        </w:rPr>
        <w:t>Namun, apa yang pindah? Apa yang kembali? Ke mana?  Lalu apa yang terjadi dengan manusia di tempat-tinggal-barunya  itu?  Ketika mati, jasad kita pelan-pelan meluruh. Menuju  kemusnahan. Tinggal jiwa kita, ruh kita.</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Jiwa adalah tempat bertemunya dua samudra,"  demikian kata Mulla Sadra, "(pertemuan antara) yang jasadi  dan yang ruhani .... Jika Anda lihat substansinya di dunia ini,  Anda akan mendapatinya sebagai sumber segenap daya tubuh  ... Tetapi jika Anda lihat substansinya di dunia Intelek, Anda  akan mendapati bahwa, dalam fitrahnya, ia adalah potensial-  murni tanpa forma di dunia itu ... Hubungan-awalnya dengan  forma dunia itu adalah bagaikan biji terhadap buah atau embrio  terhadap hewan. Persis seperti embrio adalah embrio dalam  aktualitas dan hewan hanya secara potensial; demikianlah jiwa  (pada mulanya) adalah sekadar manusia yang bisa mati, tetapi  (sekaligus) Intelek (sepenuhnya) secara potensial."  Melalui kehidupan di dunia ini, potensialitas jiwa  menjadi teraktualisasikan. Kematian sama sekali bukanlah  suatu ketaksempurnaan. Mengingat, sebagaimana terungkap  dalam ungkapan Rasul yang dikutip sebelum ini, ia hanyalah </w:t>
      </w:r>
    </w:p>
    <w:p>
      <w:pPr>
        <w:pStyle w:val="BookText"/>
        <w:bidi w:val="0"/>
        <w:rPr/>
      </w:pPr>
      <w:r>
        <w:rPr>
          <w:rFonts w:eastAsia="Times New Roman" w:cs="Times New Roman" w:ascii="Times New Roman" w:hAnsi="Times New Roman"/>
          <w:color w:val="111111"/>
          <w:sz w:val="28"/>
          <w:szCs w:val="28"/>
          <w:lang w:val="en-US"/>
        </w:rPr>
        <w:t>perpindahan dari satu tempat ke tempat lain. Dalam istilah Mulla  Sadra, kematian terjadi segera setelah jiwa mengaktualisasikan  seluruh potensialitasnya. Karena tak lagi membutuhkan tubuh-  jasmaniah, jiwa mencampakkannya demi terus maju ke tahapan  berikut eksistensinya.</w:t>
      </w:r>
    </w:p>
    <w:p>
      <w:pPr>
        <w:pStyle w:val="BookText"/>
        <w:bidi w:val="0"/>
        <w:jc w:val="both"/>
        <w:rPr/>
      </w:pPr>
      <w:r>
        <w:rPr>
          <w:rFonts w:eastAsia="Times New Roman" w:cs="Times New Roman" w:ascii="Times New Roman" w:hAnsi="Times New Roman"/>
          <w:color w:val="111111"/>
          <w:sz w:val="28"/>
          <w:szCs w:val="28"/>
          <w:lang w:val="en-US"/>
        </w:rPr>
        <w:t>"Penjelasan bagi kematian fisikal adalah bahwa jiwa  mencapai kesempurnaan dan kebebasan dalam eksistensi,  sehingga ia beralih kepada aktivitas dan upaya-bawaannya  menuju dunia yang lain. Jadi, karena esensinya memperoleh  kekuatan, sedikit demi sedikit, hingga ia mencapai suatu  jenis baru eksistensi, ia memutuskan hubungannya  (dengan tubuh) dengan memperkuat hubungannya  dengan tubuh yang lain, yang diperolehnya sesuai dengan  kualitas-kualitas moral dan kesiapan-kesiapan (bekal-  bekal) kejiwaannya. Dengan demikian, pertama dan  dalam esensinya ia memulai suatu kehidupan, kedua;  tapi, sebagai suatu 'embel-embel aksidental' kehidupan-  fisikalnya berakhir....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Mencapai derajat substansialitas, aktualitas, dan  kebebasan (adalah suatu keadaan yang) dialami oleh  (semua manusia) mukmin atau kafir .... Tak ada kontradiksi  antara kesempurnaan ontologis dan kebebasan-substansial  di satu sisi dan keburukan dan penderitaan akibat siksaan  api neraka ... di sisi lain. Malah sebaliknya, hal-hal ini  hanya memperkuat kesimpulan kami. Kenyataan bahwa  eksistensi manusia makin kuat dan mendapatkan aksentuasi  dan bahwa ia telah lepas dari selubung dan hijab material  (justru) mengakibatkan intensitas yang makin tinggi dalam  mengalami rasa sakit."  Dalam kematian, simpul Al-Ghazali, manusia tak  menemukan apa-apa, kecuali atribut-atributnya sendiri, yang tak  lagi terhijab oleh tubuh-jasmaniah, melainkan mengungkapkan  diri mereka dalam forma-forma yang sesuai dengan tempat-  tinggal barunya. “Hubungan jiwa dengan tubuh menghijabnya </w:t>
      </w:r>
    </w:p>
    <w:p>
      <w:pPr>
        <w:pStyle w:val="BookText"/>
        <w:bidi w:val="0"/>
        <w:rPr/>
      </w:pPr>
      <w:r>
        <w:rPr>
          <w:rFonts w:eastAsia="Times New Roman" w:cs="Times New Roman" w:ascii="Times New Roman" w:hAnsi="Times New Roman"/>
          <w:color w:val="111111"/>
          <w:sz w:val="28"/>
          <w:szCs w:val="28"/>
          <w:lang w:val="en-US"/>
        </w:rPr>
        <w:t>dari pencerapan hakikat-hakikat segala sesuatu, sementara  kematian menyibak hijab itu: "Saat ini kami telah menyibak  darimu hijabmu, hingga hari ini penglihatanmu amat tajam,'  (QS 50 :22). Apa yang selama ini tersembunyi di dunia rendah  menjadi terungkap nyata."  Jadi, sebaliknya dari mengalami akhir kehidupan, manusia  melanjutkan kehidupannya setelah kematian (fisikal) ini, bahkan  lebih hidup lagi, bahkan lebih lestari. Kehidupan setelah mati  itulah kehidupan sejati. Bagaikan seseorang yang bangun dari  tidur dengan mimpi yang panjang, kematian (fisikal) telah  menandai keterjagaannya. Persis kata Nabi: “Sesungguhnya  dalam kehidupan dunia ini manusia itu tertidur. Baru ketika mati,  ia terjaga." Nah, adalah amal-amalnya di kehidupan dunia yang  akan menentukan kehidupannya pascakematian. “Pada hari itu  amal-amal (manusia) akan dikalungkan di leher-leher mereka,"  firman Sang Pencipta. Al-Qur'an menyebut Hari Kiamat - ketika  amal-amal seluruh manusia diperhitungkan – sebagai saat-saat  "apa yang ada di dalam dada diungkapkan” (Q.S. 100 : 10) dan  “rahasia-rahasia dibongkar" (QS. 86 : 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Al-Qunawi menyatakan bahwa, setelah kematian,  manusia akan mengambil bentuk jasmaniah sesuai dengan  perilaku yang menguasainya ketika ia hidup di dunia. Jadi, jika  syahwat yang berkuasa, ia akan tampil sebagai babi, dan jika  amarah yang angkara, ia akan tampil sebagai anjing. Demikian  juga pandangan Al-Farabi dan Mulla Sadra. Dalam penampilan  dan cara seperti itulah kita harus mengarungi kehidupan yang  jauh lebih panjang ini. ... (Itulah) hari yang segenap jiwa akan  mendapati semua amal-amal baiknya terhampar di depannya,  demikian pula amal-amal buruknya. (Jiwa-jiwa) itu akan berharap </w:t>
      </w:r>
    </w:p>
    <w:p>
      <w:pPr>
        <w:pStyle w:val="BookText"/>
        <w:bidi w:val="0"/>
        <w:rPr/>
      </w:pPr>
      <w:r>
        <w:rPr>
          <w:rFonts w:eastAsia="Times New Roman" w:cs="Times New Roman" w:ascii="Times New Roman" w:hAnsi="Times New Roman"/>
          <w:color w:val="111111"/>
          <w:sz w:val="28"/>
          <w:szCs w:val="28"/>
          <w:lang w:val="en-US"/>
        </w:rPr>
        <w:t>Kata Pengantar akan adanya masa yang panjang di antaranya dan hari itu (QS. 3:</w:t>
      </w:r>
    </w:p>
    <w:p>
      <w:pPr>
        <w:pStyle w:val="BookText"/>
        <w:bidi w:val="0"/>
        <w:jc w:val="both"/>
        <w:rPr/>
      </w:pPr>
      <w:r>
        <w:rPr>
          <w:rFonts w:eastAsia="Times New Roman" w:cs="Times New Roman" w:ascii="Times New Roman" w:hAnsi="Times New Roman"/>
          <w:color w:val="111111"/>
          <w:sz w:val="28"/>
          <w:szCs w:val="28"/>
          <w:lang w:val="en-US"/>
        </w:rPr>
        <w:t>30). Semua atribut yang menguasai manusia di dunia ini akan  mengungkapkan-diri kepadanya di alam barzakh dalam bentuk  (forma) yang sesuai .... Inilah makna sabda Nabi "Manusia  akan dikelompok-kelompokkan pada Hari Kebangkitan sejalan  dengan niat-niatnya."  Sana'i mengungkapkan gagasan ini dalam salah satu  sya'irnya:</w:t>
      </w:r>
    </w:p>
    <w:p>
      <w:pPr>
        <w:pStyle w:val="BookText"/>
        <w:bidi w:val="0"/>
        <w:jc w:val="both"/>
        <w:rPr/>
      </w:pPr>
      <w:r>
        <w:rPr>
          <w:rFonts w:eastAsia="Times New Roman" w:cs="Times New Roman" w:ascii="Times New Roman" w:hAnsi="Times New Roman"/>
          <w:color w:val="111111"/>
          <w:sz w:val="28"/>
          <w:szCs w:val="28"/>
          <w:lang w:val="en-US"/>
        </w:rPr>
        <w:t>Ketika mereka menyibak hijab atas indera-indera dari  penglihatanmu, maka  Jika kau seorang kafir kau ‘kan dapati api yang mendidih  (Atau) jika seorang mukmin, Taman itu  Surga dan nerakamu ada dalam dirimu sendiri: Lihat ke  dalam!  Lihatlah tungku-tungku di limpamu, taman-taman  dihatimu."  Jika kau mati dengan akhlak yang buruk, kau ‘kan  dibangkitkan dalam wujud binatang-buas ...</w:t>
      </w:r>
    </w:p>
    <w:p>
      <w:pPr>
        <w:pStyle w:val="BookText"/>
        <w:bidi w:val="0"/>
        <w:jc w:val="both"/>
        <w:rPr/>
      </w:pPr>
      <w:r>
        <w:rPr>
          <w:rFonts w:eastAsia="Times New Roman" w:cs="Times New Roman" w:ascii="Times New Roman" w:hAnsi="Times New Roman"/>
          <w:color w:val="111111"/>
          <w:sz w:val="28"/>
          <w:szCs w:val="28"/>
          <w:lang w:val="en-US"/>
        </w:rPr>
        <w:t>Ketika makna keluar dari rumah ke jalanan, wajahmu akan  distempel dengan apa yang ada di hatimu.</w:t>
      </w:r>
    </w:p>
    <w:p>
      <w:pPr>
        <w:pStyle w:val="BookText"/>
        <w:bidi w:val="0"/>
        <w:jc w:val="both"/>
        <w:rPr/>
      </w:pPr>
      <w:r>
        <w:rPr>
          <w:rFonts w:eastAsia="Times New Roman" w:cs="Times New Roman" w:ascii="Times New Roman" w:hAnsi="Times New Roman"/>
          <w:color w:val="111111"/>
          <w:sz w:val="28"/>
          <w:szCs w:val="28"/>
          <w:lang w:val="en-US"/>
        </w:rPr>
        <w:t>Tapi tak ada yang menggambarkan ini seindah Maulana  Rumi:</w:t>
      </w:r>
    </w:p>
    <w:p>
      <w:pPr>
        <w:pStyle w:val="BookText"/>
        <w:bidi w:val="0"/>
        <w:jc w:val="both"/>
        <w:rPr/>
      </w:pPr>
      <w:r>
        <w:rPr>
          <w:rFonts w:eastAsia="Times New Roman" w:cs="Times New Roman" w:ascii="Times New Roman" w:hAnsi="Times New Roman"/>
          <w:color w:val="111111"/>
          <w:sz w:val="28"/>
          <w:szCs w:val="28"/>
          <w:lang w:val="en-US"/>
        </w:rPr>
        <w:t>Ada ribuan srigala dan babi dalam eksistensi kita, baik dan  buruk, indah dan jelek.</w:t>
      </w:r>
    </w:p>
    <w:p>
      <w:pPr>
        <w:pStyle w:val="BookText"/>
        <w:bidi w:val="0"/>
        <w:jc w:val="both"/>
        <w:rPr/>
      </w:pPr>
      <w:r>
        <w:rPr>
          <w:rFonts w:eastAsia="Times New Roman" w:cs="Times New Roman" w:ascii="Times New Roman" w:hAnsi="Times New Roman"/>
          <w:color w:val="111111"/>
          <w:sz w:val="28"/>
          <w:szCs w:val="28"/>
          <w:lang w:val="en-US"/>
        </w:rPr>
        <w:t>Sifat-sifat manusia ditentukan oleh kelakuan yang  menguasai: Jika emas lebih banyak dari tembaga, maka ia  adalah emas.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T'lah pasti, di hari Kebangkitan kau kan diberi bentuk sesuai  dengan perilaku yang mengangkangi eksistensimu (Rumi)  Berapa banyak anak-anak-pikiranmu 'kan kau lihat di  kuburan(mu) </w:t>
      </w:r>
    </w:p>
    <w:p>
      <w:pPr>
        <w:pStyle w:val="BookText"/>
        <w:bidi w:val="0"/>
        <w:rPr/>
      </w:pPr>
      <w:r>
        <w:rPr>
          <w:rFonts w:eastAsia="Times New Roman" w:cs="Times New Roman" w:ascii="Times New Roman" w:hAnsi="Times New Roman"/>
          <w:color w:val="111111"/>
          <w:sz w:val="28"/>
          <w:szCs w:val="28"/>
          <w:lang w:val="en-US"/>
        </w:rPr>
        <w:t>Semua mengerumuni jiwamu seraya berteriak, "Ayah!"?  Pikiran-pikiran-baikmu melahirkan pemuda-pemuda dan  bidadari-bidadari;  Pikiran-pikiran-burukmu menelorkan setan-setan-besar.</w:t>
      </w:r>
    </w:p>
    <w:p>
      <w:pPr>
        <w:pStyle w:val="BookText"/>
        <w:bidi w:val="0"/>
        <w:jc w:val="both"/>
        <w:rPr/>
      </w:pPr>
      <w:r>
        <w:rPr>
          <w:rFonts w:eastAsia="Times New Roman" w:cs="Times New Roman" w:ascii="Times New Roman" w:hAnsi="Times New Roman"/>
          <w:color w:val="111111"/>
          <w:sz w:val="28"/>
          <w:szCs w:val="28"/>
          <w:lang w:val="en-US"/>
        </w:rPr>
        <w:t>Hingga, pada akhirnya, sang Maulana berbicara dengan  lugas kepada kita semua :</w:t>
      </w:r>
    </w:p>
    <w:p>
      <w:pPr>
        <w:pStyle w:val="BookText"/>
        <w:bidi w:val="0"/>
        <w:jc w:val="both"/>
        <w:rPr/>
      </w:pPr>
      <w:r>
        <w:rPr>
          <w:rFonts w:eastAsia="Times New Roman" w:cs="Times New Roman" w:ascii="Times New Roman" w:hAnsi="Times New Roman"/>
          <w:color w:val="111111"/>
          <w:sz w:val="28"/>
          <w:szCs w:val="28"/>
          <w:lang w:val="en-US"/>
        </w:rPr>
        <w:t>Engkau adalah pikiranmu, saudara, selebihnya adalah  tulang-tulang dan serat-serat.</w:t>
      </w:r>
    </w:p>
    <w:p>
      <w:pPr>
        <w:pStyle w:val="BookText"/>
        <w:bidi w:val="0"/>
        <w:jc w:val="both"/>
        <w:rPr/>
      </w:pPr>
      <w:r>
        <w:rPr>
          <w:rFonts w:eastAsia="Times New Roman" w:cs="Times New Roman" w:ascii="Times New Roman" w:hAnsi="Times New Roman"/>
          <w:color w:val="111111"/>
          <w:sz w:val="28"/>
          <w:szCs w:val="28"/>
          <w:lang w:val="en-US"/>
        </w:rPr>
        <w:t>Jika Kau berpikir tentang mawar-mawar, Engkau pun  sehamparan kebun mawar.</w:t>
      </w:r>
    </w:p>
    <w:p>
      <w:pPr>
        <w:pStyle w:val="BookText"/>
        <w:bidi w:val="0"/>
        <w:jc w:val="both"/>
        <w:rPr/>
      </w:pPr>
      <w:r>
        <w:rPr>
          <w:rFonts w:eastAsia="Times New Roman" w:cs="Times New Roman" w:ascii="Times New Roman" w:hAnsi="Times New Roman"/>
          <w:color w:val="111111"/>
          <w:sz w:val="28"/>
          <w:szCs w:val="28"/>
          <w:lang w:val="en-US"/>
        </w:rPr>
        <w:t>Jika Kau berpikir tentang dedurian, Engkaulah bahan bakar  bagi tungku itu.</w:t>
      </w:r>
    </w:p>
    <w:p>
      <w:pPr>
        <w:pStyle w:val="BookText"/>
        <w:bidi w:val="0"/>
        <w:jc w:val="both"/>
        <w:rPr/>
      </w:pPr>
      <w:r>
        <w:rPr>
          <w:rFonts w:eastAsia="Times New Roman" w:cs="Times New Roman" w:ascii="Times New Roman" w:hAnsi="Times New Roman"/>
          <w:color w:val="111111"/>
          <w:sz w:val="28"/>
          <w:szCs w:val="28"/>
          <w:lang w:val="en-US"/>
        </w:rPr>
        <w:t>Setelah itu semua, toh kematian tetaplah sebagai misteri.</w:t>
      </w:r>
    </w:p>
    <w:p>
      <w:pPr>
        <w:pStyle w:val="BookText"/>
        <w:bidi w:val="0"/>
        <w:jc w:val="both"/>
        <w:rPr/>
      </w:pPr>
      <w:r>
        <w:rPr>
          <w:rFonts w:eastAsia="Times New Roman" w:cs="Times New Roman" w:ascii="Times New Roman" w:hAnsi="Times New Roman"/>
          <w:color w:val="111111"/>
          <w:sz w:val="28"/>
          <w:szCs w:val="28"/>
          <w:lang w:val="en-US"/>
        </w:rPr>
        <w:t>Sebagai misteri, dia bisa menggairahkan, tapi juga menakutkan.</w:t>
      </w:r>
    </w:p>
    <w:p>
      <w:pPr>
        <w:pStyle w:val="BookText"/>
        <w:bidi w:val="0"/>
        <w:jc w:val="both"/>
        <w:rPr/>
      </w:pPr>
      <w:r>
        <w:rPr>
          <w:rFonts w:eastAsia="Times New Roman" w:cs="Times New Roman" w:ascii="Times New Roman" w:hAnsi="Times New Roman"/>
          <w:color w:val="111111"/>
          <w:sz w:val="28"/>
          <w:szCs w:val="28"/>
          <w:lang w:val="en-US"/>
        </w:rPr>
        <w:t>Kedua-duanya memerlukan penjelasan. Maka, meski tak ada  orang yang mati yang kembali, tak putus upaya orang untuk  berusaha menjelaskan misteri ini. Mulai paranormal, hingga  filsuf dan sufi. Buku ini adalah suatu kontribusi penting bagi  upaya untuk menyorotkan secercah sinar atas misteri ini.</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Kali ini dari sudut pandang filsafat. Meski Mulla Sadra-yang  pemikiran-pemikirannya menjadi pusat pembahasan dalam  buku ini – tak jarang disebut sebagai Sufi, gaya pembahasannya  memang lebih tepat disebut sebagai filsafat. Ia memang banyak  dipengaruhi Ibn Arabi, seorang 'arif terbesar dalam sejarah 'irfan  (tasawuf teoretis), tetapi amat mudah untuk melihat betapa  metode burhani (demonstratif-rasional) sangatlah sentral dalam  metodanya. Inilah, yakni dukungan argumentasi-argumentasi  rasional, memang sumbangan terbesar Mulla Sadra, di  samping tentu saja pengayaan-pengayaan atas pemikiran para </w:t>
      </w:r>
    </w:p>
    <w:p>
      <w:pPr>
        <w:pStyle w:val="BookText"/>
        <w:bidi w:val="0"/>
        <w:rPr/>
      </w:pPr>
      <w:r>
        <w:rPr>
          <w:rFonts w:eastAsia="Times New Roman" w:cs="Times New Roman" w:ascii="Times New Roman" w:hAnsi="Times New Roman"/>
          <w:color w:val="111111"/>
          <w:sz w:val="28"/>
          <w:szCs w:val="28"/>
          <w:lang w:val="en-US"/>
        </w:rPr>
        <w:t>pemikir Muslim sebelumnya, dan pengenalan topik-topik baru  dalam khazanah Filsafat Islam. Memang berat di banyak bagian,  tetapi tetap saja banyak hikmah baru yang bisa dipetik dari  pembahasan dalam buku ini, meski bagi pembaca yang awam  dengan filsafat Islam. Khususnya pada bab-bab terakhir tentang  kematian, yang pembahasannya bersifat lebih populer.</w:t>
      </w:r>
    </w:p>
    <w:p>
      <w:pPr>
        <w:pStyle w:val="BookText"/>
        <w:bidi w:val="0"/>
        <w:jc w:val="both"/>
        <w:rPr/>
      </w:pPr>
      <w:r>
        <w:rPr>
          <w:rFonts w:eastAsia="Times New Roman" w:cs="Times New Roman" w:ascii="Times New Roman" w:hAnsi="Times New Roman"/>
          <w:color w:val="111111"/>
          <w:sz w:val="28"/>
          <w:szCs w:val="28"/>
          <w:lang w:val="en-US"/>
        </w:rPr>
        <w:t>Kehadiran buku ini kiranya dapat pula mendorong para  penulis dan pemikir Islam Indonesia lainnya untuk melanjutkan  penelitian tentang hal ini. Bisa masih dari sudut filsafat, bisa  juga dari perspektif-perspektif lainnya. Agar manusia bisa lebih  memahami misteri ini dan berusaha memilih cara hidup yang  lebih waras sebagai persiapannya menuju kehidupan yang  lebih real dan abadi ini, yakni sebagaimana diajarkan langsung  oleh Sang Pencipta, dengan memperbanyak amal-amal saleh,  baik yang berupa landasan amal individual maupun amal-amal  sosial untuk memperbaiki lingkungan dan kehidupan sesama  manusia. Hingga akhirnya, kematian benar-benar terwujud  sebagai realisasi-puncak kerinduan primordial anak manusia  untuk kembali kepadanya dan agar sungguh-sungguh tertunai  panggilan-Nya kepada kita:</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Wahai jiwa yang tenang. Kembalilah kepada Rabb-mu dengan  ridha dan diridhai. Maka masuklah ke golongan hamba-hamba-  Ku. Maka masuklah ke surga-Ku."  Wal-Lahu a'lam.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 w:name="pg6430_60522"/>
      <w:bookmarkStart w:id="20" w:name="pg6430_60522"/>
      <w:bookmarkEnd w:id="20"/>
    </w:p>
    <w:p>
      <w:pPr>
        <w:pStyle w:val="Heading2"/>
        <w:numPr>
          <w:ilvl w:val="1"/>
          <w:numId w:val="1"/>
        </w:numPr>
        <w:bidi w:val="0"/>
        <w:jc w:val="left"/>
        <w:rPr/>
      </w:pPr>
      <w:bookmarkStart w:id="21" w:name="pg6430_60522"/>
      <w:bookmarkStart w:id="22" w:name="__RefHeading___Toc808156_653776707"/>
      <w:bookmarkStart w:id="23" w:name="_Toc7"/>
      <w:bookmarkEnd w:id="21"/>
      <w:bookmarkEnd w:id="22"/>
      <w:r>
        <w:rPr/>
        <w:t>Ucapan Terima Kasih</w:t>
      </w:r>
      <w:bookmarkEnd w:id="23"/>
    </w:p>
    <w:p>
      <w:pPr>
        <w:pStyle w:val="BookText"/>
        <w:bidi w:val="0"/>
        <w:jc w:val="both"/>
        <w:rPr/>
      </w:pPr>
      <w:r>
        <w:rPr>
          <w:rFonts w:eastAsia="Times New Roman" w:cs="Times New Roman" w:ascii="Times New Roman" w:hAnsi="Times New Roman"/>
          <w:color w:val="111111"/>
          <w:sz w:val="28"/>
          <w:szCs w:val="28"/>
          <w:lang w:val="en-US"/>
        </w:rPr>
        <w:t>maha suci bagi Dia yang tidak ada tempat  bersandar, kecuali perkataan-Nya, tidak ada yang  mengkhawatirkan, kecuali keadilan-Nya, dan tidak ada tempat  bergantung, kecuali pada tali-Nya.</w:t>
      </w:r>
    </w:p>
    <w:p>
      <w:pPr>
        <w:pStyle w:val="BookText"/>
        <w:bidi w:val="0"/>
        <w:jc w:val="both"/>
        <w:rPr/>
      </w:pPr>
      <w:r>
        <w:rPr>
          <w:rFonts w:eastAsia="Times New Roman" w:cs="Times New Roman" w:ascii="Times New Roman" w:hAnsi="Times New Roman"/>
          <w:color w:val="111111"/>
          <w:sz w:val="28"/>
          <w:szCs w:val="28"/>
          <w:lang w:val="en-US"/>
        </w:rPr>
        <w:t>Yang ditulis di dalam buku ini merupakan bagian dari upaya  “membangun jembatan" untuk memperkenalkan pemikiran  filsafat Hikmah al-Muta'aliyyah yang dikembangkan Mulla  Sadra. Awalnya, buku ini adalah disertasi yang saya tulis untuk  program doktoral dalam bidang Pemikiran Islam di Universitas  Islam Syarif Hidayatullah, Jakarta, dan telah dipertahankan  pada, Jumat, 18 April2008.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Kegilaan" saya pada pemikiran Mulla Sadra dimulai  ketika saya mengenal filsafat Islam. Pada pemikiran Mulla  Sadra-lah saya menemukan keutuhan bangunan pemikiran  Islam yang tidak semata menawarkan argumentasi rasional,  tetapi tidak mengindahkan doktrin agama dan spiritualitas,  seperti yang terjadi pada Madrasah Filsafat Islam sebelumnya.</w:t>
      </w:r>
    </w:p>
    <w:p>
      <w:pPr>
        <w:pStyle w:val="BookText"/>
        <w:bidi w:val="0"/>
        <w:jc w:val="both"/>
        <w:rPr/>
      </w:pPr>
      <w:r>
        <w:rPr>
          <w:rFonts w:eastAsia="Times New Roman" w:cs="Times New Roman" w:ascii="Times New Roman" w:hAnsi="Times New Roman"/>
          <w:color w:val="111111"/>
          <w:sz w:val="28"/>
          <w:szCs w:val="28"/>
          <w:lang w:val="en-US"/>
        </w:rPr>
        <w:t>Di tangan Mulla Sadra, harmonisasi di antara seluruh pemikiran  Islam terjadi. Dapat dikatakan bahwa Hikmah Muta'aliyyah  adalah filsafat yang menjelaskan secara argumentasi rasional  doktrin-doktrin agama, sekaligus mengantarkan pengkajinya  pada kesadaran spiritualitas.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sini, saya menulis upaya yang dilakukan Mulla Sadra  untuk menjelaskan gagasan Eskatologi yang sebelumnya menjadi </w:t>
      </w:r>
    </w:p>
    <w:p>
      <w:pPr>
        <w:pStyle w:val="BookText"/>
        <w:bidi w:val="0"/>
        <w:rPr/>
      </w:pPr>
      <w:r>
        <w:rPr>
          <w:rFonts w:eastAsia="Times New Roman" w:cs="Times New Roman" w:ascii="Times New Roman" w:hAnsi="Times New Roman"/>
          <w:color w:val="111111"/>
          <w:sz w:val="28"/>
          <w:szCs w:val="28"/>
          <w:lang w:val="en-US"/>
        </w:rPr>
        <w:t>jurang yang sangat dalam di antara filsuf dan mutakallim.</w:t>
      </w:r>
    </w:p>
    <w:p>
      <w:pPr>
        <w:pStyle w:val="BookText"/>
        <w:bidi w:val="0"/>
        <w:jc w:val="both"/>
        <w:rPr/>
      </w:pPr>
      <w:r>
        <w:rPr>
          <w:rFonts w:eastAsia="Times New Roman" w:cs="Times New Roman" w:ascii="Times New Roman" w:hAnsi="Times New Roman"/>
          <w:color w:val="111111"/>
          <w:sz w:val="28"/>
          <w:szCs w:val="28"/>
          <w:lang w:val="en-US"/>
        </w:rPr>
        <w:t>Menariknya bagi saya, Mulla Sadra menggunakan keseluruhan  prinsip utama filsafatnya yang sebelumnya ia jelaskan panjang  lebar pada bab-bab awal dari kitabnya, Hikmah Muta’aliyah.</w:t>
      </w:r>
    </w:p>
    <w:p>
      <w:pPr>
        <w:pStyle w:val="BookText"/>
        <w:bidi w:val="0"/>
        <w:jc w:val="both"/>
        <w:rPr/>
      </w:pPr>
      <w:r>
        <w:rPr>
          <w:rFonts w:eastAsia="Times New Roman" w:cs="Times New Roman" w:ascii="Times New Roman" w:hAnsi="Times New Roman"/>
          <w:color w:val="111111"/>
          <w:sz w:val="28"/>
          <w:szCs w:val="28"/>
          <w:lang w:val="en-US"/>
        </w:rPr>
        <w:t>Namun, saya menyaksikan bahwa keseluruhan prinsip itu  digunakan Mulla Sadra untuk memberikan bukti-bukti kokoh  bagi gagasan Eskatologisnya, seakan ia hendak menyampaikan  pesan bahwa filsafatnya dia bangun untuk membicarakan  doktrin eskatologi.</w:t>
      </w:r>
    </w:p>
    <w:p>
      <w:pPr>
        <w:pStyle w:val="BookText"/>
        <w:bidi w:val="0"/>
        <w:jc w:val="both"/>
        <w:rPr/>
      </w:pPr>
      <w:r>
        <w:rPr>
          <w:rFonts w:eastAsia="Times New Roman" w:cs="Times New Roman" w:ascii="Times New Roman" w:hAnsi="Times New Roman"/>
          <w:color w:val="111111"/>
          <w:sz w:val="28"/>
          <w:szCs w:val="28"/>
          <w:lang w:val="en-US"/>
        </w:rPr>
        <w:t>Atas hasil ini, saya ingin berterima kasih untuk  kedua orang tua saya, Amir Sopian dan Zuhroh H.S. yang  dengan tetes-tetes keringat mereka telah menyepuh diri dan  meretaskan jalan kehidupan yang penuh kebaikan bagi saya.</w:t>
      </w:r>
    </w:p>
    <w:p>
      <w:pPr>
        <w:pStyle w:val="BookText"/>
        <w:bidi w:val="0"/>
        <w:jc w:val="both"/>
        <w:rPr/>
      </w:pPr>
      <w:r>
        <w:rPr>
          <w:rFonts w:eastAsia="Times New Roman" w:cs="Times New Roman" w:ascii="Times New Roman" w:hAnsi="Times New Roman"/>
          <w:color w:val="111111"/>
          <w:sz w:val="28"/>
          <w:szCs w:val="28"/>
          <w:lang w:val="en-US"/>
        </w:rPr>
        <w:t>Istriku tercinta, Renny Ariany, yang dengan cinta dan dambanya  memberikan ketegaran, sekalipun hempasan ombak dan badai  kehidupan menerpa silih berganti. Dengan doanya, ia melukis  di kanvas kesulitan dengan warna kebahagiaan. Dialah bidadari  yang Allah titipkan di sampingku. Putri-putri jelitaku, Nargis  Fathimah Behesyti, Nabila Syirin Thowusyi, dan Najwa Fersteh  Zahra yang dengan caranya selalu mengekspresikan cinta  mereka untukku dan menghiasi hidupku dengan kebahagiaan.</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Prof. Dr. Mulyadhi Kartanegara dan Dr. Haidar Bagir selaku  supervisor yang saran-saran mereka mengantarkan disertasi  ini mendapatkan nilai tertinggi. Prof. Azyumardi Azra, Rektor  UIN Syarif Hidayatullah yang memotivasi agar disertasi ini  segera diterbitkan. Prof. Kautsar Azhari Noer yang masukan-  masukkannya cukup kritis dan Dr. Akhyar Yusuf Lubis yang  sangat bersemangat memberikan bimbingan, sekalipun beliau  adalah penguji. </w:t>
      </w:r>
    </w:p>
    <w:p>
      <w:pPr>
        <w:pStyle w:val="BookText"/>
        <w:bidi w:val="0"/>
        <w:rPr/>
      </w:pPr>
      <w:r>
        <w:rPr>
          <w:rFonts w:eastAsia="Times New Roman" w:cs="Times New Roman" w:ascii="Times New Roman" w:hAnsi="Times New Roman"/>
          <w:color w:val="111111"/>
          <w:sz w:val="28"/>
          <w:szCs w:val="28"/>
          <w:lang w:val="en-US"/>
        </w:rPr>
        <w:t>Saya berhutang banyak hal pada Mr. Hakeem Ilahi  yang telah memfasilitasi saya untuk melakukan penelitian  di Iran bagi tulisan ini. Mr. Kyosamsaki, Phd. yang banyak  memberikan bantuan informasi dan interpretasi bagi gagasan-  gagasan Mulla Sadra. Mr. Sayyed Alawi, Ayatullah Jawadi Amoli,  Ayatullah Muhammad Khamne'l, dan Jami'ah Al-Mustafa yang  memberikan fasilitas akomodasi.</w:t>
      </w:r>
    </w:p>
    <w:p>
      <w:pPr>
        <w:pStyle w:val="BookText"/>
        <w:bidi w:val="0"/>
        <w:jc w:val="both"/>
        <w:rPr/>
      </w:pPr>
      <w:r>
        <w:rPr>
          <w:rFonts w:eastAsia="Times New Roman" w:cs="Times New Roman" w:ascii="Times New Roman" w:hAnsi="Times New Roman"/>
          <w:color w:val="111111"/>
          <w:sz w:val="28"/>
          <w:szCs w:val="28"/>
          <w:lang w:val="en-US"/>
        </w:rPr>
        <w:t>Saya juga ingin memberikan apresiasi dan cinta saya  untuk Bpk. H. Sutaryo dan Ibu Hj. In Sutaryo yang menjadi  sosok orang tua bagi saya dan memberikan dorongan serta  bantuan yang luar biasa.</w:t>
      </w:r>
    </w:p>
    <w:p>
      <w:pPr>
        <w:pStyle w:val="BookText"/>
        <w:bidi w:val="0"/>
        <w:jc w:val="both"/>
        <w:rPr/>
      </w:pPr>
      <w:r>
        <w:rPr>
          <w:rFonts w:eastAsia="Times New Roman" w:cs="Times New Roman" w:ascii="Times New Roman" w:hAnsi="Times New Roman"/>
          <w:color w:val="111111"/>
          <w:sz w:val="28"/>
          <w:szCs w:val="28"/>
          <w:lang w:val="en-US"/>
        </w:rPr>
        <w:t>Akhirnya, saya menyampaikan kebahagiaan dan apresiasi  saya pada Sadra Press dan juga Prof. Dr. Seyyed Ahmad Fazeli  yang telah memfasilitasi penerbitan disertasi ini.</w:t>
      </w:r>
    </w:p>
    <w:p>
      <w:pPr>
        <w:pStyle w:val="BookText"/>
        <w:bidi w:val="0"/>
        <w:jc w:val="both"/>
        <w:rPr/>
      </w:pPr>
      <w:r>
        <w:rPr>
          <w:rFonts w:eastAsia="Times New Roman" w:cs="Times New Roman" w:ascii="Times New Roman" w:hAnsi="Times New Roman"/>
          <w:color w:val="111111"/>
          <w:sz w:val="28"/>
          <w:szCs w:val="28"/>
          <w:lang w:val="en-US"/>
        </w:rPr>
        <w:t>Untuk semua nama yang telah saya sebutkan, semoga  Allah meninggikan derajat mereka di dunia dan akhirat dan  menjadikan karya ini sebagai bagian amal saleh mereka.</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Puri Bali, 1 Muharram 1433 H/26 November 2011  Kholid Al-Walid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 w:name="pg6430_60526"/>
      <w:bookmarkStart w:id="25" w:name="pg6430_60526"/>
      <w:bookmarkEnd w:id="25"/>
    </w:p>
    <w:p>
      <w:pPr>
        <w:pStyle w:val="Heading2"/>
        <w:numPr>
          <w:ilvl w:val="1"/>
          <w:numId w:val="1"/>
        </w:numPr>
        <w:bidi w:val="0"/>
        <w:jc w:val="left"/>
        <w:rPr/>
      </w:pPr>
      <w:bookmarkStart w:id="26" w:name="pg6430_60526"/>
      <w:bookmarkStart w:id="27" w:name="__RefHeading___Toc808158_653776707"/>
      <w:bookmarkStart w:id="28" w:name="_Toc8"/>
      <w:bookmarkEnd w:id="26"/>
      <w:bookmarkEnd w:id="27"/>
      <w:r>
        <w:rPr/>
        <w:t>Pendahuluan</w:t>
      </w:r>
      <w:bookmarkEnd w:id="28"/>
    </w:p>
    <w:p>
      <w:pPr>
        <w:pStyle w:val="BookText"/>
        <w:bidi w:val="0"/>
        <w:jc w:val="both"/>
        <w:rPr/>
      </w:pPr>
      <w:r>
        <w:rPr>
          <w:rFonts w:eastAsia="Times New Roman" w:cs="Times New Roman" w:ascii="Times New Roman" w:hAnsi="Times New Roman"/>
          <w:color w:val="111111"/>
          <w:sz w:val="28"/>
          <w:szCs w:val="28"/>
          <w:lang w:val="en-US"/>
        </w:rPr>
        <w:t>kekeliruan utama pandangan pemikir Muslim  modern yang beranggapan bahwa kajian Eskatologi merupakan  kajian yang telah baku dan berakhir di tangan tokoh besar  Muhammad Al-Gazhali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Penerbit Islamika, 2004), hlm. 13.</w:t>
      </w:r>
    </w:p>
    <w:p>
      <w:pPr>
        <w:pStyle w:val="BookText"/>
        <w:bidi w:val="0"/>
        <w:jc w:val="both"/>
        <w:rPr/>
      </w:pPr>
      <w:r>
        <w:rPr>
          <w:rFonts w:eastAsia="Times New Roman" w:cs="Times New Roman" w:ascii="Times New Roman" w:hAnsi="Times New Roman"/>
          <w:color w:val="111111"/>
          <w:sz w:val="28"/>
          <w:szCs w:val="28"/>
          <w:lang w:val="en-US"/>
        </w:rPr>
        <w:t>(450-505 H) adalah kekeliruan yang  telah memberikan efek hilangnya kajian serius di dunia modern  tentang metafisika akhirat.</w:t>
      </w:r>
    </w:p>
    <w:p>
      <w:pPr>
        <w:pStyle w:val="BookText"/>
        <w:bidi w:val="0"/>
        <w:jc w:val="both"/>
        <w:rPr/>
      </w:pPr>
      <w:r>
        <w:rPr>
          <w:rFonts w:eastAsia="Times New Roman" w:cs="Times New Roman" w:ascii="Times New Roman" w:hAnsi="Times New Roman"/>
          <w:color w:val="111111"/>
          <w:sz w:val="28"/>
          <w:szCs w:val="28"/>
          <w:lang w:val="en-US"/>
        </w:rPr>
        <w:t>Secara umum, pada abad pertengahan, kajian Eskatologi  terintegrasi dalam filsafat sebagai bagian dari upaya para  filsuf Muslim untuk membuktikan keberlangsungan eksistensi  jiwa pascakematian dan upaya pembuktian filosofis tentang  keberadaan kehidupan akhirat. Sumbangan besar yang diberikan  para filsuf Muslim tersebut tidak hanya terbatas pada wilayah  keyakinan keberagamaan, tetapi juga pada pengetahuan yang  lebih mendalam berkaitan dengan substansi jiwa. Ibn Sina  (370-428 H) yang merupakan tokoh pendiri Madrasah Filsafat  Peripatetik (Masyāiyyah) maupun Syaikh Isyraq, tokoh utama  pendiri Filsafat Iluminasi (Isyraqiyyah), telah mencurahkan  perhatian serius dalam bidang ini sehingga melahirkan  pandangan-pandangan mendalam berkaitan dengan keadaan  jiwa pascakematian.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Anggapan akan kebakuan kajian Eskatologi dan  memasukkan Eskatologi hanya pada wilayah sempit teologi  adalah sebuah reduksi terhadap salah satu di antara warisan  ilmiah spekulatif. Sedikitnya, sumbangan pemikir Muslim </w:t>
      </w:r>
    </w:p>
    <w:p>
      <w:pPr>
        <w:pStyle w:val="BookText"/>
        <w:bidi w:val="0"/>
        <w:rPr/>
      </w:pPr>
      <w:r>
        <w:rPr>
          <w:rFonts w:eastAsia="Times New Roman" w:cs="Times New Roman" w:ascii="Times New Roman" w:hAnsi="Times New Roman"/>
          <w:color w:val="111111"/>
          <w:sz w:val="28"/>
          <w:szCs w:val="28"/>
          <w:lang w:val="en-US"/>
        </w:rPr>
        <w:t>modern terhadap psikologi modern yang cenderung materialistis  adalah karena rendahnya kajian ilmiah di dunia Islam berkaitan  dengan persoalan jiwa dan keabadian jiwa pascakehancuran  raga.</w:t>
      </w:r>
    </w:p>
    <w:p>
      <w:pPr>
        <w:pStyle w:val="BookText"/>
        <w:bidi w:val="0"/>
        <w:jc w:val="both"/>
        <w:rPr/>
      </w:pPr>
      <w:r>
        <w:rPr>
          <w:rFonts w:eastAsia="Times New Roman" w:cs="Times New Roman" w:ascii="Times New Roman" w:hAnsi="Times New Roman"/>
          <w:color w:val="111111"/>
          <w:sz w:val="28"/>
          <w:szCs w:val="28"/>
          <w:lang w:val="en-US"/>
        </w:rPr>
        <w:t>Di dunia modern, menurut Mulyadhi Kartanegara, jiwa  masih berada hanya pada tataran neurologis, bahkan Mulyadhi  memberikan kritik dengan menyebut psikologi modern sebagai  “brain based psychology" sehingga sekiranya otak manusia  hancur, tidak akan ada bagian yang selamat (survive) dari  kehidupan manusia tersebut.</w:t>
      </w:r>
      <w:r>
        <w:rPr>
          <w:rStyle w:val="FootnoteAnchor"/>
        </w:rPr>
        <w:footnoteReference w:id="3"/>
      </w:r>
      <w:r>
        <w:rPr>
          <w:rFonts w:eastAsia="Times New Roman" w:cs="Times New Roman" w:ascii="Times New Roman" w:hAnsi="Times New Roman"/>
          <w:color w:val="111111"/>
          <w:sz w:val="28"/>
          <w:szCs w:val="28"/>
          <w:lang w:val="en-US"/>
        </w:rPr>
        <w:t xml:space="preserve"> Pandangan psikologi modern yang seperti ini bertentangan  dengan yang ditawarkan agama bagi kehidupan manusia.</w:t>
      </w:r>
    </w:p>
    <w:p>
      <w:pPr>
        <w:pStyle w:val="BookText"/>
        <w:bidi w:val="0"/>
        <w:jc w:val="both"/>
        <w:rPr/>
      </w:pPr>
      <w:r>
        <w:rPr>
          <w:rFonts w:eastAsia="Times New Roman" w:cs="Times New Roman" w:ascii="Times New Roman" w:hAnsi="Times New Roman"/>
          <w:color w:val="111111"/>
          <w:sz w:val="28"/>
          <w:szCs w:val="28"/>
          <w:lang w:val="en-US"/>
        </w:rPr>
        <w:t>Agama tidak hanya sebuah rangkaian peribadatan, tetapi juga  pandangan dan keyakinan bahwa segala sesuatu yang ada  dalam bentuk material juga memiliki dimensi ruhaniah, bahkan,  inilah yang paling dominan dan hakiki mempengaruhi realitas  material.</w:t>
      </w:r>
    </w:p>
    <w:p>
      <w:pPr>
        <w:pStyle w:val="BookText"/>
        <w:bidi w:val="0"/>
        <w:jc w:val="both"/>
        <w:rPr/>
      </w:pPr>
      <w:r>
        <w:rPr>
          <w:rFonts w:eastAsia="Times New Roman" w:cs="Times New Roman" w:ascii="Times New Roman" w:hAnsi="Times New Roman"/>
          <w:color w:val="111111"/>
          <w:sz w:val="28"/>
          <w:szCs w:val="28"/>
          <w:lang w:val="en-US"/>
        </w:rPr>
        <w:t>Agama memberikan keyakinan kepada manusia bahwa  keselamatan kehidupan manusia, dalam tahap jangka panjang,  hanya terjadi jika manusia memiliki kesadaran terhadap  kehidupan ruhaninya dan mengolah alam semesta dalam  upaya meningkatkan kualitas ruhaniah, bukan mengeksploitasi  semesta hanya untuk kepentingan material sesaat.</w:t>
      </w:r>
    </w:p>
    <w:p>
      <w:pPr>
        <w:pStyle w:val="BookText"/>
        <w:bidi w:val="0"/>
        <w:jc w:val="both"/>
        <w:rPr/>
      </w:pPr>
      <w:r>
        <w:rPr>
          <w:rFonts w:eastAsia="Times New Roman" w:cs="Times New Roman" w:ascii="Times New Roman" w:hAnsi="Times New Roman"/>
          <w:color w:val="111111"/>
          <w:sz w:val="28"/>
          <w:szCs w:val="28"/>
          <w:lang w:val="en-US"/>
        </w:rPr>
        <w:t>Kesadaran seperti ini hanya akan dapat diapresiasi,  sekiranya kajian Eskatologi yang jauh lebih luas dari sekadar  pemaknaan literal</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Oxford University Press, 2002) hlm. 62. Selanjutnya disebut  Jane Idelman, The Islamic Understanding.</w:t>
      </w:r>
    </w:p>
    <w:p>
      <w:pPr>
        <w:pStyle w:val="BookText"/>
        <w:bidi w:val="0"/>
        <w:jc w:val="both"/>
        <w:rPr/>
      </w:pPr>
      <w:r>
        <w:rPr>
          <w:rFonts w:eastAsia="Times New Roman" w:cs="Times New Roman" w:ascii="Times New Roman" w:hAnsi="Times New Roman"/>
          <w:color w:val="111111"/>
          <w:sz w:val="28"/>
          <w:szCs w:val="28"/>
          <w:lang w:val="en-US"/>
        </w:rPr>
        <w:t>terhadap doktrin-doktrin agama dapat  dihidupkan kembali sehingga dapat memberikan sumbangan  mendasar pada pandangan psikologi modern.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Eskatologi berasal dari kata Escaton yang secara harfiah </w:t>
      </w:r>
    </w:p>
    <w:p>
      <w:pPr>
        <w:pStyle w:val="BookText"/>
        <w:bidi w:val="0"/>
        <w:rPr/>
      </w:pPr>
      <w:r>
        <w:rPr>
          <w:rFonts w:eastAsia="Times New Roman" w:cs="Times New Roman" w:ascii="Times New Roman" w:hAnsi="Times New Roman"/>
          <w:color w:val="111111"/>
          <w:sz w:val="28"/>
          <w:szCs w:val="28"/>
          <w:lang w:val="en-US"/>
        </w:rPr>
        <w:t>dimaknai 'doktrin tentang akhir', sebuah doktrin yang membahas  keyakinan yang berhubungan dengan kejadian-kejadian akhir  hidup manusia, seperti kematian, hari kiamat, berakhirnya  dunia, kebangkitan kembali, pangadilan akhir, surga-neraka,  dan lain sebagainya.</w:t>
      </w:r>
      <w:r>
        <w:rPr>
          <w:rStyle w:val="FootnoteAnchor"/>
        </w:rPr>
        <w:footnoteReference w:id="5"/>
      </w:r>
      <w:r>
        <w:rPr>
          <w:rFonts w:eastAsia="Times New Roman" w:cs="Times New Roman" w:ascii="Times New Roman" w:hAnsi="Times New Roman"/>
          <w:color w:val="111111"/>
          <w:sz w:val="28"/>
          <w:szCs w:val="28"/>
          <w:lang w:val="en-US"/>
        </w:rPr>
        <w:t>Karenanya, di dalam membicarakan  persoalan Eskatologi, persoalan mendasar yang juga menjadi  pembicaraan adalah keberadaan Ruh atau Jiwa pada diri  manusia dan bagaimana Ruh atau Jiwa dapat terus ada setelah  kematian terjadi. Hal ini merupakan prinsip pada semua agama  yang sama sekali tidak disentuh oleh psikologi dunia modern.</w:t>
      </w:r>
    </w:p>
    <w:p>
      <w:pPr>
        <w:pStyle w:val="BookText"/>
        <w:bidi w:val="0"/>
        <w:jc w:val="both"/>
        <w:rPr/>
      </w:pPr>
      <w:r>
        <w:rPr>
          <w:rFonts w:eastAsia="Times New Roman" w:cs="Times New Roman" w:ascii="Times New Roman" w:hAnsi="Times New Roman"/>
          <w:color w:val="111111"/>
          <w:sz w:val="28"/>
          <w:szCs w:val="28"/>
          <w:lang w:val="en-US"/>
        </w:rPr>
        <w:t>Dalam istilah Islam, Eskatologi dikenal dengan sebutan  Ma'ād. Secara khusus, Al-Taftazani memaknai Ma'ād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Merupakan sumber atau tempat, dan hakikat  kebangkitan adalah kembalinya sesuatu kepada apa yang ada  sebelumnya dan yang dimaksud di sini adalah kembalinya  keberadaan setelah kehancuran, atau kembalinya bagian-  bagian tubuh kepada penyatuan setelah keterpisahan,  kepada kehidupan setelah kematian, ruh kepada tubuh  setelah terpisah, sedangkan kebangkitan ruhani murni,  sebagaimana pandangan para filsuf, bermakna kembalinya  ruh kepada asalnya yang nonmaterial dari keterikatan  dengan tubuh material dan penggunaan alat-alat fisik atau  keterlepasan terhadap kegelapan yang menyelimutinya.</w:t>
      </w:r>
      <w:r>
        <w:rPr>
          <w:rStyle w:val="FootnoteAnchor"/>
        </w:rPr>
        <w:footnoteReference w:id="6"/>
      </w:r>
    </w:p>
    <w:p>
      <w:pPr>
        <w:pStyle w:val="BookText"/>
        <w:bidi w:val="0"/>
        <w:jc w:val="both"/>
        <w:rPr/>
      </w:pPr>
      <w:r>
        <w:rPr>
          <w:rFonts w:ascii="IRNazanin" w:hAnsi="IRNazanin" w:eastAsia="IRNazanin"/>
          <w:color w:val="111111"/>
          <w:sz w:val="28"/>
          <w:sz w:val="28"/>
          <w:szCs w:val="28"/>
          <w:rtl w:val="true"/>
          <w:lang w:bidi="fa-IR"/>
        </w:rPr>
        <w:t>وهو مصدر أو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العود تو جه ا لشی ء إلی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ههنا الرجوع إلی الوجود بعد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رجوع أجزاء البدن إلی الاجتماع بعد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الحیاة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والأرواح إلی الأبدان بعد المفارقة وأما المعاد علی ما یراه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رجوع الأرواح إلی ماکانت الروحانی المحض علیه من التجرد عن علاقة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الألات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أوالتبرؤ عما ابتلیت به من الظلمات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Alquran, sebagai sumber utama Islam, menegaskan      prinsip keyakinan ini sebagai berikut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"Wahai manusia, jika kamu merasa ragu tentang  kebangkitan, ketahuilah bahwa sesungguhnya Kami  menciptakan kamu dari  tanah, kemudian dari setetes mani,  kemudian dari segumpal darah, kemudian dari segumpal  daging yang sempurna, dan yang belum sempurna  bentuknya, agar Kami menjelaskan hal itu pada kamu. </w:t>
      </w:r>
    </w:p>
    <w:p>
      <w:pPr>
        <w:pStyle w:val="BookText"/>
        <w:bidi w:val="0"/>
        <w:rPr/>
      </w:pPr>
      <w:r>
        <w:rPr>
          <w:rFonts w:eastAsia="Times New Roman" w:cs="Times New Roman" w:ascii="Times New Roman" w:hAnsi="Times New Roman"/>
          <w:color w:val="111111"/>
          <w:sz w:val="28"/>
          <w:szCs w:val="28"/>
          <w:lang w:val="en-US"/>
        </w:rPr>
        <w:t>Kami jadikan dalam rahim yang Kami inginkan dalam  kurun waktu yang sudah ditentukan, lantas Kami keluarkan  kamu sebagai bayi, kemudian (menopang kamu) sampai  kamu mencapai kedewasaan. Dan di antara kamu ada yang  diwafatkan dan ada pula yang diberi umur panjang sampai  pikun agar ia tidak lagi mengetahui apa yang diketahuinya  dulu. Dan kamu lihat bumi ini kerontang, kemudian tatkala  Kami turunkan air di atasnya, maka hiduplah bumi ini dan  tumbuh suburlah beraneka tumbuhan yang indah. Yang  demikian itu disebabkan Allah Maha Benar (Al-Haqq).</w:t>
      </w:r>
    </w:p>
    <w:p>
      <w:pPr>
        <w:pStyle w:val="BookText"/>
        <w:bidi w:val="0"/>
        <w:jc w:val="both"/>
        <w:rPr/>
      </w:pPr>
      <w:r>
        <w:rPr>
          <w:rFonts w:eastAsia="Times New Roman" w:cs="Times New Roman" w:ascii="Times New Roman" w:hAnsi="Times New Roman"/>
          <w:color w:val="111111"/>
          <w:sz w:val="28"/>
          <w:szCs w:val="28"/>
          <w:lang w:val="en-US"/>
        </w:rPr>
        <w:t>Dialah yang menghidupkan segala yang mati. Dialah yang  Mahakuasa atas segala sesuatu. Sesungguhnya, hari kiamat  pasti datang-tak ada keraguan padanya-ketika Tuhan akan  membangkitkan semua orang di dalam kubur."</w:t>
      </w:r>
      <w:r>
        <w:rPr>
          <w:rStyle w:val="FootnoteAnchor"/>
        </w:rPr>
        <w:footnoteReference w:id="7"/>
      </w:r>
    </w:p>
    <w:p>
      <w:pPr>
        <w:pStyle w:val="BookText"/>
        <w:bidi w:val="0"/>
        <w:jc w:val="both"/>
        <w:rPr/>
      </w:pPr>
      <w:r>
        <w:rPr>
          <w:rFonts w:ascii="IRNazanin" w:hAnsi="IRNazanin" w:eastAsia="IRNazanin"/>
          <w:color w:val="111111"/>
          <w:sz w:val="28"/>
          <w:sz w:val="28"/>
          <w:szCs w:val="28"/>
          <w:rtl w:val="true"/>
          <w:lang w:bidi="fa-IR"/>
        </w:rPr>
        <w:t>أیها الناس إن ثم فی ریب من البعث فإنا خلقکم من تراب ثم من نطفة ثم من علقة فی الأرحام ما شاء إلی أجل مسی ثم ثم من ممتنة خلقة وغیر حلقة إن لکم و خرم طفلا ثم لتبلغوا أشدکم وینم من توینی وبینکم من یرد إلی أرذل  هایده فإذا أنزلنا علیها الماء ا وتی الأرض لا یعلم من بعد علم العمر اهتت وت وأنبتت مین محل وچ بهیج و ذلک بأن الله هو الحی وأنه یحمی الموی الله یبعث من فی وأن الساعة ایه لا ریب فیها وأن وأنه علی کل شیء قدیر التمور و</w:t>
      </w:r>
    </w:p>
    <w:p>
      <w:pPr>
        <w:pStyle w:val="BookText"/>
        <w:bidi w:val="0"/>
        <w:jc w:val="both"/>
        <w:rPr/>
      </w:pPr>
      <w:r>
        <w:rPr>
          <w:rFonts w:eastAsia="Times New Roman" w:cs="Times New Roman" w:ascii="Times New Roman" w:hAnsi="Times New Roman"/>
          <w:color w:val="111111"/>
          <w:sz w:val="28"/>
          <w:szCs w:val="28"/>
          <w:lang w:val="en-US"/>
        </w:rPr>
        <w:t>Prinsip eskatologi  menjadi satu bagian dari  prinsip keimanan dalam  Islam. Tanpa keyakinan    tentang prinsip ini, maka  batallah keimanan seseorang  tentang prinsip ini,  maka batallah keimanan  demikian, prinsip ini menjadi  seseorang terhadap    Islam. Namun demikian,  prinsip ini menjadi sebuah  dasar keberadaannya, tetapi  diskursus yang sangat    panjang di dalam Islam,  bukan berkaitan dengan    dasar keberadaannya,    tetapi berkaitan dengan  pembuktian filosofis  terhadap pandangan eskatologi ini serta bagaimana bentuk  kehidupan yang akan muncul pascakematian tersebut.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Diskursus tentang pandangan ini terjadi, terutama pada </w:t>
      </w:r>
    </w:p>
    <w:p>
      <w:pPr>
        <w:pStyle w:val="BookText"/>
        <w:bidi w:val="0"/>
        <w:rPr/>
      </w:pPr>
      <w:r>
        <w:rPr>
          <w:rFonts w:eastAsia="Times New Roman" w:cs="Times New Roman" w:ascii="Times New Roman" w:hAnsi="Times New Roman"/>
          <w:color w:val="111111"/>
          <w:sz w:val="28"/>
          <w:szCs w:val="28"/>
          <w:lang w:val="en-US"/>
        </w:rPr>
        <w:t>dua wilayah kajian ilmiah Islam, Ilmu Kalam dan Filsafat.</w:t>
      </w:r>
      <w:r>
        <w:rPr>
          <w:rStyle w:val="FootnoteAnchor"/>
        </w:rPr>
        <w:footnoteReference w:id="8"/>
      </w:r>
      <w:r>
        <w:rPr>
          <w:rFonts w:eastAsia="Times New Roman" w:cs="Times New Roman" w:ascii="Times New Roman" w:hAnsi="Times New Roman"/>
          <w:color w:val="111111"/>
          <w:sz w:val="28"/>
          <w:szCs w:val="28"/>
          <w:lang w:val="en-US"/>
        </w:rPr>
        <w:t xml:space="preserve"> Dalam Ilmu Kalam, pembicaraan pada umumnya berkisar pada  argumentasi tentang kebangkitan, kematian, barzakh, surga-  neraka, kebahagiaan dan penderitaan, keabadian di akhirat,  kebangkitan jasmani dan syafaat, sedangkan pada filsafat,  pembicaraan tentang kebangkitan meliputi ruang yang lebih  luas. Bukan hanya dalam persoalan yang telah disebutkan di  atas, tetapi juga meliputi masalat ruh, jiwa dan raga, bentuk  keterikatan antara ruh, jiwa dan raga, kemustahilan kebangkitan  setelah ketiadaan (l'ādah al-Ma'dūm) dan sebagainya.</w:t>
      </w:r>
    </w:p>
    <w:p>
      <w:pPr>
        <w:pStyle w:val="BookText"/>
        <w:bidi w:val="0"/>
        <w:jc w:val="both"/>
        <w:rPr/>
      </w:pPr>
      <w:r>
        <w:rPr>
          <w:rFonts w:eastAsia="Times New Roman" w:cs="Times New Roman" w:ascii="Times New Roman" w:hAnsi="Times New Roman"/>
          <w:color w:val="111111"/>
          <w:sz w:val="28"/>
          <w:szCs w:val="28"/>
          <w:lang w:val="en-US"/>
        </w:rPr>
        <w:t>Perbedaan mendasar antara kedua khazanah ilmiah di atas  bukan pada topik yang dibicarakan tetapi lebih pada metodologi  yang melandasi bidang masing-masing. Kalam adalah sebuah  cabang ilmu yang berusaha membuktikan kebenaran doktrin-  doktrin agama dengan menggunakan dasar nash dan sebagian  argumentasi rasional yang didasarkan pada logika dan dialektika  (jadal), sedangkan Filsafat merupakan usaha untuk mengungkap  kebenaran dengan menjadikan rasio sebagai pijakan utama  dalam pembuktian kebenaran.</w:t>
      </w:r>
    </w:p>
    <w:p>
      <w:pPr>
        <w:pStyle w:val="BookText"/>
        <w:bidi w:val="0"/>
        <w:jc w:val="both"/>
        <w:rPr/>
      </w:pPr>
      <w:r>
        <w:rPr>
          <w:rFonts w:eastAsia="Times New Roman" w:cs="Times New Roman" w:ascii="Times New Roman" w:hAnsi="Times New Roman"/>
          <w:color w:val="111111"/>
          <w:sz w:val="28"/>
          <w:szCs w:val="28"/>
          <w:lang w:val="en-US"/>
        </w:rPr>
        <w:t>Filsafat dan Kalam menjadi dua khazanah Islam yang  cukup signifikan dalam menopang peradaban Islam. Tidak  jarang argumentasi filosofis digunakan Kalam dalam upaya  membuktikan kebenaran doktrin-doktrin Islam, sebagaimana  pula tidak jarang Filsafat, khususnya Filsafat Islam, mendapatkan  inspirasi dari ilmu Kalam dalam menjawab persoalan filsafat.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kedua cabang ilmu ini seringkali melahirkan  dua kebenaran yang berbeda, dan tentu saja, pada akhirnya,  menimbulkan konflik. Para teolog tentu beranggapan bahwa  kebenaran yang bertentangan dengan doktrin-doktrin wahyu </w:t>
      </w:r>
    </w:p>
    <w:p>
      <w:pPr>
        <w:pStyle w:val="BookText"/>
        <w:bidi w:val="0"/>
        <w:rPr/>
      </w:pPr>
      <w:r>
        <w:rPr>
          <w:rFonts w:eastAsia="Times New Roman" w:cs="Times New Roman" w:ascii="Times New Roman" w:hAnsi="Times New Roman"/>
          <w:color w:val="111111"/>
          <w:sz w:val="28"/>
          <w:szCs w:val="28"/>
          <w:lang w:val="en-US"/>
        </w:rPr>
        <w:t>adalah kesesatan, sedangkan filosof beranggapan bahwa  kebenaran yang tidak rasional perlu diinterpretasi ulang. Dua  khazanah ilmiah yang berbeda ini, pada satu masa, mengalami  benturan yang cukup dahsyat, terutama dalam membicarakan  persoalan eskatologi.</w:t>
      </w:r>
    </w:p>
    <w:p>
      <w:pPr>
        <w:pStyle w:val="BookText"/>
        <w:bidi w:val="0"/>
        <w:jc w:val="both"/>
        <w:rPr/>
      </w:pPr>
      <w:r>
        <w:rPr>
          <w:rFonts w:eastAsia="Times New Roman" w:cs="Times New Roman" w:ascii="Times New Roman" w:hAnsi="Times New Roman"/>
          <w:color w:val="111111"/>
          <w:sz w:val="28"/>
          <w:szCs w:val="28"/>
          <w:lang w:val="en-US"/>
        </w:rPr>
        <w:t>Puncak benturan tersebut terjadi ketika secara terbuka,  Al-Gazhali menyerang keyakinan para filosof lewat bukunya,  Tahāfut Al-Falāsifāh,</w:t>
      </w:r>
      <w:r>
        <w:rPr>
          <w:rStyle w:val="FootnoteAnchor"/>
        </w:rPr>
        <w:footnoteReference w:id="9"/>
      </w:r>
      <w:r>
        <w:rPr>
          <w:rFonts w:eastAsia="Times New Roman" w:cs="Times New Roman" w:ascii="Times New Roman" w:hAnsi="Times New Roman"/>
          <w:color w:val="111111"/>
          <w:sz w:val="28"/>
          <w:szCs w:val="28"/>
          <w:lang w:val="en-US"/>
        </w:rPr>
        <w:t>dan Ibn Rusyd (520-595 H) menyerang  balik serangan Al-Gazhali ini dengan bukunya, Tahāfut Al-  Tahāfūt</w:t>
      </w:r>
      <w:r>
        <w:rPr>
          <w:rStyle w:val="FootnoteAnchor"/>
        </w:rPr>
        <w:footnoteReference w:id="10"/>
      </w:r>
      <w:r>
        <w:rPr>
          <w:rFonts w:eastAsia="Times New Roman" w:cs="Times New Roman" w:ascii="Times New Roman" w:hAnsi="Times New Roman"/>
          <w:color w:val="111111"/>
          <w:sz w:val="28"/>
          <w:szCs w:val="28"/>
          <w:lang w:val="en-US"/>
        </w:rPr>
        <w:t>.Di antara persoalan mendasar yang menjadi pusat  serangan Al-Gazhali adalah persoalan keyakinan para filosof  tentang kebangkitan ruhaniah, yang terutama berdasarkan pada  pandangan Ibn Sina. Bagi Al-Gazhali, keyakinan yang seperti ini  sangat bertentangan dengan prinsip Alquran yang secara khusus  menyebutkan bahwa kebangkitan manusia tidak hanya jiwa,  tetapi juga meliputi fisik. Pandangan Eskatologi para filosof ini  menegasikan kekuasaan Tuhan; bukankah Tuhan itu Mahakuasa  atas segala sesuatu? Termasuk sekedar menampilkan kembali  fisik yang telah hancur ataupun mewujudkan yang baru?  Sejarah kemudian mencatat efek dari konflik ini yang  cukup signifikan. Nurcholis Madjid menyatakan serangan Al-  Gazhali hampir sempurna sehingga orang takut berfilsafat  dan khawatir dihukum kafir.</w:t>
      </w:r>
      <w:r>
        <w:rPr>
          <w:rStyle w:val="FootnoteAnchor"/>
        </w:rPr>
        <w:footnoteReference w:id="11"/>
      </w:r>
      <w:r>
        <w:rPr>
          <w:rFonts w:eastAsia="Times New Roman" w:cs="Times New Roman" w:ascii="Times New Roman" w:hAnsi="Times New Roman"/>
          <w:color w:val="111111"/>
          <w:sz w:val="28"/>
          <w:szCs w:val="28"/>
          <w:lang w:val="en-US"/>
        </w:rPr>
        <w:t>Konflik tersebut kemudian  memunculkan fatwa-fatwa ekstrem terhadap para filosof,  seperti yang dilakukan Ibn Salāh.</w:t>
      </w:r>
      <w:r>
        <w:rPr>
          <w:rStyle w:val="FootnoteAnchor"/>
        </w:rPr>
        <w:footnoteReference w:id="12"/>
      </w:r>
      <w:r>
        <w:rPr>
          <w:rFonts w:eastAsia="Times New Roman" w:cs="Times New Roman" w:ascii="Times New Roman" w:hAnsi="Times New Roman"/>
          <w:color w:val="111111"/>
          <w:sz w:val="28"/>
          <w:szCs w:val="28"/>
          <w:lang w:val="en-US"/>
        </w:rPr>
        <w:t>Paling tidak, efek yang terasa  kemudian ialah terciptanya jurang yang cukup dalam antara para  teolog dan para filsuf, di samping pengaruh Imam Al-Gazhali  yang semakin dominan di dunia Islam.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demikian, sekalipun serangan tehadap filsafat </w:t>
      </w:r>
    </w:p>
    <w:p>
      <w:pPr>
        <w:pStyle w:val="BookText"/>
        <w:bidi w:val="0"/>
        <w:rPr/>
      </w:pPr>
      <w:r>
        <w:rPr>
          <w:rFonts w:eastAsia="Times New Roman" w:cs="Times New Roman" w:ascii="Times New Roman" w:hAnsi="Times New Roman"/>
          <w:color w:val="111111"/>
          <w:sz w:val="28"/>
          <w:szCs w:val="28"/>
          <w:lang w:val="en-US"/>
        </w:rPr>
        <w:t>sangat luar biasa, pada sebagian wilayah Islam, filsafat terus  hidup, bahkan melahirkan tokoh-tokoh besar seperti Suhrawardi  yang mendirikan aliran Filsafat Isyraqiyyah dan filsafat, pada  akhirnya, melahirkan filosof besar, yaitu Mulla Sadra yang  mendirikan aliran filsafat al-Hikmah al-Muta'āliyyah.</w:t>
      </w:r>
      <w:r>
        <w:rPr>
          <w:rStyle w:val="FootnoteAnchor"/>
        </w:rPr>
        <w:footnoteReference w:id="13"/>
      </w:r>
      <w:r>
        <w:rPr>
          <w:rFonts w:eastAsia="Times New Roman" w:cs="Times New Roman" w:ascii="Times New Roman" w:hAnsi="Times New Roman"/>
          <w:color w:val="111111"/>
          <w:sz w:val="28"/>
          <w:szCs w:val="28"/>
          <w:lang w:val="en-US"/>
        </w:rPr>
        <w:t xml:space="preserve"> Kebesaran dan keagungan filsafat al-Hikmah al-  Muta’āliyyah terutama dalam keberhasilannya melakukan  sintesis terhadap berbagai aliran pemikiran di dunia Islam  yang sebelumnya seakan-akan memiliki paradigma tersendiri  dan menghasilkan kebenarannya sendiri-sendiri. Paling tidak,  ada tiga aliran pemikiran yang berhasil disintesis Mulla Sadra,  antara lain, Tasawuf, Teologi dan Filsafat.</w:t>
      </w:r>
    </w:p>
    <w:p>
      <w:pPr>
        <w:pStyle w:val="BookText"/>
        <w:bidi w:val="0"/>
        <w:jc w:val="both"/>
        <w:rPr/>
      </w:pPr>
      <w:r>
        <w:rPr>
          <w:rFonts w:eastAsia="Times New Roman" w:cs="Times New Roman" w:ascii="Times New Roman" w:hAnsi="Times New Roman"/>
          <w:color w:val="111111"/>
          <w:sz w:val="28"/>
          <w:szCs w:val="28"/>
          <w:lang w:val="en-US"/>
        </w:rPr>
        <w:t>Al-Hikmah al-Muta'āliyyah, magnum opus Mulla Sadra  merupakan sintesis dari ketiga corak berpikir tersebut, yaitu  Teologi dengan karakter dialektikal-polemikal (Jadali), Filsafat  dengan karakter demonstratif/burhani, teosofi Iluminasionistik  dan Gnostik dengan karakter dzawqi, ditambah dengan elemen  naqli yang berasal dari Alquran, hadis dan ucapan-ucapan Imam  Ali bin Abi Thalib r.a., sebagaimana yang dinyatakan Hossein  Nasr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Sharif, ED., A History of Moslem Philosophy, hal. 939. Teks  aslinya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particular genius of Mulla Sadra was to synthesize  and unify the three paths lead to the truth, viz., reveleation,  rational demonstration, and purification as soul, which lats  in turn leads to illumination. For him gnosis, philosophy, and  revealed religion were elements of a harmonious assemble  the harmony of which he sought to reveal in his own life  as well as in his writing. He formulated a perspective in  which rational demonstration of philosophy, although not  necessarily limited to that of the Greeks, became closely tied  to the Qur'an and the saying of the prophet and the Imams,  and these in turn became unified with the gnosis doctrine  which result from the illumination received by a purified      soul. That is why Mullah Sadra's writing are combination as  logical statements, Gnostic intuition, traditional of prophet,  and the Qur'anic verses."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Keluarbiasaan Mulla Sadra adalah keberhasilannya  melakukan sintesis dan penyatuan terhadap tiga arus  kebenaran utama, antara lain, wahyu, demonstrasi rasional  dan penyucian jiwa, yang membelokkan arah filsafat  menuju illuminasi. Baginya, gnostik, filsafat dan wahyu  agama merupakan elemen harmonisasi yang keharmonisan  tersebut bermuara pada pola hidup yang ditampilkannya  sebaik tulisannya. Dia memformulasi sebuah perspektif  dalam kerangka demonstrasi rasional filsafat, sekalipun  tidak terbatas pada filsafat Yunani, tetapi juga menjadi  sangat erat kaitannya dengan Alquran, hadis dan pernyataan  para Imam, dan kesemuanya menyatu dalam doktrin </w:t>
      </w:r>
    </w:p>
    <w:p>
      <w:pPr>
        <w:pStyle w:val="BookText"/>
        <w:bidi w:val="0"/>
        <w:rPr/>
      </w:pPr>
      <w:r>
        <w:rPr>
          <w:rFonts w:eastAsia="Times New Roman" w:cs="Times New Roman" w:ascii="Times New Roman" w:hAnsi="Times New Roman"/>
          <w:color w:val="111111"/>
          <w:sz w:val="28"/>
          <w:szCs w:val="28"/>
          <w:lang w:val="en-US"/>
        </w:rPr>
        <w:t xml:space="preserve">Gnostik sebagai hasil dari iluminasi yang diterima melalui  penyucian diri. Itulah mengapa tulisan-tulisan Mulla Sadra  merupakan kombinansi dari pernyataan-pernyataan logika,  intuisi gnostik, hadis dan Sunnah Nabi serta ayat-ayat  Alquran."  Sintesis atas ketiga aliran pemikiran, ditambah dengan  bimbingan hadis-hadis dari Ali bin Abi Talib di atas yang dilakukan  Mulla Sadra telah melahirkan sebuah bangunan filsafat yang  kokoh, yang dinyatakan oleh para ahli, tidak semata aksidental,  melainkan metode alternatif, konseptual dan ontologis. </w:t>
      </w:r>
      <w:r>
        <w:rPr>
          <w:rStyle w:val="FootnoteAnchor"/>
        </w:rPr>
        <w:footnoteReference w:id="15"/>
      </w:r>
      <w:r>
        <w:rPr>
          <w:rFonts w:eastAsia="Times New Roman" w:cs="Times New Roman" w:ascii="Times New Roman" w:hAnsi="Times New Roman"/>
          <w:color w:val="111111"/>
          <w:sz w:val="28"/>
          <w:szCs w:val="28"/>
          <w:lang w:val="en-US"/>
        </w:rPr>
        <w:t xml:space="preserve"> Karenanya, bagi sebagian pemikir filsafat, Mulla Sadra dianggap  sebagai puncak evolusi pemikiran filsafat sebelumnya.</w:t>
      </w:r>
    </w:p>
    <w:p>
      <w:pPr>
        <w:pStyle w:val="BookText"/>
        <w:bidi w:val="0"/>
        <w:jc w:val="both"/>
        <w:rPr/>
      </w:pPr>
      <w:r>
        <w:rPr>
          <w:rFonts w:eastAsia="Times New Roman" w:cs="Times New Roman" w:ascii="Times New Roman" w:hAnsi="Times New Roman"/>
          <w:color w:val="111111"/>
          <w:sz w:val="28"/>
          <w:szCs w:val="28"/>
          <w:lang w:val="en-US"/>
        </w:rPr>
        <w:t>Tujuan utama filsafat bagi Mulla Sadra adalah upaya  mencapai kesempurnaan hakiki manusia, bukan hanya dalam  konteks kehidupan sosial masyarakat, sebagaimana yang terjadi  pada filsafat sebelumnya, terutama filsafat Barat. Karena itu  di dalam filsafatnya, Mulla Sadra menjelaskan secara spesifik  pandangan teodesi dan eskatologi, sebagai sebuah bagian  perjalanan ruhani yang harus dilewati oleh setiap manusia yang  hendak menggapai kesempurnaan.</w:t>
      </w:r>
    </w:p>
    <w:p>
      <w:pPr>
        <w:pStyle w:val="BookText"/>
        <w:bidi w:val="0"/>
        <w:jc w:val="both"/>
        <w:rPr/>
      </w:pPr>
      <w:r>
        <w:rPr>
          <w:rFonts w:eastAsia="Times New Roman" w:cs="Times New Roman" w:ascii="Times New Roman" w:hAnsi="Times New Roman"/>
          <w:color w:val="111111"/>
          <w:sz w:val="28"/>
          <w:szCs w:val="28"/>
          <w:lang w:val="en-US"/>
        </w:rPr>
        <w:t>Al-Hikmah al-Muta’āliyyah sebagai madrasah filsafat  yang dikembangkan Mulla Sadra diangkat dari kitab utamanya,  Al-Hikmah Al-Muta’āliyyah fi Al-Asfār Al-Aqliyyah Al-Arba'ah  (Puncak Kearifan dalam Empat Tahap Perjalanan Intelektual).</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menggambarkan bahwa manusia yang hendak  mencapai kearifan tertinggi haruslah melewati empat tahap  perjalanan ruhani</w:t>
      </w:r>
      <w:r>
        <w:rPr>
          <w:rStyle w:val="FootnoteAnchor"/>
        </w:rPr>
        <w:footnoteReference w:id="16"/>
      </w:r>
      <w:r>
        <w:rPr>
          <w:rFonts w:eastAsia="Times New Roman" w:cs="Times New Roman" w:ascii="Times New Roman" w:hAnsi="Times New Roman"/>
          <w:color w:val="111111"/>
          <w:sz w:val="28"/>
          <w:szCs w:val="28"/>
          <w:lang w:val="en-US"/>
        </w:rPr>
        <w:t xml:space="preserve">yang semuanya terangkum dalam rangkaian  filsafat yang dikembangkannya. Empat tahap perjalanan tersebut  dapat diringkas sebagai berikut: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Perjalanan pertama: Safār min al-Khalq ila al-Haq (Perjalanan  dari makhluk menuju Tuhan). Pada tingkat ini, perjalanan  yang dilakukan adalah dengan mengangkat hijab kegelapan  dan hijab cahaya yang membatasi antara seorang hamba  dan Tuhannya. Seorang salik harus melewati berbagai tahap,  mulai dari tahap jiwa, qalb, ruh dan berakhir pada maqsad  al-aqsa. Pada tahap ini, perjalanan ruhani baru dimulai dari  pelepasan diri dan bergabung menuju Tuhan. Dalam kajian  filsafatnya, perjalanan pertama ini adalah gambaran dari  upaya salik mengangkat kesadarannya dari realitas makhluk  lewat pembahasan wujud dalam makna umum dan juga  tentang hukum-hukum ketiadaan, entitas, gerakan material,  dan substansial serta intelek.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Perjalanan kedua: Safār bi al-Haq fi al-Haq (Perjalanan  bersama Tuhan di dalam Tuhan). Pada tahap ini, seorang salik  memulai tahap kewaliannya karena wujudnya telah menjadi  diri-Nya dan dengan itu, dia melakukan penyempurnaan  dalam nama-nama agung Tuhan. Tingkat ini adalah tingkat  penyempurnaan teologis seorang salik. Dalam konteks ini,  Mulla Sadra membicarakan tentang hal-hal yang berkaitan  dengan ketuhanan.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Perjalanan ketiga: Safār min al-Haq ila al-Khalq bi al-Haq  (Perjalanan dari Tuhan menuju Makhluk bersama Tuhan).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maqam ini, seorang salik menempuh perjalanan dalam  Af'āl Tuhan, kesadaran Tuhan telah menjadi kesadarannya,  dan menempuh perjalanan di antara alam Jabarut, Malakut  dan Nasut, serta menyaksikan segala sesuatu yang ada pada  alam tersebut melalui pandangan Tuhan. Pembicaraan pada  tingkat ini meliputi proses penciptaan dan emanasi yang </w:t>
      </w:r>
    </w:p>
    <w:p>
      <w:pPr>
        <w:pStyle w:val="BookText"/>
        <w:bidi w:val="0"/>
        <w:rPr/>
      </w:pPr>
      <w:r>
        <w:rPr>
          <w:rFonts w:eastAsia="Times New Roman" w:cs="Times New Roman" w:ascii="Times New Roman" w:hAnsi="Times New Roman"/>
          <w:color w:val="111111"/>
          <w:sz w:val="28"/>
          <w:szCs w:val="28"/>
          <w:lang w:val="en-US"/>
        </w:rPr>
        <w:t>terjadi pada intelek-intelek.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Perjalanan keempat: Safār min al-Khalq ila al-Khalq bi al-Haq  (Perjalanan dari Makhluk menuju Makhluk bersama Tuhan).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tahap ini, perjalanan penyaksian seluruh makhluk  dan apa yang terjadi padanya, di dunia dan akhirat, serta  mengetahui perjalanan kembali menuju Allah dan bentuk  kembalinya serta siksa dan karunia yang akan diberikan  Allah pada mereka. Karena itu, pembicaraan Mulla Sadra  pada tingkat ini berkaitan dengan Eskatologi atau Ma'ād  yang akan terjadi pada diri manusia setelah kematiannya  dan dengan bukti serta argumentasi rasional. </w:t>
      </w:r>
      <w:r>
        <w:rPr>
          <w:rStyle w:val="FootnoteAnchor"/>
        </w:rPr>
        <w:footnoteReference w:id="17"/>
      </w:r>
      <w:r>
        <w:rPr>
          <w:rFonts w:eastAsia="Times New Roman" w:cs="Times New Roman" w:ascii="Times New Roman" w:hAnsi="Times New Roman"/>
          <w:color w:val="111111"/>
          <w:sz w:val="28"/>
          <w:szCs w:val="28"/>
          <w:lang w:val="en-US"/>
        </w:rPr>
        <w:t xml:space="preserve"> Di antara persoalan yang dibicarakan Mulla Sadra adalah  persoalan Eskatologi yang merupakan substansi perjalanan  keempat dari filsafatnya. Mengingat persoalan ini merupakan  persoalan yang telah melahirkan skisma yang cukup dalam  antara teologi dan filsafat, serta persoalan yang dihadapi manusia  modern saat ini, seperti yang telah dijelaskan sebelumnya, maka  pandangan Eskatologi yang dikemukakan Mulla Sadra ini tentulah  sangat menarik untuk dikaji lebih jauh, mengingat perannya  sebagai sintesis dari berbagai pemikiran, terutama antara  teologi dan filsafat. Kajian ini setidak-tidaknya akan memberikan  jawaban yang lebih akumulatif terhadap keyakinan umat Islam  tentang prinsip Ma'ād atau kebangkitan kembali dan sekaligus  menjadi bukti argumentatif bagi persoalan yang dihadapi  manusia modern. Namun demikian, bagaimana argumentasi  dan dasar-dasar yang digunakan Mulla Sadra berkaitan dengan  pandangan eskatologinya serta perbedaan mendasar pandangan  eskatologi yang dikemukakan Mulla Sadra dengan berbagai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pandangan eskatologi yang pernah ada sebelumnya serta  letak keunggulan dan kelemahan pandangan eskatologi yang  ditawarkan Mulla Sadra ini, selanjutnya merupakan pertanyaan-  pertanyaan yang membutuhkan jawaban. </w:t>
      </w:r>
      <w:bookmarkStart w:id="29" w:name="pg6430_60537"/>
    </w:p>
    <w:p>
      <w:pPr>
        <w:pStyle w:val="Heading2"/>
        <w:numPr>
          <w:ilvl w:val="1"/>
          <w:numId w:val="1"/>
        </w:numPr>
        <w:bidi w:val="0"/>
        <w:jc w:val="left"/>
        <w:rPr/>
      </w:pPr>
      <w:bookmarkStart w:id="30" w:name="__RefHeading___Toc808160_653776707"/>
      <w:bookmarkStart w:id="31" w:name="_Toc9"/>
      <w:bookmarkEnd w:id="29"/>
      <w:bookmarkEnd w:id="30"/>
      <w:r>
        <w:rPr/>
        <w:t>Catatan 1:</w:t>
      </w:r>
      <w:bookmarkEnd w:id="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Lihat: Sibawaihi, Eskatologi Al-Gazali dan Fazlur Rahman Studi  Komparatif Epistemologi Klasik-Kontemporer (Yogyakarta:</w:t>
      </w:r>
    </w:p>
    <w:p>
      <w:pPr>
        <w:pStyle w:val="BookText"/>
        <w:bidi w:val="0"/>
        <w:jc w:val="both"/>
        <w:rPr/>
      </w:pPr>
      <w:r>
        <w:rPr>
          <w:rFonts w:eastAsia="Times New Roman" w:cs="Times New Roman" w:ascii="Times New Roman" w:hAnsi="Times New Roman"/>
          <w:color w:val="111111"/>
          <w:sz w:val="28"/>
          <w:szCs w:val="28"/>
          <w:lang w:val="en-US"/>
        </w:rPr>
        <w:t>Penerbit Islamika, 2004), hlm. 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Lihat: Mulyadhi Kartanegara, Psikologi Islam, sedang dalam  proses terbit, hlm. 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Dalam studi yang dilakukan Jane Idelman Smith, didapat  kesimpulan bahwa, pada umumnya, kajian Eskatologi  pascaserangan Al-Ghazali hanya bersifat penjelasan literal  dan tidak sebagaimana kajian yang dilakukan para filosof abad  pertengahan. Jane Idelman Smith dan Yvone Yazbeck Haddad,  The Islamic Understanding of Death and Resurretion (English:</w:t>
      </w:r>
    </w:p>
    <w:p>
      <w:pPr>
        <w:pStyle w:val="BookText"/>
        <w:bidi w:val="0"/>
        <w:jc w:val="both"/>
        <w:rPr/>
      </w:pPr>
      <w:r>
        <w:rPr>
          <w:rFonts w:eastAsia="Times New Roman" w:cs="Times New Roman" w:ascii="Times New Roman" w:hAnsi="Times New Roman"/>
          <w:color w:val="111111"/>
          <w:sz w:val="28"/>
          <w:szCs w:val="28"/>
          <w:lang w:val="en-US"/>
        </w:rPr>
        <w:t>Oxford University Press, 2002) hlm. 62. Selanjutnya disebut  Jane Idelman, The Islamic Understanding.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Lihat: Angeles, Peter A. Dictionary of Philosophy (Harper and Row  Publisher, New York 1981) dan Owen, H.P. "Eschatology",  Ensiklopedia of Philosophy, III.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Al-Taftazani, Syarh Al-Maqasid (Iran: Mansyurat Syarif Al-Radi,  1409 H), J.5 hlm. 82. Teks asli sebagai berikut: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وهو مصدر أو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العود تو جه ا لشی ء إلی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ههنا الرجوع إلی الوجود بعد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رجوع أجزاء البدن إلی الاجتماع بعد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الحیاة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والأرواح إلی الأبدان بعد المفارقة وأما المعاد علی ما یراه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رجوع الأرواح إلی ماکانت الروحانی المحض علیه من التجرد عن علاقة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الألات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أوالتبرؤ عما ابتلیت به من الظلمات</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6.QS 22:5-7. Teks Ayat Alquran tersebut:</w:t>
      </w:r>
    </w:p>
    <w:p>
      <w:pPr>
        <w:pStyle w:val="BookText"/>
        <w:bidi w:val="0"/>
        <w:jc w:val="both"/>
        <w:rPr/>
      </w:pPr>
      <w:r>
        <w:rPr>
          <w:rFonts w:ascii="IRNazanin" w:hAnsi="IRNazanin" w:eastAsia="IRNazanin"/>
          <w:color w:val="111111"/>
          <w:sz w:val="28"/>
          <w:sz w:val="28"/>
          <w:szCs w:val="28"/>
          <w:rtl w:val="true"/>
          <w:lang w:bidi="fa-IR"/>
        </w:rPr>
        <w:t xml:space="preserve">أیها الناس إن ثم فی ریب من البعث فإنا خلقکم من تراب ثم من نطفة ثم من علقة فی الأرحام ما شاء إلی أجل مسی ثم ثم من ممتنة خلقة وغیر حلقة إن لکم و خرم طفلا ثم لتبلغوا أشدکم وینم من توینی وبینکم من یرد إلی أرذل هایده فإذا أنزلنا علیها الماء ا وتی الأرض لا یعلم من بعد علم العمر اهتت وت وأنبتت مین محل وچ بهیج و ذلک بأن الله هو الحی وأنه یحمی الموی الله یبعث من فی وأن الساعة ایه لا ریب فیها وأن وأنه علی کل شیء قدیر التمور و  </w:t>
      </w:r>
      <w:r>
        <w:rPr>
          <w:rFonts w:eastAsia="IRNazanin" w:cs="IRNazanin"/>
          <w:color w:val="111111"/>
          <w:sz w:val="28"/>
          <w:szCs w:val="28"/>
          <w:lang w:bidi="fa-IR"/>
        </w:rPr>
        <w:t>7</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Dalam Tasawuf sekalipun, ada pembicaraan tentang surga-  neraka dan perjalanan ruhani, tetapi tidak dalam konteks  khusus Eskatologi sebagaimana yang dibahas dalam ilmu  Kalam dan Filsafat.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8.Tahāfut al-Falāsifāh merupakan karya yang ditulis Al-Ghazali  setelah karyanya yang hampir mirip, yaitu Maqasid Al-  Falasifah. Di dalam karya ini, Al-Ghazali melakukan kritik keras  terhadap para filosof, bahkan mengkafirkan mereka. Ada dua  puluh persoalan utama yang dikritik Al-Ghazali, antara lain,  ke-qadim-an alam, keabadian alam, masa dan gerakan, Allah  sebagai subjek bagi alam, kelemahan argumentasi filosof  terhadap argumentasi adanya Allah, kelemahan filosof terhadap  satunya Allah, penafian sifat-sifat Allah, zat pertama yang tidak  terkomposisi oleh genus dan partikular, kesederhanaan wujud  pertama, kenonmaterian Yang Pertama, alam memiliki pencipta  dan sebab, pengetahuan yang bersifat general, pengetahuan  Zat Pertama tentang dirinya, ketidaktahuan Allah terhadap  partikular, langit merupakan hewan yang tunduk pada Allah, </w:t>
      </w:r>
    </w:p>
    <w:p>
      <w:pPr>
        <w:pStyle w:val="BookText"/>
        <w:bidi w:val="0"/>
        <w:rPr/>
      </w:pPr>
      <w:r>
        <w:rPr>
          <w:rFonts w:eastAsia="Times New Roman" w:cs="Times New Roman" w:ascii="Times New Roman" w:hAnsi="Times New Roman"/>
          <w:color w:val="111111"/>
          <w:sz w:val="28"/>
          <w:szCs w:val="28"/>
          <w:lang w:val="en-US"/>
        </w:rPr>
        <w:t>tujuan penggerak langit, jiwa-jiwa langit mengetahui yang  partikular, ketidakmungkinan mukjizat, ketidakmampuan  filosof dalam membuktikan keruhanian jiwa, keberlangsungan  jiwa manusia, pengingkaran terhadap kebangkitan jasmani.</w:t>
      </w:r>
    </w:p>
    <w:p>
      <w:pPr>
        <w:pStyle w:val="BookText"/>
        <w:bidi w:val="0"/>
        <w:jc w:val="both"/>
        <w:rPr/>
      </w:pPr>
      <w:r>
        <w:rPr>
          <w:rFonts w:eastAsia="Times New Roman" w:cs="Times New Roman" w:ascii="Times New Roman" w:hAnsi="Times New Roman"/>
          <w:color w:val="111111"/>
          <w:sz w:val="28"/>
          <w:szCs w:val="28"/>
          <w:lang w:val="en-US"/>
        </w:rPr>
        <w:t>Tahāfut Al-Tahāfūt merupakan karya Ibn Rusyd yang  memberikan jawaban terhadap kritik-kritik Al-Ghazali  dengan menjelaskan argumentasi-argumentasi para filosof  terhadap persoalan yang dikritik Al-Ghazali dan menunjukkan  kelemahan-kelemahan pemahaman Al-Ghazali terhadap  pandangan para filosof tersebut.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Nurcholish Madjid, Khazanah Intelektual Islam (Jakarta: Bulan  Bintang, 1984), hlm. 33.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Hanafi, Pengantar Filsafat Islam (Jakarta: Bulan bintang, 1965),  hlm. 27 – 28.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Jalaluddin Rakhmat, “Hikmah Muta'aliyah: Filsafat Islam Pasca-  Ibn Rusyd" dalam Kearifan Puncak, Mulla Sadra, diterjemahkan  oleh Dimitri Mahayana (Pustaka Pelajar, Yogyakarta, 2004),  hlm. vii.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 Nasr, Sadr Al-Din Shirazi (Mulla Sadra) dalam M.M.</w:t>
      </w:r>
    </w:p>
    <w:p>
      <w:pPr>
        <w:pStyle w:val="BookText"/>
        <w:bidi w:val="0"/>
        <w:jc w:val="both"/>
        <w:rPr/>
      </w:pPr>
      <w:r>
        <w:rPr>
          <w:rFonts w:eastAsia="Times New Roman" w:cs="Times New Roman" w:ascii="Times New Roman" w:hAnsi="Times New Roman"/>
          <w:color w:val="111111"/>
          <w:sz w:val="28"/>
          <w:szCs w:val="28"/>
          <w:lang w:val="en-US"/>
        </w:rPr>
        <w:t>Sharif, ED., A History of Moslem Philosophy, hal. 939. Teks  aslinya sebagai berikut: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particular genius of Mulla Sadra was to synthesize  and unify the three paths lead to the truth, viz., reveleation,  rational demonstration, and purification as soul, which lats  in turn leads to illumination. For him gnosis, philosophy, and  revealed religion were elements of a harmonious assemble  the harmony of which he sought to reveal in his own life  as well as in his writing. He formulated a perspective in  which rational demonstration of philosophy, although not  necessarily limited to that of the Greeks, became closely tied  to the Qur'an and the saying of the prophet and the Imams,  and these in turn became unified with the gnosis doctrine  which result from the illumination received by a purified </w:t>
      </w:r>
    </w:p>
    <w:p>
      <w:pPr>
        <w:pStyle w:val="BookText"/>
        <w:bidi w:val="0"/>
        <w:rPr/>
      </w:pPr>
      <w:r>
        <w:rPr>
          <w:rFonts w:eastAsia="Times New Roman" w:cs="Times New Roman" w:ascii="Times New Roman" w:hAnsi="Times New Roman"/>
          <w:color w:val="111111"/>
          <w:sz w:val="28"/>
          <w:szCs w:val="28"/>
          <w:lang w:val="en-US"/>
        </w:rPr>
        <w:t>soul. That is why Mullah Sadra's writing are combination as  logical statements, Gnostic intuition, traditional of prophet,  and the Qur'anic verses."  14. S.H. Nasr, Three Muslim Sages (New York: Delmar, 1964),  hlm. 67.</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Lihat: “Muqaddimah" dalam Mulla Sadra, Al-Asfār Al-Arbaah  fi Al-Hikmah Al-Muta’āliyyah (Beirut: Dar al-Ihya al-Turats al-  Arabi, 1981), J. I, hlm. 13– 18 (selanjutnya disebut Al-Asfar).</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 catatan kaki Muhammad Husayn Thabathaba'l pada  Mulla Sadra, Al-Asfār, J. I, hlm. 14.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2" w:name="pg6434_60542"/>
      <w:bookmarkStart w:id="33" w:name="pg6434_60542"/>
      <w:bookmarkEnd w:id="33"/>
    </w:p>
    <w:p>
      <w:pPr>
        <w:pStyle w:val="Heading2"/>
        <w:numPr>
          <w:ilvl w:val="1"/>
          <w:numId w:val="1"/>
        </w:numPr>
        <w:bidi w:val="0"/>
        <w:jc w:val="left"/>
        <w:rPr/>
      </w:pPr>
      <w:bookmarkStart w:id="34" w:name="pg6434_60542"/>
      <w:bookmarkStart w:id="35" w:name="__RefHeading___Toc808162_653776707"/>
      <w:bookmarkStart w:id="36" w:name="_Toc10"/>
      <w:bookmarkEnd w:id="34"/>
      <w:bookmarkEnd w:id="35"/>
      <w:r>
        <w:rPr/>
        <w:t>BAGIAN PERTAMA BIOGRAFI MULLA SADRA</w:t>
      </w:r>
      <w:bookmarkEnd w:id="36"/>
    </w:p>
    <w:p>
      <w:pPr>
        <w:pStyle w:val="Heading3"/>
        <w:numPr>
          <w:ilvl w:val="2"/>
          <w:numId w:val="1"/>
        </w:numPr>
        <w:bidi w:val="0"/>
        <w:jc w:val="left"/>
        <w:rPr/>
      </w:pPr>
      <w:bookmarkStart w:id="37" w:name="__RefHeading___Toc808164_653776707"/>
      <w:bookmarkStart w:id="38" w:name="_Toc11"/>
      <w:bookmarkEnd w:id="37"/>
      <w:r>
        <w:rPr/>
        <w:t>1. Fase Kehidupan</w:t>
      </w:r>
      <w:bookmarkEnd w:id="38"/>
    </w:p>
    <w:p>
      <w:pPr>
        <w:pStyle w:val="BookText"/>
        <w:bidi w:val="0"/>
        <w:jc w:val="both"/>
        <w:rPr/>
      </w:pPr>
      <w:r>
        <w:rPr>
          <w:rFonts w:eastAsia="Times New Roman" w:cs="Times New Roman" w:ascii="Times New Roman" w:hAnsi="Times New Roman"/>
          <w:color w:val="111111"/>
          <w:sz w:val="28"/>
          <w:szCs w:val="28"/>
          <w:lang w:val="en-US"/>
        </w:rPr>
        <w:t>mulla Sadra hidup, kira-kira, dari tahun 979 H/1571 M  sampai 1050 H/1640 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Dimitri Mahayana, (Yogyakarta: Pustaka Pelajar, 2004) hlm.18.</w:t>
      </w:r>
    </w:p>
    <w:p>
      <w:pPr>
        <w:pStyle w:val="BookText"/>
        <w:bidi w:val="0"/>
        <w:jc w:val="both"/>
        <w:rPr/>
      </w:pPr>
      <w:r>
        <w:rPr>
          <w:rFonts w:eastAsia="Times New Roman" w:cs="Times New Roman" w:ascii="Times New Roman" w:hAnsi="Times New Roman"/>
          <w:color w:val="111111"/>
          <w:sz w:val="28"/>
          <w:szCs w:val="28"/>
          <w:lang w:val="en-US"/>
        </w:rPr>
        <w:t>Tidak ada yang tahu pasti  tanggal kelahiran Mulla Sadra, kecuali berdasarkan  beberapa perkiraan yang dikemukakan oleh Henry Corbin. Dalam  pengantar kitab Al-Masyā'īr, Allamah Thabathaba'i menjelaskan  bahwa berdasarkan perhitungan yang didapat dari berbagai kitab  yang ditulis Mulla Sadra, dia memperkirakan bahwa Mulla Sadra  lahir pada 979 H/1571 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Mulla Sadra lahir di Kota Syirāz</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salah satu kota  terpenting di Persia pada masa itu (berubah menjadi Iran  pada tahun 1935), tidak hanya karena Syirāz merupakan kota  tua pusat pemerintahan imperium Persia masa lampau, tetapi  juga karena kemakmuran dan pusat pengetahuan. Pusat-pusat  pendidikan tersebar di kota tersebut dan banyak ulama yang  menguasai berbagai bidang pengetahuan, seperti ilmu kalam,  fiqh, matematika, astronomi, kedokteran, dan sebagainya.</w:t>
      </w:r>
    </w:p>
    <w:p>
      <w:pPr>
        <w:pStyle w:val="BookText"/>
        <w:bidi w:val="0"/>
        <w:jc w:val="both"/>
        <w:rPr/>
      </w:pPr>
      <w:r>
        <w:rPr>
          <w:rFonts w:eastAsia="Times New Roman" w:cs="Times New Roman" w:ascii="Times New Roman" w:hAnsi="Times New Roman"/>
          <w:color w:val="111111"/>
          <w:sz w:val="28"/>
          <w:szCs w:val="28"/>
          <w:lang w:val="en-US"/>
        </w:rPr>
        <w:t>Syirāz masa itu dipimpin oleh saudara dari Thamasp-1, Raja  Persia kedua dari Dinasti Safawi.</w:t>
      </w:r>
      <w:r>
        <w:rPr>
          <w:rStyle w:val="FootnoteAnchor"/>
        </w:rPr>
        <w:footnoteReference w:id="19"/>
      </w:r>
      <w:r>
        <w:rPr>
          <w:rFonts w:eastAsia="Times New Roman" w:cs="Times New Roman" w:ascii="Times New Roman" w:hAnsi="Times New Roman"/>
          <w:color w:val="111111"/>
          <w:sz w:val="28"/>
          <w:szCs w:val="28"/>
          <w:lang w:val="en-US"/>
        </w:rPr>
        <w:t>Kota ini mendapatkan hak  istimewa yang berbeda, pada umumnya, dari wilayah-wilayah  Persia lainnya.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Sadra berasal dari keluarga terpandang. Ayahnya,  Khwaja Ibrahim bin Yahya Qawwami, berasal dari keluarga  Qawwami yang dikenal sebagai keluarga ilmuwan dan pemuka  agama. Khwaja Ibrahim, selain merupakan ilmuwan dan tokoh  agama, juga sebagai menteri yang menjadi tokoh kedua dalam </w:t>
      </w:r>
    </w:p>
    <w:p>
      <w:pPr>
        <w:pStyle w:val="BookText"/>
        <w:bidi w:val="0"/>
        <w:rPr/>
      </w:pPr>
      <w:r>
        <w:rPr>
          <w:rFonts w:eastAsia="Times New Roman" w:cs="Times New Roman" w:ascii="Times New Roman" w:hAnsi="Times New Roman"/>
          <w:color w:val="111111"/>
          <w:sz w:val="28"/>
          <w:szCs w:val="28"/>
          <w:lang w:val="en-US"/>
        </w:rPr>
        <w:t>pemerintahan Kota Syirāz masa itu. Namun sayangnya, dia tidak  memiliki anak laki-laki sehingga secara khusus, dia bernazar:</w:t>
      </w:r>
    </w:p>
    <w:p>
      <w:pPr>
        <w:pStyle w:val="BookText"/>
        <w:bidi w:val="0"/>
        <w:jc w:val="both"/>
        <w:rPr/>
      </w:pPr>
      <w:r>
        <w:rPr>
          <w:rFonts w:eastAsia="Times New Roman" w:cs="Times New Roman" w:ascii="Times New Roman" w:hAnsi="Times New Roman"/>
          <w:color w:val="111111"/>
          <w:sz w:val="28"/>
          <w:szCs w:val="28"/>
          <w:lang w:val="en-US"/>
        </w:rPr>
        <w:t>jika Allah berkenan memberikan baginya seorang anak laki-  laki, dia akan memberikan sumbangan yang besar bagi orang-  orang fakir dan para ilmuwan.</w:t>
      </w:r>
      <w:r>
        <w:rPr>
          <w:rStyle w:val="FootnoteAnchor"/>
        </w:rPr>
        <w:footnoteReference w:id="20"/>
      </w:r>
      <w:r>
        <w:rPr>
          <w:rFonts w:eastAsia="Times New Roman" w:cs="Times New Roman" w:ascii="Times New Roman" w:hAnsi="Times New Roman"/>
          <w:color w:val="111111"/>
          <w:sz w:val="28"/>
          <w:szCs w:val="28"/>
          <w:lang w:val="en-US"/>
        </w:rPr>
        <w:t>Berkat nazar tersebut, Khwaja  Ibrahim kemudian mendapatkan seorang anak laki-laki yang dia  beri nama Muhammad Sadruddin bin Ibrahim Yahya Qawwami  Syirazi.</w:t>
      </w:r>
    </w:p>
    <w:p>
      <w:pPr>
        <w:pStyle w:val="BookText"/>
        <w:bidi w:val="0"/>
        <w:jc w:val="both"/>
        <w:rPr/>
      </w:pPr>
      <w:r>
        <w:rPr>
          <w:rFonts w:eastAsia="Times New Roman" w:cs="Times New Roman" w:ascii="Times New Roman" w:hAnsi="Times New Roman"/>
          <w:color w:val="111111"/>
          <w:sz w:val="28"/>
          <w:szCs w:val="28"/>
          <w:lang w:val="en-US"/>
        </w:rPr>
        <w:t>Muhammad Sadruddin bin Ibrahim Yahya Qawwami  Syirazi dipanggil dengan nama Sadra. Baru kemudian, setelah  menjadi salah seorang ulama terpandang, Sadra dipanggil  dengan sebutan Mulla Sadra.</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Kata ini digunakan sebagai panggillan penghormatan kepada  ulama atau urafa besar di Iran.</w:t>
      </w:r>
    </w:p>
    <w:p>
      <w:pPr>
        <w:pStyle w:val="BookText"/>
        <w:bidi w:val="0"/>
        <w:jc w:val="both"/>
        <w:rPr/>
      </w:pPr>
      <w:r>
        <w:rPr>
          <w:rFonts w:eastAsia="Times New Roman" w:cs="Times New Roman" w:ascii="Times New Roman" w:hAnsi="Times New Roman"/>
          <w:color w:val="111111"/>
          <w:sz w:val="28"/>
          <w:szCs w:val="28"/>
          <w:lang w:val="en-US"/>
        </w:rPr>
        <w:t>Selain itu, dia juga digelari  dengan sebutan Sadra al-Muta'allihin karena kedalaman  pengetahuannya di bidang Ketuhanan (sebagian mengaitkan  gelar ini dengan karyanya, Al-Hikmah Al-Muta’āliyyah).</w:t>
      </w:r>
    </w:p>
    <w:p>
      <w:pPr>
        <w:pStyle w:val="BookText"/>
        <w:bidi w:val="0"/>
        <w:jc w:val="both"/>
        <w:rPr/>
      </w:pPr>
      <w:r>
        <w:rPr>
          <w:rFonts w:eastAsia="Times New Roman" w:cs="Times New Roman" w:ascii="Times New Roman" w:hAnsi="Times New Roman"/>
          <w:color w:val="111111"/>
          <w:sz w:val="28"/>
          <w:szCs w:val="28"/>
          <w:lang w:val="en-US"/>
        </w:rPr>
        <w:t>Sebagaimana layaknya keluarga kaya dan terpandang,  Muhammad Sadruddin bin Ibrahim Yahya Qawwami Syirazi,  yang selanjutnya disebut Mulla Sadra, selain mengikuti  pendidikan formal, juga dididik secara khusus dengan  mendatangkan guru-guru. Dengan usaha para guru tersebut  dan karena kejeniusannya, Mulla Sadra, dalam waktu yang  singkat, dapat menguasai berbagai dasar cabang ilmu masa itu,  dari Alquran, logika, sampai dengan kaligrafi, gramatikal, syair-  syair Persia dan Arab. Dalam usianya yang kedua puluh tahun,  Mulla Sadra muda sudah memiliki kemampuan intelektual yang  melebihi guru-gurunya, bahkan menurut Sayyid Muhammad  Khamene'i, tidak ada ilmuwan Syirāz masa itu yang melebihi  kemampuan Mulla Sadra.</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Selanjutnya disebut Al-Muqaddimah.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Didorong oleh dahaga intelektual dan sebagaimana juga</w:t>
      </w:r>
    </w:p>
    <w:p>
      <w:pPr>
        <w:pStyle w:val="BookText"/>
        <w:bidi w:val="0"/>
        <w:rPr/>
      </w:pPr>
      <w:r>
        <w:rPr>
          <w:rFonts w:eastAsia="Times New Roman" w:cs="Times New Roman" w:ascii="Times New Roman" w:hAnsi="Times New Roman"/>
          <w:color w:val="111111"/>
          <w:sz w:val="28"/>
          <w:szCs w:val="28"/>
          <w:lang w:val="en-US"/>
        </w:rPr>
        <w:t>tradisi yang terjadi pada para ilmuwan dan penuntut ilmu, Mulla  Sadra berniat melanjutkan pelajaran ke kota-kota lain, selain  Syirāz, untuk mencari guru-guru yang lebih berilmu. Awalnya,  rencana pengembaran inteketual dia tujukan ke Kota Isfahan,  tetapi kemudian dia menjatuhkan pilihan ke Kota Qazwin  karena di kota itu, beberapa ilmuwan dan ulama besar tinggal.</w:t>
      </w:r>
    </w:p>
    <w:p>
      <w:pPr>
        <w:pStyle w:val="BookText"/>
        <w:bidi w:val="0"/>
        <w:jc w:val="both"/>
        <w:rPr/>
      </w:pPr>
      <w:r>
        <w:rPr>
          <w:rFonts w:eastAsia="Times New Roman" w:cs="Times New Roman" w:ascii="Times New Roman" w:hAnsi="Times New Roman"/>
          <w:color w:val="111111"/>
          <w:sz w:val="28"/>
          <w:szCs w:val="28"/>
          <w:lang w:val="en-US"/>
        </w:rPr>
        <w:t>Selain itu, gubernur Syirāz, Muhammad Khudo Bandeh Safawi,  diangkat menjadi Raja Persia yang ibu kota pemerintahan masa  itu terletak di Qazwin. Oleh karena itu, Mulla Sadra dan seluruh  anggota keluarganya kemudian pindah ke Kota Qazwin dan itu  terjadi pada saat usianya menjelang tiga puluh tahun, bertepatan  dengan permulaan abad 11 H atau sekitar tahun 1003 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berdasarkan catatan kumpulan tulisan tangan  beliau yang ditulis di Qazwin pada tahun 1004 H dan catatan  kakinya atas kitab Halāliyyah Syaikh Baha'i, tertulis tahun 1005  H sehingga diprediksikan bahwa Mulla Sadra belajar di Qazwin  dengan bimbingan Syaikh Baha'i dan Mir Damad sekitar tahun  1003 H-1007 H. Tahun hijrahnya Mulla Sadra ke Kota Qazwin  bertepatan juga dengan tahun lahirnya filsuf lain di Barat, yaitu  Rene Descartes.</w:t>
      </w:r>
      <w:r>
        <w:rPr>
          <w:rStyle w:val="FootnoteAnchor"/>
        </w:rPr>
        <w:footnoteReference w:id="23"/>
      </w:r>
      <w:r>
        <w:rPr>
          <w:rFonts w:eastAsia="Times New Roman" w:cs="Times New Roman" w:ascii="Times New Roman" w:hAnsi="Times New Roman"/>
          <w:color w:val="111111"/>
          <w:sz w:val="28"/>
          <w:szCs w:val="28"/>
          <w:lang w:val="en-US"/>
        </w:rPr>
        <w:t xml:space="preserve"> Berdasarkan hasil tulisan-tulisan Mulla Sadra, diketahui  pula bahwa pada masa itu, dia berhasil memiliki perpustakaan  terlengkap yang meliputi berbagai cabang ilmu, baik dalam  gnostik, filsafat, syair-syair, tafsir Alquran dan kitab-kitab hadis,  bahkan naskah-naskah asli para penulis yang sangat langka  sekalipun. Hal itu juga atas bantuan kekayaan yang dimiliki  ayahnya. Dengan demikian, Mulla Sadra memiliki kekayaan  referensi ilmiah yang juga ikut membantu penguasannya  terhadap cabang-cabang ilmu. </w:t>
      </w:r>
    </w:p>
    <w:p>
      <w:pPr>
        <w:pStyle w:val="BookText"/>
        <w:bidi w:val="0"/>
        <w:rPr/>
      </w:pPr>
      <w:r>
        <w:rPr>
          <w:rFonts w:eastAsia="Times New Roman" w:cs="Times New Roman" w:ascii="Times New Roman" w:hAnsi="Times New Roman"/>
          <w:color w:val="111111"/>
          <w:sz w:val="28"/>
          <w:szCs w:val="28"/>
          <w:lang w:val="en-US"/>
        </w:rPr>
        <w:t>Pada tahun 1006 H, ketika Raja Abbas I berkuasa, terjadi  pemindahan ibu kota dari Qazwin ke Kota Isfahan. Para ulama  dan seniman juga banyak yang ikut pindah dan termasuk di  antaranya guru-guru Mulla Sadra, seperti Syaikh Baha'i (pada  saat itu menjabat sebagai Menteri Hak-Hak Asasi) dan Mir  Damad (menjabat sebagai Imam resmi sholat Jumat ibu kota).</w:t>
      </w:r>
    </w:p>
    <w:p>
      <w:pPr>
        <w:pStyle w:val="BookText"/>
        <w:bidi w:val="0"/>
        <w:jc w:val="both"/>
        <w:rPr/>
      </w:pPr>
      <w:r>
        <w:rPr>
          <w:rFonts w:eastAsia="Times New Roman" w:cs="Times New Roman" w:ascii="Times New Roman" w:hAnsi="Times New Roman"/>
          <w:color w:val="111111"/>
          <w:sz w:val="28"/>
          <w:szCs w:val="28"/>
          <w:lang w:val="en-US"/>
        </w:rPr>
        <w:t>Hauzeh Ilmiyeh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Qom dan Masyhad merupakan dua kota pusat Hauzeh Ilmiyyeh di Iran.</w:t>
      </w:r>
    </w:p>
    <w:p>
      <w:pPr>
        <w:pStyle w:val="BookText"/>
        <w:bidi w:val="0"/>
        <w:jc w:val="both"/>
        <w:rPr/>
      </w:pPr>
      <w:r>
        <w:rPr>
          <w:rFonts w:eastAsia="Times New Roman" w:cs="Times New Roman" w:ascii="Times New Roman" w:hAnsi="Times New Roman"/>
          <w:color w:val="111111"/>
          <w:sz w:val="28"/>
          <w:szCs w:val="28"/>
          <w:lang w:val="en-US"/>
        </w:rPr>
        <w:t>Qazwin juga ikut dipindahkan ke Kota Isfahan.</w:t>
      </w:r>
    </w:p>
    <w:p>
      <w:pPr>
        <w:pStyle w:val="BookText"/>
        <w:bidi w:val="0"/>
        <w:jc w:val="both"/>
        <w:rPr/>
      </w:pPr>
      <w:r>
        <w:rPr>
          <w:rFonts w:eastAsia="Times New Roman" w:cs="Times New Roman" w:ascii="Times New Roman" w:hAnsi="Times New Roman"/>
          <w:color w:val="111111"/>
          <w:sz w:val="28"/>
          <w:szCs w:val="28"/>
          <w:lang w:val="en-US"/>
        </w:rPr>
        <w:t>Mulla Sadra termasuk di antara ulama yang dilibatkan  dalam upaya memindahkan dan membangun Hauzeh Ilmiyeh  baru di Isfahan sehingga membuatnya ikut pindah ke Kota Isfahan.</w:t>
      </w:r>
    </w:p>
    <w:p>
      <w:pPr>
        <w:pStyle w:val="BookText"/>
        <w:bidi w:val="0"/>
        <w:jc w:val="both"/>
        <w:rPr/>
      </w:pPr>
      <w:r>
        <w:rPr>
          <w:rFonts w:eastAsia="Times New Roman" w:cs="Times New Roman" w:ascii="Times New Roman" w:hAnsi="Times New Roman"/>
          <w:color w:val="111111"/>
          <w:sz w:val="28"/>
          <w:szCs w:val="28"/>
          <w:lang w:val="en-US"/>
        </w:rPr>
        <w:t>Selang beberapa waktu kemudian, Mulla Sadra muda berhasil  menamatkan pelajarannya dalam    bidang Filsafat Peripatetik,    Filsafat Iluminasi, Gnostik,  Logika, Ilmu Kalam, Fiqh, Tafsir,  gurunya. Mir Damad, yang  Hadis, Astronomi, Matematika,    dan Kedokteran.</w:t>
      </w:r>
    </w:p>
    <w:p>
      <w:pPr>
        <w:pStyle w:val="BookText"/>
        <w:bidi w:val="0"/>
        <w:jc w:val="both"/>
        <w:rPr/>
      </w:pPr>
      <w:r>
        <w:rPr>
          <w:rFonts w:eastAsia="Times New Roman" w:cs="Times New Roman" w:ascii="Times New Roman" w:hAnsi="Times New Roman"/>
          <w:color w:val="111111"/>
          <w:sz w:val="28"/>
          <w:szCs w:val="28"/>
          <w:lang w:val="en-US"/>
        </w:rPr>
        <w:t>Kecerdasannya yang luar    biasa memberikan kekaguman    tersendiri bagi guru-gurunya. Mir  Damad, yang dianggap sebagai    Muallim Tsalis setelah Aristoteles    dan Al-Farābi, seringkali  menangis membaca karya-karya  tulis yang dihasilkan Mulla Sadra karena ia merasa mendapat  anugerah Allah memiliki murid yang lebih cerdas dari dirinya.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tidak diketahui secara rinci kehidupan Mulla  Sadra pada fase ini, diperkirakan sekitar tahun 1024 H, Mulla  Sadra kembali ke Kota Syirāz. Di kota kelahirannya ini, Mulla </w:t>
      </w:r>
    </w:p>
    <w:p>
      <w:pPr>
        <w:pStyle w:val="BookText"/>
        <w:bidi w:val="0"/>
        <w:rPr/>
      </w:pPr>
      <w:r>
        <w:rPr>
          <w:rFonts w:eastAsia="Times New Roman" w:cs="Times New Roman" w:ascii="Times New Roman" w:hAnsi="Times New Roman"/>
          <w:color w:val="111111"/>
          <w:sz w:val="28"/>
          <w:szCs w:val="28"/>
          <w:lang w:val="en-US"/>
        </w:rPr>
        <w:t>Sadra menikah dan mengajar. Sebagaimana layaknya seorang  jenius, pemikiran-pemikiran Mulla Sadra jauh melampaui  zamannya, apalagi pada masa itu, pada umumnya, ulama  berasal dari kelompok Akhbariyyin</w:t>
      </w:r>
      <w:r>
        <w:rPr>
          <w:rStyle w:val="FootnoteAnchor"/>
        </w:rPr>
        <w:footnoteReference w:id="25"/>
      </w:r>
      <w:r>
        <w:rPr>
          <w:rFonts w:eastAsia="Times New Roman" w:cs="Times New Roman" w:ascii="Times New Roman" w:hAnsi="Times New Roman"/>
          <w:color w:val="111111"/>
          <w:sz w:val="28"/>
          <w:szCs w:val="28"/>
          <w:lang w:val="en-US"/>
        </w:rPr>
        <w:t>yang sangat kaku terhadap  pandangan-pandangan filosofis yang bersifat spekulatif.</w:t>
      </w:r>
    </w:p>
    <w:p>
      <w:pPr>
        <w:pStyle w:val="BookText"/>
        <w:bidi w:val="0"/>
        <w:jc w:val="both"/>
        <w:rPr/>
      </w:pPr>
      <w:r>
        <w:rPr>
          <w:rFonts w:eastAsia="Times New Roman" w:cs="Times New Roman" w:ascii="Times New Roman" w:hAnsi="Times New Roman"/>
          <w:color w:val="111111"/>
          <w:sz w:val="28"/>
          <w:szCs w:val="28"/>
          <w:lang w:val="en-US"/>
        </w:rPr>
        <w:t>Sebagian menduga karena pandangannya tentang Wahdat  al-Wujūd, Mulla Sadra kemudian difitnah sebagai penyebar  kesesatan, zindiq, dan kafir.</w:t>
      </w:r>
      <w:r>
        <w:rPr>
          <w:rStyle w:val="FootnoteAnchor"/>
        </w:rPr>
        <w:footnoteReference w:id="26"/>
      </w:r>
      <w:r>
        <w:rPr>
          <w:rFonts w:eastAsia="Times New Roman" w:cs="Times New Roman" w:ascii="Times New Roman" w:hAnsi="Times New Roman"/>
          <w:color w:val="111111"/>
          <w:sz w:val="28"/>
          <w:szCs w:val="28"/>
          <w:lang w:val="en-US"/>
        </w:rPr>
        <w:t xml:space="preserve"> Fitnah-fitnah yang semakin keras menyebabkan Mulla  Sadra meninggalkan Kota Syirāz dan memilih Kahak</w:t>
      </w:r>
      <w:r>
        <w:rPr>
          <w:rStyle w:val="FootnoteAnchor"/>
        </w:rPr>
        <w:footnoteReference w:id="27"/>
      </w:r>
      <w:r>
        <w:rPr>
          <w:rFonts w:eastAsia="Times New Roman" w:cs="Times New Roman" w:ascii="Times New Roman" w:hAnsi="Times New Roman"/>
          <w:color w:val="111111"/>
          <w:sz w:val="28"/>
          <w:szCs w:val="28"/>
          <w:lang w:val="en-US"/>
        </w:rPr>
        <w:t>sebagai  tempat tinggal selanjutnya. Kahak adalah sebuah desa kecil  di pinggiran Kota Qom. Mulla Sadra sengaja memilih desa ini  karena tempatnya yang berdekatan dengan Kota Qom yang di  situ dimakamkan Fatimah Al-Ma'sumah binti Musa Ibn Jaʼfar.</w:t>
      </w:r>
      <w:r>
        <w:rPr>
          <w:rStyle w:val="FootnoteAnchor"/>
        </w:rPr>
        <w:footnoteReference w:id="28"/>
      </w:r>
      <w:r>
        <w:rPr>
          <w:rFonts w:eastAsia="Times New Roman" w:cs="Times New Roman" w:ascii="Times New Roman" w:hAnsi="Times New Roman"/>
          <w:color w:val="111111"/>
          <w:sz w:val="28"/>
          <w:szCs w:val="28"/>
          <w:lang w:val="en-US"/>
        </w:rPr>
        <w:t xml:space="preserve"> Mulla Sadra juga berniat melakukan kontemplasi ruhani di  desa tersebut, berdasarkan bimbingan-bimbingan yang pernah  diterima dari para gurunya di Isfahan. Dalam hal ini, Henry  Corbin, pada pengantar kitab A-Masya'ir, menceritakan,  “Mulla Sadra memiliki eksperimen yang luar biasa dalam  ibadah dan riyādah (disiplin) ruhani berdasarkan suluk  yang diajarkan dan dibimbing oleh dua guru utamanya  (Mirdamad dan Syaikh Baha'i). Meskipun sebagian besar  pernah dia lakukan, tetapi dalam periode ini, Mulla Sadra  kembali mengulangi suluk yang diajarkan gurunya tersebut,  ditambah dengan ketenangan dan ketajaman batinnya,  serta tingkat ilmunya yang tinggi, Mulla Sadra berhasil  mendapatkan ilham, penyaksian batin, dan pancaran Ilahi.</w:t>
      </w:r>
    </w:p>
    <w:p>
      <w:pPr>
        <w:pStyle w:val="BookText"/>
        <w:bidi w:val="0"/>
        <w:jc w:val="both"/>
        <w:rPr/>
      </w:pPr>
      <w:r>
        <w:rPr>
          <w:rFonts w:eastAsia="Times New Roman" w:cs="Times New Roman" w:ascii="Times New Roman" w:hAnsi="Times New Roman"/>
          <w:color w:val="111111"/>
          <w:sz w:val="28"/>
          <w:szCs w:val="28"/>
          <w:lang w:val="en-US"/>
        </w:rPr>
        <w:t>Pada akhir kontemplasinya yang menghabiskan masa lima  belas tahun, Mulla Sadra mendapatkan bisikan gaib untuk  kembali mengajar dan menulis kitab-kitab filsafat."</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Teks asli sebagai berikut:</w:t>
      </w:r>
    </w:p>
    <w:p>
      <w:pPr>
        <w:pStyle w:val="BookText"/>
        <w:bidi w:val="0"/>
        <w:jc w:val="both"/>
        <w:rPr/>
      </w:pPr>
      <w:r>
        <w:rPr>
          <w:rFonts w:eastAsia="Times New Roman" w:cs="Times New Roman" w:ascii="Times New Roman" w:hAnsi="Times New Roman"/>
          <w:color w:val="111111"/>
          <w:sz w:val="28"/>
          <w:szCs w:val="28"/>
          <w:lang w:val="en-US"/>
        </w:rPr>
        <w:t>"C'est dans cette solitude de jardins que Molla Sadra  consacra plusieurs annees de sa jeunesse a atteindre a cette  re'Alization sprituelle personalle pour laquelle la philosophie  est l'indispensable point de depart, mais san laquelle , aux  yeux de Sadra et de tous ceux de son ecole, la philosophie  ne serait qu'uene enterprise sterile et ilusoire. Pour entrer      dan cette solitude, et pour en ressortir victorieusement,  il fallait avoir deja pratique la haute discipline personelle  qui garantit l'independence a l'egard des opinions toutes  faites. Opinion recues ou opinions pruhibees"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Hal ini juga disebutkan Mulla Sadra dalam pendahuluan  kitabnya, Al-Hikmah Al-Muta'āliyyah fi Al-Asfār Al-Arba'ah, dan</w:t>
      </w:r>
    </w:p>
    <w:p>
      <w:pPr>
        <w:pStyle w:val="BookText"/>
        <w:bidi w:val="0"/>
        <w:rPr/>
      </w:pPr>
      <w:r>
        <w:rPr>
          <w:rFonts w:eastAsia="Times New Roman" w:cs="Times New Roman" w:ascii="Times New Roman" w:hAnsi="Times New Roman"/>
          <w:color w:val="111111"/>
          <w:sz w:val="28"/>
          <w:szCs w:val="28"/>
          <w:lang w:val="en-US"/>
        </w:rPr>
        <w:t>juga pada sebagian kitabnya yang lain. Pada masa ini juga, Mulla  Sadra berhasil menulis beberapa buku, terutama kitab magnum  opus-nya, dan mendidik beberapa murid yang kemudian menjadi  filsuf-filsuf penting, antara lain, Mulla Muhsin Faid Kāsyāni dan  Mulla Abdul Razaq Lahiji.</w:t>
      </w:r>
    </w:p>
    <w:p>
      <w:pPr>
        <w:pStyle w:val="BookText"/>
        <w:bidi w:val="0"/>
        <w:jc w:val="both"/>
        <w:rPr/>
      </w:pPr>
      <w:r>
        <w:rPr>
          <w:rFonts w:eastAsia="Times New Roman" w:cs="Times New Roman" w:ascii="Times New Roman" w:hAnsi="Times New Roman"/>
          <w:color w:val="111111"/>
          <w:sz w:val="28"/>
          <w:szCs w:val="28"/>
          <w:lang w:val="en-US"/>
        </w:rPr>
        <w:t>Sekitar tahun 1040 H, berdasarkan surat dari Mulla  Muhsin Faid Kāsyāni yang mengajak kembali ke Kota Syirāz,  Mulla Sadra beserta keluarga dan murid-muridnya kembali  ke Kota Syirāz. Sebagian sejarawan menyebutkan bahwa  Imam Qāli Khan, Hakim Independen Fars dan Teluk Persia,  mengajak Mulla Sadra kembali ke Kota Syirāz karena ayahnya  wafat setelah membangun sekolah besar dan belum sempat  menyelenggarakan pendidikan di situ. Untuk itu, Qali Khan  mengajak Mulla Sadra mengembangkannya bersama.</w:t>
      </w:r>
    </w:p>
    <w:p>
      <w:pPr>
        <w:pStyle w:val="BookText"/>
        <w:bidi w:val="0"/>
        <w:jc w:val="both"/>
        <w:rPr/>
      </w:pPr>
      <w:r>
        <w:rPr>
          <w:rFonts w:eastAsia="Times New Roman" w:cs="Times New Roman" w:ascii="Times New Roman" w:hAnsi="Times New Roman"/>
          <w:color w:val="111111"/>
          <w:sz w:val="28"/>
          <w:szCs w:val="28"/>
          <w:lang w:val="en-US"/>
        </w:rPr>
        <w:t>Sebuah fase kehidupan baru dimulai. Selain mengajar  Filsafat, Mulla Sadra juga mengajar Tafsir dan Hadis, dan  menulis karya-karya besar lainnya, antara lain, tafsir Alquran  yang merupakan sebuah tafsir filsafat, juga Syarh Usūl al-Kāfi  (Hadis-hadis Syi'ah yang dikumpulkan Marhum Kulayni). Selain  itu, banyak karya lain yang dia hasilkan pada fase ini sehingga  pemikirannya mulai banyak dikenal luas serta banyak murid  yang datang dari kota-kota yang jauh khusus untuk belajar pada  Mulla Sadra, bahkan beberapa muridnya kemudian menjadi  komentator-komentator ulung atas karya-karya Mulla Sadra dan  memperkenalkan pemikiran filsafat Mulla Sadra kepada para  pemikir Islam lainnya.</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bentuk riyadah syar'iyyāh sekaligus batiniyyāh  yang juga selalu dilakukan Mulla Sadra adalah menunaikan  ibadah Haji, kemudian ke Irak untuk menziarahi makam  Dr. Khalid Al-Walid </w:t>
      </w:r>
    </w:p>
    <w:p>
      <w:pPr>
        <w:pStyle w:val="BookText"/>
        <w:bidi w:val="0"/>
        <w:rPr/>
      </w:pPr>
      <w:r>
        <w:rPr>
          <w:rFonts w:eastAsia="Times New Roman" w:cs="Times New Roman" w:ascii="Times New Roman" w:hAnsi="Times New Roman"/>
          <w:color w:val="111111"/>
          <w:sz w:val="28"/>
          <w:szCs w:val="28"/>
          <w:lang w:val="en-US"/>
        </w:rPr>
        <w:t>Bagian Pertama: Biografi Mulla Sadra  suci Imam 'Ali Ibn Abi Talib di Kota Najaf dan Makam Imam  Husayn ibn 'Ali di Kota Karbala. Sudah menjadi ketentuan Allah  bahwa “semua yang bernyawa akan mengalami kematian",</w:t>
      </w:r>
      <w:r>
        <w:rPr>
          <w:rStyle w:val="FootnoteAnchor"/>
        </w:rPr>
        <w:footnoteReference w:id="3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 نَفْسٍ ذَائِقَةُ الْمَوْتِ ثُمَّ إِلَیْنَا تُرْجَعُونَ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demikian pula halnya dengan Mulla Sadra. Dia tiba pada akhir  perjalanan hidupnya sekembali dari menunaikan ibadah Haji  yang ketujuh. Mulla Sadra meninggal dunia di Irak karena sakit  yang dideritanya dan peristiwa itu terjadi pada tahun 1050  H/1640 M, tetapi sayangnya, sampai saat ini tidak diketahui  dengan pasti letak kubur Mulla Sadra. Hadrat Ayatullah Sayyid  Abul Hasan Rafi'i Qazwini, salah seorang Sayyid Arab di Basrah,  pernah menemukan nisan bertuliskan Mulla Sadra, tetapi  setelah dicari kembali beberapa tahun kemudian, makam itu  tidak lagi ditemukan.</w:t>
      </w:r>
    </w:p>
    <w:p>
      <w:pPr>
        <w:pStyle w:val="BookText"/>
        <w:bidi w:val="0"/>
        <w:jc w:val="both"/>
        <w:rPr/>
      </w:pPr>
      <w:r>
        <w:rPr>
          <w:rFonts w:eastAsia="Times New Roman" w:cs="Times New Roman" w:ascii="Times New Roman" w:hAnsi="Times New Roman"/>
          <w:color w:val="111111"/>
          <w:sz w:val="28"/>
          <w:szCs w:val="28"/>
          <w:lang w:val="en-US"/>
        </w:rPr>
        <w:t>Mulla Abdul Razaq Lahiji menulis kepedihannya ketika  mendengar meninggalnya Mulla Sadra.</w:t>
      </w:r>
    </w:p>
    <w:p>
      <w:pPr>
        <w:pStyle w:val="BookText"/>
        <w:bidi w:val="0"/>
        <w:jc w:val="both"/>
        <w:rPr/>
      </w:pPr>
      <w:r>
        <w:rPr>
          <w:rFonts w:eastAsia="Times New Roman" w:cs="Times New Roman" w:ascii="Times New Roman" w:hAnsi="Times New Roman"/>
          <w:color w:val="111111"/>
          <w:sz w:val="28"/>
          <w:szCs w:val="28"/>
          <w:lang w:val="en-US"/>
        </w:rPr>
        <w:t>"Baru saja langit melemparkan batu ke dalam gelasku.</w:t>
      </w:r>
    </w:p>
    <w:p>
      <w:pPr>
        <w:pStyle w:val="BookText"/>
        <w:bidi w:val="0"/>
        <w:jc w:val="both"/>
        <w:rPr/>
      </w:pPr>
      <w:r>
        <w:rPr>
          <w:rFonts w:eastAsia="Times New Roman" w:cs="Times New Roman" w:ascii="Times New Roman" w:hAnsi="Times New Roman"/>
          <w:color w:val="111111"/>
          <w:sz w:val="28"/>
          <w:szCs w:val="28"/>
          <w:lang w:val="en-US"/>
        </w:rPr>
        <w:t>Dan tanah pun penuh dengan serpihan gelas itu. Sekali  lagi, langit mengecewakan aku. Kepergian sang guru telah  menyebabkan luka. Seperti luka ‘Ali dalam syahidnya Al-  Mustafa, aku selalu dalam penderitaan, tak pernah lepas  walau sesaat. Rasa sakit ini, lebih sakit dari sebelumnya.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Guruku, pembimbingku dan bapak ruhaniku. Benar bila  saya memujanya sampai hari kebangkitan. Semula aku  hanyalah tanah gelap kebodohan dan keangkuhan. Tapi  kini, aku adalah emas karena sentuhannya. Dialah yang  membawaku dari dasar sumur kebodohan ke puncak  kemuliaan."</w:t>
      </w:r>
      <w:r>
        <w:rPr>
          <w:rStyle w:val="FootnoteAnchor"/>
        </w:rPr>
        <w:footnoteReference w:id="31"/>
      </w:r>
      <w:r>
        <w:rPr>
          <w:rFonts w:eastAsia="Times New Roman" w:cs="Times New Roman" w:ascii="Times New Roman" w:hAnsi="Times New Roman"/>
          <w:color w:val="111111"/>
          <w:sz w:val="28"/>
          <w:szCs w:val="28"/>
          <w:lang w:val="en-US"/>
        </w:rPr>
        <w:t xml:space="preserve"> Mulla Sadra meninggalkan dua anak laki-laki dan tiga  anak perempuan. Anak laki-lakinya pertama bernama Ibrahim  dan terkenal dengan sebutan Mulla Ibrahim. Ia dikenal sebagai  seorang filsuf, muhaddits, mutakallim, faqih, dan juga banyak </w:t>
      </w:r>
      <w:bookmarkStart w:id="39" w:name="pg6434_60549"/>
    </w:p>
    <w:p>
      <w:pPr>
        <w:pStyle w:val="BookText"/>
        <w:bidi w:val="0"/>
        <w:rPr/>
      </w:pPr>
      <w:bookmarkEnd w:id="39"/>
      <w:r>
        <w:rPr>
          <w:rFonts w:eastAsia="Times New Roman" w:cs="Times New Roman" w:ascii="Times New Roman" w:hAnsi="Times New Roman"/>
          <w:color w:val="111111"/>
          <w:sz w:val="28"/>
          <w:szCs w:val="28"/>
          <w:lang w:val="en-US"/>
        </w:rPr>
        <w:t>menulis syair-syair serta karya-karya lain di berbagai bidang.</w:t>
      </w:r>
    </w:p>
    <w:p>
      <w:pPr>
        <w:pStyle w:val="BookText"/>
        <w:bidi w:val="0"/>
        <w:jc w:val="both"/>
        <w:rPr/>
      </w:pPr>
      <w:r>
        <w:rPr>
          <w:rFonts w:eastAsia="Times New Roman" w:cs="Times New Roman" w:ascii="Times New Roman" w:hAnsi="Times New Roman"/>
          <w:color w:val="111111"/>
          <w:sz w:val="28"/>
          <w:szCs w:val="28"/>
          <w:lang w:val="en-US"/>
        </w:rPr>
        <w:t>Salah satu karya terkenalnya adalah tafsir yang berjudul Al-Urwah  Al-Wutsqo. Ia lahir pada tahun 1021 H dan meninggal dunia pada  tahun 1070 H. Anak laki-laki keduanya bernama Nizamuddin  Ahmad, terkenal dengan sebutan Mirza Nizām. Lahir di Kāsyān  pada tahun 1031 H dan meninggal dunia pada tahun 1074 H di  Kota Syirāz. Ia juga dikenal sebagai filsuf, penyair, dan ahli tata  bahasa Arab. Anak pertama yang perempuan bernama Ummu  Kaltsum (1019 H-1097 H), Zubaidah (1023 H-1097 H),  dan Ma'sumah (1033 H-1093 H). Ummu Kaltsum merupakan  istri dari Mawla Abdul Razaq Lahiji, Zubaidah merupakan istri  dari Mulla Muhsin Faid Kāsyāni, sedangkan Ma'sumah istri dari  Qawamuddin Syirazi.</w:t>
      </w:r>
    </w:p>
    <w:p>
      <w:pPr>
        <w:pStyle w:val="Heading3"/>
        <w:numPr>
          <w:ilvl w:val="2"/>
          <w:numId w:val="1"/>
        </w:numPr>
        <w:bidi w:val="0"/>
        <w:jc w:val="left"/>
        <w:rPr/>
      </w:pPr>
      <w:bookmarkStart w:id="40" w:name="__RefHeading___Toc808166_653776707"/>
      <w:bookmarkStart w:id="41" w:name="_Toc12"/>
      <w:bookmarkEnd w:id="40"/>
      <w:r>
        <w:rPr/>
        <w:t>2. Guru-Guru</w:t>
      </w:r>
      <w:bookmarkEnd w:id="41"/>
    </w:p>
    <w:p>
      <w:pPr>
        <w:pStyle w:val="BookText"/>
        <w:bidi w:val="0"/>
        <w:jc w:val="both"/>
        <w:rPr/>
      </w:pPr>
      <w:r>
        <w:rPr>
          <w:rFonts w:eastAsia="Times New Roman" w:cs="Times New Roman" w:ascii="Times New Roman" w:hAnsi="Times New Roman"/>
          <w:color w:val="111111"/>
          <w:sz w:val="28"/>
          <w:szCs w:val="28"/>
          <w:lang w:val="en-US"/>
        </w:rPr>
        <w:t>Tidak diperoleh catatan sejarah tentang guru-guru Mulla  Sadra secara rinci, terutama ketika masa kanak-kanaknya. Akan  tetapi, guru-guru masyhur yang membimbing Mulla Sadra sejak  berada di Kota Qazwin dan Kota Isfahan ada tiga orang, yaitu: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Mir Damad  Nama lengkapnya Muhammad Baqir ibn Syam Al-Din  Muhammad Al-Husayni Al-Astarābadi.</w:t>
      </w:r>
      <w:r>
        <w:rPr>
          <w:rStyle w:val="FootnoteAnchor"/>
        </w:rPr>
        <w:footnoteReference w:id="32"/>
      </w:r>
      <w:r>
        <w:rPr>
          <w:rFonts w:eastAsia="Times New Roman" w:cs="Times New Roman" w:ascii="Times New Roman" w:hAnsi="Times New Roman"/>
          <w:color w:val="111111"/>
          <w:sz w:val="28"/>
          <w:szCs w:val="28"/>
          <w:lang w:val="en-US"/>
        </w:rPr>
        <w:t xml:space="preserve">Dilahirkan di Kota  Astarābadi dan meninggal dunia pada tahun 1041 M di Kota  Najaf, setelah tinggal selama satu tahun untuk berkhidmat  pada makam Imam 'Ali Ibn Abi Talib. </w:t>
      </w:r>
      <w:r>
        <w:rPr>
          <w:rStyle w:val="FootnoteAnchor"/>
        </w:rPr>
        <w:footnoteReference w:id="33"/>
      </w:r>
      <w:r>
        <w:rPr>
          <w:rFonts w:eastAsia="Times New Roman" w:cs="Times New Roman" w:ascii="Times New Roman" w:hAnsi="Times New Roman"/>
          <w:color w:val="111111"/>
          <w:sz w:val="28"/>
          <w:szCs w:val="28"/>
          <w:lang w:val="en-US"/>
        </w:rPr>
        <w:t xml:space="preserve">Mir Damad memulai  pendidikannya di Kota Isfahan dan kemudian melanjutkan ke  Kota Masyhad. Guru utama Mir Damad, terutama dalam bidang  aqliyyah, adalah Mujtahid Syaikh Abdul ‘Ali ibn 'Ali dan Syaikh </w:t>
      </w:r>
    </w:p>
    <w:p>
      <w:pPr>
        <w:pStyle w:val="BookText"/>
        <w:bidi w:val="0"/>
        <w:rPr/>
      </w:pPr>
      <w:r>
        <w:rPr>
          <w:rFonts w:eastAsia="Times New Roman" w:cs="Times New Roman" w:ascii="Times New Roman" w:hAnsi="Times New Roman"/>
          <w:color w:val="111111"/>
          <w:sz w:val="28"/>
          <w:szCs w:val="28"/>
          <w:lang w:val="en-US"/>
        </w:rPr>
        <w:t>Izuddin Husain ibn Abd  samad. mir damad      dikenal pemikirannya    bercorak Aristotelian.</w:t>
      </w:r>
    </w:p>
    <w:p>
      <w:pPr>
        <w:pStyle w:val="BookText"/>
        <w:bidi w:val="0"/>
        <w:jc w:val="both"/>
        <w:rPr/>
      </w:pPr>
      <w:r>
        <w:rPr>
          <w:rFonts w:eastAsia="Times New Roman" w:cs="Times New Roman" w:ascii="Times New Roman" w:hAnsi="Times New Roman"/>
          <w:color w:val="111111"/>
          <w:sz w:val="28"/>
          <w:szCs w:val="28"/>
          <w:lang w:val="en-US"/>
        </w:rPr>
        <w:t>Dia merupakan pendiri    dari Mazhab Isfahan    (The School of Isfahan).</w:t>
      </w:r>
    </w:p>
    <w:p>
      <w:pPr>
        <w:pStyle w:val="BookText"/>
        <w:bidi w:val="0"/>
        <w:jc w:val="both"/>
        <w:rPr/>
      </w:pPr>
      <w:r>
        <w:rPr>
          <w:rFonts w:eastAsia="Times New Roman" w:cs="Times New Roman" w:ascii="Times New Roman" w:hAnsi="Times New Roman"/>
          <w:color w:val="111111"/>
          <w:sz w:val="28"/>
          <w:szCs w:val="28"/>
          <w:lang w:val="en-US"/>
        </w:rPr>
        <w:t>Karena penguasaannya    terhadap hampir    seluruh cabang ilmu,  mulai dari filsafat,    logika, astronomi    sampai ilmu musik,  Mir Damad dianggap    sebagai Muallim Ketiga    setelah Aristoteles dan  Al-Farābi. Sebagian juga menyebutkan gelar tersebut didapat  karena penguasaannya terhadap filsafat Aristoteles. Mir Damad  merupakan perintis dalam upaya sintesis beberapa pemikiran  Islam sebelumnya. Sayangnya, apa yang dilakukan Mir Damad  belum memadai dan dengan semangat yang sama, kemudian  diteruskan oleh Mulla Sadra. Pada masanya, Mir Damad  dianggap tokoh utama dalam filsafat dan ilmu-ilmu aqliyyah  lainnya serta komentator tangguh dari mazhab Peripatetik Ibn  Sina.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intelektual, Mir Damad meninggalkan warisan  ilmiah dalam bentuk buku-buku yang cukup banyak, antara  lain, Al-Qabasāt adalah karya filsafat Mir Damad yang cukup  besar dan berkali-kali menjadi rujukan Mulla Sadra dalam </w:t>
      </w:r>
    </w:p>
    <w:p>
      <w:pPr>
        <w:pStyle w:val="BookText"/>
        <w:bidi w:val="0"/>
        <w:rPr/>
      </w:pPr>
      <w:r>
        <w:rPr>
          <w:rFonts w:eastAsia="Times New Roman" w:cs="Times New Roman" w:ascii="Times New Roman" w:hAnsi="Times New Roman"/>
          <w:color w:val="111111"/>
          <w:sz w:val="28"/>
          <w:szCs w:val="28"/>
          <w:lang w:val="en-US"/>
        </w:rPr>
        <w:t>kitab Al-Hikmah Al-Muta'āliyyah. Dua karya yang cukup besar  lainnya adalah Sirath Al-Mustaqim dan Al-Ufuq Al-Mubin. Selain  itu, ada banyak karya lain, yaitu Imádat, Taqwim Al-Iman,  Khulasah Al-Malākutiyyāh, Nibras Al-Diya', Al-Sab'u Al-Syidad,  Jazawat, Tasyriq Al-Haq, Dawabith Al-Rida'. Semua karya ini  membicarakan persoalan filsafat. Karya-karyanya dalam bidang  fiqih, antara lain, Risālah Fi Al-Jayb Al-Zāwiyyah, Risolehyi Fi Al-  Nahi Al-Tasmiyyah, Al-Iqāzat. Dalam bidang aqidah, karyanya  adalah Al-Rawāsikh Al-Samāwiyyah. Dalam ilmu Rijal al-Hadis,  karyanya adalah Syari' Al-Najāh dan Al-A'dalat. Mir Damad juga  menulis syair-syair, antara lain, Majma' Al-FuSaSa dan Afash  Kada. Kemudian, sebagaimana tradisi ulama Syi'ah, Mir Damad  juga membuat komentar atas hadis-hadis Imam-Imam Syi'ah  yang tercantum dalam kitab USūl Al-Kahfi karya Muhammad ibn  Ya'qub Al-Kulayni.</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Imperial Tramian Academy of Philosopy, 1978), hlm. 169.</w:t>
      </w:r>
    </w:p>
    <w:p>
      <w:pPr>
        <w:pStyle w:val="BookText"/>
        <w:bidi w:val="0"/>
        <w:jc w:val="both"/>
        <w:rPr/>
      </w:pPr>
      <w:r>
        <w:rPr>
          <w:rFonts w:eastAsia="Times New Roman" w:cs="Times New Roman" w:ascii="Times New Roman" w:hAnsi="Times New Roman"/>
          <w:color w:val="111111"/>
          <w:sz w:val="28"/>
          <w:szCs w:val="28"/>
          <w:lang w:val="en-US"/>
        </w:rPr>
        <w:t>Ada banyak karya lain dari Mir Damad yang  sampai sekarang masih belum ditemukan.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Mulla Sadra sangat mengagumi Mir Damad dan dalam  banyak tulisannya, dia menjadikan Mir Damad sebagai prototipe  dirinya. Baginya Mir Damad-lah guru dalam ilmu-ilmu aqliyyah  dan ruhāniyyah. Dalam Muqaddimah Syarh USūl Al-Kahfi, Mulla  Sadra secara khusus memuji gurunya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Telah dikabarkan kepadaku dari penghuluku,  sandaranku, guruku dalam ilmu-ilmu agama, ilmu-ilmu  Ketuhanan, Makrifat Hakiki, dan prinsip-prinsip keyakinan,  penghulu yang memancarkan cahaya, 'alim yang suci, filsuf  ilahi, faqih Rabbani, Yang utama di masanya, Pemimpin  yang Agung, Rembulan Purnama, tanda-tanda zaman yang  bernama Muhammad dengan laqab Baqir ad-Damād al-  Husayni (Semoga Allah menyucikan akalnya dengan cahaya  ketuhanan)."</w:t>
      </w:r>
      <w:r>
        <w:rPr>
          <w:rStyle w:val="FootnoteAnchor"/>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وأخبرنی سیدی وسندی وأستاذی فی العالم الدینیة والعلوم الالهیة والمعارف  الحقیقیة والأصقل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الأنوار العالم المقدس الأطهرر  الحکیم الإلهی والفقیه الربانیر سید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وصفوة دهره، الأمیر الکبیر  والبدر المنیر، علامة الزمان، اعجوبة الدوران، المسمی بمحمد الملقب بباقر الدماد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عقله بالنور الربانی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B. Mir Findiriski  Mir Findiriski merupakan teman dialog Mir Damad. Pada  umumnya, murid-murid Mir Findiriski menulis karya-karya  yang berkaitan dengan Ibn Sina. Hal ini memberikan gambaran  bahwa Mir Findiriski merupakan tokoh Filsafat Peripatetik.</w:t>
      </w:r>
    </w:p>
    <w:p>
      <w:pPr>
        <w:pStyle w:val="BookText"/>
        <w:bidi w:val="0"/>
        <w:jc w:val="both"/>
        <w:rPr/>
      </w:pPr>
      <w:r>
        <w:rPr>
          <w:rFonts w:eastAsia="Times New Roman" w:cs="Times New Roman" w:ascii="Times New Roman" w:hAnsi="Times New Roman"/>
          <w:color w:val="111111"/>
          <w:sz w:val="28"/>
          <w:szCs w:val="28"/>
          <w:lang w:val="en-US"/>
        </w:rPr>
        <w:t>Berbeda halnnya dengan Mir Damad yang merupakan ilmuwan  peneliti yang sangat mendalam, juga sebagai Sahib al-Nazar,  Mir Findiriski banyak menolak konsep-konsep filsafat, seperti  Harākat al-Jawhariyyāh, Mutsul Aflatūn dan juga Ittihad al-'Aqil  wa al-Ma'qul. Pengaruh Peripatetik pada Mir Findiriski begitu  kuat sehingga sama sekali kita tidak dapat menemukan corak  berpikir filsuf Iluminasionis dan metode intuitif.</w:t>
      </w:r>
      <w:r>
        <w:rPr>
          <w:rStyle w:val="FootnoteAnchor"/>
        </w:rPr>
        <w:footnoteReference w:id="36"/>
      </w:r>
      <w:r>
        <w:rPr>
          <w:rFonts w:eastAsia="Times New Roman" w:cs="Times New Roman" w:ascii="Times New Roman" w:hAnsi="Times New Roman"/>
          <w:color w:val="111111"/>
          <w:sz w:val="28"/>
          <w:szCs w:val="28"/>
          <w:lang w:val="en-US"/>
        </w:rPr>
        <w:t xml:space="preserve"> Mulla Sadra juga secara khusus belajar kepada Mir  Findiriski, terutama dalam mazhab Filsafat Peripatetik,  meskipun Mulla Sadra tampaknya tidak banyak terpengaruh  oleh pemikiran Mir Findiriski karena warna pemikiran Mulla  Sadra lebih dekat kepada pemikiran Mir Damad.</w:t>
      </w:r>
    </w:p>
    <w:p>
      <w:pPr>
        <w:pStyle w:val="BookText"/>
        <w:bidi w:val="0"/>
        <w:jc w:val="both"/>
        <w:rPr/>
      </w:pPr>
      <w:r>
        <w:rPr>
          <w:rFonts w:eastAsia="Times New Roman" w:cs="Times New Roman" w:ascii="Times New Roman" w:hAnsi="Times New Roman"/>
          <w:color w:val="111111"/>
          <w:sz w:val="28"/>
          <w:szCs w:val="28"/>
          <w:lang w:val="en-US"/>
        </w:rPr>
        <w:t>Ada banyak karya Mir Findiriski yang sebagiannya hilang  dan sebagian lain tercatat secara tidak sempurna pada catatan  kaki murid-muridnya. Beberapa karya Mir Findiriski yang masih  ada, antara lain, Harākh, Mutsul va Ta'limot, dan Resoleye  Sano'iyye.</w:t>
      </w:r>
    </w:p>
    <w:p>
      <w:pPr>
        <w:pStyle w:val="BookText"/>
        <w:bidi w:val="0"/>
        <w:jc w:val="both"/>
        <w:rPr/>
      </w:pPr>
      <w:r>
        <w:rPr>
          <w:rFonts w:eastAsia="Times New Roman" w:cs="Times New Roman" w:ascii="Times New Roman" w:hAnsi="Times New Roman"/>
          <w:color w:val="111111"/>
          <w:sz w:val="28"/>
          <w:szCs w:val="28"/>
          <w:lang w:val="en-US"/>
        </w:rPr>
        <w:t>Mir Findiriski menjadi pengajar resmi di Kota Isfahan dan  pada tahun 1050 H ia meninggal dunia dalam perjalanannya ke  India.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Syaikh Baha'uddin Al-Amili  Mulla Sadra juga belajar secara khusus kepada Syaikh  Baha'uddin Al-Amili. Namun demikian, Mulla Sadra sangat </w:t>
      </w:r>
      <w:bookmarkStart w:id="42" w:name="pg6434_60553"/>
    </w:p>
    <w:p>
      <w:pPr>
        <w:pStyle w:val="BookText"/>
        <w:bidi w:val="0"/>
        <w:rPr/>
      </w:pPr>
      <w:bookmarkEnd w:id="42"/>
      <w:r>
        <w:rPr>
          <w:rFonts w:eastAsia="Times New Roman" w:cs="Times New Roman" w:ascii="Times New Roman" w:hAnsi="Times New Roman"/>
          <w:color w:val="111111"/>
          <w:sz w:val="28"/>
          <w:szCs w:val="28"/>
          <w:lang w:val="en-US"/>
        </w:rPr>
        <w:t>sedikit menyinggung tentang gurunya ini. Mulla Sadra belajar  ilmu Hadist, Rijāl al-Hadits, Fiqh, dan Usul Fiqh kepada gurunya  ini.</w:t>
      </w:r>
    </w:p>
    <w:p>
      <w:pPr>
        <w:pStyle w:val="BookText"/>
        <w:bidi w:val="0"/>
        <w:jc w:val="both"/>
        <w:rPr/>
      </w:pPr>
      <w:r>
        <w:rPr>
          <w:rFonts w:eastAsia="Times New Roman" w:cs="Times New Roman" w:ascii="Times New Roman" w:hAnsi="Times New Roman"/>
          <w:color w:val="111111"/>
          <w:sz w:val="28"/>
          <w:szCs w:val="28"/>
          <w:lang w:val="en-US"/>
        </w:rPr>
        <w:t>Secara khusus, Mulla Sadra hanya menyinggung gurunya  ini pada kitabnya, Syarh Usūl al-Kahfi, antara lain,“Telah  disampaikan kepadaku dari pembimbingku, guruku, dan  sandaranku dalam ilmu-ilmu naqliah, Yang paling berilmu pada  zamannya serta tokoh bagi masanya. Baha' Al-Haqq wa Al-  Din, Muhammad Al-Amili Al-Harisi Al-Hamadani, semoga Allah  memberikan cahaya bagi hatinya dengan cahaya kesucian ...."</w:t>
      </w:r>
      <w:r>
        <w:rPr>
          <w:rStyle w:val="FootnoteAnchor"/>
        </w:rPr>
        <w:footnoteReference w:id="37"/>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حدثنی شیخی واستادی ومن علیه فی العلوم النقلیة استنادی عالم  عصر وشیخ دهره، بهاء الحق والدین، محمد العاملی الحارثی الهمدانی نور  الله قلبه بالأنوار القدسیة عن والده الماجد المکرم وشیخه الممجد المعظم  الفاضل الکامل حسین بن عبد الصمد أفاض الله علی روحه الرحمة والرضوان  واسکنه دار الجنان عن شیخه واستاده النبیل عماد الاسلام وفخر المسلمین  زین الدین الشیخ العالی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الورع الجلیل علی بن  الهلال الجزائری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Syaikh Baha'uddin Al-Amili hidup pada masa yang  bersamaan dengan Mir Damad dan Mir Findiriski, tetapi dia  tidak banyak dikenal.</w:t>
      </w:r>
    </w:p>
    <w:p>
      <w:pPr>
        <w:pStyle w:val="Heading3"/>
        <w:numPr>
          <w:ilvl w:val="2"/>
          <w:numId w:val="1"/>
        </w:numPr>
        <w:bidi w:val="0"/>
        <w:jc w:val="left"/>
        <w:rPr/>
      </w:pPr>
      <w:bookmarkStart w:id="43" w:name="__RefHeading___Toc808168_653776707"/>
      <w:bookmarkStart w:id="44" w:name="_Toc13"/>
      <w:bookmarkEnd w:id="43"/>
      <w:r>
        <w:rPr/>
        <w:t>3. Murid-Murid</w:t>
      </w:r>
      <w:bookmarkEnd w:id="44"/>
    </w:p>
    <w:p>
      <w:pPr>
        <w:pStyle w:val="BookText"/>
        <w:bidi w:val="0"/>
        <w:jc w:val="both"/>
        <w:rPr/>
      </w:pPr>
      <w:r>
        <w:rPr>
          <w:rFonts w:eastAsia="Times New Roman" w:cs="Times New Roman" w:ascii="Times New Roman" w:hAnsi="Times New Roman"/>
          <w:color w:val="111111"/>
          <w:sz w:val="28"/>
          <w:szCs w:val="28"/>
          <w:lang w:val="en-US"/>
        </w:rPr>
        <w:t>Mulla Sadra adalah tokoh besar sehingga sudah  sewajarnyalah banyak murid yang berusaha menghilangkan  dahaga intelektualnya dengan belajar langsung kepada Mulla  Sadra. Ada banyak murid Mulla Sadra karena dia tidak pernah  lepas mengajar, meskipun pada fase kontemplasinya di Kahak.</w:t>
      </w:r>
    </w:p>
    <w:p>
      <w:pPr>
        <w:pStyle w:val="BookText"/>
        <w:bidi w:val="0"/>
        <w:jc w:val="both"/>
        <w:rPr/>
      </w:pPr>
      <w:r>
        <w:rPr>
          <w:rFonts w:eastAsia="Times New Roman" w:cs="Times New Roman" w:ascii="Times New Roman" w:hAnsi="Times New Roman"/>
          <w:color w:val="111111"/>
          <w:sz w:val="28"/>
          <w:szCs w:val="28"/>
          <w:lang w:val="en-US"/>
        </w:rPr>
        <w:t>Murid-murid Mulla Sadra tersebar di berbagai kota yang pernah  ditinggalinya. Namun, hanya beberapa yang masih tercatat  secara khusus, terutama karena kebesaran nama mereka, antara  lain,  A. Faid  Nama lengkapnya adalah Muhammad ibn Murtada dengan  laqab Mulla Muhsin. Faid Kasyanidilahirkan di Kota Kāsyān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Banyak tokoh besar dalam filsafat maupun tasawuf berasal  dari daerah ini, di antara yang terkenal adalah Abd. Razzaq Al-  Kasyani. Saat ini, Kota Kasyan menjadi salah satu tempat yang  banyak didatangi para peziarah.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tahun 1007 H. Dia meninggal dunia pada tahun 1091 H</w:t>
      </w:r>
    </w:p>
    <w:p>
      <w:pPr>
        <w:pStyle w:val="BookText"/>
        <w:bidi w:val="0"/>
        <w:rPr/>
      </w:pPr>
      <w:r>
        <w:rPr>
          <w:rFonts w:eastAsia="Times New Roman" w:cs="Times New Roman" w:ascii="Times New Roman" w:hAnsi="Times New Roman"/>
          <w:color w:val="111111"/>
          <w:sz w:val="28"/>
          <w:szCs w:val="28"/>
          <w:lang w:val="en-US"/>
        </w:rPr>
        <w:t>dan dimakamkan di Kota Kāsyān.</w:t>
      </w:r>
    </w:p>
    <w:p>
      <w:pPr>
        <w:pStyle w:val="BookText"/>
        <w:bidi w:val="0"/>
        <w:jc w:val="both"/>
        <w:rPr/>
      </w:pPr>
      <w:r>
        <w:rPr>
          <w:rFonts w:eastAsia="Times New Roman" w:cs="Times New Roman" w:ascii="Times New Roman" w:hAnsi="Times New Roman"/>
          <w:color w:val="111111"/>
          <w:sz w:val="28"/>
          <w:szCs w:val="28"/>
          <w:lang w:val="en-US"/>
        </w:rPr>
        <w:t>Meskipun karya-karya dalam filsafat tidak banyak, tetapi  karya-karya besarnya dalam bidang akhlak dan tafsir, sampai  sekarang, masih menjadi rujukan. Karyanya, Al-Wāfi (kumpulan  hadis-hadis Syi'ah), Al-Sāfi (tafsir Alquran), Al-Mahajjah Al-  Baydā' (merupakan kitab akhlak yang ditulis sebagai revisi bagi  kitab Ihya' Al-Ulūm Al-Din karya Imam Al-Ghazāli), dan dalam  bidang pengetahuan, Usūl Al-Ma'ārif wa Ayn Al-Yaqin. Ada  sekitar delapan puluh lagi karya-karya Mulla Muhsin Faid Al-  Kāsyāni.</w:t>
      </w:r>
    </w:p>
    <w:p>
      <w:pPr>
        <w:pStyle w:val="BookText"/>
        <w:bidi w:val="0"/>
        <w:jc w:val="both"/>
        <w:rPr/>
      </w:pPr>
      <w:r>
        <w:rPr>
          <w:rFonts w:eastAsia="Times New Roman" w:cs="Times New Roman" w:ascii="Times New Roman" w:hAnsi="Times New Roman"/>
          <w:color w:val="111111"/>
          <w:sz w:val="28"/>
          <w:szCs w:val="28"/>
          <w:lang w:val="en-US"/>
        </w:rPr>
        <w:t>Mulla Muhsin Faid Al-Kāsyāni dikenal sebagai tokoh  yang cukup disegani pada masanya. Dia dikenal sebagai  ulama akhlak yang menjadi panutan. Pada masa hidupnya,  dia juga merupakan salah seorang tokoh agama yang menjadi  penasihat resmi raja. Namun, karena perbedaanya dengan  raja, dia meninggalkan kota dan tinggal di sebuah desa untuk  memusatkan perhatiannya pada penelitian dan penulisan buku.</w:t>
      </w:r>
    </w:p>
    <w:p>
      <w:pPr>
        <w:pStyle w:val="BookText"/>
        <w:bidi w:val="0"/>
        <w:jc w:val="both"/>
        <w:rPr/>
      </w:pPr>
      <w:r>
        <w:rPr>
          <w:rFonts w:eastAsia="Times New Roman" w:cs="Times New Roman" w:ascii="Times New Roman" w:hAnsi="Times New Roman"/>
          <w:color w:val="111111"/>
          <w:sz w:val="28"/>
          <w:szCs w:val="28"/>
          <w:lang w:val="en-US"/>
        </w:rPr>
        <w:t>Dia pernah diminta Raja Safi, yang saat itu memerintah untuk  menjadi Imam sholat Jumat di Kota Isfahan, tetapi tawaran itu  dia tolak. Akan tetapi, karena dipaksa pada masa pemerintahan  Raja Abbas II, dia terima tawaran menjadi imam sholat Jumat di  Kota Isfahan.</w:t>
      </w:r>
    </w:p>
    <w:p>
      <w:pPr>
        <w:pStyle w:val="BookText"/>
        <w:bidi w:val="0"/>
        <w:jc w:val="both"/>
        <w:rPr/>
      </w:pPr>
      <w:r>
        <w:rPr>
          <w:rFonts w:eastAsia="Times New Roman" w:cs="Times New Roman" w:ascii="Times New Roman" w:hAnsi="Times New Roman"/>
          <w:color w:val="111111"/>
          <w:sz w:val="28"/>
          <w:szCs w:val="28"/>
          <w:lang w:val="en-US"/>
        </w:rPr>
        <w:t>Mulla Muhsin Faid Kāsyāni lebih dari delapan tahun  belajar khusus kepada Mulla Sadra. Dia juga menetap beberapa  tahun bersama Mulla Sadra di Syirāz karena dia merupakan  menantu Mulla Sadra dan baru kemudian, dia kembali ke kota  asalnya, Kāsyān.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Makamnya yang terletak di Kota Kāsyān, sampai saat ini,  masih sering didatangi para penziarah yang memohon berkah. </w:t>
      </w:r>
    </w:p>
    <w:p>
      <w:pPr>
        <w:pStyle w:val="BookText"/>
        <w:bidi w:val="0"/>
        <w:rPr/>
      </w:pPr>
      <w:r>
        <w:rPr>
          <w:rFonts w:eastAsia="Times New Roman" w:cs="Times New Roman" w:ascii="Times New Roman" w:hAnsi="Times New Roman"/>
          <w:color w:val="111111"/>
          <w:sz w:val="28"/>
          <w:szCs w:val="28"/>
          <w:lang w:val="en-US"/>
        </w:rPr>
        <w:t>Belakangan ini, banyak karyanya di bidang filsafat diterbitkan  kembali.</w:t>
      </w:r>
    </w:p>
    <w:p>
      <w:pPr>
        <w:pStyle w:val="BookText"/>
        <w:bidi w:val="0"/>
        <w:jc w:val="both"/>
        <w:rPr/>
      </w:pPr>
      <w:r>
        <w:rPr>
          <w:rFonts w:eastAsia="Times New Roman" w:cs="Times New Roman" w:ascii="Times New Roman" w:hAnsi="Times New Roman"/>
          <w:color w:val="111111"/>
          <w:sz w:val="28"/>
          <w:szCs w:val="28"/>
          <w:lang w:val="en-US"/>
        </w:rPr>
        <w:t>B. Mulla Abdul Razaq Lahiji  Mulla Abdul Razaq berasal dari Lahijān, salah satu kota  di propinsi Gilan. Tidak diketahui secara pasti tanggal lahir dan  latar belakang keluarganya. Mulla Abdul Razaq Lahiji meninggal  dunia pada tahun 1071 H.</w:t>
      </w:r>
    </w:p>
    <w:p>
      <w:pPr>
        <w:pStyle w:val="BookText"/>
        <w:bidi w:val="0"/>
        <w:jc w:val="both"/>
        <w:rPr/>
      </w:pPr>
      <w:r>
        <w:rPr>
          <w:rFonts w:eastAsia="Times New Roman" w:cs="Times New Roman" w:ascii="Times New Roman" w:hAnsi="Times New Roman"/>
          <w:color w:val="111111"/>
          <w:sz w:val="28"/>
          <w:szCs w:val="28"/>
          <w:lang w:val="en-US"/>
        </w:rPr>
        <w:t>Mulla Abdul Razaq dikenal sebagai filsuf, teolog, dan  penyair. Dia merupakan salah satu murid Mulla Sadra yang  cukup diperhitungkan. Mulanya, dia berjumpa dengan Mulla  Sadra di Kota Qom. Berdasarkan perkiraan, sejak itu dia selalu  menyertai Mulla Sadra selama di Kota Qom dan secara khusus  belajar filsafat, gnostik, ilmu kalam, dan logika. Dia juga salah  satu dari menantu Mulla Sadra. Namun, ketika Mulla Sadra  kembali ke Syirāz, ia memilih tetap tinggal di Qom.</w:t>
      </w:r>
    </w:p>
    <w:p>
      <w:pPr>
        <w:pStyle w:val="BookText"/>
        <w:bidi w:val="0"/>
        <w:jc w:val="both"/>
        <w:rPr/>
      </w:pPr>
      <w:r>
        <w:rPr>
          <w:rFonts w:eastAsia="Times New Roman" w:cs="Times New Roman" w:ascii="Times New Roman" w:hAnsi="Times New Roman"/>
          <w:color w:val="111111"/>
          <w:sz w:val="28"/>
          <w:szCs w:val="28"/>
          <w:lang w:val="en-US"/>
        </w:rPr>
        <w:t>Mulla Lahiji sangat dikenal dalam bidang syair, bahkan  sampai sekarang, syair-syairnya sering dibacakan oleh para  penyair di Iran. Karya-karya yang sangat terkenal adalah Masyāriq  Al-Ilhām yang membedah ilmu kalam dengan corak al-Hikmah  al-Muta'āliyyah. Karya-karya lainnya, antara lain, Hasyiyyah  ala Syarh Isyārāt (merupakan komentarnya atas komentar  Syaikh Tusi terhadap kitab Al-Isyārāt wa Al-Tanbihat karya  Ibn Sina), Guhare Murād (karyanya dalam bidang filsafat yang  membicarakan Hudūst al-'Alam, ASālat al-Wujud), Sarmoyeye  Imon (rangkuman dari karya filsafatnya), Syarh Hiyākal Al-Nūr  (komentar atas Risalah Hiyākal Al-Nur karya Suhrawardi).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Lahiji adalah salah satu tokoh al-Hikmah al-  Muta'āliyyah yang cukup banyak melakukan elaborasi dalam </w:t>
      </w:r>
      <w:bookmarkStart w:id="45" w:name="pg6434_60556"/>
    </w:p>
    <w:p>
      <w:pPr>
        <w:pStyle w:val="BookText"/>
        <w:bidi w:val="0"/>
        <w:rPr/>
      </w:pPr>
      <w:bookmarkEnd w:id="45"/>
      <w:r>
        <w:rPr>
          <w:rFonts w:eastAsia="Times New Roman" w:cs="Times New Roman" w:ascii="Times New Roman" w:hAnsi="Times New Roman"/>
          <w:color w:val="111111"/>
          <w:sz w:val="28"/>
          <w:szCs w:val="28"/>
          <w:lang w:val="en-US"/>
        </w:rPr>
        <w:t>pemikiran Filsafat Iluminasi. Namun sayangnya, tidak diketahui  makamnya sampai saat ini. Berdasarkan dugaan dia dimakamkan  di Kota Qom.</w:t>
      </w:r>
    </w:p>
    <w:p>
      <w:pPr>
        <w:pStyle w:val="BookText"/>
        <w:bidi w:val="0"/>
        <w:jc w:val="both"/>
        <w:rPr/>
      </w:pPr>
      <w:r>
        <w:rPr>
          <w:rFonts w:eastAsia="Times New Roman" w:cs="Times New Roman" w:ascii="Times New Roman" w:hAnsi="Times New Roman"/>
          <w:color w:val="111111"/>
          <w:sz w:val="28"/>
          <w:szCs w:val="28"/>
          <w:lang w:val="en-US"/>
        </w:rPr>
        <w:t>C. Mulla Husain Tankobani  Mulla Husain Tankobani berasal dari kota bagian utara  Iran dan meninggal dunia pada tahun 1105 H. Dia dikenal  sebagai filsuf dan teolog. Tokoh ini meninggal dunia karena  serangan orang-orang awam di Masjid al-Harām ketika sedang  memberikan pelajaran. Karyanya yang tertinggal adalah Syarh  Al-Syifa' (komentar terhadap kitab Al-Syifa, Ibn Sina), Hudūst Al-  Alam, Wahdāt Al-Wujūd, dan Hasyiyyah Tajrid Al-Kalām (anotasi  atas kitab Tajrid Al-Kalām karya Syaikh Tusi).</w:t>
      </w:r>
    </w:p>
    <w:p>
      <w:pPr>
        <w:pStyle w:val="BookText"/>
        <w:bidi w:val="0"/>
        <w:jc w:val="both"/>
        <w:rPr/>
      </w:pPr>
      <w:r>
        <w:rPr>
          <w:rFonts w:eastAsia="Times New Roman" w:cs="Times New Roman" w:ascii="Times New Roman" w:hAnsi="Times New Roman"/>
          <w:color w:val="111111"/>
          <w:sz w:val="28"/>
          <w:szCs w:val="28"/>
          <w:lang w:val="en-US"/>
        </w:rPr>
        <w:t>Mulla Husayn Tankobani tidak semasyhur dua sahabatnya  yang lain, lantaran mungkin karyanya tidak sebanyak dua  sahabatnya di atas. Akan tetapi, dia cukup dikenal sebagai tokoh  yang dengan gigih mengajarkan al-Hikmah al-Muta’āliyyah.</w:t>
      </w:r>
    </w:p>
    <w:p>
      <w:pPr>
        <w:pStyle w:val="BookText"/>
        <w:bidi w:val="0"/>
        <w:jc w:val="both"/>
        <w:rPr/>
      </w:pPr>
      <w:r>
        <w:rPr>
          <w:rFonts w:eastAsia="Times New Roman" w:cs="Times New Roman" w:ascii="Times New Roman" w:hAnsi="Times New Roman"/>
          <w:color w:val="111111"/>
          <w:sz w:val="28"/>
          <w:szCs w:val="28"/>
          <w:lang w:val="en-US"/>
        </w:rPr>
        <w:t>D. Agha Jani  Nama lengkapnya Muhammad ibn 'Ali Rida ibn Agha Jani.</w:t>
      </w:r>
    </w:p>
    <w:p>
      <w:pPr>
        <w:pStyle w:val="BookText"/>
        <w:bidi w:val="0"/>
        <w:jc w:val="both"/>
        <w:rPr/>
      </w:pPr>
      <w:r>
        <w:rPr>
          <w:rFonts w:eastAsia="Times New Roman" w:cs="Times New Roman" w:ascii="Times New Roman" w:hAnsi="Times New Roman"/>
          <w:color w:val="111111"/>
          <w:sz w:val="28"/>
          <w:szCs w:val="28"/>
          <w:lang w:val="en-US"/>
        </w:rPr>
        <w:t>Sampai sekarang, tempat kelahiran dan wafatnya tidak diketahui.</w:t>
      </w:r>
    </w:p>
    <w:p>
      <w:pPr>
        <w:pStyle w:val="BookText"/>
        <w:bidi w:val="0"/>
        <w:jc w:val="both"/>
        <w:rPr/>
      </w:pPr>
      <w:r>
        <w:rPr>
          <w:rFonts w:eastAsia="Times New Roman" w:cs="Times New Roman" w:ascii="Times New Roman" w:hAnsi="Times New Roman"/>
          <w:color w:val="111111"/>
          <w:sz w:val="28"/>
          <w:szCs w:val="28"/>
          <w:lang w:val="en-US"/>
        </w:rPr>
        <w:t>Agha Jani, sebelum belajar kepada Mulla Sadra, sempat belajar  pada Mir Damad, guru Mulla Sadra, bahkan dia menulis Syarh  Qabasāt (komentar atas kitab Qabasāt karya Mir Damad) yang  ditulisnya pada tahun 1071 H. Sayangnya, banyak naskah yang  ditulis Agha Jani hilang dalam perjalanan waktu.</w:t>
      </w:r>
    </w:p>
    <w:p>
      <w:pPr>
        <w:pStyle w:val="Heading3"/>
        <w:numPr>
          <w:ilvl w:val="2"/>
          <w:numId w:val="1"/>
        </w:numPr>
        <w:bidi w:val="0"/>
        <w:jc w:val="left"/>
        <w:rPr/>
      </w:pPr>
      <w:bookmarkStart w:id="46" w:name="__RefHeading___Toc808170_653776707"/>
      <w:bookmarkStart w:id="47" w:name="_Toc14"/>
      <w:bookmarkEnd w:id="46"/>
      <w:r>
        <w:rPr/>
        <w:t>4. Karya-karya</w:t>
      </w:r>
      <w:bookmarkEnd w:id="4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 tulis merupakan hal yang sangat penting bagi </w:t>
      </w:r>
    </w:p>
    <w:p>
      <w:pPr>
        <w:pStyle w:val="BookText"/>
        <w:bidi w:val="0"/>
        <w:rPr/>
      </w:pPr>
      <w:r>
        <w:rPr>
          <w:rFonts w:eastAsia="Times New Roman" w:cs="Times New Roman" w:ascii="Times New Roman" w:hAnsi="Times New Roman"/>
          <w:color w:val="111111"/>
          <w:sz w:val="28"/>
          <w:szCs w:val="28"/>
          <w:lang w:val="en-US"/>
        </w:rPr>
        <w:t>seorang intelektual karena merupakan bukti utama kecendikiaan  intelektual penulisnya. Karya juga merupakan warisan abadi  karena pemikiran-pemikiran yang tertuang di dalam tulisan  akan terus tercatat dalam sejarah intelektual. Untuk itulah,  Imam 'Ali Ibn Abi Talib berpesan, “Ikatlah ilmu dalam tulisan."</w:t>
      </w:r>
      <w:r>
        <w:rPr>
          <w:rStyle w:val="FootnoteAnchor"/>
        </w:rPr>
        <w:footnoteReference w:id="39"/>
      </w:r>
      <w:r>
        <w:rPr>
          <w:rFonts w:eastAsia="Times New Roman" w:cs="Times New Roman" w:ascii="Times New Roman" w:hAnsi="Times New Roman"/>
          <w:color w:val="111111"/>
          <w:sz w:val="28"/>
          <w:szCs w:val="28"/>
          <w:lang w:val="en-US"/>
        </w:rPr>
        <w:t xml:space="preserve"> Kebesaran seseorang juga dapat diukur dari karya-karya tulis  yang ditinggalkannya.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Kebesaran Mulla Sadra terungkap melalui berbagai karya  yang ditinggalkannya. Menurut Sayyed Muhammad Khamene'i,  ada empat puluh kitab Mulla Sadra yang terpelihara sampai  saat ini.</w:t>
      </w:r>
      <w:r>
        <w:rPr>
          <w:rStyle w:val="FootnoteAnchor"/>
        </w:rPr>
        <w:footnoteReference w:id="40"/>
      </w:r>
      <w:r>
        <w:rPr>
          <w:rFonts w:eastAsia="Times New Roman" w:cs="Times New Roman" w:ascii="Times New Roman" w:hAnsi="Times New Roman"/>
          <w:color w:val="111111"/>
          <w:sz w:val="28"/>
          <w:szCs w:val="28"/>
          <w:lang w:val="en-US"/>
        </w:rPr>
        <w:t>Karya-karya Mulla Sadra memiliki dua fase: fase  ketika dia masih bersandar pada prinsip Asālat al-Māhiyyah  dan ketika dia sudah beralih pada prinsip Asālat al-Wujud yang  menjadi prinsip dasar bagi filsafat al-Hikmah al-Muta’āliyyah  sehingga tidak seluruh karyanya didasarkan pada pandangan  filsafatnya tersebut. Tafsir Alquran yang ditulis Mulla Sadra  merupakan tafsir filosofis sehingga menurut penulis, tidak tepat  pembagian yang sering dilakukan oleh para penulis tentang  Mulla Sadra yang mengkategorikan karya Mulla Sadra ke dalam  dua dikotomi, filsafat dan agama. Bukti lain menunjukkan kritik  Mulla Sadra terhadap Ibn Sina yang banyak menghabiskan  waktunya untuk melakukan riset di bidang kedokteran karena  menurut Mulla Sadra, bagi seorang seperti Ibn Sina, tidak  seharusnyalah menghabiskan waktu untuk ilmu-ilmu partikular,  seperti kedokteran.</w:t>
      </w:r>
      <w:r>
        <w:rPr>
          <w:rStyle w:val="FootnoteAnchor"/>
        </w:rPr>
        <w:footnoteReference w:id="41"/>
      </w:r>
      <w:r>
        <w:rPr>
          <w:rFonts w:eastAsia="Times New Roman" w:cs="Times New Roman" w:ascii="Times New Roman" w:hAnsi="Times New Roman"/>
          <w:color w:val="111111"/>
          <w:sz w:val="28"/>
          <w:szCs w:val="28"/>
          <w:lang w:val="en-US"/>
        </w:rPr>
        <w:t xml:space="preserve"> Pada umumnya karya-karya Mulla Sadra dicetak pada  akhir-akhir abad lalu dan awal abad ini dalam cetakan batu  (hajari).</w:t>
      </w:r>
      <w:r>
        <w:rPr>
          <w:rStyle w:val="FootnoteAnchor"/>
        </w:rPr>
        <w:footnoteReference w:id="42"/>
      </w:r>
      <w:r>
        <w:rPr>
          <w:rFonts w:eastAsia="Times New Roman" w:cs="Times New Roman" w:ascii="Times New Roman" w:hAnsi="Times New Roman"/>
          <w:color w:val="111111"/>
          <w:sz w:val="28"/>
          <w:szCs w:val="28"/>
          <w:lang w:val="en-US"/>
        </w:rPr>
        <w:t xml:space="preserve">Karya-karya tersebut, antara lain,  1. Al-Hikmah Al-Muta'āliyyah fi Al-Asfār Al-Arba'ah (Kearifan </w:t>
      </w:r>
    </w:p>
    <w:p>
      <w:pPr>
        <w:pStyle w:val="BookText"/>
        <w:bidi w:val="0"/>
        <w:rPr/>
      </w:pPr>
      <w:r>
        <w:rPr>
          <w:rFonts w:eastAsia="Times New Roman" w:cs="Times New Roman" w:ascii="Times New Roman" w:hAnsi="Times New Roman"/>
          <w:color w:val="111111"/>
          <w:sz w:val="28"/>
          <w:szCs w:val="28"/>
          <w:lang w:val="en-US"/>
        </w:rPr>
        <w:t>Puncak dalam Empat Tahap Perjalanan). Karya ini lebih  dikenal dengan sebutan Al-Asfār Al-Arba'ah dan merupakan  magnum opus Mulla Sadra. Dalam karya ini terangkum  pembahasan seputar hikmah, gnostik, ontologi, ketuhanan,  psikologi, eskatologi, teleologi, epistemologi dan juga  merupakan rangkuman berbagai aliran pemikiran, baik itu  Peripatetik, Iluminasionisme, gnostik, ayat-ayat Alquran,  hadis Nabi, dan ucapan 'Ali Ibn Abi Talib. Kesemuanya  terangkum dalam upaya mewujudkan satu bangunan baru  filsafat. Dalam cetakan terbaru, kitab ini menjadi sembilan  jilid.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Al-Mabda' wal Ma'ād (Permulaan dan Kebangkitan). Terdiri  atas 370 halaman dan dicetak pada tahun 1314 H. Kitab  ini berbicara tentang ketuhanan dan kebangkitan kembali  setelah kematian dengan menggunakan argumentasi  rasional. Saat ini, naskah aslinya tersimpan di Perpustakaan  Universitas Teheran, Iran.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Al-Syawāhid Al-Rububiyyah fi Al-Manāhij Al-Sulūkiyyāh  (Penyaksian Ilahi pada Perjalanan Ruhani). Kitab ini,  menurut sebagian ulama, merupakan karya terakhir Mulla  Sadra dalam bidang gnostik dan berisi rangkuman atas  pemikiran filosofisnya. Kitab yang ada pada penulis saat  ini merupakan hasil riset Prof. Jalaluddin Asytiyani dengan  tebal halaman 833.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Asrār Al-Ayāt wa Anwār Al-Bayinnāt (Rahasia-rahasia Ayat-  ayat dan Cahaya Hakikat yang Jelas) berisi penjelasan  makna-makna filosofis dan gnostik dari ayat-ayat Alquran.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Al-Masyā'ir ('Perjalanan Metafisika') berisi kitab penjelasan  gnostik </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Al-Hikmah Al-Arsyiyāh (Kearifan Puncak) Merupakan kitab  filsafat yang mendedah beberapa persoalan gnostik.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Syarh Al-Hidāyah Al-Atsiriyyāh (Komentar terhadap Kitab  Petunjuk yang Berkesan) berisi diskusi filosofis dengan  tebal sekitar 397 halaman.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Syarh llāhiyat al-Syifa' (Komentar atas Bagian Ketuhanan  Kitab Al-Syifa). Kitab ini terdiri dari 300 halaman dalam  cetakan besar. Sayangnya kitab ini tidak dicetak ulang  sehingga sulit sekali untuk mendapatkannya. Kandungannya  adalah argumentasi rasional dan beberapa komentar Mulla  Sadra terhadap pandangan ketuhanan Ibn Sina.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Risalah Al-Hudūts-Hudūts Al-'Alam (Kajian tentang Kebaruan  Alam). Terdiri dari 251 halaman dan berisikan pandangan-  pandangan Mulla Sadra tentang prinsip kebaruan alam.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Risālah IttiSaf Al-Māhiyyāh bi Al-Wujūd (Kajian tentang  Tersifatnya Kuiditas oleh Wujud). Tulisan Mulla Sadra yang  berbicara tentang hukum kuiditas dan peran wujud dalam  menjelmakannya.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Risalah Tashawūr wa Tashdiq (Kajian tentang Konsep dan  Penilaian) berisi anotasi atas kitab sebelumnya, Risālah Al-  Ittisaf Al-Māhiyyāh bi Al-Wujud, yang kemudian diterbitkan  tersendiri.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Risalah Tasyakhkhus (Kajian Identitas) terdiri atas 12  halaman.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Risalah Sariyān Al-Wujud (Kajian tentang Emanasi Wujud).</w:t>
      </w:r>
    </w:p>
    <w:p>
      <w:pPr>
        <w:pStyle w:val="BookText"/>
        <w:bidi w:val="0"/>
        <w:jc w:val="both"/>
        <w:rPr/>
      </w:pPr>
      <w:r>
        <w:rPr>
          <w:rFonts w:eastAsia="Times New Roman" w:cs="Times New Roman" w:ascii="Times New Roman" w:hAnsi="Times New Roman"/>
          <w:color w:val="111111"/>
          <w:sz w:val="28"/>
          <w:szCs w:val="28"/>
          <w:lang w:val="en-US"/>
        </w:rPr>
        <w:t>Sebelumnya, karya ini merupakan mukadimah kitab Al-  Asfar Al-Arba'ah dan kemudian dicetak tersendiri. Kitab ini  berbicara tentang argumentasi ASalāt al-Wujūd.</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Risalah Qadha' wa Al-Qadr (Kajian tentang Tema Qadha dan</w:t>
      </w:r>
    </w:p>
    <w:p>
      <w:pPr>
        <w:pStyle w:val="BookText"/>
        <w:bidi w:val="0"/>
        <w:rPr/>
      </w:pPr>
      <w:r>
        <w:rPr>
          <w:rFonts w:eastAsia="Times New Roman" w:cs="Times New Roman" w:ascii="Times New Roman" w:hAnsi="Times New Roman"/>
          <w:color w:val="111111"/>
          <w:sz w:val="28"/>
          <w:szCs w:val="28"/>
          <w:lang w:val="en-US"/>
        </w:rPr>
        <w:t>Qadar).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Risalah Al-Wāridah Al-Qalbiyyāh fi Al-Ma'rifah Al-Qalbiyyāh  (Kajian tentang Gambaran yang masuk ke dalam Hati dalam  Pengetahuan Hati). terdiri atas 121 halaman dan dicetak  pada tahun 1979 oleh Iranian Academy of Philosophy.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Risalah Iksir Al-'Arifin fi Ma'rifah Al-Haq Al-Yaqin (Kajian  Eliksir Kaum Ahli Irfan dalam Memahami Haqq al-Yaqin).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Risalah Hasyr Al-'Awālim (Kajian Pengumpulan Alam-alam).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Risalah Khalaqa Al-A'māl (Kajian Penciptaan Perbuatan-  perbuatan).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Risalatuhu ila Al-Mawla Syams Al-Jilāni (Surat untuk Mawla  Syams Al-Jilani).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Ajwibah Al-Masā'il Al-Tsalāsa (Jawaban untuk Tiga Persoalan).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Risālah Fi Ittihād Al-`Aqil wa Al-Ma'qul (Kajian tentang  Kesatuan Subjek dan Objek Pengetahuan). Sampai saat ini,  kitab ini belum dicetak dan masih tersimpan dalam naskah  asli di Perpustakaan Universitas Teheran.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Kasr Al-Asnām Al-Jāhiliyyāh (Pemenggalan Berhala Jahiliyyah)  berisi kritik Mulla Sadra terhadap para Sufi gadungan.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Jawabah Al-Masā'il Al-'Awidah (Jawaban atas Masalat-  masalat Pelik) masih belum dicetak dan masih berbentuk  naskah aslinya.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Risalah Hal Al-Isykālat Al-Falākiyah fi Al-Irādah Al-Juzāfiyyah  (Kajian ihwal Solusi terhadap Pelbagai Kritik Astronomis  Menyangkut kehendak yang Absurd)  25. Hasyiyyah ala Syarh Hikmah Al-Isyraq (Anotasi atas Komentar  terhadap Filsafat Iluminasionisme).</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Risālah Fi Al-Harākat Al-Jawhariyyāh (Kajian ihwal Gerakan  Transubstansial). </w:t>
      </w:r>
    </w:p>
    <w:p>
      <w:pPr>
        <w:pStyle w:val="BookText"/>
        <w:bidi w:val="0"/>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Risālah fi Al-Alwah Al-Mādiyyāh (Kajian tentang Tempat  Kebangkitan).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Hasyiyyah ‘ala Al-Rawāsyikh Li Al-Sayyid Al-Damād (Anotasi  atas Tetesan-tetesan karya Sayyid Mir Damad).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Syarh Usūl al-Kāfi (Komentar atas Usul al-Kāfi).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Risälah Al-Mazāhir Al-llahiyyāh fi Asrār Al-Ulūm Al-Kamāliyyāh  (Kajian Manifestasi-manifestasi Ilahi dalam Rahasia Ilmu-  ilmu Kesempurnaan). Baru diterbikan kembali oleh Lembaga  Sadra Islamic Philosopy dengan jumlah halaman 151. Kitab  ini berisikan tentang pembahasan terkait penciptaan dan  kebangkitan kembali manusia.</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Mafātih Al-Ghaib (Kunci-kunci Kegaiban).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Tafsir Alquran Al-Karim, sayangnya tafsir Alquran yang ditulis  Mulla Sadra tidak sempurna seluruh ayat-ayat Alquran.</w:t>
      </w:r>
    </w:p>
    <w:p>
      <w:pPr>
        <w:pStyle w:val="BookText"/>
        <w:bidi w:val="0"/>
        <w:jc w:val="both"/>
        <w:rPr/>
      </w:pPr>
      <w:r>
        <w:rPr>
          <w:rFonts w:eastAsia="Times New Roman" w:cs="Times New Roman" w:ascii="Times New Roman" w:hAnsi="Times New Roman"/>
          <w:color w:val="111111"/>
          <w:sz w:val="28"/>
          <w:szCs w:val="28"/>
          <w:lang w:val="en-US"/>
        </w:rPr>
        <w:t>Jumlah semua sebanyak 7 Jilid.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Tafsir Surah Al-Adha.</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Iqādz Al-Nāimin (Membangunkan Orang-orang yang  Tidur) merupakan argumentasi filosofis terhadap proses  kebangkitan manusia.</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Al-Masā'il Al-Qudsiyyah Al-Wāridat Al-Qalbiyyāh (Masalat-  masalat Sakral yang masuk ke dalam Kalbu).</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Jawhār Al-Nadid (Substansi Sistematis) adalah tulisan Mulla  Sadra tentang logika.</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Seh Asl (Tiga Prinsip). Karya Mulla Sadra yang ditulis dalam  bahasa Persia dan baru ditemukan.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Syarh bar Matsnawiye Rumi (Komentar atas Matsnawi Rumi).</w:t>
      </w:r>
    </w:p>
    <w:p>
      <w:pPr>
        <w:pStyle w:val="BookText"/>
        <w:bidi w:val="0"/>
        <w:jc w:val="both"/>
        <w:rPr/>
      </w:pPr>
      <w:r>
        <w:rPr>
          <w:rFonts w:eastAsia="Times New Roman" w:cs="Times New Roman" w:ascii="Times New Roman" w:hAnsi="Times New Roman"/>
          <w:color w:val="111111"/>
          <w:sz w:val="28"/>
          <w:szCs w:val="28"/>
          <w:lang w:val="en-US"/>
        </w:rPr>
        <w:t>Karya Mulla Sadra yang ditulis dalam bahas Persia dan baru  ditemukan. Dicetak bersamaan dengan Sih Asl.</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 al-Jabr wa Al-Tafwid (Determinisme dan Kebebasan</w:t>
      </w:r>
    </w:p>
    <w:p>
      <w:pPr>
        <w:pStyle w:val="BookText"/>
        <w:bidi w:val="0"/>
        <w:rPr/>
      </w:pPr>
      <w:r>
        <w:rPr>
          <w:rFonts w:eastAsia="Times New Roman" w:cs="Times New Roman" w:ascii="Times New Roman" w:hAnsi="Times New Roman"/>
          <w:color w:val="111111"/>
          <w:sz w:val="28"/>
          <w:szCs w:val="28"/>
          <w:lang w:val="en-US"/>
        </w:rPr>
        <w:t>Bertindak).</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Fi Bada Al-Wujud Al-Insān (Kebermulaan Kejadian Manusia).</w:t>
      </w:r>
    </w:p>
    <w:p>
      <w:pPr>
        <w:pStyle w:val="BookText"/>
        <w:bidi w:val="0"/>
        <w:jc w:val="both"/>
        <w:rPr/>
      </w:pPr>
      <w:r>
        <w:rPr>
          <w:rFonts w:eastAsia="Times New Roman" w:cs="Times New Roman" w:ascii="Times New Roman" w:hAnsi="Times New Roman"/>
          <w:color w:val="111111"/>
          <w:sz w:val="28"/>
          <w:szCs w:val="28"/>
          <w:lang w:val="en-US"/>
        </w:rPr>
        <w:t>Ada banyak lagi karya Mulla Sadra yang sampai saat ini  belum ditemukan. Di antara yang pernah penulis dengar bahwa  Mulla Sadra pernah menulis Syarh Fushūs Al-Hikam. Jika betul  karya ini ada dan dapat ditemukan suatu hari akan menjadi  sebuah kajian yang sangat menarik.</w:t>
      </w:r>
    </w:p>
    <w:p>
      <w:pPr>
        <w:pStyle w:val="BookText"/>
        <w:bidi w:val="0"/>
        <w:jc w:val="both"/>
        <w:rPr/>
      </w:pPr>
      <w:r>
        <w:rPr>
          <w:rFonts w:eastAsia="Times New Roman" w:cs="Times New Roman" w:ascii="Times New Roman" w:hAnsi="Times New Roman"/>
          <w:color w:val="111111"/>
          <w:sz w:val="28"/>
          <w:szCs w:val="28"/>
          <w:lang w:val="en-US"/>
        </w:rPr>
        <w:t>Ada beberapa karya yang masih diragukan merupakan  karya Mulla Sadra, di antaranya, Adab Al-Bahts wa Al- Munāzarah,  Al-Fawā'id, Itsbat Al-Bari', Al-Qawa'id Al-Malakutiyyāh dan lain  sebagainya.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Aliran Filsafat  Tidak ragu lagi bahwa Mulla Sadra adalah penggagas  aliran baru dalam filsafat Islam yang berbeda sama sekali dengan  dua aliran filsafat sebelumnya: Masyāiyyin (Peripatetik) dan  Isyraqiyyin (Iluminasionisme). Hal ini tercermin dari bangunan  filsafat Mulla Sadra yang dikenal dengan sebutan al-Hikmah  al-Muta'āliyyah yang menghimpun kedua aliran tersebut dan  melakukan sintesis serta penyempurnaan-penyempurnaan  pada banyak bagian dari pandangan Filsafat Peripatetik ataupun  Iluminasionisme.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Abu Abdillah Zanjani menyebutkan bahwa  Mulla Sadra telah menghidupkan kembali pemikiran filsafat  sebelumnya yang telah mati, baik karena serangan-serangan  Al-Ghazāli terhadap filsafat maupun karena penghancuran  peradaban Islam oleh kaum Mongol dan Turki. Secara lebih  rinci dia menjelaskan,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Mulla Sadra telah menghidupkan kembali dan memulai  kehidupan baru dari timbunan tanah kematian aliran filsafat  Ibn Sina (karena serangan Al-Ghazāli, pengikut Asy'ari  dan kaum Hanbali juga serbuan tentara-tentara Mongol  dan Turki yang telah menghancurkan ilmu pengetahuan  dan pemikiran). Langkah dan semangat tersebut kembali  kepadanya (Mulla Sadra). Keagungan filsafat kembali  bergema dengan hadirnya filsuf besar pasca-Ibn Sina  yang harapan berada di pundaknya dan sampai sekarang  menjadi guru besar dan terhitung sebagai pendiri aliran  baru dalam filsafat."</w:t>
      </w:r>
      <w:r>
        <w:rPr>
          <w:rStyle w:val="FootnoteAnchor"/>
        </w:rPr>
        <w:footnoteReference w:id="43"/>
      </w:r>
    </w:p>
    <w:p>
      <w:pPr>
        <w:pStyle w:val="BookText"/>
        <w:bidi w:val="0"/>
        <w:jc w:val="both"/>
        <w:rPr/>
      </w:pPr>
      <w:r>
        <w:rPr>
          <w:rFonts w:ascii="IRNazanin" w:hAnsi="IRNazanin" w:eastAsia="IRNazanin"/>
          <w:color w:val="111111"/>
          <w:sz w:val="28"/>
          <w:sz w:val="28"/>
          <w:szCs w:val="28"/>
          <w:rtl w:val="true"/>
          <w:lang w:bidi="fa-IR"/>
        </w:rPr>
        <w:t>ملا صدرا در خاکستر مکتب مرده ابن سینا که بر اثر حملات ناروای غزالی  وحنبلی مآب او و همجنین بدنبال حملات ویرانگر  وییروان اشعری مسلک  علم و اندیشه ترکان ومغولان بیجان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تازه دمید وجوانی را به وی  وامدارند وحقایس از  بازکر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فلسفه به این فیلسوف بزرک  و بنیانگذار فلسفه وصاحب مکتب بشمار  ابن سینا تا امروز معلم بزرگ  میرود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Ada juga yang beranggapan bahwa Mulla Sadra hanya  sekedar melakukan tambal sulam dari filsafat Ibn Sina. Akan  tetapi, pernyataan seperti ini jelas tidak benar. Jika seseorang  melihat secara mendalam pada pemikiran filsafat Mulla Sadra,  dia akan segera menemukan perbedaan yang tegas antara aliran  Peripatetik dan al-Hikmah al-Muta'āliyyah. Meskipun Mulla  Sadra tetap menggunakan peristilahan dan sistematika yang  sama, tetapi pandangan maupun argumentasi serta bentuk  pemahaman filosofisnya jelas berbeda.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bangunan filsafat al-Hikmah al-Muta'āliyyah  secara jelas tergambar aliran-aliran pemikiran sebelumnya  dalam filsafat, gnostik dan teologi. Namun demikian, sama  sekali Mulla Sadra tidak terjebak sebagaimana dugaan sebagian  pemikir bahwa Mulla Sadra melakukan sinkretisasi. Mulla Sadra  lebih tepat disebut sebagai harmonisasi semua elemen tersebut  sehingga membentuk warna baru yang masing-masing kesatuan  saling terkait dan mendukung satu sama lain. Sebagaimana  yang dinyatakannya, “Telah bergabung di dalamnya ilmu-ilmu  ketuhanan (teologi) dengan filsafat analitis serta telah aku lapisi  hakikat-hakikat penyaksian dengan penjelasan-penjelasan yang </w:t>
      </w:r>
    </w:p>
    <w:p>
      <w:pPr>
        <w:pStyle w:val="BookText"/>
        <w:bidi w:val="0"/>
        <w:rPr/>
      </w:pPr>
      <w:r>
        <w:rPr>
          <w:rFonts w:eastAsia="Times New Roman" w:cs="Times New Roman" w:ascii="Times New Roman" w:hAnsi="Times New Roman"/>
          <w:color w:val="111111"/>
          <w:sz w:val="28"/>
          <w:szCs w:val="28"/>
          <w:lang w:val="en-US"/>
        </w:rPr>
        <w:t>dapat diverifikasi."</w:t>
      </w:r>
      <w:r>
        <w:rPr>
          <w:rStyle w:val="FootnoteAnchor"/>
        </w:rPr>
        <w:footnoteReference w:id="44"/>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قد اندمجت فیه العلوم التألهیة فی الحکمة البحثیة وتدرعت فیه الحقائق  الکشفیة بالبیانات التعلیمیة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Al-Asfār memuat gambaran ini secara jelas dengan  mengemukakan berbagai prinsip pandangan iluminasi, seperti  ASālat al-Wujūd atau Cahaya dan Tasykik al-Wujūd juga al-  Harākah al-Jawhariyyāh yang merupakan tema bahasan filsuf-  filsuf Iran kuno, serta Tajarrud al-Mitsāl, Ittihād al-'Āqil wa al-  Maʼqūl dan Basith al-Haqiqah Kullu Asyya', yang merupakan  tema-tema gnostik yang dibahas oleh kaum Platonik maupun  para Sufi. Semua hal tersebut, di tangan Mulla Sadra,  mendapatkan penjelasan rasional-logis yang tidak ditemukan  pada para filsuf sebelumnya.</w:t>
      </w:r>
    </w:p>
    <w:p>
      <w:pPr>
        <w:pStyle w:val="BookText"/>
        <w:bidi w:val="0"/>
        <w:jc w:val="both"/>
        <w:rPr/>
      </w:pPr>
      <w:r>
        <w:rPr>
          <w:rFonts w:eastAsia="Times New Roman" w:cs="Times New Roman" w:ascii="Times New Roman" w:hAnsi="Times New Roman"/>
          <w:color w:val="111111"/>
          <w:sz w:val="28"/>
          <w:szCs w:val="28"/>
          <w:lang w:val="en-US"/>
        </w:rPr>
        <w:t xml:space="preserve">Dua aliran utama filsafat sebelum Mulla Sadra secara  jelas saling beroposisi satu sama lain: Peripatetik sebagai  filsafat yang mendasarkan prinsipnya pada bentuk silogisme-  Aristotelian yang sangat rasional, bahkan menurut Fayadi,  “Ibn Sina tidak akan membicarakan persoalan yang tidak  terbukti secara rasional”. </w:t>
      </w:r>
      <w:r>
        <w:rPr>
          <w:rStyle w:val="FootnoteAnchor"/>
        </w:rPr>
        <w:footnoteReference w:id="45"/>
      </w:r>
      <w:r>
        <w:rPr>
          <w:rFonts w:eastAsia="Times New Roman" w:cs="Times New Roman" w:ascii="Times New Roman" w:hAnsi="Times New Roman"/>
          <w:color w:val="111111"/>
          <w:sz w:val="28"/>
          <w:szCs w:val="28"/>
          <w:lang w:val="en-US"/>
        </w:rPr>
        <w:t>Di hadapannya, Suhrawardi, dengan  Mazhab Iluminasinya, meyakini bahwa pengetahuan dan segala  sesuatu yang terkait dengannya hanya bisa dicapai melalui  proses Syuhudi dan proses tersebut hanya bisa dicapai dengan  melakukan elaborasi ruhani.</w:t>
      </w:r>
    </w:p>
    <w:p>
      <w:pPr>
        <w:pStyle w:val="BookText"/>
        <w:bidi w:val="0"/>
        <w:jc w:val="both"/>
        <w:rPr/>
      </w:pPr>
      <w:r>
        <w:rPr>
          <w:rFonts w:eastAsia="Times New Roman" w:cs="Times New Roman" w:ascii="Times New Roman" w:hAnsi="Times New Roman"/>
          <w:color w:val="111111"/>
          <w:sz w:val="28"/>
          <w:szCs w:val="28"/>
          <w:lang w:val="en-US"/>
        </w:rPr>
        <w:t>Kita kemudian dapat menemukan posisi filsafat al-Hikmah  al-Muta'āliyyah yang jelas-jelas memunculkan sebuah warna  baru di antara aliran-aliran filsafat yang ada. Dalam pandangan  Mulla Sadra, baik akal maupun Syuhūd, keduanya merupakan  bagian yang tidak terpisahkan dalam filsafat dan meyakini  bahwa Isyraqi, tanpa argumentasi rasional, tidaklah memiliki  nilai apa pun, begitu pun sebaliknya.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Melakukan suluk ruhani untuk mencapai maʼrifat dan </w:t>
      </w:r>
    </w:p>
    <w:p>
      <w:pPr>
        <w:pStyle w:val="BookText"/>
        <w:bidi w:val="0"/>
        <w:rPr/>
      </w:pPr>
      <w:r>
        <w:rPr>
          <w:rFonts w:eastAsia="Times New Roman" w:cs="Times New Roman" w:ascii="Times New Roman" w:hAnsi="Times New Roman"/>
          <w:color w:val="111111"/>
          <w:sz w:val="28"/>
          <w:szCs w:val="28"/>
          <w:lang w:val="en-US"/>
        </w:rPr>
        <w:t>pencerahan batin bukanlah pekerjaan yang dapat dilakukan  setiap orang karena diperlukan seorang guru yang mampu  membimbing salik untuk melewati tahap-tahap perjalanan  ruhani. Di situ juga terkandung upaya-upaya setan yang selalu  berusaha menjerumuskan para penempuh jalan ruhani tersebut.</w:t>
      </w:r>
    </w:p>
    <w:p>
      <w:pPr>
        <w:pStyle w:val="BookText"/>
        <w:bidi w:val="0"/>
        <w:jc w:val="both"/>
        <w:rPr/>
      </w:pPr>
      <w:r>
        <w:rPr>
          <w:rFonts w:eastAsia="Times New Roman" w:cs="Times New Roman" w:ascii="Times New Roman" w:hAnsi="Times New Roman"/>
          <w:color w:val="111111"/>
          <w:sz w:val="28"/>
          <w:szCs w:val="28"/>
          <w:lang w:val="en-US"/>
        </w:rPr>
        <w:t>Namun, tanpa maʼrifat dan pencerahan batin, tidak mungkin  seseorang dapat mencapai puncak kesempurnaan dirinya.</w:t>
      </w:r>
    </w:p>
    <w:p>
      <w:pPr>
        <w:pStyle w:val="BookText"/>
        <w:bidi w:val="0"/>
        <w:jc w:val="both"/>
        <w:rPr/>
      </w:pPr>
      <w:r>
        <w:rPr>
          <w:rFonts w:eastAsia="Times New Roman" w:cs="Times New Roman" w:ascii="Times New Roman" w:hAnsi="Times New Roman"/>
          <w:color w:val="111111"/>
          <w:sz w:val="28"/>
          <w:szCs w:val="28"/>
          <w:lang w:val="en-US"/>
        </w:rPr>
        <w:t>Dengan argumentasi-argumentasi rasional, Mulla Sadra telah  memberikan pelita bimbingan bagi para ilmuwan dan intelektual  untuk dapat menempuh jalan ruhani dalam upaya ma'rifat dan  pencerahan batin. Inilah metode al-Hikmah al-Muta'āliyyah  yang dikembangkan Mulla Sadra. Karenanya, Mulla Sadra dapat  disebut sebagai filsuf Peripatetik,  pre Mulla Sadra  Iluminasionis, sekaligus Platonik  beranggapan  bahwa Musyahadah Islam. Oleh karena itu, Henry Corbin  yang dihasilkan melalui  secara khusus menguraikan sebagai  proses Mukāsyafah,  berikut: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jika merupakan  sebuah kebenaran  “Jika dia dikenal sebagai  Ilahi dan hakiki, maka  filsuf beraliran Ibn Sina, harus    juga ditambahkan bahwa dia    juga filsuf Isyraqi (Iluminasionis)    dan pada saat yang sama  merupakan penggambaran dari  pemikiran Ibn Arabi. Mulla Sadra merupakan salah satu  yang terpenting dari pemikir Plotinus dari Iran Islami dan  juga seorang pemikir Syi'ah...."</w:t>
      </w:r>
      <w:r>
        <w:rPr>
          <w:rStyle w:val="FootnoteAnchor"/>
        </w:rPr>
        <w:footnoteReference w:id="46"/>
      </w:r>
      <w:r>
        <w:rPr>
          <w:rFonts w:eastAsia="Times New Roman" w:cs="Times New Roman" w:ascii="Times New Roman" w:hAnsi="Times New Roman"/>
          <w:color w:val="111111"/>
          <w:sz w:val="28"/>
          <w:szCs w:val="28"/>
          <w:lang w:val="en-US"/>
        </w:rPr>
        <w:t xml:space="preserve"> Semua ini menunjukkan kepada kita bahwa bagi Mulla  Sadra, kebenaran mistis yang diperoleh berdasarkan perjalanan  ruhani merupakan kebenaran intelektual dan pengalaman- </w:t>
      </w:r>
    </w:p>
    <w:p>
      <w:pPr>
        <w:pStyle w:val="BookText"/>
        <w:bidi w:val="0"/>
        <w:rPr/>
      </w:pPr>
      <w:r>
        <w:rPr>
          <w:rFonts w:eastAsia="Times New Roman" w:cs="Times New Roman" w:ascii="Times New Roman" w:hAnsi="Times New Roman"/>
          <w:color w:val="111111"/>
          <w:sz w:val="28"/>
          <w:szCs w:val="28"/>
          <w:lang w:val="en-US"/>
        </w:rPr>
        <w:t>pengalaman mistis yang diperoleh merupakan pengalaman  kognitif yang dihasilkan dari proses berpikir. Menurut Sadra,  yang dibutuhkan adalah upaya ilmiah yang dapat memverifikasi  bukti logis bagi pengalaman tersebut.</w:t>
      </w:r>
    </w:p>
    <w:p>
      <w:pPr>
        <w:pStyle w:val="BookText"/>
        <w:bidi w:val="0"/>
        <w:jc w:val="both"/>
        <w:rPr/>
      </w:pPr>
      <w:r>
        <w:rPr>
          <w:rFonts w:eastAsia="Times New Roman" w:cs="Times New Roman" w:ascii="Times New Roman" w:hAnsi="Times New Roman"/>
          <w:color w:val="111111"/>
          <w:sz w:val="28"/>
          <w:szCs w:val="28"/>
          <w:lang w:val="en-US"/>
        </w:rPr>
        <w:t>Mulla Sadra beranggapan bahwa Musyāhadah yang  dihasilkan melalui proses Mukāsyafah, jika merupakan sebuah  kebenaran Ilahi dan hakiki, maka pastilah rasional dan akal  akan dapat membuktikannya. Mulla Sadra menyadari bahwa,  pada umumnya, kaum Sufi dan Gnostik seringkali mengabaikan  argumentasi rasional dalam menegakkan ajarannya, semisal Ibn  Arabi yang menggunakan metode analogi dan imajinasi dalam  penyampaian ajaran-ajarannya. Yang demikian tersebut, bagi  Mulla Sadra, tidak dapat menjadi hujjah bagi semua orang.</w:t>
      </w:r>
    </w:p>
    <w:p>
      <w:pPr>
        <w:pStyle w:val="BookText"/>
        <w:bidi w:val="0"/>
        <w:jc w:val="both"/>
        <w:rPr/>
      </w:pPr>
      <w:r>
        <w:rPr>
          <w:rFonts w:eastAsia="Times New Roman" w:cs="Times New Roman" w:ascii="Times New Roman" w:hAnsi="Times New Roman"/>
          <w:color w:val="111111"/>
          <w:sz w:val="28"/>
          <w:szCs w:val="28"/>
          <w:lang w:val="en-US"/>
        </w:rPr>
        <w:t>Karenanya, dalam pernyataannya, Mulla Sadra menggambarkan,  “Karena merupakan sebuah tradisi kaum Sufi yang  hanya menyandarkan pada Zawq dan Penyaksian,  sebagaimana yang mereka tetapkan baginya; sedangkan  kami, tidaklah kami bersandar kepada sesuatu yang tidak  memiliki argumentasi pasti tentangnya dan tidak juga kami  ungkapkan pada kitab Teosofi kami...."</w:t>
      </w:r>
      <w:r>
        <w:rPr>
          <w:rStyle w:val="FootnoteAnchor"/>
        </w:rPr>
        <w:footnoteReference w:id="47"/>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لأن من عادة الصوفیة الاقتصار علی مجرد الذوق والوجدان فیما حکموا  علیه، وأما نحن، فلا نعتمد علی مالا برهان علیه قطعیا ولا نذکره فی کتبنا  الحکمیة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Bahkan pada bagian lain, secara tegas Mulla Sadra  menetapkan pola filsafatnya yang berbeda dari pemikiran  lainnya, sekaligus kritiknya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terhadap sebagian Sufi, “Dan al-  Hikmah al-Muta'āliyyah bukan merupakan perdebatan teologis,  bukan filsafat rasional semata dan juga bukan hasil khayalan-  khayalan kaum Sufi."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Teks asli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وهی لیست من المجادلات الکلامیة ولا من الفلسفة البحثیة المذمومة ولا من  التخیلات الصوفیة</w:t>
      </w:r>
      <w:r>
        <w:rPr>
          <w:rFonts w:eastAsia="IRNazanin" w:cs="IRNazanin"/>
          <w:color w:val="111111"/>
          <w:sz w:val="28"/>
          <w:szCs w:val="28"/>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Dalam filsafat Mulla Sadra, kita juga menemukan warna  diskursus teologis, tetapi seperti pernyataannya di atas,  filsafatnya bukanlah murni teologi. Mulla Sadra memang</w:t>
      </w:r>
    </w:p>
    <w:p>
      <w:pPr>
        <w:pStyle w:val="BookText"/>
        <w:bidi w:val="0"/>
        <w:rPr/>
      </w:pPr>
      <w:r>
        <w:rPr>
          <w:rFonts w:eastAsia="Times New Roman" w:cs="Times New Roman" w:ascii="Times New Roman" w:hAnsi="Times New Roman"/>
          <w:color w:val="111111"/>
          <w:sz w:val="28"/>
          <w:szCs w:val="28"/>
          <w:lang w:val="en-US"/>
        </w:rPr>
        <w:t>sejak muda telah menguasai teologi (ilmu Kalam) secara  sangat mendalam, baik pada fase studinya di Syirāz, Qazwin,  maupun Isfahan. Sepanjang masa studinya, Mulla Sadra selalu  bersentuhan dengan teologi sehingga pada usia sangat muda,  dia sudah menguasai teologi secara matang. Beberapa kitabnya  yang ditulis pada fase-fase belajarnya merangkum kritik-kritik  tajamnya kepada Mu'tazilah yang menyandarkan sepenuhnya  pada akal sehingga cenderung mengabaikan nash-nash syari'at  dan Asy'ari yang cenderung mengabaikan akal dan hanya  menganggap bahwa kebenaran hanyalah berasal dari syari'at.</w:t>
      </w:r>
    </w:p>
    <w:p>
      <w:pPr>
        <w:pStyle w:val="BookText"/>
        <w:bidi w:val="0"/>
        <w:jc w:val="both"/>
        <w:rPr/>
      </w:pPr>
      <w:r>
        <w:rPr>
          <w:rFonts w:eastAsia="Times New Roman" w:cs="Times New Roman" w:ascii="Times New Roman" w:hAnsi="Times New Roman"/>
          <w:color w:val="111111"/>
          <w:sz w:val="28"/>
          <w:szCs w:val="28"/>
          <w:lang w:val="en-US"/>
        </w:rPr>
        <w:t>Bagi Mulla Sadra, keduanya berada pada dua titik ekstrem yang  sama bahayanya.</w:t>
      </w:r>
    </w:p>
    <w:p>
      <w:pPr>
        <w:pStyle w:val="BookText"/>
        <w:bidi w:val="0"/>
        <w:jc w:val="both"/>
        <w:rPr/>
      </w:pPr>
      <w:r>
        <w:rPr>
          <w:rFonts w:eastAsia="Times New Roman" w:cs="Times New Roman" w:ascii="Times New Roman" w:hAnsi="Times New Roman"/>
          <w:color w:val="111111"/>
          <w:sz w:val="28"/>
          <w:szCs w:val="28"/>
          <w:lang w:val="en-US"/>
        </w:rPr>
        <w:t>Diskursus teologis, pada intinya, juga berkaitan dengan  topik-topik filosofis. Karenanya, Mulla Sadra memberikan  analisis kritis dan argumentasi rasional dalam persoalan  tersebut, tetapi tidak terjebak menjadikan filsafat sebagai  teologi. Mulla Sadra tetap dengan kerangka filsafat dalam  menanggapi diskursus tersebut. Dia menggunakan caranya  sendiri yang khas, sebagaimana yang juga dilakukan sebelumnya  oleh Khwaja Nasiruddin Tusi sehingga memberikan senjata  baru untuk membela ajaran-ajaran Islam. Kalau Khwaja  Nasiruddin Tusi mengubah teologi menjadi filsafat, maka Mulla  Sadra menjadikan filsafat sebagaimana layaknya teologi, tetapi  tentu teologi baru, dalam pengertian bentuk, pola, dan cara  yang digunakan didasarkan pada aliran Filsafat Peripatetik dan  Iluminasi. Akan tetapi, persoalan yang dibahas justru persoalan  teologi.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Teologi, sebagai satu cabang ilmu yang berusaha  mempertahankan agama dan keyakinan dari serangan-serangan </w:t>
      </w:r>
    </w:p>
    <w:p>
      <w:pPr>
        <w:pStyle w:val="BookText"/>
        <w:bidi w:val="0"/>
        <w:rPr/>
      </w:pPr>
      <w:r>
        <w:rPr>
          <w:rFonts w:eastAsia="Times New Roman" w:cs="Times New Roman" w:ascii="Times New Roman" w:hAnsi="Times New Roman"/>
          <w:color w:val="111111"/>
          <w:sz w:val="28"/>
          <w:szCs w:val="28"/>
          <w:lang w:val="en-US"/>
        </w:rPr>
        <w:t>yang datang dari luar dengan menggunakan nash-nash dan  sedikit argumentasi rasional, di tangan Mulla Sadra berubah  menjadi disiplin ilmiah yang baru. Meskipun tetap menjadikan  nash-nash tersebut sebagai inspirasi utama, tetapi dia  membangun argumentasi-argumentasi rasional-filosofis untuk  menopang doktrin-doktrin sehingga bagi seorang ateis pun sulit  untuk dapat membantah doktrin-doktrin teologis tersebut.</w:t>
      </w:r>
    </w:p>
    <w:p>
      <w:pPr>
        <w:pStyle w:val="BookText"/>
        <w:bidi w:val="0"/>
        <w:jc w:val="both"/>
        <w:rPr/>
      </w:pPr>
      <w:r>
        <w:rPr>
          <w:rFonts w:eastAsia="Times New Roman" w:cs="Times New Roman" w:ascii="Times New Roman" w:hAnsi="Times New Roman"/>
          <w:color w:val="111111"/>
          <w:sz w:val="28"/>
          <w:szCs w:val="28"/>
          <w:lang w:val="en-US"/>
        </w:rPr>
        <w:t>Akal dan wahyu, ketika masih berada dalam wacana Asy-  'ariyah dan Mu'tazilah, menjadi dua hal yang selalu bertentangan.</w:t>
      </w:r>
    </w:p>
    <w:p>
      <w:pPr>
        <w:pStyle w:val="BookText"/>
        <w:bidi w:val="0"/>
        <w:jc w:val="both"/>
        <w:rPr/>
      </w:pPr>
      <w:r>
        <w:rPr>
          <w:rFonts w:eastAsia="Times New Roman" w:cs="Times New Roman" w:ascii="Times New Roman" w:hAnsi="Times New Roman"/>
          <w:color w:val="111111"/>
          <w:sz w:val="28"/>
          <w:szCs w:val="28"/>
          <w:lang w:val="en-US"/>
        </w:rPr>
        <w:t>Dalam al-Hikmah al-Muta'āliyyah, keduanya menjadi sekeping  mata uang yang hanya berbeda sisi. Argumentasi-argumentasi  filosofis Mulla Sadra menjangkau nash-nash tersebut dan  memberikannya dalil-dalil rasional. Mulla Sadra membuktikan  bahwa wahyu dan hakikat yang diajarkan para Nabi bukan  hanya dapat dibuktikan secara rasional, tetapi keduanya juga  sama sekali tidak memilki pertentangan sedikit pun. Wahyu dan  akal merupakan kesatuan dari gambaran kemanunggalan Wujud  Tuhan.</w:t>
      </w:r>
    </w:p>
    <w:p>
      <w:pPr>
        <w:pStyle w:val="BookText"/>
        <w:bidi w:val="0"/>
        <w:jc w:val="both"/>
        <w:rPr/>
      </w:pPr>
      <w:r>
        <w:rPr>
          <w:rFonts w:eastAsia="Times New Roman" w:cs="Times New Roman" w:ascii="Times New Roman" w:hAnsi="Times New Roman"/>
          <w:color w:val="111111"/>
          <w:sz w:val="28"/>
          <w:szCs w:val="28"/>
          <w:lang w:val="en-US"/>
        </w:rPr>
        <w:t>Mulla Sadra memandang akal dalam dua hal penting:</w:t>
      </w:r>
    </w:p>
    <w:p>
      <w:pPr>
        <w:pStyle w:val="BookText"/>
        <w:bidi w:val="0"/>
        <w:jc w:val="both"/>
        <w:rPr/>
      </w:pPr>
      <w:r>
        <w:rPr>
          <w:rFonts w:eastAsia="Times New Roman" w:cs="Times New Roman" w:ascii="Times New Roman" w:hAnsi="Times New Roman"/>
          <w:color w:val="111111"/>
          <w:sz w:val="28"/>
          <w:szCs w:val="28"/>
          <w:lang w:val="en-US"/>
        </w:rPr>
        <w:t>pertama, kebenaran wahyu dan kenabian serta agama berasal  dari akal, dan ia merupakan jembatan untuk sampai pada  syariat; kedua, akal manusia, meskipun derajatnya lebih  rendah dari wahyu dan agama dalam membimbing manusia,  tetapi kejelasannya dan kelugasannya tidak kurang dari wahyu.</w:t>
      </w:r>
    </w:p>
    <w:p>
      <w:pPr>
        <w:pStyle w:val="BookText"/>
        <w:bidi w:val="0"/>
        <w:jc w:val="both"/>
        <w:rPr/>
      </w:pPr>
      <w:r>
        <w:rPr>
          <w:rFonts w:eastAsia="Times New Roman" w:cs="Times New Roman" w:ascii="Times New Roman" w:hAnsi="Times New Roman"/>
          <w:color w:val="111111"/>
          <w:sz w:val="28"/>
          <w:szCs w:val="28"/>
          <w:lang w:val="en-US"/>
        </w:rPr>
        <w:t>Meskipun demikian, tidak sedikit pun terjadi pertentangan  antara akal dan wahyu. Akal yang sehat dengan wahyu yang  benar, dalam pandangan Mulla Sadra, adalah satu warna.</w:t>
      </w:r>
      <w:r>
        <w:rPr>
          <w:rStyle w:val="FootnoteAnchor"/>
        </w:rPr>
        <w:footnoteReference w:id="48"/>
      </w:r>
    </w:p>
    <w:p>
      <w:pPr>
        <w:pStyle w:val="BookText"/>
        <w:bidi w:val="0"/>
        <w:jc w:val="both"/>
        <w:rPr/>
      </w:pPr>
      <w:r>
        <w:rPr>
          <w:rFonts w:ascii="IRNazanin" w:hAnsi="IRNazanin" w:eastAsia="IRNazanin"/>
          <w:color w:val="111111"/>
          <w:sz w:val="28"/>
          <w:sz w:val="28"/>
          <w:szCs w:val="28"/>
          <w:rtl w:val="true"/>
          <w:lang w:bidi="fa-IR"/>
        </w:rPr>
        <w:t xml:space="preserve">عقل نمی تواند باوحی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 وهر جا که تصور شود آندو، رو در روی هم قرار گرفته اند در واقع هنوز پای عقل به آن حقیقت کشیده نشده و در حقیقت، فرق است بین آنکه جیزی عقلا محال باشد با آنجا که عقل  به آن دسترسی نیافته و آن را هنوز محک نزده باشده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فرق را  نداندا لایق سخن وبحث واستدلال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Sebagaimana yang dikutip Muhammad Khamene'i, Mulla  Sadra dalam hal ini memberikan penegasannya sebagai berikut: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Akal sama sekali tidak dapat bertentangan dengan  wahyu; dan dimana pun kita bayangkan, keduanya  menempati posisi yang sama. Meskipun sampai sekarang  akal belum dapat menjamah hakikat tersebut (wahyu)  sepenuhnya, akan tetapi dalam realitasnya, jelas berbeda  antara ketidakmungkinan akal (untuk menangkap hakikat)  dengan belum mampunya akal menjamahnya. Dan siapa  yang belum mengetahui perbedaan ini tidaklah pantas  baginya berbicara, menganalisis dan berargumentasi.</w:t>
      </w:r>
    </w:p>
    <w:p>
      <w:pPr>
        <w:pStyle w:val="BookText"/>
        <w:bidi w:val="0"/>
        <w:jc w:val="both"/>
        <w:rPr/>
      </w:pPr>
      <w:r>
        <w:rPr>
          <w:rFonts w:eastAsia="Times New Roman" w:cs="Times New Roman" w:ascii="Times New Roman" w:hAnsi="Times New Roman"/>
          <w:color w:val="111111"/>
          <w:sz w:val="28"/>
          <w:szCs w:val="28"/>
          <w:lang w:val="en-US"/>
        </w:rPr>
        <w:t>Bagi Mulla Sadra, akal dan wahyu merupakan hal yang  satu dan berasal dari tempat yang satu, yaitu Ruh Kesucian (Ruh  al-Quds) atau Intelek Aktif (Aql Fa’āl). Bagi Mulla Sadra, tidak  terbayangkan di antara kedua hal tersebut terjadi pertentangan.</w:t>
      </w:r>
    </w:p>
    <w:p>
      <w:pPr>
        <w:pStyle w:val="BookText"/>
        <w:bidi w:val="0"/>
        <w:jc w:val="both"/>
        <w:rPr/>
      </w:pPr>
      <w:r>
        <w:rPr>
          <w:rFonts w:eastAsia="Times New Roman" w:cs="Times New Roman" w:ascii="Times New Roman" w:hAnsi="Times New Roman"/>
          <w:color w:val="111111"/>
          <w:sz w:val="28"/>
          <w:szCs w:val="28"/>
          <w:lang w:val="en-US"/>
        </w:rPr>
        <w:t>Karenanya, akal berfungsi sebagai penopang rasional bagi  penyaksian ruhaniah (Musyāhādah) dan penyaksian ruhaniah  merupakan puncak tertinggi dari upaya menyerap pengetahuan.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prinsip-prinsip yang telah dikemukakan  Mulla Sadra, yakni mengambil tiga sumber mendasar dan  melakukan harmonisasi di antara ketiga hal tersebut, dengan  harmonisasi itu, dia menelurkan warna filsafat tersendiri  yang jauh lebih sempurna dari pemikiran yang berkembang  sebelumnya. Karenanya, ada banyak tokoh yang memandang  Mulla Sadra sebagai filsuf Peripatetik, teosof Iluminasionis,  sekaligus teolog Islam yang handal. </w:t>
      </w:r>
      <w:bookmarkStart w:id="48" w:name="pg6434_60570"/>
    </w:p>
    <w:p>
      <w:pPr>
        <w:pStyle w:val="Heading3"/>
        <w:numPr>
          <w:ilvl w:val="2"/>
          <w:numId w:val="1"/>
        </w:numPr>
        <w:bidi w:val="0"/>
        <w:jc w:val="left"/>
        <w:rPr/>
      </w:pPr>
      <w:bookmarkStart w:id="49" w:name="__RefHeading___Toc808172_653776707"/>
      <w:bookmarkStart w:id="50" w:name="_Toc15"/>
      <w:bookmarkEnd w:id="48"/>
      <w:bookmarkEnd w:id="49"/>
      <w:r>
        <w:rPr/>
        <w:t>Catatan 2:</w:t>
      </w:r>
      <w:bookmarkEnd w:id="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James Winston Morris, Kearifan Puncak, terjemahan Dr.</w:t>
      </w:r>
    </w:p>
    <w:p>
      <w:pPr>
        <w:pStyle w:val="BookText"/>
        <w:bidi w:val="0"/>
        <w:jc w:val="both"/>
        <w:rPr/>
      </w:pPr>
      <w:r>
        <w:rPr>
          <w:rFonts w:eastAsia="Times New Roman" w:cs="Times New Roman" w:ascii="Times New Roman" w:hAnsi="Times New Roman"/>
          <w:color w:val="111111"/>
          <w:sz w:val="28"/>
          <w:szCs w:val="28"/>
          <w:lang w:val="en-US"/>
        </w:rPr>
        <w:t>Dimitri Mahayana, (Yogyakarta: Pustaka Pelajar, 2004) hlm.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Allamah Husain Thaba’thaba'i, “Muqaddimah" pada Mulla  Sadra, Al-Masya'ir, (Qom: Chop Bidor) hlm. xxxi.</w:t>
      </w:r>
    </w:p>
    <w:p>
      <w:pPr>
        <w:pStyle w:val="BookText"/>
        <w:bidi w:val="0"/>
        <w:jc w:val="both"/>
        <w:rPr/>
      </w:pPr>
      <w:r>
        <w:rPr>
          <w:rFonts w:eastAsia="Times New Roman" w:cs="Times New Roman" w:ascii="Times New Roman" w:hAnsi="Times New Roman"/>
          <w:color w:val="111111"/>
          <w:sz w:val="28"/>
          <w:szCs w:val="28"/>
          <w:lang w:val="en-US"/>
        </w:rPr>
        <w:t>Syirāz adalah salah satu kota tua di Iran dan merupakan pusat  propinsi Fars. Terletak sekitar 350 km ke arah selatan dari  Tehran. Di kota ini terdapat banyak peninggalan bersejarah  dari kerajaan Persia Kuno.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C.E. Boswirth, Dinasti-Dinasti Islam, terjemahan Ilyas Hasan  (Bandung: Mizan, 1993) hlm. 196.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Ridho Muzaffar, “Muqaddimah", dalam Mulla  Sadra, Al-Asfar, hlm. Jim.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Mulla atau Mawla bermakna 'penghulu, tuan atau pemimpin'.</w:t>
      </w:r>
    </w:p>
    <w:p>
      <w:pPr>
        <w:pStyle w:val="BookText"/>
        <w:bidi w:val="0"/>
        <w:jc w:val="both"/>
        <w:rPr/>
      </w:pPr>
      <w:r>
        <w:rPr>
          <w:rFonts w:eastAsia="Times New Roman" w:cs="Times New Roman" w:ascii="Times New Roman" w:hAnsi="Times New Roman"/>
          <w:color w:val="111111"/>
          <w:sz w:val="28"/>
          <w:szCs w:val="28"/>
          <w:lang w:val="en-US"/>
        </w:rPr>
        <w:t>Kata ini digunakan sebagai panggillan penghormatan kepada  ulama atau urafa besar di Iran.</w:t>
      </w:r>
    </w:p>
    <w:p>
      <w:pPr>
        <w:pStyle w:val="BookText"/>
        <w:bidi w:val="0"/>
        <w:jc w:val="both"/>
        <w:rPr/>
      </w:pPr>
      <w:r>
        <w:rPr>
          <w:rFonts w:eastAsia="Times New Roman" w:cs="Times New Roman" w:ascii="Times New Roman" w:hAnsi="Times New Roman"/>
          <w:color w:val="111111"/>
          <w:sz w:val="28"/>
          <w:szCs w:val="28"/>
          <w:lang w:val="en-US"/>
        </w:rPr>
        <w:t>Sayyid Muhammad Khamne'i, “Muqaddimah” dalam Mulla  Sadra, Al-Mazahir Al-llahiyyah fi Al-Asrar Al-Ulum Kam’Aliyyah  (Tehran: Bunyad Islami Hekmate Sadra, 1378), hlm. 264.</w:t>
      </w:r>
    </w:p>
    <w:p>
      <w:pPr>
        <w:pStyle w:val="BookText"/>
        <w:bidi w:val="0"/>
        <w:jc w:val="both"/>
        <w:rPr/>
      </w:pPr>
      <w:r>
        <w:rPr>
          <w:rFonts w:eastAsia="Times New Roman" w:cs="Times New Roman" w:ascii="Times New Roman" w:hAnsi="Times New Roman"/>
          <w:color w:val="111111"/>
          <w:sz w:val="28"/>
          <w:szCs w:val="28"/>
          <w:lang w:val="en-US"/>
        </w:rPr>
        <w:t>Selanjutnya disebut Al-Muqaddimah.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Rene Descartes, dianggap pendiri filsafat modern di Barat,  lahir di Inggris tahun 1596 dan meninggal dunia pada tahun  1650.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Hauzeh Ilmiyeh merupakan lembaga pendidikan formal-  tradisional keagamaan dan pusat pengajaran ilmu-ilmu  keagamaan, khususnya Fiqh, Ushul Fiqh, Ilmu Kalam, Logika  dan Filsafat di Iran, dan sampai saat ini masih terus terpelihara.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Qom dan Masyhad merupakan dua kota pusat Hauzeh </w:t>
      </w:r>
    </w:p>
    <w:p>
      <w:pPr>
        <w:pStyle w:val="BookText"/>
        <w:bidi w:val="0"/>
        <w:rPr/>
      </w:pPr>
      <w:r>
        <w:rPr>
          <w:rFonts w:eastAsia="Times New Roman" w:cs="Times New Roman" w:ascii="Times New Roman" w:hAnsi="Times New Roman"/>
          <w:color w:val="111111"/>
          <w:sz w:val="28"/>
          <w:szCs w:val="28"/>
          <w:lang w:val="en-US"/>
        </w:rPr>
        <w:t>Ilmiyyeh di Iran.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Akhbariyyin adalah sebutan bagi ulama-ulama fiqh yang  hanya menyandarkan diri pada nash-nash dalam melakukan  proses Istinbath Al-Hukum dan dihadapannya, kelompok yang  memasukkan akal dalam frame Ushul Fiqh sebagai bagian  dalam proses istinbath al-hukum yang disebut Ushuliyyin.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Fazlur Rahman, Filsafat Sadra (Bandung: Penerbit Pustaka,  2000), hlm. 3.</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Kahak merupakan desa kecil sekitar 40 km dari pusat Kota  Qom. Sampai saat ini, rumah tempat Mulla Sadra melakukan  kontemplasinya tetap terpelihara.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Fathimah Al-Ma'summah adalah putri dari Imam Musa Al-  Kadzhim, Imam Syi'ah ke-7. Fathimah Al-Ma'summah, dalam  rangka menyusul saudaranya, Imam 'Ali ar-Ridho, yang  diasingkan ke Kota Thus (Mashad) melakukan perjalanan dari  Madinah menuju Thus dan meninggal dunia ketika tiba di  Kota Qom. Salah satu hadis yang terkenal dikalangan Syi'ah  yang berasal dari Fathimah binti Rasulullah Saw. adalah “Siapa  yang hendak berziarah kepadaku, maka ziarahilah cucuku  yang namanya sama dengan namaku dan akan di kuburkan  di Kota Qom." Dalam pandangan kaum Syi'ah, Fathimah Al-  Ma'sumah termasuk diantara pilar-pilar kesucian.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Henry Corbin, “Muqadimah" dalam Mulla Sadra, Al-Masya'ir  (Tehran: Kitob Khoneye Thohur, 1363), hlm. 7.</w:t>
      </w:r>
    </w:p>
    <w:p>
      <w:pPr>
        <w:pStyle w:val="BookText"/>
        <w:bidi w:val="0"/>
        <w:jc w:val="both"/>
        <w:rPr/>
      </w:pPr>
      <w:r>
        <w:rPr>
          <w:rFonts w:eastAsia="Times New Roman" w:cs="Times New Roman" w:ascii="Times New Roman" w:hAnsi="Times New Roman"/>
          <w:color w:val="111111"/>
          <w:sz w:val="28"/>
          <w:szCs w:val="28"/>
          <w:lang w:val="en-US"/>
        </w:rPr>
        <w:t>Teks asli sebagai berikut: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"C'est dans cette solitude de jardins que Molla Sadra  consacra plusieurs annees de sa jeunesse a atteindre a cette  re'Alization sprituelle personalle pour laquelle la philosophie  est l'indispensable point de depart, mais san laquelle , aux  yeux de Sadra et de tous ceux de son ecole, la philosophie  ne serait qu'uene enterprise sterile et ilusoire. Pour entrer </w:t>
      </w:r>
    </w:p>
    <w:p>
      <w:pPr>
        <w:pStyle w:val="BookText"/>
        <w:bidi w:val="0"/>
        <w:rPr/>
      </w:pPr>
      <w:r>
        <w:rPr>
          <w:rFonts w:eastAsia="Times New Roman" w:cs="Times New Roman" w:ascii="Times New Roman" w:hAnsi="Times New Roman"/>
          <w:color w:val="111111"/>
          <w:sz w:val="28"/>
          <w:szCs w:val="28"/>
          <w:lang w:val="en-US"/>
        </w:rPr>
        <w:t>dan cette solitude, et pour en ressortir victorieusement,  il fallait avoir deja pratique la haute discipline personelle  qui garantit l'independence a l'egard des opinions toutes  faites. Opinion recues ou opinions pruhibees"  15. QS 29: 57.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Mustamin Al-Mandary (ed), Menuju Kesempurnaan  (Yogyakarta: Safinah, 2003), hlm. 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Nicolas Darke and Davis, (ed), The Consice on Ensiclopedia of  Islam (London: Cyril and Stacey International, 1980), hlm. 271.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Jalaluddin Asthiyani, Muqadimah bar Al-Sawahid Al-  Rububiyyah fi Al-Manahij As-Sulukiyyah, (Masyhad: Markaze  Nashr Donesgohi, 1360), hlm. 89. Selanjutnya disebut  Muqaddimah.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Sayyed Hosseyn Nasr, Mulla Sadra Commemoration, (Tehran:</w:t>
      </w:r>
    </w:p>
    <w:p>
      <w:pPr>
        <w:pStyle w:val="BookText"/>
        <w:bidi w:val="0"/>
        <w:jc w:val="both"/>
        <w:rPr/>
      </w:pPr>
      <w:r>
        <w:rPr>
          <w:rFonts w:eastAsia="Times New Roman" w:cs="Times New Roman" w:ascii="Times New Roman" w:hAnsi="Times New Roman"/>
          <w:color w:val="111111"/>
          <w:sz w:val="28"/>
          <w:szCs w:val="28"/>
          <w:lang w:val="en-US"/>
        </w:rPr>
        <w:t>Imperial Tramian Academy of Philosopy, 1978), hlm. 169.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Jalaluddin Asytiyani, Muqaddimah, hlm. 86.</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Mulla Sadra, Syarh Al-Usul Al-Kahfi (Qom: Kitab Khoneye  Mar'asyi Najafi, 1335), hlm. 15. Selanjutnya disebut Syarh Al-  Ushul. Teks aslinya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وأخبرنی سیدی وسندی وأستاذی فی العالم الدینیة والعلوم الالهیة والمعارف  الحقیقیة والأصقل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الأنوار العالم المقدس الأطهرر  الحکیم الإلهی والفقیه الربانیر سید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وصفوة دهره، الأمیر الکبیر  والبدر المنیر، علامة الزمان، اعجوبة الدوران، المسمی بمحمد الملقب بباقر الدماد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عقله بالنور الربانی</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Intuitif atau intuisi yang dimaksudkan dalam tulisan ini adalah  Zawq yang merupakan proses persepsi yang bersifat ruhaniah.</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Sadra, Syarh Al-Usul.Teks asli sebagai berikut: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حدثنی شیخی واستادی ومن علیه فی العلوم النقلیة استنادی عالم  عصر وشیخ دهره، بهاء الحق والدین، محمد العاملی الحارثی الهمدانی نور  الله قلبه بالأنوار القدسیة عن والده الماجد المکرم وشیخه الممجد المعظم  الفاضل الکامل حسین بن عبد الصمد أفاض الله علی روحه الرحمة والرضوان  واسکنه دار الجنان عن شیخه واستاده النبیل عماد الاسلام وفخر المسلمین  زین الدین الشیخ العالی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الورع الجلیل علی بن  الهلال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Salah satu kota kecil di Iran, terletak 100 km dari Tehran.</w:t>
      </w:r>
    </w:p>
    <w:p>
      <w:pPr>
        <w:pStyle w:val="BookText"/>
        <w:bidi w:val="0"/>
        <w:jc w:val="both"/>
        <w:rPr/>
      </w:pPr>
      <w:r>
        <w:rPr>
          <w:rFonts w:eastAsia="Times New Roman" w:cs="Times New Roman" w:ascii="Times New Roman" w:hAnsi="Times New Roman"/>
          <w:color w:val="111111"/>
          <w:sz w:val="28"/>
          <w:szCs w:val="28"/>
          <w:lang w:val="en-US"/>
        </w:rPr>
        <w:t>Banyak tokoh besar dalam filsafat maupun tasawuf berasal  dari daerah ini, di antara yang terkenal adalah Abd. Razzaq Al-  Kasyani. Saat ini, Kota Kasyan menjadi salah satu tempat yang  banyak didatangi para peziarah.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Mustafa Daryati (ed), Ghurar Al-Hikam wa Ghurar Al-Kalam  (Qom: Daftar Tablighat Islomiy, 1420), hlm. 49.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Muhammad Khamne'i, Muqaddimah, hlm. 271.</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Lihat: al-Asfar , J. III hal. 328.</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Kitab-kitab yang berasal dari awal abad ini dan dicetak dengan  kertas yang masih sangat kasar dan pada umumnya berukuran  32x42 cm.</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Abu Abdillah Zanjani, sebagaimana yang dikutip oleh  Muhammad Khamne'i, Muqaddimah, hlm. 272. Teks asli  sebagai berikut:</w:t>
      </w:r>
    </w:p>
    <w:p>
      <w:pPr>
        <w:pStyle w:val="BookText"/>
        <w:bidi w:val="0"/>
        <w:jc w:val="both"/>
        <w:rPr/>
      </w:pPr>
      <w:r>
        <w:rPr>
          <w:rFonts w:ascii="IRNazanin" w:hAnsi="IRNazanin" w:eastAsia="IRNazanin"/>
          <w:color w:val="111111"/>
          <w:sz w:val="28"/>
          <w:sz w:val="28"/>
          <w:szCs w:val="28"/>
          <w:rtl w:val="true"/>
          <w:lang w:bidi="fa-IR"/>
        </w:rPr>
        <w:t>ملا صدرا در خاکستر مکتب مرده ابن سینا که بر اثر حملات ناروای غزالی  وحنبلی مآب او و همجنین بدنبال حملات ویرانگر  وییروان اشعری مسلک  علم و اندیشه ترکان ومغولان بیجان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تازه دمید وجوانی را به وی  وامدارند وحقایس از  بازکر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فلسفه به این فیلسوف بزرک  و بنیانگذار فلسفه وصاحب مکتب بشمار  ابن سینا تا امروز معلم بزرگ  میرود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Syarh Al-Ushul, hlm. 9. Teks asli sebagai berikut:</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قد اندمجت فیه العلوم التألهیة فی الحکمة البحثیة وتدرعت فیه الحقائق  الکشفیة بالبیانات التعلیمیة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Fayadi, “Falsafeye Masya" dan "Hikmat Muta’Aliyeh", Majeleye  Ma'rifat, XII, 3 (Bahman [bulan Iran], 1997), hlm. 65.</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Henry Corbin, sebagaiamana yang dikutip Muhammad  Khamne'i, Muqaddimah, hlm. 277.</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Mulla Sadra, Al-Hikmah Al-Muta’āliyyah fi Al-Asfar Al-Arba'ah,  J. 9 hlm. 234. Selanjutnya disebut al-Asfar. Teks aslinya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لأن من عادة الصوفیة الاقتصار علی مجرد الذوق والوجدان فیما حکموا  علیه، وأما نحن، فلا نعتمد علی مالا برهان علیه قطعیا ولا نذکره فی کتبنا  الحکمیة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Meskipun Mulla Sadra kerap melakukan kritik yang tajam  pada kaum Sufi, tetapi Sufi yang dimaksud adalah Sufi-sufi  yang hanya menunjukkan bentuk-bentuk ritual (pseudo-  sufistik) karena dalam memandang Ibn Arabi, Mulla Sadra  begitu kagum dan sama sekali tidak didapati kritik langsung  kepada Ibn Arabi, bahkan berdasarkan beberapa penggalan  pernyataannya di dalam kitab Asfar, ditemukan bahwa Mulla  Sadra meyakini konsep Wahdat al-Wujūd Ibn Arabi. Untuk  lebih jelas lihat Asfar, J. 2, 3 dan 7.</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Mulla Sadra, Al-Masya'ir (Tehran: Amir Kabir, 1376), hlm. 3.</w:t>
      </w:r>
    </w:p>
    <w:p>
      <w:pPr>
        <w:pStyle w:val="BookText"/>
        <w:bidi w:val="0"/>
        <w:jc w:val="both"/>
        <w:rPr/>
      </w:pPr>
      <w:r>
        <w:rPr>
          <w:rFonts w:eastAsia="Times New Roman" w:cs="Times New Roman" w:ascii="Times New Roman" w:hAnsi="Times New Roman"/>
          <w:color w:val="111111"/>
          <w:sz w:val="28"/>
          <w:szCs w:val="28"/>
          <w:lang w:val="en-US"/>
        </w:rPr>
        <w:t>Teks asli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وهی لیست من المجادلات الکلامیة ولا من الفلسفة البحثیة المذمومة ولا من  التخیلات الصوفیة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dikutip Muhammad Khamne'i, Muqaddimah,  hlm. 281. Teks asli sebagai berikut: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عقل نمی تواند باوحی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 وهر جا که تصور شود</w:t>
      </w:r>
      <w:r>
        <w:rPr>
          <w:rFonts w:ascii="IRNazanin" w:hAnsi="IRNazanin" w:eastAsia="IRNazanin"/>
          <w:color w:val="111111"/>
          <w:sz w:val="28"/>
          <w:sz w:val="28"/>
          <w:szCs w:val="28"/>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آندو، رو در روی هم قرار گرفته اند در واقع هنوز پای عقل به آن حقیقت کشیده  نشده و در حقیقت، فرق است بین آنکه جیزی عقلا محال باشد با آنجا که عقل  به آن دسترسی نیافته و آن را هنوز محک نزده باشده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فرق را  نداندا لایق سخن وبحث واستدلال نیست</w:t>
      </w:r>
      <w:r>
        <w:rPr>
          <w:rFonts w:ascii="IRNazanin" w:hAnsi="IRNazanin" w:eastAsia="IRNazanin"/>
          <w:color w:val="111111"/>
          <w:sz w:val="28"/>
          <w:sz w:val="28"/>
          <w:szCs w:val="28"/>
          <w:lang w:bidi="fa-IR"/>
        </w:rPr>
        <w:t xml:space="preserve"> </w:t>
      </w:r>
      <w:bookmarkStart w:id="51" w:name="pg6434_60576"/>
    </w:p>
    <w:p>
      <w:pPr>
        <w:pStyle w:val="Heading2"/>
        <w:numPr>
          <w:ilvl w:val="1"/>
          <w:numId w:val="1"/>
        </w:numPr>
        <w:bidi w:val="0"/>
        <w:jc w:val="left"/>
        <w:rPr/>
      </w:pPr>
      <w:bookmarkStart w:id="52" w:name="__RefHeading___Toc808174_653776707"/>
      <w:bookmarkStart w:id="53" w:name="_Toc16"/>
      <w:bookmarkEnd w:id="51"/>
      <w:bookmarkEnd w:id="52"/>
      <w:r>
        <w:rPr/>
        <w:t>BAGIAN KEDUA PRINSIP-PRINSIP FILSAFAT</w:t>
      </w:r>
      <w:bookmarkEnd w:id="53"/>
    </w:p>
    <w:p>
      <w:pPr>
        <w:pStyle w:val="Heading3"/>
        <w:numPr>
          <w:ilvl w:val="2"/>
          <w:numId w:val="1"/>
        </w:numPr>
        <w:bidi w:val="0"/>
        <w:jc w:val="left"/>
        <w:rPr/>
      </w:pPr>
      <w:bookmarkStart w:id="54" w:name="__RefHeading___Toc808176_653776707"/>
      <w:bookmarkStart w:id="55" w:name="_Toc17"/>
      <w:bookmarkEnd w:id="54"/>
      <w:r>
        <w:rPr/>
        <w:t>Point</w:t>
      </w:r>
      <w:bookmarkEnd w:id="55"/>
    </w:p>
    <w:p>
      <w:pPr>
        <w:pStyle w:val="BookText"/>
        <w:bidi w:val="0"/>
        <w:jc w:val="both"/>
        <w:rPr/>
      </w:pPr>
      <w:r>
        <w:rPr>
          <w:rFonts w:eastAsia="Times New Roman" w:cs="Times New Roman" w:ascii="Times New Roman" w:hAnsi="Times New Roman"/>
          <w:color w:val="111111"/>
          <w:sz w:val="28"/>
          <w:szCs w:val="28"/>
          <w:lang w:val="en-US"/>
        </w:rPr>
        <w:t>filsafat al-Hikmah al-Muta’āliyyāh yang digagas dan  dikembangkan Mulla Sadra merupakan aliran filsafat yang  unik dan utuh. Keunikan filsafat ini karena prinsip-prinsip  pemikiran yang membentuknya merupakan sistem filsafat yang  berbeda dari dua arus utama filsafat sebelumnya, yaitu Peripatetik  dan Iluminasionisme, sedangkan keutuhannya karena seluruh  prinsip dan pemikiran filsafat yang dibangun Mulla Sadra saling  terkait satu sama lain, dengan prinsip dasar yang membentuk  keseluruhan bangunan filsafatnya didasarkan pada satu prinsip,  yaitu Wujud. Oleh karena itu juga, filsafat al-Hikmah al-Muta’āliyyah  seringkali disebut sebagai filsafat Wujud.</w:t>
      </w:r>
    </w:p>
    <w:p>
      <w:pPr>
        <w:pStyle w:val="BookText"/>
        <w:bidi w:val="0"/>
        <w:jc w:val="both"/>
        <w:rPr/>
      </w:pPr>
      <w:r>
        <w:rPr>
          <w:rFonts w:eastAsia="Times New Roman" w:cs="Times New Roman" w:ascii="Times New Roman" w:hAnsi="Times New Roman"/>
          <w:color w:val="111111"/>
          <w:sz w:val="28"/>
          <w:szCs w:val="28"/>
          <w:lang w:val="en-US"/>
        </w:rPr>
        <w:t>Atas dasar hal tersebut, tidak mungkin membicarakan  pandangan Eskatologi Mulla Sadra tanpa membicarakan prinsip-  prinsip utama yang membentuk filsafatnya.</w:t>
      </w:r>
    </w:p>
    <w:p>
      <w:pPr>
        <w:pStyle w:val="BookText"/>
        <w:bidi w:val="0"/>
        <w:jc w:val="both"/>
        <w:rPr/>
      </w:pPr>
      <w:r>
        <w:rPr>
          <w:rFonts w:eastAsia="Times New Roman" w:cs="Times New Roman" w:ascii="Times New Roman" w:hAnsi="Times New Roman"/>
          <w:color w:val="111111"/>
          <w:sz w:val="28"/>
          <w:szCs w:val="28"/>
          <w:lang w:val="en-US"/>
        </w:rPr>
        <w:t>Prinsip-prinsip utama tersebut, antara lain, Prinsipalitas  Wujud dan Kerelatifan Kuiditas (Asālat al-Wujūd wa l’tibāriyat  al-Māhiyyāh), Ambiguitas Wujud (Tasykik al-Wujūd), Kontinuitas  Wujud, Wujud Mental (al-Wujūd al-Dzihni), Prinsip Emanasi,  Gerakan Transubstansial (al-Harākah al-Jawhāriyyāh), Kesatuan  Subjek dan Objek Pengetahuan (Ittihād al-'Āqil wa al-Ma'qūl)  dan Alam Imajinal ('Alam al-Mitsāl).</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mengenal pemikiran filsafat al-Hikmah al-  Muta’āliyyah dan pandangan Eskatologi Mulla Sadra secara utuh,  marilah kita bicarakan secara sekilas prinsip-prinsip pokok al-  Hikmah al-Muta’āliyyah di atas: </w:t>
      </w:r>
      <w:bookmarkStart w:id="56" w:name="pg6434_60577"/>
    </w:p>
    <w:p>
      <w:pPr>
        <w:pStyle w:val="Heading3"/>
        <w:numPr>
          <w:ilvl w:val="2"/>
          <w:numId w:val="1"/>
        </w:numPr>
        <w:bidi w:val="0"/>
        <w:jc w:val="left"/>
        <w:rPr/>
      </w:pPr>
      <w:bookmarkStart w:id="57" w:name="__RefHeading___Toc808178_653776707"/>
      <w:bookmarkStart w:id="58" w:name="_Toc18"/>
      <w:bookmarkEnd w:id="56"/>
      <w:bookmarkEnd w:id="57"/>
      <w:r>
        <w:rPr/>
        <w:t>1. Prinsipalitas Wujud dan Kerelatifan Kuiditas (Asalat Al-Wujud wa l’tibariyat Al-Māhiyyah)</w:t>
      </w:r>
      <w:bookmarkEnd w:id="5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Prinsipalitas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Wujud dan Kerelatifan Kuiditas  (Asalat Al-Wujud wa l’tibariyat Al-Māhiyyah)  Prinsip ini merupakan prinsip dasar ontologis dalam  filsafat al-Hikmah al-Muta’āliyyah dan merupakan prinsip  paling utama yang dikemukakan Mulla Sadra di antara seluruh  prinsip filsafatnya yang lain, mengingat seluruh prinsip filsafat  berikutnya bersandarkan pada prinsip ini. Mulla Sadra, dalam  hal ini, sebagaimana para filsuf lainnya, mencoba menjawab  persoalan yang terjadi antara wujud dan kuiditas.</w:t>
      </w:r>
    </w:p>
    <w:p>
      <w:pPr>
        <w:pStyle w:val="BookText"/>
        <w:bidi w:val="0"/>
        <w:jc w:val="both"/>
        <w:rPr/>
      </w:pPr>
      <w:r>
        <w:rPr>
          <w:rFonts w:eastAsia="Times New Roman" w:cs="Times New Roman" w:ascii="Times New Roman" w:hAnsi="Times New Roman"/>
          <w:color w:val="111111"/>
          <w:sz w:val="28"/>
          <w:szCs w:val="28"/>
          <w:lang w:val="en-US"/>
        </w:rPr>
        <w:t>Wujud merupakan      realitas dasar yang paling  nyata dan jelas (badihi).</w:t>
      </w:r>
    </w:p>
    <w:p>
      <w:pPr>
        <w:pStyle w:val="BookText"/>
        <w:bidi w:val="0"/>
        <w:jc w:val="both"/>
        <w:rPr/>
      </w:pPr>
      <w:r>
        <w:rPr>
          <w:rFonts w:eastAsia="Times New Roman" w:cs="Times New Roman" w:ascii="Times New Roman" w:hAnsi="Times New Roman"/>
          <w:color w:val="111111"/>
          <w:sz w:val="28"/>
          <w:szCs w:val="28"/>
          <w:lang w:val="en-US"/>
        </w:rPr>
        <w:t>Tidak ada apa pun    yang dapat membatasi  wujud sehingga tidak    mungkin seseorang    dapat memberikan satu  definisi kepada wujud.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Beranjak dari wujud yang    jelas ini, Mulla Sadra  masuk pada salah satu    tema pokok ontologinya,    bahwa antara wujud dan    kuiditas berbeda dalam  alam pikiran, sedangkan di luar hanya terdapat satu realitas,  maka manakah di antara wujud dan kuiditas yang real dan  hakiki ?  Pertanyaan ini juga menjadi pertanyaan mendasar bagi </w:t>
      </w:r>
    </w:p>
    <w:p>
      <w:pPr>
        <w:pStyle w:val="BookText"/>
        <w:bidi w:val="0"/>
        <w:rPr/>
      </w:pPr>
      <w:r>
        <w:rPr>
          <w:rFonts w:eastAsia="Times New Roman" w:cs="Times New Roman" w:ascii="Times New Roman" w:hAnsi="Times New Roman"/>
          <w:color w:val="111111"/>
          <w:sz w:val="28"/>
          <w:szCs w:val="28"/>
          <w:lang w:val="en-US"/>
        </w:rPr>
        <w:t>para filsuf sebelumnya. Ibn Sina, dengan Filsafat Peripatetiknya,  meyakini bahwa yang utama dan real adalah wujud, sedangkan  Syaikh Isyraq, dengan Filsafat Iluminasinya, menganggap  kuiditaslah yang real dan hakiki.</w:t>
      </w:r>
    </w:p>
    <w:p>
      <w:pPr>
        <w:pStyle w:val="BookText"/>
        <w:bidi w:val="0"/>
        <w:jc w:val="both"/>
        <w:rPr/>
      </w:pPr>
      <w:r>
        <w:rPr>
          <w:rFonts w:eastAsia="Times New Roman" w:cs="Times New Roman" w:ascii="Times New Roman" w:hAnsi="Times New Roman"/>
          <w:color w:val="111111"/>
          <w:sz w:val="28"/>
          <w:szCs w:val="28"/>
          <w:lang w:val="en-US"/>
        </w:rPr>
        <w:t>Syaikh Isyraq mengemukakan argumentasi atas  keyakinannya tersebut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yang utama dan real tersebut adalah wujud, maka  yang mewujud di luar adalah wujud. Wujud tersebut  pastilah memiliki atribut kewujudan dan sesuatu yang  mewujud pastilah terdapat pada dirinya wujud sehingga  terjadi regresi (tasalsul)</w:t>
      </w:r>
      <w:r>
        <w:rPr>
          <w:rStyle w:val="FootnoteAnchor"/>
        </w:rPr>
        <w:footnoteReference w:id="49"/>
      </w:r>
      <w:r>
        <w:rPr>
          <w:rFonts w:eastAsia="Times New Roman" w:cs="Times New Roman" w:ascii="Times New Roman" w:hAnsi="Times New Roman"/>
          <w:color w:val="111111"/>
          <w:sz w:val="28"/>
          <w:szCs w:val="28"/>
          <w:lang w:val="en-US"/>
        </w:rPr>
        <w:t>dan dan regresi adalah hal vang  tidak mungkin terjadi. Selain alasan yang dikemukakan  Syaikh Isyraq, penolakan terhadap wujud sebagai realitas  yang utama didasarkan bahwa karena wujud merupakan  konsep yang paling umum dibandingkan segala sesuatu,  wujud sebenarnya tidak lebih sebagai konsep sekunder  (ma'qul al-tsani)."</w:t>
      </w:r>
      <w:r>
        <w:rPr>
          <w:rStyle w:val="FootnoteAnchor"/>
        </w:rPr>
        <w:footnoteReference w:id="50"/>
      </w:r>
      <w:r>
        <w:rPr>
          <w:rFonts w:eastAsia="Times New Roman" w:cs="Times New Roman" w:ascii="Times New Roman" w:hAnsi="Times New Roman"/>
          <w:color w:val="111111"/>
          <w:sz w:val="28"/>
          <w:szCs w:val="28"/>
          <w:lang w:val="en-US"/>
        </w:rPr>
        <w:t xml:space="preserve"> Mulla Sadra beranggapan bahwa yang benar adalah  pandangan Ibn Sina, yang menganggap bahwa wujudlah yang  utama dan real, sedangkan kuiditas hanyalah aksiden atau  hanya abstraksi mental. Untuk ini, Mulla Sadra mengemukakan  beberapa argumen filosofis:</w:t>
      </w:r>
      <w:r>
        <w:rPr>
          <w:rStyle w:val="FootnoteAnchor"/>
        </w:rPr>
        <w:footnoteReference w:id="51"/>
      </w:r>
      <w:r>
        <w:rPr>
          <w:rFonts w:eastAsia="Times New Roman" w:cs="Times New Roman" w:ascii="Times New Roman" w:hAnsi="Times New Roman"/>
          <w:color w:val="111111"/>
          <w:sz w:val="28"/>
          <w:szCs w:val="28"/>
          <w:lang w:val="en-US"/>
        </w:rPr>
        <w:t xml:space="preserve"> a. Kuiditas sebagai kuiditas berada dalam kecenderungan yang  sama terhadap wujud dan ketiadaan. Ketika kuiditas keluar  ke tingkat wujud bukan dengan perantaraan wujud, pastilah  terjadi perubahan substansial pada hakikat kuiditas (Inqilab)  dan hal tersebut tidak mungkin. Karenanya, satu-satunya  hakikat yang mengeluarkan kuiditas ke tingkat wujud adalah  wujud itu sendiri.</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Kuiditas merupakan sumber perbedaan. Setiap kuiditas  berbeda dari kuiditas yang lain. Dalam hal ini, masing- </w:t>
      </w:r>
    </w:p>
    <w:p>
      <w:pPr>
        <w:pStyle w:val="BookText"/>
        <w:bidi w:val="0"/>
        <w:rPr/>
      </w:pPr>
      <w:r>
        <w:rPr>
          <w:rFonts w:eastAsia="Times New Roman" w:cs="Times New Roman" w:ascii="Times New Roman" w:hAnsi="Times New Roman"/>
          <w:color w:val="111111"/>
          <w:sz w:val="28"/>
          <w:szCs w:val="28"/>
          <w:lang w:val="en-US"/>
        </w:rPr>
        <w:t>masing tidak memiliki kesatuan yang sama. Jika tidak ada  realitas yang menyatukan hal-hal yang berbeda tersebut  dan menggabungkannya, maka tidak ada proposisi yang  mempredikatkan satu kuiditas kepada kuiditas yang  lain. Karena itu, diperlukan satu realitas dasar untuk  menggabungkan berbagai kuiditas tersebut. Realitas tersebut  adalah wujud.</w:t>
      </w:r>
    </w:p>
    <w:p>
      <w:pPr>
        <w:pStyle w:val="BookText"/>
        <w:bidi w:val="0"/>
        <w:jc w:val="both"/>
        <w:rPr/>
      </w:pPr>
      <w:r>
        <w:rPr>
          <w:rFonts w:eastAsia="Times New Roman" w:cs="Times New Roman" w:ascii="Times New Roman" w:hAnsi="Times New Roman"/>
          <w:color w:val="111111"/>
          <w:sz w:val="28"/>
          <w:szCs w:val="28"/>
          <w:lang w:val="en-US"/>
        </w:rPr>
        <w:t>c. Kuiditas mewujud dengan wujud eksternal sehingga memiliki  efek (api membakar, air membasahi) dan pada saat yang  sama, mewujud juga pada wujud mental (dzihnī) dan tidak  memiliki efek sebagaimana kuiditas eksternal. Jika yang real  dan hakiki adalah kuiditas, pastilah efek yang ditimbulkan  sama pada dua keadaan tersebut dan tidak terjadi perbedaan.</w:t>
      </w:r>
    </w:p>
    <w:p>
      <w:pPr>
        <w:pStyle w:val="BookText"/>
        <w:bidi w:val="0"/>
        <w:jc w:val="both"/>
        <w:rPr/>
      </w:pPr>
      <w:r>
        <w:rPr>
          <w:rFonts w:eastAsia="Times New Roman" w:cs="Times New Roman" w:ascii="Times New Roman" w:hAnsi="Times New Roman"/>
          <w:color w:val="111111"/>
          <w:sz w:val="28"/>
          <w:szCs w:val="28"/>
          <w:lang w:val="en-US"/>
        </w:rPr>
        <w:t>Fakta menunjukkan sebaliknya sehingga hal tersebut pasti  keliru dan karenanya, wujudlah yang utama dan real.</w:t>
      </w:r>
    </w:p>
    <w:p>
      <w:pPr>
        <w:pStyle w:val="BookText"/>
        <w:bidi w:val="0"/>
        <w:jc w:val="both"/>
        <w:rPr/>
      </w:pPr>
      <w:r>
        <w:rPr>
          <w:rFonts w:eastAsia="Times New Roman" w:cs="Times New Roman" w:ascii="Times New Roman" w:hAnsi="Times New Roman"/>
          <w:color w:val="111111"/>
          <w:sz w:val="28"/>
          <w:szCs w:val="28"/>
          <w:lang w:val="en-US"/>
        </w:rPr>
        <w:t>d. Kuiditas netral dalam keadaannya, baik antara intensitas dan  kelemahan, kepadatan maupun ketidakpadatan. Nmaun,  pada realitas eksternal, kita melihat ada yang intens (seperti  sebab) dan ada yang lemah (seperti akibat). Jika bukan  wujud yang real dan hakiki, maka perbedaan atribut tersebut  kembali kepada kuiditas, padahal kuiditas bersifat netral.</w:t>
      </w:r>
    </w:p>
    <w:p>
      <w:pPr>
        <w:pStyle w:val="BookText"/>
        <w:bidi w:val="0"/>
        <w:jc w:val="both"/>
        <w:rPr/>
      </w:pPr>
      <w:r>
        <w:rPr>
          <w:rFonts w:eastAsia="Times New Roman" w:cs="Times New Roman" w:ascii="Times New Roman" w:hAnsi="Times New Roman"/>
          <w:color w:val="111111"/>
          <w:sz w:val="28"/>
          <w:szCs w:val="28"/>
          <w:lang w:val="en-US"/>
        </w:rPr>
        <w:t>Jelas wujudlah yang real dan hakiki.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Sebagai jawaban bagi Syaikh Isyraq yang menolak  Prinsipalitas Wujud, Mulla Sadra mengemukakan argumen  bahwa wujud mewujud (secara eksternal), tetapi wujudnya  wujud dengan zatnya sendiri sehingga tidak menyebabkan  regresi.</w:t>
      </w:r>
      <w:r>
        <w:rPr>
          <w:rStyle w:val="FootnoteAnchor"/>
        </w:rPr>
        <w:footnoteReference w:id="52"/>
      </w:r>
      <w:r>
        <w:rPr>
          <w:rFonts w:eastAsia="Times New Roman" w:cs="Times New Roman" w:ascii="Times New Roman" w:hAnsi="Times New Roman"/>
          <w:color w:val="111111"/>
          <w:sz w:val="28"/>
          <w:szCs w:val="28"/>
          <w:lang w:val="en-US"/>
        </w:rPr>
        <w:t xml:space="preserve"> Dengan argumentasi-argumentasi ini, Mulla Sadra  menampilkan pandangan dasarnya tentang Asālat al-Wujūd </w:t>
      </w:r>
      <w:bookmarkStart w:id="59" w:name="pg6434_60580"/>
    </w:p>
    <w:p>
      <w:pPr>
        <w:pStyle w:val="BookText"/>
        <w:bidi w:val="0"/>
        <w:rPr/>
      </w:pPr>
      <w:bookmarkEnd w:id="59"/>
      <w:r>
        <w:rPr>
          <w:rFonts w:eastAsia="Times New Roman" w:cs="Times New Roman" w:ascii="Times New Roman" w:hAnsi="Times New Roman"/>
          <w:color w:val="111111"/>
          <w:sz w:val="28"/>
          <w:szCs w:val="28"/>
          <w:lang w:val="en-US"/>
        </w:rPr>
        <w:t>wa I'tibāriyyāt al-Māhiyyāh. Pandangan ini menjadi prinsip  dasar bagi seluruh jalinan filsafatnya dan hal ini juga, jika  kita lihat lebih dalam, menunjukkan upaya Mulla Sadra untuk  menyucikan Tuhan dari kuiditas. Karena baginya, Tuhan sebagai  Wajib Al-Wujud haruslah merupakan zat murni yang terlepas  dari beragam kuiditas/batasan. Hal ini, sebelumnya, seringkali  menjadi diskursus di antara para filsuf ataupun teolog.</w:t>
      </w:r>
      <w:r>
        <w:rPr>
          <w:rStyle w:val="FootnoteAnchor"/>
        </w:rPr>
        <w:footnoteReference w:id="53"/>
      </w:r>
      <w:r>
        <w:rPr>
          <w:rFonts w:eastAsia="Times New Roman" w:cs="Times New Roman" w:ascii="Times New Roman" w:hAnsi="Times New Roman"/>
          <w:color w:val="111111"/>
          <w:sz w:val="28"/>
          <w:szCs w:val="28"/>
          <w:lang w:val="en-US"/>
        </w:rPr>
        <w:t xml:space="preserve"> Dalam rangka menjelaskan prinsipnya. Mulla Sadra terlihat  begitu cermat dalam menguraikan pandangan-pandangan  logisnya, tetapi seringkali terjebak pada kerumitan lantaran dia  hendak mengkritisi sekaligus menjelaskan kebenaran prinsipnya.</w:t>
      </w:r>
    </w:p>
    <w:p>
      <w:pPr>
        <w:pStyle w:val="BookText"/>
        <w:bidi w:val="0"/>
        <w:jc w:val="both"/>
        <w:rPr/>
      </w:pPr>
      <w:r>
        <w:rPr>
          <w:rFonts w:eastAsia="Times New Roman" w:cs="Times New Roman" w:ascii="Times New Roman" w:hAnsi="Times New Roman"/>
          <w:color w:val="111111"/>
          <w:sz w:val="28"/>
          <w:szCs w:val="28"/>
          <w:lang w:val="en-US"/>
        </w:rPr>
        <w:t>Bagaimanapun, kerumitan ini dapat dipahami mengingat upaya  Mulla Sadra menjadikan prinsip ini sebagai dasar utama dari  seluruh bangunan filsafatnya.</w:t>
      </w:r>
    </w:p>
    <w:p>
      <w:pPr>
        <w:pStyle w:val="BookText"/>
        <w:bidi w:val="0"/>
        <w:jc w:val="both"/>
        <w:rPr/>
      </w:pPr>
      <w:r>
        <w:rPr>
          <w:rFonts w:eastAsia="Times New Roman" w:cs="Times New Roman" w:ascii="Times New Roman" w:hAnsi="Times New Roman"/>
          <w:color w:val="111111"/>
          <w:sz w:val="28"/>
          <w:szCs w:val="28"/>
          <w:lang w:val="en-US"/>
        </w:rPr>
        <w:t>Secara tidak langsung, prinsip yang dikemukakan Mulla  Sadra ini memberikan argumen rasional bagi kaum Sufi yang  meyakini bahwa yang maujud adalah wujud, tetapi selama ini,  keyakinan tersebut hanya berdasarkan Syuhud dan Mukāsyafah.</w:t>
      </w:r>
    </w:p>
    <w:p>
      <w:pPr>
        <w:pStyle w:val="BookText"/>
        <w:bidi w:val="0"/>
        <w:jc w:val="both"/>
        <w:rPr/>
      </w:pPr>
      <w:r>
        <w:rPr>
          <w:rFonts w:eastAsia="Times New Roman" w:cs="Times New Roman" w:ascii="Times New Roman" w:hAnsi="Times New Roman"/>
          <w:color w:val="111111"/>
          <w:sz w:val="28"/>
          <w:szCs w:val="28"/>
          <w:lang w:val="en-US"/>
        </w:rPr>
        <w:t>Hal yang sama juga dikemukakan Ibn Sina, meskipun berbeda  dalam prinsip selanjutnya: Tasykik al-Wujud.</w:t>
      </w:r>
    </w:p>
    <w:p>
      <w:pPr>
        <w:pStyle w:val="Heading3"/>
        <w:numPr>
          <w:ilvl w:val="2"/>
          <w:numId w:val="1"/>
        </w:numPr>
        <w:bidi w:val="0"/>
        <w:jc w:val="left"/>
        <w:rPr/>
      </w:pPr>
      <w:bookmarkStart w:id="60" w:name="__RefHeading___Toc808180_653776707"/>
      <w:bookmarkStart w:id="61" w:name="_Toc19"/>
      <w:bookmarkEnd w:id="60"/>
      <w:r>
        <w:rPr/>
        <w:t>2. Ambiguitas Wujud (Tasykik Al-Wujūd)</w:t>
      </w:r>
      <w:bookmarkEnd w:id="61"/>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Ambiguitas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Wujud (Tasykik Al-Wujūd)  Prinsip al-Hikmah al-Muta'aliyyah selanjutnya yang  dikemukakan Mulla Sadra adalah ambiguitas wujud. Ambiguitas  wujud merupakan gambaran wujud tunggal yang memiliki  gradasi yang berbeda, disebabkan oleh tingkatan kualitas yang  ada pada wujud tersebut. Hal ini menyebabkan wujud tersebut  memiliki dua sifat pada saat yang bersamaan, yaitu ketunggalan  (univok) dan pluralitas (ekuivok) yang dalam istilah Mulla Sadra</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Pengistilahan Tasykik menjadi Ambiguitas karena pada kata  Tasykik terkandung Univok (Wahdah) dan Ekuivok (Katsrat).,  karena disebutkan bahwa al-Wujud wahdah fi ayni al-Katsratihi  wa Katsrah fi ayni wahdatihi. Sebagian juga menggunakan kata  Gradasi untuk pengistilahan kata Tasykik.</w:t>
      </w:r>
    </w:p>
    <w:p>
      <w:pPr>
        <w:pStyle w:val="BookText"/>
        <w:bidi w:val="0"/>
        <w:rPr/>
      </w:pPr>
      <w:r>
        <w:rPr>
          <w:rFonts w:eastAsia="Times New Roman" w:cs="Times New Roman" w:ascii="Times New Roman" w:hAnsi="Times New Roman"/>
          <w:color w:val="111111"/>
          <w:sz w:val="28"/>
          <w:szCs w:val="28"/>
          <w:lang w:val="en-US"/>
        </w:rPr>
        <w:t>disebut “Pluralitas dalam ketunggalan dan ketunggalan dalam  pluralitas" (al-Katsrah fi 'aynil Wahdah wal-Wahdah fi 'aynil-  Katsrah).</w:t>
      </w:r>
      <w:r>
        <w:rPr>
          <w:rStyle w:val="FootnoteAnchor"/>
        </w:rPr>
        <w:footnoteReference w:id="54"/>
      </w:r>
      <w:r>
        <w:rPr>
          <w:rFonts w:eastAsia="Times New Roman" w:cs="Times New Roman" w:ascii="Times New Roman" w:hAnsi="Times New Roman"/>
          <w:color w:val="111111"/>
          <w:sz w:val="28"/>
          <w:szCs w:val="28"/>
          <w:lang w:val="en-US"/>
        </w:rPr>
        <w:t xml:space="preserve"> Mulla Sadra menggambarkan bahwa wujud tidak berbeda  pada tingkat substansinya, melainkan pada kualitas keintensifan  dan ketidakintensifan, prioritas dan posterioriotas, serta  ketampakan dan ketersembunyiannya. Menurutnya, di setiap  level, pastilah ia memiliki atribut yang khusus yang di kalangan  filsuf dikenal sebagai kuiditas, sedangkan di kalangan Sufi  dikenal dengan istilah A'yān al-Tsābitah (entitas-entitas tetap).</w:t>
      </w:r>
    </w:p>
    <w:p>
      <w:pPr>
        <w:pStyle w:val="BookText"/>
        <w:bidi w:val="0"/>
        <w:jc w:val="both"/>
        <w:rPr/>
      </w:pPr>
      <w:r>
        <w:rPr>
          <w:rFonts w:eastAsia="Times New Roman" w:cs="Times New Roman" w:ascii="Times New Roman" w:hAnsi="Times New Roman"/>
          <w:color w:val="111111"/>
          <w:sz w:val="28"/>
          <w:szCs w:val="28"/>
          <w:lang w:val="en-US"/>
        </w:rPr>
        <w:t>Untuk menjelaskan konsepnya ini, Mulla Sadra  menggunakan perumpamaan cahaya, seperti halnya Syaikh  Isyraq dalam menjelaskan realitas kuiditas. Baginya, wujud  seperti halnya level-level cahaya matahari yang merupakan  permisalan Tuhan bagi alam materi; bagaimana ia memancarkan  dan menampilkan warna-warna pada cermin, tetapi pada saat  yang sama, semua itu sebenarnya hanya satu cahaya yang  sama. Tiada perbedaan di antara semua cahaya itu, kecuali pada  kekuatan dan kelemahan semata.</w:t>
      </w:r>
    </w:p>
    <w:p>
      <w:pPr>
        <w:pStyle w:val="BookText"/>
        <w:bidi w:val="0"/>
        <w:jc w:val="both"/>
        <w:rPr/>
      </w:pPr>
      <w:r>
        <w:rPr>
          <w:rFonts w:eastAsia="Times New Roman" w:cs="Times New Roman" w:ascii="Times New Roman" w:hAnsi="Times New Roman"/>
          <w:color w:val="111111"/>
          <w:sz w:val="28"/>
          <w:szCs w:val="28"/>
          <w:lang w:val="en-US"/>
        </w:rPr>
        <w:t>Manusia yang terpaku hanya pada cermin beserta segenap  warna yang ditampilkannya dan terhijab dengannya dari cahaya  hakiki dari level-level hakiki yang terpancar turun, menurut  Mulla Sadra, manusia itu tidak mampu memahami realitas  cahaya-Nya. Sebagaimana pandangan yang menyatakan bahwa  kuiditas adalah sesuatu yang hakiki yang merealisasikan wujud,  sedangkan wujud hanya merupakan suatu abstraksi mental.</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manusia yang menyaksikan beragam warna cahaya dan  memiliki kesadaran bahwa semua itu dimunculkan oleh cermin  semata dan warna-warna tersebut, pada substansinya, adalah </w:t>
      </w:r>
    </w:p>
    <w:p>
      <w:pPr>
        <w:pStyle w:val="BookText"/>
        <w:bidi w:val="0"/>
        <w:rPr/>
      </w:pPr>
      <w:r>
        <w:rPr>
          <w:rFonts w:eastAsia="Times New Roman" w:cs="Times New Roman" w:ascii="Times New Roman" w:hAnsi="Times New Roman"/>
          <w:color w:val="111111"/>
          <w:sz w:val="28"/>
          <w:szCs w:val="28"/>
          <w:lang w:val="en-US"/>
        </w:rPr>
        <w:t>cahaya, maka manusia seperti itu dapat memahami cahaya yang  sesungguhnya dan jelaslah baginya bahwa yang menampakkan  kuiditas dan kepluralannya, tidak lain, adalah level-level wujud.</w:t>
      </w:r>
    </w:p>
    <w:p>
      <w:pPr>
        <w:pStyle w:val="BookText"/>
        <w:bidi w:val="0"/>
        <w:jc w:val="both"/>
        <w:rPr/>
      </w:pPr>
      <w:r>
        <w:rPr>
          <w:rFonts w:eastAsia="Times New Roman" w:cs="Times New Roman" w:ascii="Times New Roman" w:hAnsi="Times New Roman"/>
          <w:color w:val="111111"/>
          <w:sz w:val="28"/>
          <w:szCs w:val="28"/>
          <w:lang w:val="en-US"/>
        </w:rPr>
        <w:t>Dengan pendekatan ini, Mulla Sadra ingin menyatakan  bahwa wujud merupakan pancaran dari Wujud Tuhan, seperti  cahaya memancarkan warna-warna, demikian pula Wujud  Mutlaq memancarkan kuiditas-    kuiditas yang bersifat imkān,    yang tidak lain merupakan ragam    bentuk makhluk.</w:t>
      </w:r>
      <w:r>
        <w:rPr>
          <w:rStyle w:val="FootnoteAnchor"/>
        </w:rPr>
        <w:footnoteReference w:id="55"/>
      </w:r>
      <w:r>
        <w:rPr>
          <w:rFonts w:eastAsia="Times New Roman" w:cs="Times New Roman" w:ascii="Times New Roman" w:hAnsi="Times New Roman"/>
          <w:color w:val="111111"/>
          <w:sz w:val="28"/>
          <w:szCs w:val="28"/>
          <w:lang w:val="en-US"/>
        </w:rPr>
        <w:t xml:space="preserve">   Ambiguitas wujud yang  dikemukakan Mulla Sadra ini    merupakan konsepsi baru dalam    filsafat karena pendahulunya,  Ibn Sina, sekalipun meyakini    bahwa yang utama dan real    tidak lain adalah wujud, tetapi  dalam proses munculnya wujud    imkān, tidak mengenal prinsip ambiguitas ini. Bagi Ibn Sina,  dalam proses penciptaan wujud imkān ada tingkatan intelek,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Haidar Bagir, Buku Saku Filsafat Islam (Bandung: Mizan, 2005),  hlm. 110–115.</w:t>
      </w:r>
    </w:p>
    <w:p>
      <w:pPr>
        <w:pStyle w:val="BookText"/>
        <w:bidi w:val="0"/>
        <w:jc w:val="both"/>
        <w:rPr/>
      </w:pPr>
      <w:r>
        <w:rPr>
          <w:rFonts w:eastAsia="Times New Roman" w:cs="Times New Roman" w:ascii="Times New Roman" w:hAnsi="Times New Roman"/>
          <w:color w:val="111111"/>
          <w:sz w:val="28"/>
          <w:szCs w:val="28"/>
          <w:lang w:val="en-US"/>
        </w:rPr>
        <w:t>tetapi pada saat yang sama, wujud imkān tersebut terikat dalam  kesatuan substantif, masing-masing berdiri secara independen.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Melalui prinsip ambiguitas wujud ini, terlihat dengan jelas  upaya Mulla Sadra untuk menyelesaikan ketegangan antara  kecenderungan monistik, terutama pada gagasan para Sufi  bahwa semua realitas, pada akhirnya, akan lenyap di hadapan  realitas tunggal Tuhan. Mulla Sadra diketahui pernah menjadi  pendukung pandangan seperti ini. Karenanya, dia sempat terusir</w:t>
      </w:r>
    </w:p>
    <w:p>
      <w:pPr>
        <w:pStyle w:val="BookText"/>
        <w:bidi w:val="0"/>
        <w:rPr/>
      </w:pPr>
      <w:r>
        <w:rPr>
          <w:rFonts w:eastAsia="Times New Roman" w:cs="Times New Roman" w:ascii="Times New Roman" w:hAnsi="Times New Roman"/>
          <w:color w:val="111111"/>
          <w:sz w:val="28"/>
          <w:szCs w:val="28"/>
          <w:lang w:val="en-US"/>
        </w:rPr>
        <w:t>dari Syiraz dan menyebabkannya mengasingkan diri di Kahak.</w:t>
      </w:r>
    </w:p>
    <w:p>
      <w:pPr>
        <w:pStyle w:val="BookText"/>
        <w:bidi w:val="0"/>
        <w:jc w:val="both"/>
        <w:rPr/>
      </w:pPr>
      <w:r>
        <w:rPr>
          <w:rFonts w:eastAsia="Times New Roman" w:cs="Times New Roman" w:ascii="Times New Roman" w:hAnsi="Times New Roman"/>
          <w:color w:val="111111"/>
          <w:sz w:val="28"/>
          <w:szCs w:val="28"/>
          <w:lang w:val="en-US"/>
        </w:rPr>
        <w:t>Di hadapan pandangan monistik, wujud ada juga pandangan  pluralitas wujud. Setiap identitas merupakan wujud independen  yang berbeda, baik di antara setiap forma wujud atau antara  wujud imkan dan niscaya, yang pada umumnya, pandangan  seperti ini dianut oleh para teolog. Mulla Sadra, melalui prinsip  ambiguitas wujud yang murni merupakan gagasan dirinya,  berupaya menyatukan kedua pandangan di atas karena wujud  dalam ambiguitas wujud adalah univok sekaligus ekuivok. Sedikit  sulit untuk memahami teori ini tanpa muncul kontradiksi antara  yang tunggal, sekaligus plural. Akan tetapi, Mulla Sadra, sejak  awal, telah mengingatkan bahwa univok dan ekuivok tersebut  tidak dalam satu dimensi: univok dalam hakikat wujudnya,  sedangkan ekuivok dalam kualitas wujudnya.</w:t>
      </w:r>
      <w:r>
        <w:rPr>
          <w:rStyle w:val="FootnoteAnchor"/>
        </w:rPr>
        <w:footnoteReference w:id="57"/>
      </w:r>
      <w:r>
        <w:rPr>
          <w:rFonts w:eastAsia="Times New Roman" w:cs="Times New Roman" w:ascii="Times New Roman" w:hAnsi="Times New Roman"/>
          <w:color w:val="111111"/>
          <w:sz w:val="28"/>
          <w:szCs w:val="28"/>
          <w:lang w:val="en-US"/>
        </w:rPr>
        <w:t xml:space="preserve"> Ambiguitas wujud, atau dalam istilah yang dikemukakan  Mulla Sadra disebut dengan Tasykik al-Wujūd, dibanding teori-  teori filsafat yang dikemukakan para filsuf Muslim sebelumnya,  lebih dekat pada prinsip Wahdat al-Wujūd yang dikembangkan  Ibn Arabi. Sekalipun antara keduanya tidak mutlak sama, prinsip  utama antara keduanya adalah bahwa terjadi ketunggalan  pada wujud, bahkan prinsip ambiguitas wujud dapat dijadikan  pendekatan secara filosofis untuk memahami teori Wahdat  al-Wujūd tersebut.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Mulla Sadra's dialectic with Ibn Sina and Ibn Al-Arabi. Tulisan  ini dapat diakses pada www.mullaSadra.org.</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Terlebih, jika kita melacak lebih jauh  pandangan Mulla Sadra, kita akan mendapati kecenderungannya  pada pandangan Wahdat al-Wujūd sehingga secara tidak  langsung memberikan kesan bahwa pandangan ambiguitas  wujud hanyalah upaya Mulla Sadra untuk memberikan bukti-  bukti filosofis terhadap Wahdat al-Wujūd.</w:t>
      </w:r>
      <w:bookmarkStart w:id="62" w:name="pg6434_60584"/>
    </w:p>
    <w:p>
      <w:pPr>
        <w:pStyle w:val="Heading3"/>
        <w:numPr>
          <w:ilvl w:val="2"/>
          <w:numId w:val="1"/>
        </w:numPr>
        <w:bidi w:val="0"/>
        <w:jc w:val="left"/>
        <w:rPr/>
      </w:pPr>
      <w:bookmarkStart w:id="63" w:name="__RefHeading___Toc808182_653776707"/>
      <w:bookmarkStart w:id="64" w:name="_Toc20"/>
      <w:bookmarkEnd w:id="62"/>
      <w:bookmarkEnd w:id="63"/>
      <w:r>
        <w:rPr/>
        <w:t>3. Kontinuitas Wujud</w:t>
      </w:r>
      <w:bookmarkEnd w:id="64"/>
    </w:p>
    <w:p>
      <w:pPr>
        <w:pStyle w:val="BookText"/>
        <w:bidi w:val="0"/>
        <w:jc w:val="both"/>
        <w:rPr/>
      </w:pPr>
      <w:r>
        <w:rPr>
          <w:rFonts w:eastAsia="Times New Roman" w:cs="Times New Roman" w:ascii="Times New Roman" w:hAnsi="Times New Roman"/>
          <w:color w:val="111111"/>
          <w:sz w:val="28"/>
          <w:szCs w:val="28"/>
          <w:lang w:val="en-US"/>
        </w:rPr>
        <w:t>Prinsip kontinuitas wujud berasal dari diktum yang  dikemukakan Mulla Sadra tentang tidak adanya perulangan  wujud dan kembalinya sesuatu yang tiada (La Tikrara fi al-Wujud  wa Imtina' l'adati al-Ma'dum). Mulla Sadra mengemukakan  pandangan bahwa tidak mungkin suatu bentuk wujud yang  telah mewujud dan kemudian menjadi tidak ada dan kemudian  mewujud kembali dalam realitas. Alasan yang dikemukakan  Mulla Sadra bahwa identitas wujud tertentu merupakan  substansi dari wujud itu sendiri, sebagaimana pembicaraan  sebelumnya dalam prinsip Asalat al-Wujūd, sehingga tidak  mungkin terjadi suatu bentuk wujud mewujud dalam dua  fase berbeda setelah diselingi oleh ketiadaan karena akan  menyebabkan realitas wujud yang satu bersumber dari dua  wujud sehingga sesuatu itu sekaligus satu dan banyak. Dengan  demikian juga tersisihkan kemungkinan akan adanya dua wujud  yang sama dalam keseluruhan dimensi, baik dipisahkan oleh  ketiadaan ataupun tidak. Jika kita imajinasikan akan adanya dua  wujud yang sama pada saat yang sama, pastilah ada perbedaan  antara keduanya karena lebih dari satu dan hal tersebut akan  mengakibatkan bersatunya dua hal yang kontradiktif (Ijtimā' al-  Naqidayn) yang secara logis tertolak.</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itu, argumentasi lain yang dikemukakan Mulla  Sadra terhadap ketidakmungkinan mewujudnya wujud  setelah ketiadaan dirinya adalah sekiranya hal tersebut dapat  dibenarkan terjadi, maka akan mewujud wujud yang sama.</w:t>
      </w:r>
      <w:r>
        <w:rPr>
          <w:rStyle w:val="FootnoteAnchor"/>
        </w:rPr>
        <w:footnoteReference w:id="59"/>
      </w:r>
      <w:r>
        <w:rPr>
          <w:rFonts w:eastAsia="Times New Roman" w:cs="Times New Roman" w:ascii="Times New Roman" w:hAnsi="Times New Roman"/>
          <w:color w:val="111111"/>
          <w:sz w:val="28"/>
          <w:szCs w:val="28"/>
          <w:lang w:val="en-US"/>
        </w:rPr>
        <w:t xml:space="preserve"> Kesamaan tersebut haruslah juga meliputi permulaan dan  akhir dan seluruh hal yang berkaitan dengan wujud tersebut  sehingga tidak ada dimensi yang membedakannya. Hal ini jelas </w:t>
      </w:r>
      <w:bookmarkStart w:id="65" w:name="pg6434_60585"/>
    </w:p>
    <w:p>
      <w:pPr>
        <w:pStyle w:val="BookText"/>
        <w:bidi w:val="0"/>
        <w:rPr/>
      </w:pPr>
      <w:bookmarkEnd w:id="65"/>
      <w:r>
        <w:rPr>
          <w:rFonts w:eastAsia="Times New Roman" w:cs="Times New Roman" w:ascii="Times New Roman" w:hAnsi="Times New Roman"/>
          <w:color w:val="111111"/>
          <w:sz w:val="28"/>
          <w:szCs w:val="28"/>
          <w:lang w:val="en-US"/>
        </w:rPr>
        <w:t>akan menyebabkan berkumpulnya dua hal yang serupa menjadi  satu. Ini jelas tidak mungkin, mengingat jika terjadi hal tersebut,  maka akan mengakibatkan sesuatu yang satu pada saat yang  sama adalah banyak.</w:t>
      </w:r>
    </w:p>
    <w:p>
      <w:pPr>
        <w:pStyle w:val="BookText"/>
        <w:bidi w:val="0"/>
        <w:jc w:val="both"/>
        <w:rPr/>
      </w:pPr>
      <w:r>
        <w:rPr>
          <w:rFonts w:eastAsia="Times New Roman" w:cs="Times New Roman" w:ascii="Times New Roman" w:hAnsi="Times New Roman"/>
          <w:color w:val="111111"/>
          <w:sz w:val="28"/>
          <w:szCs w:val="28"/>
          <w:lang w:val="en-US"/>
        </w:rPr>
        <w:t>Ada beragam argumentasi ketidakmungkinan lenyapnya  sesuatu yang telah mewujud dan kembali mewujud setelah  tiada. Dengan prinsip ini dan prinsip kausalitas, Mulla Sadra  ingin membuktikan beberapa hal, di antaranya, sesuatu yang  telah mewujud tidak akan mungkin menjadi tiada ('adam).</w:t>
      </w:r>
    </w:p>
    <w:p>
      <w:pPr>
        <w:pStyle w:val="BookText"/>
        <w:bidi w:val="0"/>
        <w:jc w:val="both"/>
        <w:rPr/>
      </w:pPr>
      <w:r>
        <w:rPr>
          <w:rFonts w:eastAsia="Times New Roman" w:cs="Times New Roman" w:ascii="Times New Roman" w:hAnsi="Times New Roman"/>
          <w:color w:val="111111"/>
          <w:sz w:val="28"/>
          <w:szCs w:val="28"/>
          <w:lang w:val="en-US"/>
        </w:rPr>
        <w:t>Prinsip ini kemudian diistilahkan oleh Mulla Sadra dengan tidak  adanya perulangan dalam wujud dan kembalinya sesuatu yang  tiada (La Tikrar fi al-Wujud wa Imtina' l'ādah al-Ma'dūm). Prinsip  ini, sebenarnya, jika kita telusuri, tidak sepenuhnya murni  berasal dari Mulla Sadra karena ketika Ibn Rusyd membantah  argumentasi Al-Gazhali dalam persoalan kebangkitan fisik, Ibn  Rusyd menggunakan prinsip ini. Akan tetapi, sekalipun seperti  itu, penjelasan yang lebih rinci berkaitan dengan prinsip ini  hanya dapat kita temui pada Mulla Sadra.</w:t>
      </w:r>
    </w:p>
    <w:p>
      <w:pPr>
        <w:pStyle w:val="Heading3"/>
        <w:numPr>
          <w:ilvl w:val="2"/>
          <w:numId w:val="1"/>
        </w:numPr>
        <w:bidi w:val="0"/>
        <w:jc w:val="left"/>
        <w:rPr/>
      </w:pPr>
      <w:bookmarkStart w:id="66" w:name="__RefHeading___Toc808184_653776707"/>
      <w:bookmarkStart w:id="67" w:name="_Toc21"/>
      <w:bookmarkEnd w:id="66"/>
      <w:r>
        <w:rPr/>
        <w:t>4. Wujud Mental (Wujud Al-Zihni)</w:t>
      </w:r>
      <w:bookmarkEnd w:id="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pandangan ontologis Mulla Sadra yang lain  adalah wujud mental (Wujūd al-Zihnī). Prinsip wujud mental ini  timbul karena persoalan persepsi terhadap objek: bagaimana  objektifitas dapat terjadi. Bagi kebanyakan filsuf, kuiditas di  balik wujud eksternal (wujud yang memberi efek keniscayaan)  terdapat wujud lain yang tidak memberi efek-efek tersebut dan  dinamakan sebagai wujud mental. Api eksternal yang kita saksikan  memiliki efek keniscayaan, seperti panas dan membakar, tetapi  api yang muncul dalam kesadaran mental tidaklah memiliki efek </w:t>
      </w:r>
    </w:p>
    <w:p>
      <w:pPr>
        <w:pStyle w:val="BookText"/>
        <w:bidi w:val="0"/>
        <w:rPr/>
      </w:pPr>
      <w:r>
        <w:rPr>
          <w:rFonts w:eastAsia="Times New Roman" w:cs="Times New Roman" w:ascii="Times New Roman" w:hAnsi="Times New Roman"/>
          <w:color w:val="111111"/>
          <w:sz w:val="28"/>
          <w:szCs w:val="28"/>
          <w:lang w:val="en-US"/>
        </w:rPr>
        <w:t>keniscayaan sebagaimana wujud eksternalnya. Api yang hadir  dalam mental itulah yang disebut wujud mental.</w:t>
      </w:r>
    </w:p>
    <w:p>
      <w:pPr>
        <w:pStyle w:val="BookText"/>
        <w:bidi w:val="0"/>
        <w:jc w:val="both"/>
        <w:rPr/>
      </w:pPr>
      <w:r>
        <w:rPr>
          <w:rFonts w:eastAsia="Times New Roman" w:cs="Times New Roman" w:ascii="Times New Roman" w:hAnsi="Times New Roman"/>
          <w:color w:val="111111"/>
          <w:sz w:val="28"/>
          <w:szCs w:val="28"/>
          <w:lang w:val="en-US"/>
        </w:rPr>
        <w:t>Sebagian filsuf menganggap Wujud Mental yang hadir  tersebut merupakan realitas eksternal, seperti halnya sebuah  lukisan dan sebagian lainnya bahkan menolak wujud mental.</w:t>
      </w:r>
    </w:p>
    <w:p>
      <w:pPr>
        <w:pStyle w:val="BookText"/>
        <w:bidi w:val="0"/>
        <w:jc w:val="both"/>
        <w:rPr/>
      </w:pPr>
      <w:r>
        <w:rPr>
          <w:rFonts w:eastAsia="Times New Roman" w:cs="Times New Roman" w:ascii="Times New Roman" w:hAnsi="Times New Roman"/>
          <w:color w:val="111111"/>
          <w:sz w:val="28"/>
          <w:szCs w:val="28"/>
          <w:lang w:val="en-US"/>
        </w:rPr>
        <w:t>Akan tetapi, menurut Mulla Sadra, penolakan itu jelas tidak  mungkin lantaran akan menyebabkan tidak adanya sesuatu  yang dapat kita ketahui. Hal ini membawa kembali kepada  pandangan Sofistik.</w:t>
      </w:r>
      <w:r>
        <w:rPr>
          <w:rStyle w:val="FootnoteAnchor"/>
        </w:rPr>
        <w:footnoteReference w:id="60"/>
      </w:r>
      <w:r>
        <w:rPr>
          <w:rFonts w:eastAsia="Times New Roman" w:cs="Times New Roman" w:ascii="Times New Roman" w:hAnsi="Times New Roman"/>
          <w:color w:val="111111"/>
          <w:sz w:val="28"/>
          <w:szCs w:val="28"/>
          <w:lang w:val="en-US"/>
        </w:rPr>
        <w:t xml:space="preserve"> Prinsip Wujud Mental yang dikemukakan Mulla Sadra,  sesungguhnya, tidak murni berasal dari Mulla Sadra, tetapi  berasal dari Syaikh Isyraq yang mengalami penyaksian  ruhaniah sebagai jawaban atas persoalan epistemologi yang  dihadapi Syaikh Isyraq. Namun demikian, Mulla Sadra lebih  maju dibandingkan Syaikh Isyraq dalam menjelaskan prinsip  wujud mental, terutama dalam memberikan argumentasi  filosofis terhadap prinsip ini, bahkan lebih jauh, Mulla Sadra  menjadikan prinsip ini sebagai dasar bagi epistemologi yang  dikemukakannya.</w:t>
      </w:r>
    </w:p>
    <w:p>
      <w:pPr>
        <w:pStyle w:val="BookText"/>
        <w:bidi w:val="0"/>
        <w:jc w:val="both"/>
        <w:rPr/>
      </w:pPr>
      <w:r>
        <w:rPr>
          <w:rFonts w:eastAsia="Times New Roman" w:cs="Times New Roman" w:ascii="Times New Roman" w:hAnsi="Times New Roman"/>
          <w:color w:val="111111"/>
          <w:sz w:val="28"/>
          <w:szCs w:val="28"/>
          <w:lang w:val="en-US"/>
        </w:rPr>
        <w:t>Mulla Sadra mengemukakan beberapa argumen untuk  membuktikan keberadaan wujud mental, yaitu:</w:t>
      </w:r>
      <w:r>
        <w:rPr>
          <w:rStyle w:val="FootnoteAnchor"/>
        </w:rPr>
        <w:footnoteReference w:id="61"/>
      </w:r>
      <w:r>
        <w:rPr>
          <w:rFonts w:eastAsia="Times New Roman" w:cs="Times New Roman" w:ascii="Times New Roman" w:hAnsi="Times New Roman"/>
          <w:color w:val="111111"/>
          <w:sz w:val="28"/>
          <w:szCs w:val="28"/>
          <w:lang w:val="en-US"/>
        </w:rPr>
        <w:t xml:space="preserve"> a. Jika kita membayangkan sesuatu yang tidak memiliki realitas  pada wujud eksternal, (seperti gunung emas, lautan alkohol,  bersatunya dua hal yang bertentangan) tidak mungkin wujud  tersebut terjadi pada realitas eksternal. Pastilah sesuatu itu  mewujud di satu tempat lain yang disebut dengan mental.</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 Gambaran sesuatu yang memiliki atribut universal (Kulli),  seperti konsep manusia bersifat general atau konsep  hewan bersifat universal, merupakan isyarat tidak mungkin </w:t>
      </w:r>
      <w:bookmarkStart w:id="68" w:name="pg6434_60587"/>
    </w:p>
    <w:p>
      <w:pPr>
        <w:pStyle w:val="BookText"/>
        <w:bidi w:val="0"/>
        <w:rPr/>
      </w:pPr>
      <w:bookmarkEnd w:id="68"/>
      <w:r>
        <w:rPr>
          <w:rFonts w:eastAsia="Times New Roman" w:cs="Times New Roman" w:ascii="Times New Roman" w:hAnsi="Times New Roman"/>
          <w:color w:val="111111"/>
          <w:sz w:val="28"/>
          <w:szCs w:val="28"/>
          <w:lang w:val="en-US"/>
        </w:rPr>
        <w:t>ditemukan bagi sesuatu yang universal tersebut pada realitas  eksternal, maka tidak lain posisinya berada pada relitas  mental.</w:t>
      </w:r>
    </w:p>
    <w:p>
      <w:pPr>
        <w:pStyle w:val="BookText"/>
        <w:bidi w:val="0"/>
        <w:jc w:val="both"/>
        <w:rPr/>
      </w:pPr>
      <w:r>
        <w:rPr>
          <w:rFonts w:eastAsia="Times New Roman" w:cs="Times New Roman" w:ascii="Times New Roman" w:hAnsi="Times New Roman"/>
          <w:color w:val="111111"/>
          <w:sz w:val="28"/>
          <w:szCs w:val="28"/>
          <w:lang w:val="en-US"/>
        </w:rPr>
        <w:t>C. Kita dapat memisahkan dari substansi, bahwa substansi  menjadi tempa bergantung atau menempel bagi aksiden,  seperti warna putih dari dinding. Realitas eksternal sama  sekali tidak mungkin menunjukkan keterpisahan ini sehingga  hal tersebut hanya terjadi pada realitas mental.</w:t>
      </w:r>
    </w:p>
    <w:p>
      <w:pPr>
        <w:pStyle w:val="BookText"/>
        <w:bidi w:val="0"/>
        <w:jc w:val="both"/>
        <w:rPr/>
      </w:pPr>
      <w:r>
        <w:rPr>
          <w:rFonts w:eastAsia="Times New Roman" w:cs="Times New Roman" w:ascii="Times New Roman" w:hAnsi="Times New Roman"/>
          <w:color w:val="111111"/>
          <w:sz w:val="28"/>
          <w:szCs w:val="28"/>
          <w:lang w:val="en-US"/>
        </w:rPr>
        <w:t>Menurut Mulla Sadra, tidak mungkin kita dapat menolak  wujud mental ini karena dia betul-betul real dan maujud.</w:t>
      </w:r>
    </w:p>
    <w:p>
      <w:pPr>
        <w:pStyle w:val="BookText"/>
        <w:bidi w:val="0"/>
        <w:jc w:val="both"/>
        <w:rPr/>
      </w:pPr>
      <w:r>
        <w:rPr>
          <w:rFonts w:eastAsia="Times New Roman" w:cs="Times New Roman" w:ascii="Times New Roman" w:hAnsi="Times New Roman"/>
          <w:color w:val="111111"/>
          <w:sz w:val="28"/>
          <w:szCs w:val="28"/>
          <w:lang w:val="en-US"/>
        </w:rPr>
        <w:t>Menolaknya sama dengan menolak hakikat wujud secara  keseluruhan, sebagaimana tergelincirnya kaum Sofis.</w:t>
      </w:r>
    </w:p>
    <w:p>
      <w:pPr>
        <w:pStyle w:val="BookText"/>
        <w:bidi w:val="0"/>
        <w:jc w:val="both"/>
        <w:rPr/>
      </w:pPr>
      <w:r>
        <w:rPr>
          <w:rFonts w:eastAsia="Times New Roman" w:cs="Times New Roman" w:ascii="Times New Roman" w:hAnsi="Times New Roman"/>
          <w:color w:val="111111"/>
          <w:sz w:val="28"/>
          <w:szCs w:val="28"/>
          <w:lang w:val="en-US"/>
        </w:rPr>
        <w:t>Pembuktian adanya wujud mental ini memberikan jalan  keluar bagi persoalan yang dihadapi banyak filsuf, baik ketika  menjelaskan persoalan persepsi ataupun epistemologi. Dengan  membuktikan wujud mental, kita dapat membayangkan bahwa  Mulla Sadra, pada akhirnya, ingin membuktikan bahwa objek  Syuhudi adalah real dan maujud.</w:t>
      </w:r>
    </w:p>
    <w:p>
      <w:pPr>
        <w:pStyle w:val="Heading3"/>
        <w:numPr>
          <w:ilvl w:val="2"/>
          <w:numId w:val="1"/>
        </w:numPr>
        <w:bidi w:val="0"/>
        <w:jc w:val="left"/>
        <w:rPr/>
      </w:pPr>
      <w:bookmarkStart w:id="69" w:name="__RefHeading___Toc808186_653776707"/>
      <w:bookmarkStart w:id="70" w:name="_Toc22"/>
      <w:bookmarkEnd w:id="69"/>
      <w:r>
        <w:rPr/>
        <w:t>5. Prinsip Emanasi</w:t>
      </w:r>
      <w:bookmarkEnd w:id="70"/>
    </w:p>
    <w:p>
      <w:pPr>
        <w:pStyle w:val="BookText"/>
        <w:bidi w:val="0"/>
        <w:jc w:val="both"/>
        <w:rPr/>
      </w:pPr>
      <w:r>
        <w:rPr>
          <w:rFonts w:eastAsia="Times New Roman" w:cs="Times New Roman" w:ascii="Times New Roman" w:hAnsi="Times New Roman"/>
          <w:color w:val="111111"/>
          <w:sz w:val="28"/>
          <w:szCs w:val="28"/>
          <w:lang w:val="en-US"/>
        </w:rPr>
        <w:t>Mulla Sadra menyebut prinsip ini dengan satu ungkapan  bahwa tidak keluar dari yang satu kecuali satu (al-Wāhid la  Yasdurū minhu illa al-Wāhid). Karena itu juga, prinsip ini  dikenal sebagai kaidah al-Wāhid dan dalam tasawuf atau gnostik  disebut sebagai emanasi. Prinsip ini merupakan prinsip yang  sangat penting yang berhasil disempurnakan oleh Mulla Sadra.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besar filsuf, sebelum Mulla Sadra, telah mencurahkan  kajian yang serius dan mendalam dalam persoalan ini, terutama  para filsuf Muslim, karena prinsip penciptaan ini sangat berkaitan </w:t>
      </w:r>
    </w:p>
    <w:p>
      <w:pPr>
        <w:pStyle w:val="BookText"/>
        <w:bidi w:val="0"/>
        <w:rPr/>
      </w:pPr>
      <w:r>
        <w:rPr>
          <w:rFonts w:eastAsia="Times New Roman" w:cs="Times New Roman" w:ascii="Times New Roman" w:hAnsi="Times New Roman"/>
          <w:color w:val="111111"/>
          <w:sz w:val="28"/>
          <w:szCs w:val="28"/>
          <w:lang w:val="en-US"/>
        </w:rPr>
        <w:t>dengan doktrin Tauhid.</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Amir Kabir, 1377) dan Alamah Thabathaba'i menulis buku  Risalah Al-Tauhid.</w:t>
      </w:r>
    </w:p>
    <w:p>
      <w:pPr>
        <w:pStyle w:val="BookText"/>
        <w:bidi w:val="0"/>
        <w:jc w:val="both"/>
        <w:rPr/>
      </w:pPr>
      <w:r>
        <w:rPr>
          <w:rFonts w:eastAsia="Times New Roman" w:cs="Times New Roman" w:ascii="Times New Roman" w:hAnsi="Times New Roman"/>
          <w:color w:val="111111"/>
          <w:sz w:val="28"/>
          <w:szCs w:val="28"/>
          <w:lang w:val="en-US"/>
        </w:rPr>
        <w:t>Mir Damad menyatakan, “Induk dari  prinsip pemikiran adalah bahwa Yang satu sebagaimana dia satu  dalam spesifikasinya tidak keluar darinya kecuali satu. Prinsip  demikian ini yang kami gambarkan kepada Anda, keluar dari  kemurnian intelek yang tercerahkan."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أمهات الأصول العقلیة أن الواحد بما هو واحد لا یصدر عنه من  تلک الحیثیة إلا واحدا فلعل هذا الأصل بما تلوناه علیک من فطرابات العقل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Julle</w:t>
      </w:r>
    </w:p>
    <w:p>
      <w:pPr>
        <w:pStyle w:val="BookText"/>
        <w:bidi w:val="0"/>
        <w:jc w:val="both"/>
        <w:rPr/>
      </w:pPr>
      <w:r>
        <w:rPr>
          <w:rFonts w:eastAsia="Times New Roman" w:cs="Times New Roman" w:ascii="Times New Roman" w:hAnsi="Times New Roman"/>
          <w:color w:val="111111"/>
          <w:sz w:val="28"/>
          <w:szCs w:val="28"/>
          <w:lang w:val="en-US"/>
        </w:rPr>
        <w:t>Pada umumnya, para filsuf Muslim menerima prinsip ini.</w:t>
      </w:r>
    </w:p>
    <w:p>
      <w:pPr>
        <w:pStyle w:val="BookText"/>
        <w:bidi w:val="0"/>
        <w:jc w:val="both"/>
        <w:rPr/>
      </w:pPr>
      <w:r>
        <w:rPr>
          <w:rFonts w:eastAsia="Times New Roman" w:cs="Times New Roman" w:ascii="Times New Roman" w:hAnsi="Times New Roman"/>
          <w:color w:val="111111"/>
          <w:sz w:val="28"/>
          <w:szCs w:val="28"/>
          <w:lang w:val="en-US"/>
        </w:rPr>
        <w:t>Istilah yang kerap digunakan para filsuf tersebut, antara lain, al-  Asl al-Asil, Asas al-Tauhid dan Qaidah al-Wahid.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Menurut Al-Farabi, prinsip ini berasal dari Aristoteles  melalui muridnya, Xenon. </w:t>
      </w:r>
      <w:r>
        <w:rPr>
          <w:rStyle w:val="FootnoteAnchor"/>
        </w:rPr>
        <w:footnoteReference w:id="63"/>
      </w:r>
      <w:r>
        <w:rPr>
          <w:rFonts w:eastAsia="Times New Roman" w:cs="Times New Roman" w:ascii="Times New Roman" w:hAnsi="Times New Roman"/>
          <w:color w:val="111111"/>
          <w:sz w:val="28"/>
          <w:szCs w:val="28"/>
          <w:lang w:val="en-US"/>
        </w:rPr>
        <w:t>Hal yang sama termaktub juga dalam  kitab Utsulujiyya-nya.</w:t>
      </w:r>
      <w:r>
        <w:rPr>
          <w:rStyle w:val="FootnoteAnchor"/>
        </w:rPr>
        <w:footnoteReference w:id="64"/>
      </w:r>
      <w:r>
        <w:rPr>
          <w:rFonts w:eastAsia="Times New Roman" w:cs="Times New Roman" w:ascii="Times New Roman" w:hAnsi="Times New Roman"/>
          <w:color w:val="111111"/>
          <w:sz w:val="28"/>
          <w:szCs w:val="28"/>
          <w:lang w:val="en-US"/>
        </w:rPr>
        <w:t>Sedangkan Ibn Rusyd menisbahkan  prinsip ini kepada Plato dan Tamistius.</w:t>
      </w:r>
      <w:r>
        <w:rPr>
          <w:rStyle w:val="FootnoteAnchor"/>
        </w:rPr>
        <w:footnoteReference w:id="65"/>
      </w:r>
      <w:r>
        <w:rPr>
          <w:rFonts w:eastAsia="Times New Roman" w:cs="Times New Roman" w:ascii="Times New Roman" w:hAnsi="Times New Roman"/>
          <w:color w:val="111111"/>
          <w:sz w:val="28"/>
          <w:szCs w:val="28"/>
          <w:lang w:val="en-US"/>
        </w:rPr>
        <w:t>Dengan dasar ini,  dapat diketahui bahwa prinsip ini tidak murni digagas oleh  Mulla Sadra, tetapi Mulla Sadra membawa prinsip ini sebagai  bagian dari upayanya untuk menopang gagasan tentang wujud  yang menjadi dasar utama filsafatnya. Selain itu, Mulla Sadra  memberikan argumentasi tambahan terhadap argumentasi-  argumentasi yang sebelumnya digunakan untuk membuktikan  prinsip tersebut. Sayangnya, ketika menjelaskan prinsip ini,  Mulla Sadra tidak mengemukakan secara jelas penggagas utama  prinsip ini sehingga beberapa peneliti Mulla Sadra menganggap  prinsip ini murni berasal dari Mulla Sadra.</w:t>
      </w:r>
      <w:r>
        <w:rPr>
          <w:rStyle w:val="FootnoteAnchor"/>
        </w:rPr>
        <w:footnoteReference w:id="66"/>
      </w:r>
      <w:r>
        <w:rPr>
          <w:rFonts w:eastAsia="Times New Roman" w:cs="Times New Roman" w:ascii="Times New Roman" w:hAnsi="Times New Roman"/>
          <w:color w:val="111111"/>
          <w:sz w:val="28"/>
          <w:szCs w:val="28"/>
          <w:lang w:val="en-US"/>
        </w:rPr>
        <w:t xml:space="preserve"> Perbedaan utama dengan para filsuf sebelumnya adalah  Mulla Sadra mendasarkan diri pada prinsip kesatuan wujud,  sedangkan para filsuf sebelumnya, seperti Al-Farabi dan Ibn  Sina, meyakini intelek-intelek yang muncul dari Wajib al-Wujud  merupakan wujud-wujud Mumkin yang independen. </w:t>
      </w:r>
      <w:r>
        <w:rPr>
          <w:rStyle w:val="FootnoteAnchor"/>
        </w:rPr>
        <w:footnoteReference w:id="67"/>
      </w:r>
      <w:r>
        <w:rPr>
          <w:rFonts w:eastAsia="Times New Roman" w:cs="Times New Roman" w:ascii="Times New Roman" w:hAnsi="Times New Roman"/>
          <w:color w:val="111111"/>
          <w:sz w:val="28"/>
          <w:szCs w:val="28"/>
          <w:lang w:val="en-US"/>
        </w:rPr>
        <w:t xml:space="preserve"> Saat mengawali penjelasan tentang prinsip ini, Mulla Sadra  mengemukakan gagasan Ibn Sina tentang prinsip penciptaan, </w:t>
      </w:r>
    </w:p>
    <w:p>
      <w:pPr>
        <w:pStyle w:val="BookText"/>
        <w:bidi w:val="0"/>
        <w:rPr/>
      </w:pPr>
      <w:r>
        <w:rPr>
          <w:rFonts w:eastAsia="Times New Roman" w:cs="Times New Roman" w:ascii="Times New Roman" w:hAnsi="Times New Roman"/>
          <w:color w:val="111111"/>
          <w:sz w:val="28"/>
          <w:szCs w:val="28"/>
          <w:lang w:val="en-US"/>
        </w:rPr>
        <w:t>meskipun ada beberapa perbedaan mendasar antara keduanya  dalam terwujudnya pluralitas ciptaan. Tuhan adalah Zat  Sederhana (Basith) tanpa ada unsur lain yang mencampuri Diri-  Nya, selain Diri-Nya sendiri. Zat Sederhana seperti ini karena  tidak berkomposisi dengan unsur-unsur lain sehingga tidak  mungkin melahirkan zat plural lain dalam bentuk sekaligus  secara horizontal. Lantaran hal ini mengasumsikan adanya  pluralitas pada wujud sebelumnya, padahal wujud sebelumnya  sudah dipastikan sebagai satu Zat Yang Sederhana. Karenanya,  menurut Mulla Sadra, yang benar adalah kemunculan wujud  pertama dari Satu Zat Yang Sederhana tidak mungkin lebih  dari satu dan berikutnya, wujud pertama akan memunculkan  wujud kedua dan seterusnya; semakin jauh dari sumber wujud,  semakin terjadi polarisasi dan pada akhirnya akan menyebabkan  pluralitas, baik dari segi kualitas maupun kuantitas. Mulla Sadra  menegaskan hal tersebut, antara lain,  Ini merupakan prinsip yang timbul dari intelek yang  terbebas dari tabir taklid dan tanpa noda fanatisme serta  kegelapan pertentangan sehingga ia dapat menetapkan  bahwa Esanya Tuhan adalah murni dan bahwa yang satu  sebagai satu tidaklah keluar darinya dalam spesifikasi itu,  kecuali satu dan tidak pula bentuk plural sebagai plural  keluar dari yang satu sehingga keluar darinya dua sumber  yang bertentangan dengan satu. Selanjutnya, sisi-sisi  dan spesifikasi menjadi plural, maka terbukalah gerbang  kebaikan.</w:t>
      </w:r>
      <w:r>
        <w:rPr>
          <w:rStyle w:val="FootnoteAnchor"/>
        </w:rPr>
        <w:footnoteReference w:id="68"/>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هذه الأصول الممهدة التی قد مر ذکر هما مما یستقل به العقل النظری        الذی لیس لعینه غشاوة التقلید ولا لمراآته رین العصبیة وظلمة العناد لاثبات  أن الواحد الحق الصرف وکذا الواحد بما هو واحد لا یصدر عنه من تلک  الحیثیة الا واحد وان لیس فی طباع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کثرة أن تصدر عن الواحد  ان یصدر عنها مبدعان مقابل واحد فواحدا إلی أن یتکثر الجهات والحیثیات  وینفتح باب الخیرات</w:t>
      </w:r>
      <w:r>
        <w:rPr>
          <w:rFonts w:eastAsia="IRNazanin" w:cs="IRNazanin"/>
          <w:color w:val="111111"/>
          <w:sz w:val="28"/>
          <w:szCs w:val="28"/>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Beberapa argumentasi yang dikemukakan Mulla Sadra  berkaitan dengan prinsip ini, antara lain,  a. Identitas A pasti berbeda dari identitas B, dan ini  menunjukkan bahwa masing-masingnya memiliki sebab</w:t>
      </w:r>
    </w:p>
    <w:p>
      <w:pPr>
        <w:pStyle w:val="BookText"/>
        <w:bidi w:val="0"/>
        <w:rPr/>
      </w:pPr>
      <w:r>
        <w:rPr>
          <w:rFonts w:eastAsia="Times New Roman" w:cs="Times New Roman" w:ascii="Times New Roman" w:hAnsi="Times New Roman"/>
          <w:color w:val="111111"/>
          <w:sz w:val="28"/>
          <w:szCs w:val="28"/>
          <w:lang w:val="en-US"/>
        </w:rPr>
        <w:t>yang berbeda. Sebab tersebut adalah dua identitas terpisah  atau satu identitas yang memiliki dua sifat yang berbeda.</w:t>
      </w:r>
    </w:p>
    <w:p>
      <w:pPr>
        <w:pStyle w:val="BookText"/>
        <w:bidi w:val="0"/>
        <w:jc w:val="both"/>
        <w:rPr/>
      </w:pPr>
      <w:r>
        <w:rPr>
          <w:rFonts w:eastAsia="Times New Roman" w:cs="Times New Roman" w:ascii="Times New Roman" w:hAnsi="Times New Roman"/>
          <w:color w:val="111111"/>
          <w:sz w:val="28"/>
          <w:szCs w:val="28"/>
          <w:lang w:val="en-US"/>
        </w:rPr>
        <w:t>Padahal, sumber utama wujud adalah Zat Sederhana yang  satu secara mutlak sehingga mustahil keluar dua identitas  dari Zat tersebut.</w:t>
      </w:r>
    </w:p>
    <w:p>
      <w:pPr>
        <w:pStyle w:val="BookText"/>
        <w:bidi w:val="0"/>
        <w:jc w:val="both"/>
        <w:rPr/>
      </w:pPr>
      <w:r>
        <w:rPr>
          <w:rFonts w:eastAsia="Times New Roman" w:cs="Times New Roman" w:ascii="Times New Roman" w:hAnsi="Times New Roman"/>
          <w:color w:val="111111"/>
          <w:sz w:val="28"/>
          <w:szCs w:val="28"/>
          <w:lang w:val="en-US"/>
        </w:rPr>
        <w:t>b. Identitas sebab A pasti berbeda dari identitas sebab B.</w:t>
      </w:r>
    </w:p>
    <w:p>
      <w:pPr>
        <w:pStyle w:val="BookText"/>
        <w:bidi w:val="0"/>
        <w:jc w:val="both"/>
        <w:rPr/>
      </w:pPr>
      <w:r>
        <w:rPr>
          <w:rFonts w:eastAsia="Times New Roman" w:cs="Times New Roman" w:ascii="Times New Roman" w:hAnsi="Times New Roman"/>
          <w:color w:val="111111"/>
          <w:sz w:val="28"/>
          <w:szCs w:val="28"/>
          <w:lang w:val="en-US"/>
        </w:rPr>
        <w:t>Perbedaan tersebut, baik pada kuiditas maupun pada  wujud, keduanya mengharuskan pluralitas sehingga tidak  mungkin keduanya disatukan dalam satu identitas mutlak  yang tidak ada perbedaan di dalamnya. Jika tidak, maka akan  menyebabkan berlakunya hukum kontradiksi.</w:t>
      </w:r>
    </w:p>
    <w:p>
      <w:pPr>
        <w:pStyle w:val="BookText"/>
        <w:bidi w:val="0"/>
        <w:jc w:val="both"/>
        <w:rPr/>
      </w:pPr>
      <w:r>
        <w:rPr>
          <w:rFonts w:eastAsia="Times New Roman" w:cs="Times New Roman" w:ascii="Times New Roman" w:hAnsi="Times New Roman"/>
          <w:color w:val="111111"/>
          <w:sz w:val="28"/>
          <w:szCs w:val="28"/>
          <w:lang w:val="en-US"/>
        </w:rPr>
        <w:t>Zat Sederhana yang tidak terkomposisi oleh unsur apa  pun hanya akan mengeluarkan satu akibat. Sekiranya satu  akibat itu kita sebut A, maka keluarnya A dari sebab tersebut  merupakan keharusan logis dan sekiranya keluar juga  dari sebab sederhana B, maka hal tersebut membatalkan  keharusan logis akibat A dan pengandaian ini jelas  bertentangan dengan logika.</w:t>
      </w:r>
    </w:p>
    <w:p>
      <w:pPr>
        <w:pStyle w:val="BookText"/>
        <w:bidi w:val="0"/>
        <w:jc w:val="both"/>
        <w:rPr/>
      </w:pPr>
      <w:r>
        <w:rPr>
          <w:rFonts w:eastAsia="Times New Roman" w:cs="Times New Roman" w:ascii="Times New Roman" w:hAnsi="Times New Roman"/>
          <w:color w:val="111111"/>
          <w:sz w:val="28"/>
          <w:szCs w:val="28"/>
          <w:lang w:val="en-US"/>
        </w:rPr>
        <w:t>Begitulah beberapa argumentasi yang dikemukakan Mulla  Sadra untuk membuktikan kebenaran prinsip emanasi ini.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Wajib al-Wujud sebagai Zat Yang Sederhana, berdasarkan  argumentasi-argumentasi di atas, akan mengeluarkan bentuk  ciptaan yang satu dan sederhana, demikian seterusnya hingga  pada bentuk ciptaan kesepuluh yang tidak memiliki kemampuan  untuk mengeluarkan bentuk ciptaan berikutnya.</w:t>
      </w:r>
      <w:r>
        <w:rPr>
          <w:rStyle w:val="FootnoteAnchor"/>
        </w:rPr>
        <w:footnoteReference w:id="69"/>
      </w:r>
      <w:r>
        <w:rPr>
          <w:rFonts w:eastAsia="Times New Roman" w:cs="Times New Roman" w:ascii="Times New Roman" w:hAnsi="Times New Roman"/>
          <w:color w:val="111111"/>
          <w:sz w:val="28"/>
          <w:szCs w:val="28"/>
          <w:lang w:val="en-US"/>
        </w:rPr>
        <w:t>Ibn Rusyd,  Ibn Sina, Ibn 'Arābi maupun Mulla Sadra menyebut wujud  yang muncul ini sebagai intelek, meskipun terjadi perbedaan</w:t>
      </w:r>
      <w:r>
        <w:rPr>
          <w:rStyle w:val="FootnoteAnchor"/>
        </w:rPr>
        <w:footnoteReference w:id="70"/>
      </w:r>
      <w:r>
        <w:rPr>
          <w:rFonts w:eastAsia="Times New Roman" w:cs="Times New Roman" w:ascii="Times New Roman" w:hAnsi="Times New Roman"/>
          <w:color w:val="111111"/>
          <w:sz w:val="28"/>
          <w:szCs w:val="28"/>
          <w:lang w:val="en-US"/>
        </w:rPr>
        <w:t xml:space="preserve"> dalam jumlah intelek yang muncul berdasarkan proses emanasi  tersebut. </w:t>
      </w:r>
    </w:p>
    <w:p>
      <w:pPr>
        <w:pStyle w:val="BookText"/>
        <w:bidi w:val="0"/>
        <w:rPr/>
      </w:pPr>
      <w:r>
        <w:rPr>
          <w:rFonts w:eastAsia="Times New Roman" w:cs="Times New Roman" w:ascii="Times New Roman" w:hAnsi="Times New Roman"/>
          <w:color w:val="111111"/>
          <w:sz w:val="28"/>
          <w:szCs w:val="28"/>
          <w:lang w:val="en-US"/>
        </w:rPr>
        <w:t xml:space="preserve">Di antara pemikir  Muslim, ada juga    yang menolak prinsip  ini, antara lain, Al-    Fakhrurrazi dan Al-    Gazhali. Al-Gazhali    menyatakan bahwa  memercayai prinsip  Mulla Sadra menolak argumentasi  ini adalah “Kegelapan    di atas kegelapan". </w:t>
      </w:r>
      <w:r>
        <w:rPr>
          <w:rStyle w:val="FootnoteAnchor"/>
        </w:rPr>
        <w:footnoteReference w:id="71"/>
      </w:r>
      <w:r>
        <w:rPr>
          <w:rFonts w:eastAsia="Times New Roman" w:cs="Times New Roman" w:ascii="Times New Roman" w:hAnsi="Times New Roman"/>
          <w:color w:val="111111"/>
          <w:sz w:val="28"/>
          <w:szCs w:val="28"/>
          <w:lang w:val="en-US"/>
        </w:rPr>
        <w:t xml:space="preserve"> Al-Gazhali menolak    prinsip ini karena  menurutnya, prinsip ini    bertentangan dengan    sifat Kemahakuasaan    Allah Ta'ala dan hal  tersebut sama dengan  tidak percaya bahwa alam semesta yang plural ini merupakan  ciptaan Allah.</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Hal ini merupakan kekacauan dalam dasar pandangan  mereka, bahkan tidak tergambarkan berdasarkan prinsip-  prinsip mereka bahwa alam semesta ini merupakan ciptaan  Allah.</w:t>
      </w:r>
    </w:p>
    <w:p>
      <w:pPr>
        <w:pStyle w:val="BookText"/>
        <w:bidi w:val="0"/>
        <w:jc w:val="both"/>
        <w:rPr/>
      </w:pPr>
      <w:r>
        <w:rPr>
          <w:rFonts w:eastAsia="Times New Roman" w:cs="Times New Roman" w:ascii="Times New Roman" w:hAnsi="Times New Roman"/>
          <w:color w:val="111111"/>
          <w:sz w:val="28"/>
          <w:szCs w:val="28"/>
          <w:lang w:val="en-US"/>
        </w:rPr>
        <w:t>Alasan yang sama juga dikemukakan Al-  Fakhrurrazi.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Mulla Sadra menolak argumentasi Al-Gazhali  maupun Al-Fakhrurrazi karena menurutnya, proses penciptaan  yang dilakukan Allah Ta'ala melalui proses kausalitas,  sedangkan Kemahakuasaan Allah Ta'ala merupakan gambaran  dari kemampuan Allah untuk melakukan sesuatu yang mungkin  terjadi, bukan sesuatu yang mustahil terjadi.</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ini menggambarkan secara jelas kepada kita  bagaimana pengaruh tasawuf dan gnostik pada diri Mulla Sadra  serta pengaruh teori Emanasi Ibn Arabi yang kemudian diberinya  argumentasi rasional yang sangat kuat. </w:t>
      </w:r>
      <w:bookmarkStart w:id="71" w:name="pg6434_60592"/>
    </w:p>
    <w:p>
      <w:pPr>
        <w:pStyle w:val="Heading3"/>
        <w:numPr>
          <w:ilvl w:val="2"/>
          <w:numId w:val="1"/>
        </w:numPr>
        <w:bidi w:val="0"/>
        <w:jc w:val="left"/>
        <w:rPr/>
      </w:pPr>
      <w:bookmarkStart w:id="72" w:name="__RefHeading___Toc808188_653776707"/>
      <w:bookmarkStart w:id="73" w:name="_Toc23"/>
      <w:bookmarkEnd w:id="71"/>
      <w:bookmarkEnd w:id="72"/>
      <w:r>
        <w:rPr/>
        <w:t>6. Gerakan Transubstansial (Al-Harākat Al-Jawharriyyah)</w:t>
      </w:r>
      <w:bookmarkEnd w:id="73"/>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Gerakan Transubstansial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(Al-Harākat Al-  Jawharriyyah)  Salah satu persoalan yang selalu dibicarakan oleh para  filsuf adalah persoalan gerak karena gerak merupakan bagian  mendasar ketika membicarakan kuiditas. Teori tentang gerak  ini sangat beragam, di antaranya ada yang memandang bahwa  gerak merupakan proses kejadian dan kehancuran yang berasal  dari Al-Farabi. Ibn Rusyd menuliskan teori ini dalam karya  khusus yang diberi judul Talkhis Al-Kawn wa Al-Fasād yang di  dalamnya, Ibn Rusyd berusaha membuktikan kebenaran teori  ini. Menurutnya, gerak merupakan 'proses perpindahan dari  satu titik menuju titik berikutnya dengan menghilangkan titik  pertama dan membentuk titik kedua, demikian seterusnya'.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Ibn Sina menggambarkan gerakan sebagai dua proses subjektif  dan objektif. Pada proses subjektif, terjadinya proses bertahap  (tadrij) dari satu titik menuju titik berikutnya melintasi ruang  sehingga terjadi gerakan. Kondisi ini, menurut Ibn Sina, hanya  terjadi secara subjektif pada diri pengamat karena penggabungan  titik-titik tersebut menjadi satu bagian yang tergabung hanyalah  terjadi pada persepsi subjek, sedangkan secara objektif, wujud  yang dipersepsi bergerak itu bersifat permanen berada di antara  permulaan dan akhir.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Mir Damad menolak anggapan Ibn Sina bahwa gerak  berlaku subjektif dengan mengemukakan pandangan bahwa  pada gerak, terjadi kontinuitas secara konstan dan objektif,  mengingat ruang dan waktu merupakan realitas objektif.</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Mulla  Sadra, seperti halnya gurunya tersebut, menolak pandangan Ibn  Sina, tetapi berbeda dengan gurunya, Mulla Sadra menunjukkan  bahwa gerakan bukan hanya sesuatu yang objektif dan kontinu,</w:t>
      </w:r>
    </w:p>
    <w:p>
      <w:pPr>
        <w:pStyle w:val="BookText"/>
        <w:bidi w:val="0"/>
        <w:jc w:val="both"/>
        <w:rPr/>
      </w:pPr>
      <w:r>
        <w:rPr>
          <w:rFonts w:eastAsia="Times New Roman" w:cs="Times New Roman" w:ascii="Times New Roman" w:hAnsi="Times New Roman"/>
          <w:color w:val="111111"/>
          <w:sz w:val="28"/>
          <w:szCs w:val="28"/>
          <w:lang w:val="en-US"/>
        </w:rPr>
        <w:t>Intisyarat Hekmat, 1411), J. III, hlm. 305.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33. Pandangan Mir Damad ini dapat kita lihat pada karyanya, Al-  Qabsat, hlm. 183— 238.</w:t>
      </w:r>
    </w:p>
    <w:p>
      <w:pPr>
        <w:pStyle w:val="BookText"/>
        <w:bidi w:val="0"/>
        <w:rPr/>
      </w:pPr>
      <w:r>
        <w:rPr>
          <w:rFonts w:eastAsia="Times New Roman" w:cs="Times New Roman" w:ascii="Times New Roman" w:hAnsi="Times New Roman"/>
          <w:color w:val="111111"/>
          <w:sz w:val="28"/>
          <w:szCs w:val="28"/>
          <w:lang w:val="en-US"/>
        </w:rPr>
        <w:t>tetapi meliputi substansi.</w:t>
      </w:r>
    </w:p>
    <w:p>
      <w:pPr>
        <w:pStyle w:val="BookText"/>
        <w:bidi w:val="0"/>
        <w:jc w:val="both"/>
        <w:rPr/>
      </w:pPr>
      <w:r>
        <w:rPr>
          <w:rFonts w:eastAsia="Times New Roman" w:cs="Times New Roman" w:ascii="Times New Roman" w:hAnsi="Times New Roman"/>
          <w:color w:val="111111"/>
          <w:sz w:val="28"/>
          <w:szCs w:val="28"/>
          <w:lang w:val="en-US"/>
        </w:rPr>
        <w:t>Di titik ini, Mulla Sadra    bertentangan dengan seluruh    filsuf sebelumnya.</w:t>
      </w:r>
    </w:p>
    <w:p>
      <w:pPr>
        <w:pStyle w:val="BookText"/>
        <w:bidi w:val="0"/>
        <w:jc w:val="both"/>
        <w:rPr/>
      </w:pPr>
      <w:r>
        <w:rPr>
          <w:rFonts w:eastAsia="Times New Roman" w:cs="Times New Roman" w:ascii="Times New Roman" w:hAnsi="Times New Roman"/>
          <w:color w:val="111111"/>
          <w:sz w:val="28"/>
          <w:szCs w:val="28"/>
          <w:lang w:val="en-US"/>
        </w:rPr>
        <w:t>pandangan umum para    filsuf, termasuk Ibn Sina,      terjadi pada empat kategori    kuiditas: kuantitas (kam),  Sina, “Jika terjadi gerak  kualitas (kayf), posisi (wadh'),  dan tempat (ayn). Substansi    (jawhar) dalam pandangan ini  bersifat tetap karena hanya  terjadi perubahan dan gerakan pada empat kategori tersebut.</w:t>
      </w:r>
    </w:p>
    <w:p>
      <w:pPr>
        <w:pStyle w:val="BookText"/>
        <w:bidi w:val="0"/>
        <w:jc w:val="both"/>
        <w:rPr/>
      </w:pPr>
      <w:r>
        <w:rPr>
          <w:rFonts w:eastAsia="Times New Roman" w:cs="Times New Roman" w:ascii="Times New Roman" w:hAnsi="Times New Roman"/>
          <w:color w:val="111111"/>
          <w:sz w:val="28"/>
          <w:szCs w:val="28"/>
          <w:lang w:val="en-US"/>
        </w:rPr>
        <w:t>Keberatan utama jika terjadi perubahan pada substansi adalah  ketidakmungkinan melakukan penetapan terhadap sesuatu.</w:t>
      </w:r>
    </w:p>
    <w:p>
      <w:pPr>
        <w:pStyle w:val="BookText"/>
        <w:bidi w:val="0"/>
        <w:jc w:val="both"/>
        <w:rPr/>
      </w:pPr>
      <w:r>
        <w:rPr>
          <w:rFonts w:eastAsia="Times New Roman" w:cs="Times New Roman" w:ascii="Times New Roman" w:hAnsi="Times New Roman"/>
          <w:color w:val="111111"/>
          <w:sz w:val="28"/>
          <w:szCs w:val="28"/>
          <w:lang w:val="en-US"/>
        </w:rPr>
        <w:t>Dalam pandangan mereka, sesuatu yang dahulu adalah sesuatu  yang saat ini dan sesuatu yang saat ini adalah sesuatu yang akan  datang. Seperti pertanyaan murid utama Ibn Sina, Bahmaniyar,  kepada gurunya, “Mengapa tidak mungkin terjadi gerakan pada  substansi?" Jawab Ibn Sina, “Jika terjadi gerak pada substansi,  maka Ibn Sina yang lalu bukan lagi Ibn Sina yang sekarang."</w:t>
      </w:r>
      <w:r>
        <w:rPr>
          <w:rStyle w:val="FootnoteAnchor"/>
        </w:rPr>
        <w:footnoteReference w:id="73"/>
      </w:r>
      <w:r>
        <w:rPr>
          <w:rFonts w:eastAsia="Times New Roman" w:cs="Times New Roman" w:ascii="Times New Roman" w:hAnsi="Times New Roman"/>
          <w:color w:val="111111"/>
          <w:sz w:val="28"/>
          <w:szCs w:val="28"/>
          <w:lang w:val="en-US"/>
        </w:rPr>
        <w:t xml:space="preserve"> Menurut Mulla Sadra, tidak mungkin gerakan hanya  terjadi pada aksiden (al-'arad) karena aksiden selalu bergantung  pada substansi. Jika terjadi gerakan pada aksiden, hal tersebut  jelas menunjukkan gerakan yang terjadi pada substansi.</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dapat terjadi (gerakan) pada kuantitas dan kualitas serta  bagian-bagiannya yang tidak terbatas di antara keduanya secara </w:t>
      </w:r>
    </w:p>
    <w:p>
      <w:pPr>
        <w:pStyle w:val="BookText"/>
        <w:bidi w:val="0"/>
        <w:rPr/>
      </w:pPr>
      <w:r>
        <w:rPr>
          <w:rFonts w:eastAsia="Times New Roman" w:cs="Times New Roman" w:ascii="Times New Roman" w:hAnsi="Times New Roman"/>
          <w:color w:val="111111"/>
          <w:sz w:val="28"/>
          <w:szCs w:val="28"/>
          <w:lang w:val="en-US"/>
        </w:rPr>
        <w:t xml:space="preserve">potensial, maka wujud selalu membaru dalam identitasnya, baik  pada kuantitas ataupun kualitas. Dengan demikian, gerakan  tersebut dapat juga terjadi pada substansi sehingga merupakan  hal yang memungkinkan bagi substansi untuk menguat dan  menjadi lebih sempurna dalam wujud tanpa merusak identitas  dan kesatuan substantifnya. </w:t>
      </w:r>
      <w:r>
        <w:rPr>
          <w:rStyle w:val="FootnoteAnchor"/>
        </w:rPr>
        <w:footnoteReference w:id="74"/>
      </w:r>
      <w:r>
        <w:rPr>
          <w:rFonts w:eastAsia="Times New Roman" w:cs="Times New Roman" w:ascii="Times New Roman" w:hAnsi="Times New Roman"/>
          <w:color w:val="111111"/>
          <w:sz w:val="28"/>
          <w:szCs w:val="28"/>
          <w:lang w:val="en-US"/>
        </w:rPr>
        <w:t>Perubahan benda pada tingkat  aksiden menunjukkan secara jelas perubahan substansial  tersebut. Pada tingkat aksiden, apel semula berwarna hijau tua,  kemudian berubah menjadi hijau muda, merah, dan kuning.</w:t>
      </w:r>
    </w:p>
    <w:p>
      <w:pPr>
        <w:pStyle w:val="BookText"/>
        <w:bidi w:val="0"/>
        <w:jc w:val="both"/>
        <w:rPr/>
      </w:pPr>
      <w:r>
        <w:rPr>
          <w:rFonts w:eastAsia="Times New Roman" w:cs="Times New Roman" w:ascii="Times New Roman" w:hAnsi="Times New Roman"/>
          <w:color w:val="111111"/>
          <w:sz w:val="28"/>
          <w:szCs w:val="28"/>
          <w:lang w:val="en-US"/>
        </w:rPr>
        <w:t>Pada tingkat substansial, apel semula buah muda, sedang,  ranum, dan busuk.</w:t>
      </w:r>
    </w:p>
    <w:p>
      <w:pPr>
        <w:pStyle w:val="BookText"/>
        <w:bidi w:val="0"/>
        <w:jc w:val="both"/>
        <w:rPr/>
      </w:pPr>
      <w:r>
        <w:rPr/>
        <mc:AlternateContent>
          <mc:Choice Requires="wps">
            <w:drawing>
              <wp:inline distT="0" distB="0" distL="0" distR="0">
                <wp:extent cx="5334000" cy="1016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2"/>
                        <a:stretch/>
                      </pic:blipFill>
                      <pic:spPr>
                        <a:xfrm>
                          <a:off x="0" y="0"/>
                          <a:ext cx="5334120" cy="1015920"/>
                        </a:xfrm>
                        <a:prstGeom prst="rect">
                          <a:avLst/>
                        </a:prstGeom>
                        <a:ln w="0">
                          <a:noFill/>
                        </a:ln>
                      </pic:spPr>
                    </pic:pic>
                  </a:graphicData>
                </a:graphic>
              </wp:inline>
            </w:drawing>
          </mc:Choice>
          <mc:Fallback>
            <w:pict>
              <v:shape id="shape_0" stroked="f" o:allowincell="f" style="position:absolute;margin-left:0pt;margin-top:-80.05pt;width:419.95pt;height:7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Gerakan transubstansial terjadi meliputi segala sesuatu,  baik pada jasmaniah maupun pada ruhaniah. Manusia, menurut  Mulla Sadra, sesuatu yang awalnya berasal dari materi pertama  (al-māddah al-ûla) yang bergabung dengan bentuk (sūrah),  melalui gerakan transubstansial, unsur-unsur tersebut mengalami  perkembangan dan perubahan, materinya berkembang menjadi  gumpalan darah, kemudian janin, bayi, anak-anak, remaja  dewasa, tua dan hancur, sedangkan bentuknya berkembang  menjadi jiwa bergerak (an-nafs al-mutaharikkah), kemudian  jiwa hewani (an-nafs al-hayawāniyyah), dan jiwa manusiawi (an-  nafs al-insāniyyah). Gerakan transubstansial yang terjadi pada  materi menuju kehancuran, sedangkan gerakan transubstansial </w:t>
      </w:r>
    </w:p>
    <w:p>
      <w:pPr>
        <w:pStyle w:val="BookText"/>
        <w:bidi w:val="0"/>
        <w:rPr/>
      </w:pPr>
      <w:r>
        <w:rPr>
          <w:rFonts w:eastAsia="Times New Roman" w:cs="Times New Roman" w:ascii="Times New Roman" w:hAnsi="Times New Roman"/>
          <w:color w:val="111111"/>
          <w:sz w:val="28"/>
          <w:szCs w:val="28"/>
          <w:lang w:val="en-US"/>
        </w:rPr>
        <w:t>yang terjadi pada jiwa menuju kesempurnaan.</w:t>
      </w:r>
    </w:p>
    <w:p>
      <w:pPr>
        <w:pStyle w:val="BookText"/>
        <w:bidi w:val="0"/>
        <w:jc w:val="both"/>
        <w:rPr/>
      </w:pPr>
      <w:r>
        <w:rPr>
          <w:rFonts w:eastAsia="Times New Roman" w:cs="Times New Roman" w:ascii="Times New Roman" w:hAnsi="Times New Roman"/>
          <w:color w:val="111111"/>
          <w:sz w:val="28"/>
          <w:szCs w:val="28"/>
          <w:lang w:val="en-US"/>
        </w:rPr>
        <w:t>Gerak, sebagaimana yang dikemukakan Mulla Sadra,  tentu masih menyisakan persoalan kesatuan identitas karena,  seperti pernyataan, Ibn Sina di atas, jika pada tingkat substansi  mengalami gerakan, maka tidak tersisa kesatuan identitas  pada objek. Menurut Mulla Sadra, identitas merupakan  struktur peristiwa dan tidaklah kemudian menghilangkan objek  sebelumnya, seperti yang dipahami dalam teori al-kawn wa  al-fasād, tetapi yang terjadi melalui gerakan tersebut adalah  peningkatan kualitas yang disebutnya dengan istilah al-labs  ba'da al-labs (berpakaian setelah berpakaian).</w:t>
      </w:r>
      <w:r>
        <w:rPr>
          <w:rStyle w:val="FootnoteAnchor"/>
        </w:rPr>
        <w:footnoteReference w:id="75"/>
      </w:r>
      <w:r>
        <w:rPr>
          <w:rFonts w:eastAsia="Times New Roman" w:cs="Times New Roman" w:ascii="Times New Roman" w:hAnsi="Times New Roman"/>
          <w:color w:val="111111"/>
          <w:sz w:val="28"/>
          <w:szCs w:val="28"/>
          <w:lang w:val="en-US"/>
        </w:rPr>
        <w:t>Menurutnya,  rangkaian peristiwa dalam gerak tersebut seperti orang yang  berpakaian tanpa melepaskan pakaian sebelumnya; terjadi  peningkatan kualitas tanpa menghilangkan kualitas sebelumnya.</w:t>
      </w:r>
    </w:p>
    <w:p>
      <w:pPr>
        <w:pStyle w:val="BookText"/>
        <w:bidi w:val="0"/>
        <w:jc w:val="both"/>
        <w:rPr/>
      </w:pPr>
      <w:r>
        <w:rPr>
          <w:rFonts w:eastAsia="Times New Roman" w:cs="Times New Roman" w:ascii="Times New Roman" w:hAnsi="Times New Roman"/>
          <w:color w:val="111111"/>
          <w:sz w:val="28"/>
          <w:szCs w:val="28"/>
          <w:lang w:val="en-US"/>
        </w:rPr>
        <w:t>Hal ini tentu merupakan pandangan baru dan bertentangan  dengan teori-teori sebelumnya yang pernah ada tentang gerak,  sekalipun kemudian Sabzawari, sebagai filsuf Sadrian, memiliki  pandangan yang agak berbeda dari Mulla Sadra.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Teori Mulla Sadra tentang gerak ini, sekilas hampir mirip  dengan teori evolusi Darwin. Namun, pada Darwin terjadi  lompatan genus dan terbatas pada tingkat materi, sedangkan  pada Mulla Sadra, genus tetap hanya meningkat kualitasnya  menuju tingkat ruhaniah. Forma-forma mengalami perubahan  menuju forma yang lebih tinggi. Kita dapat menyebutkan  bahwa gerak membawa seluruh spesies untuk berkembang  dari tingkat yang umum menuju tingkat yang lebih khusus dan  konkret. Gerakan transubstansial yang digagas Mulla Sadra ini  jelas bertentangan dengan teori Atomisme Al-Asy'ari dan Al-  Fakhrurrazi. Jika dalam teori Atomisme, identitas terbentuk dari </w:t>
      </w:r>
      <w:bookmarkStart w:id="74" w:name="pg6434_60596"/>
    </w:p>
    <w:p>
      <w:pPr>
        <w:pStyle w:val="BookText"/>
        <w:bidi w:val="0"/>
        <w:rPr/>
      </w:pPr>
      <w:bookmarkEnd w:id="74"/>
      <w:r>
        <w:rPr>
          <w:rFonts w:eastAsia="Times New Roman" w:cs="Times New Roman" w:ascii="Times New Roman" w:hAnsi="Times New Roman"/>
          <w:color w:val="111111"/>
          <w:sz w:val="28"/>
          <w:szCs w:val="28"/>
          <w:lang w:val="en-US"/>
        </w:rPr>
        <w:t>atom-atom yang berlainan, bagi Mulla Sadra, identitas terbentuk  dari struktur peristiwa forma partikular yang melakukan gerak  kontinu menuju forma tertentu.</w:t>
      </w:r>
      <w:r>
        <w:rPr>
          <w:rStyle w:val="FootnoteAnchor"/>
        </w:rPr>
        <w:footnoteReference w:id="76"/>
      </w:r>
      <w:r>
        <w:rPr>
          <w:rFonts w:eastAsia="Times New Roman" w:cs="Times New Roman" w:ascii="Times New Roman" w:hAnsi="Times New Roman"/>
          <w:color w:val="111111"/>
          <w:sz w:val="28"/>
          <w:szCs w:val="28"/>
          <w:lang w:val="en-US"/>
        </w:rPr>
        <w:t xml:space="preserve"> Dengan teori al-harākah al-jawhariyyāh ini, Mulla Sadra  menunjukkan bahwa alam semesta, seluruhnya, selalu berada  dalam atribut aslinya, yaitu baru (hudūst) dan sesuatu yang baru  itu mesti selalu berada dalam perubahan. Karenanya, dalam  argumentasi tentang gerakan, Mulla Sadra membuktikan bahwa  gerakan berasal dari Zat Yang Konstan dan itu adalah Wajib al-  Wujūd (Wujud Niscaya).</w:t>
      </w:r>
    </w:p>
    <w:p>
      <w:pPr>
        <w:pStyle w:val="Heading3"/>
        <w:numPr>
          <w:ilvl w:val="2"/>
          <w:numId w:val="1"/>
        </w:numPr>
        <w:bidi w:val="0"/>
        <w:jc w:val="left"/>
        <w:rPr/>
      </w:pPr>
      <w:bookmarkStart w:id="75" w:name="__RefHeading___Toc808190_653776707"/>
      <w:bookmarkStart w:id="76" w:name="_Toc24"/>
      <w:bookmarkEnd w:id="75"/>
      <w:r>
        <w:rPr/>
        <w:t>7. Kesatuan antara Subjek dan Objek Pengetahuan (Ittihad Al-'Āqil wa Al-Ma'qul)</w:t>
      </w:r>
      <w:bookmarkEnd w:id="76"/>
    </w:p>
    <w:p>
      <w:pPr>
        <w:pStyle w:val="BookText"/>
        <w:bidi w:val="0"/>
        <w:jc w:val="both"/>
        <w:rPr/>
      </w:pPr>
      <w:r>
        <w:rPr>
          <w:rFonts w:eastAsia="Times New Roman" w:cs="Times New Roman" w:ascii="Times New Roman" w:hAnsi="Times New Roman"/>
          <w:color w:val="111111"/>
          <w:sz w:val="28"/>
          <w:szCs w:val="28"/>
          <w:lang w:val="en-US"/>
        </w:rPr>
        <w:t>Ilmu yang kita miliki, pada intinya, adalah hasil persepsi  kita terhadap wujud mental kita dan hal itu menunjukkan bahwa  antara subjek dan objek, bahkan korelasi yang terjadi antara  keduanya, bukanlah sesuatu yang terpisah. Hal tersebut tidak  hanya terbatas pada persepsi aku ataupun imajinasi yang kita  ciptakan, tetapi juga terhadap seluruh objek yang kita persepsi.</w:t>
      </w:r>
    </w:p>
    <w:p>
      <w:pPr>
        <w:pStyle w:val="BookText"/>
        <w:bidi w:val="0"/>
        <w:jc w:val="both"/>
        <w:rPr/>
      </w:pPr>
      <w:r>
        <w:rPr>
          <w:rFonts w:eastAsia="Times New Roman" w:cs="Times New Roman" w:ascii="Times New Roman" w:hAnsi="Times New Roman"/>
          <w:color w:val="111111"/>
          <w:sz w:val="28"/>
          <w:szCs w:val="28"/>
          <w:lang w:val="en-US"/>
        </w:rPr>
        <w:t>Jika prinsip keilmuan seperti ini sebelumnya hanya terjadi pada  pengetahuan Tuhan tentang dirinya, bagi Mulla Sadra, hal ini  berlaku juga pada pengetahuan manusia dan meliputi seluruh  persepsi yang terjadi.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kesatuan antara subjek ('āqil), objek (maʼqūl),  dan intelek ("Aql) ini disebut dengan istilah Ittihād al-'Āqil  wa al-Ma'qul karena subjek yang melakukan proses persepsi  terhadap wujud objek sebagai yang dipersepsi dan korelasi  subjek-objek yang mewujudkan pengetahuan, terjadi kesatuan  eksistensial yang sederhana. Seperti yang telah dibicarakan </w:t>
      </w:r>
    </w:p>
    <w:p>
      <w:pPr>
        <w:pStyle w:val="BookText"/>
        <w:bidi w:val="0"/>
        <w:rPr/>
      </w:pPr>
      <w:r>
        <w:rPr>
          <w:rFonts w:eastAsia="Times New Roman" w:cs="Times New Roman" w:ascii="Times New Roman" w:hAnsi="Times New Roman"/>
          <w:color w:val="111111"/>
          <w:sz w:val="28"/>
          <w:szCs w:val="28"/>
          <w:lang w:val="en-US"/>
        </w:rPr>
        <w:t>pada ilmu Hudhuri, objek yang masuk pada diri subjek dalam  bentuk gambar kuiditas dari wujud eksternal masuk ke dalam  jiwa subjek, kemudian jiwa dengan kreatifitasnya menciptakan  wujud mental dari gambar objek yang masuk tersebut. Wujud  mental tersebut bukan sesuatu yang terpisah dari mental  subjek karena wujud adalah sesuatu yang satu. Seperti yang  disebutkan Mulla Sadra, “Jiwa, ketika mempersepsi suatu  objek, maka objek tersebut menjadi bagian bentuk inteleknya....</w:t>
      </w:r>
    </w:p>
    <w:p>
      <w:pPr>
        <w:pStyle w:val="BookText"/>
        <w:bidi w:val="0"/>
        <w:jc w:val="both"/>
        <w:rPr/>
      </w:pPr>
      <w:r>
        <w:rPr>
          <w:rFonts w:eastAsia="Times New Roman" w:cs="Times New Roman" w:ascii="Times New Roman" w:hAnsi="Times New Roman"/>
          <w:color w:val="111111"/>
          <w:sz w:val="28"/>
          <w:szCs w:val="28"/>
          <w:lang w:val="en-US"/>
        </w:rPr>
        <w:t>Karena sesungguhnya, sudah menjadi karakter jiwa manusia  untuk mempersepsi seluruh hakikat yang ada dan bersatu  dengannya."</w:t>
      </w:r>
      <w:r>
        <w:rPr>
          <w:rStyle w:val="FootnoteAnchor"/>
        </w:rPr>
        <w:footnoteReference w:id="77"/>
      </w:r>
    </w:p>
    <w:p>
      <w:pPr>
        <w:pStyle w:val="BookText"/>
        <w:bidi w:val="0"/>
        <w:jc w:val="both"/>
        <w:rPr/>
      </w:pPr>
      <w:r>
        <w:rPr>
          <w:rFonts w:ascii="IRNazanin" w:hAnsi="IRNazanin" w:eastAsia="IRNazanin"/>
          <w:color w:val="111111"/>
          <w:sz w:val="28"/>
          <w:sz w:val="28"/>
          <w:szCs w:val="28"/>
          <w:rtl w:val="true"/>
          <w:lang w:bidi="fa-IR"/>
        </w:rPr>
        <w:t xml:space="preserve">إن النفس إذا عقلت شیئا صارت عین صورته العقیلة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الإنسانیة  من شأنها أن تدرک جمیع الحقائق وتتحد بها</w:t>
      </w:r>
    </w:p>
    <w:p>
      <w:pPr>
        <w:pStyle w:val="BookText"/>
        <w:bidi w:val="0"/>
        <w:jc w:val="both"/>
        <w:rPr/>
      </w:pPr>
      <w:r>
        <w:rPr>
          <w:rFonts w:eastAsia="Times New Roman" w:cs="Times New Roman" w:ascii="Times New Roman" w:hAnsi="Times New Roman"/>
          <w:color w:val="111111"/>
          <w:sz w:val="28"/>
          <w:szCs w:val="28"/>
          <w:lang w:val="en-US"/>
        </w:rPr>
        <w:t>Wujud dalam pandangan Mulla Sadra adalah sesuatu  yang satu dalam gradasi yang berbeda, sebagaimana yang  telah dibicarakan pada prinsip ambiguitas wujud. Kesatuan  tersebut adalah kesatuan hakiki karena dalam filsafat Mulla  Sadra, wujud merupakan substansi yang hakiki. Menurut Mulla  Sadra, apa yang digambarkannya tentang prinsip ambiguitas  wujud tidaklah bertentangan dengan para filsuf maupun urafa.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Penetapan argumentasi kesatuan wujud dan eksistensial, baik  secara substansi maupun hakiki, sebagaimana mazhab awliya',  ‘urafa, tokoh-tokoh utama ahli mukāsyafah dan ahli yaqin,  bahwa wujud, meskipun terlihat plural dan berbeda satu sama  lain, hanyalah dari segi derajat penampakan Al-Haqq Yang  Pertama' dalam pemancaran cahaya-Nya dan manifestasi Zat-  Nya bukan sebagai sesuatu yang independen dan terpisah.</w:t>
      </w:r>
      <w:r>
        <w:rPr>
          <w:rStyle w:val="FootnoteAnchor"/>
        </w:rPr>
        <w:footnoteReference w:id="78"/>
      </w:r>
      <w:r>
        <w:rPr>
          <w:rFonts w:eastAsia="Times New Roman" w:cs="Times New Roman" w:ascii="Times New Roman" w:hAnsi="Times New Roman"/>
          <w:color w:val="111111"/>
          <w:sz w:val="28"/>
          <w:szCs w:val="28"/>
          <w:lang w:val="en-US"/>
        </w:rPr>
        <w:t xml:space="preserve"> Argumentasi paling utama yang dikemukakan Mulla  Sadra dalam upayanya menegakkan prinsip Ittihād al-'Āqil wa  al-Ma'qūl dikenal dengan istilah argumentasi relasi (Burhan  al-Tadayut). Untuk menegakkan argumentasi ini, Mulla Sadra </w:t>
      </w:r>
    </w:p>
    <w:p>
      <w:pPr>
        <w:pStyle w:val="BookText"/>
        <w:bidi w:val="0"/>
        <w:rPr/>
      </w:pPr>
      <w:r>
        <w:rPr>
          <w:rFonts w:eastAsia="Times New Roman" w:cs="Times New Roman" w:ascii="Times New Roman" w:hAnsi="Times New Roman"/>
          <w:color w:val="111111"/>
          <w:sz w:val="28"/>
          <w:szCs w:val="28"/>
          <w:lang w:val="en-US"/>
        </w:rPr>
        <w:t>bersandar pada tiga premis utama, yaitu:</w:t>
      </w:r>
    </w:p>
    <w:p>
      <w:pPr>
        <w:pStyle w:val="BookText"/>
        <w:bidi w:val="0"/>
        <w:jc w:val="both"/>
        <w:rPr/>
      </w:pPr>
      <w:r>
        <w:rPr>
          <w:rFonts w:eastAsia="Times New Roman" w:cs="Times New Roman" w:ascii="Times New Roman" w:hAnsi="Times New Roman"/>
          <w:color w:val="111111"/>
          <w:sz w:val="28"/>
          <w:szCs w:val="28"/>
          <w:lang w:val="en-US"/>
        </w:rPr>
        <w:t>Pertama, bentuk-bentuk aktual terbentuk bersamaan  dengan teraktualisasinya sesuatu dan terbagi kedalam dua  bagian.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Bentuk aktual yang bersandar pada materi, ruang dan  waktu.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Bentuk aktual yang tidak terikat dengan materi, ruang  dan waktu serta hal-hal yang berkaitan dengannya.</w:t>
      </w:r>
    </w:p>
    <w:p>
      <w:pPr>
        <w:pStyle w:val="BookText"/>
        <w:bidi w:val="0"/>
        <w:jc w:val="both"/>
        <w:rPr/>
      </w:pPr>
      <w:r>
        <w:rPr>
          <w:rFonts w:eastAsia="Times New Roman" w:cs="Times New Roman" w:ascii="Times New Roman" w:hAnsi="Times New Roman"/>
          <w:color w:val="111111"/>
          <w:sz w:val="28"/>
          <w:szCs w:val="28"/>
          <w:lang w:val="en-US"/>
        </w:rPr>
        <w:t>Bentuk aktual yang bersandar pada materi, ruang,  dan waktu sama sekali tidak mungkin secara zatnya menjadi  objek persepsi dan jika menjadi objek persepsi, pasti hanya  aksidennya, sedangkan bentuk aktual yang tidak terikat pada  materi, ruang, dan waktu pastilah selalu menjadi objek persepsi  secara zatnya. Karena itu, objek persepsi terbagi menjadi dua  bagian: yang terpersepsi berdasarkan zatnya, yaitu bentuk-  bentuk aktual yang nonmateri bersandar pada alam mental; dan  terpersepsi berdasarkan aksidennya, yaitu forma-forma entitas  ('ayni), sesuatu yang berada secara eksternal dan bersandar  pada materi.</w:t>
      </w:r>
    </w:p>
    <w:p>
      <w:pPr>
        <w:pStyle w:val="BookText"/>
        <w:bidi w:val="0"/>
        <w:jc w:val="both"/>
        <w:rPr/>
      </w:pPr>
      <w:r>
        <w:rPr>
          <w:rFonts w:eastAsia="Times New Roman" w:cs="Times New Roman" w:ascii="Times New Roman" w:hAnsi="Times New Roman"/>
          <w:color w:val="111111"/>
          <w:sz w:val="28"/>
          <w:szCs w:val="28"/>
          <w:lang w:val="en-US"/>
        </w:rPr>
        <w:t>Kedua, para filsuf, dalam masalat ini, sepakat bahwa  wujud objek pastilah untuk subjeknya, yaitu wujud bentuk-  bentuk objek adalah sesuatu yang wujudnya hanyalah untuk  subjeknya. Dalam ungkapan yang lain, dapat kita sebutkan  bahwa bentuk-bentuk objek aktual wujudnya, baik sebagai  dirinya maupun subjeknya, adalah suatu hal yang satu dan tidak  berbeda sama sekali.</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bentuk-bentuk yang tidak terikat pada materi dan  bersandar pada alam mental pastilah merupakan objek aktual,  baik di luar dirinya terdapat subjek maupun tidak. Hukum </w:t>
      </w:r>
    </w:p>
    <w:p>
      <w:pPr>
        <w:pStyle w:val="BookText"/>
        <w:bidi w:val="0"/>
        <w:rPr/>
      </w:pPr>
      <w:r>
        <w:rPr>
          <w:rFonts w:eastAsia="Times New Roman" w:cs="Times New Roman" w:ascii="Times New Roman" w:hAnsi="Times New Roman"/>
          <w:color w:val="111111"/>
          <w:sz w:val="28"/>
          <w:szCs w:val="28"/>
          <w:lang w:val="en-US"/>
        </w:rPr>
        <w:t>persepsi dan objek aktual yang dipersepsi tidak mungkin  terpisah sama sekali karena identitas dirinya adalah identitas  persepsi dan hakikat dirinya bukanlah sesuatu, selain sebagai  objek. Dengan dasar ini, objek aktual juga subjek.</w:t>
      </w:r>
    </w:p>
    <w:p>
      <w:pPr>
        <w:pStyle w:val="BookText"/>
        <w:bidi w:val="0"/>
        <w:jc w:val="both"/>
        <w:rPr/>
      </w:pPr>
      <w:r>
        <w:rPr>
          <w:rFonts w:eastAsia="Times New Roman" w:cs="Times New Roman" w:ascii="Times New Roman" w:hAnsi="Times New Roman"/>
          <w:color w:val="111111"/>
          <w:sz w:val="28"/>
          <w:szCs w:val="28"/>
          <w:lang w:val="en-US"/>
        </w:rPr>
        <w:t>Dengan dasar ketiga landasan tersebut, Mulla Sadra  menerapkan argumentasi relasi sebagai argumentasi utamanya.</w:t>
      </w:r>
    </w:p>
    <w:p>
      <w:pPr>
        <w:pStyle w:val="BookText"/>
        <w:bidi w:val="0"/>
        <w:jc w:val="both"/>
        <w:rPr/>
      </w:pPr>
      <w:r>
        <w:rPr>
          <w:rFonts w:eastAsia="Times New Roman" w:cs="Times New Roman" w:ascii="Times New Roman" w:hAnsi="Times New Roman"/>
          <w:color w:val="111111"/>
          <w:sz w:val="28"/>
          <w:szCs w:val="28"/>
          <w:lang w:val="en-US"/>
        </w:rPr>
        <w:t>Dalam argumentasi relasi, dua bentuk yang berpasangan haruslah  berada pada dimensi yang sama; jika salah satu bagiannya  secara aktual, maka padanannya mestilah secara aktual dan  jika satu bagiannya secara potensial, maka padanannya pun  haruslah secara potensial. Dalam argumen ini, tidak mungkin  seseorang dapat membayangkan satu sisi dan menghilangkan  sisi yang lain. Argumen tersebut berbunyi, “Relasi merupakan  kesetaraan dalam wujud aktual atau potensial."</w:t>
      </w:r>
      <w:r>
        <w:rPr>
          <w:rStyle w:val="FootnoteAnchor"/>
        </w:rPr>
        <w:footnoteReference w:id="79"/>
      </w:r>
      <w:r>
        <w:rPr>
          <w:rFonts w:eastAsia="Times New Roman" w:cs="Times New Roman" w:ascii="Times New Roman" w:hAnsi="Times New Roman"/>
          <w:color w:val="111111"/>
          <w:sz w:val="28"/>
          <w:szCs w:val="28"/>
          <w:lang w:val="en-US"/>
        </w:rPr>
        <w:t>Berdasarkan  hal tersebut, menurut Mulla Sadra, karena objek hadir secara  aktual, maka pastilah subjeknya hadir secara aktual dan terjadi  kesatuan dimensional pada keduanya. Dengan premis-premis  di atas, terbuktilah prinsip Ittihād al-'Āqil wa al-Ma'qul.</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dengan argumentasi relasi yang digunakan sebagai  argumentasi bagi prinsip Ittihad al-´Aqil wa al-Ma'qul, ada  berbagai argumentasi lain yang ditegakkan Mulla Sadra dan  para pengikutnya, antara lain,  a. Ilmu subjek terhadap objek adalah sampainya objek atau  forma ilmiah dalam subjek. Sampainya sesuatu ialah  sampainya wujud dan dirinya. Karenanya, ilmu merupakan  jati diri objek secara esensial dan kemestian sampainya objek  pada subjek, serta kehadiran objek pada subjek, merupakan  kesatuan yang tak terpisahkan, baik secara husüli maupun  hudūrī. </w:t>
      </w:r>
    </w:p>
    <w:p>
      <w:pPr>
        <w:pStyle w:val="BookText"/>
        <w:bidi w:val="0"/>
        <w:rPr/>
      </w:pPr>
      <w:r>
        <w:rPr>
          <w:rFonts w:eastAsia="Times New Roman" w:cs="Times New Roman" w:ascii="Times New Roman" w:hAnsi="Times New Roman"/>
          <w:color w:val="111111"/>
          <w:sz w:val="28"/>
          <w:szCs w:val="28"/>
          <w:lang w:val="en-US"/>
        </w:rPr>
        <w:t>b. Tidak mungkin suatu wujud masuk ke wujud lain yang  berbeda karena akan menyebabkan sesuatu itu satu sekaligus  plural. Berdasarkan logika, hal ini tidak mungkin karena akan  menyebabkan ijtima' al-naqidayn (bersatunya dua hal yang  bertentangan).</w:t>
      </w:r>
    </w:p>
    <w:p>
      <w:pPr>
        <w:pStyle w:val="BookText"/>
        <w:bidi w:val="0"/>
        <w:jc w:val="both"/>
        <w:rPr/>
      </w:pPr>
      <w:r>
        <w:rPr>
          <w:rFonts w:eastAsia="Times New Roman" w:cs="Times New Roman" w:ascii="Times New Roman" w:hAnsi="Times New Roman"/>
          <w:color w:val="111111"/>
          <w:sz w:val="28"/>
          <w:szCs w:val="28"/>
          <w:lang w:val="en-US"/>
        </w:rPr>
        <w:t>c. Jika objek tidak menyatu dalam diri subjek, maka diliputi  dengan apa objek tersebut? Apakah dengan zat yang terpisah  dari bentuknya yang meliputi bentuk dirinya? Dan hal  demikian tentulah tidak mungkin.</w:t>
      </w:r>
    </w:p>
    <w:p>
      <w:pPr>
        <w:pStyle w:val="BookText"/>
        <w:bidi w:val="0"/>
        <w:jc w:val="both"/>
        <w:rPr/>
      </w:pPr>
      <w:r>
        <w:rPr>
          <w:rFonts w:eastAsia="Times New Roman" w:cs="Times New Roman" w:ascii="Times New Roman" w:hAnsi="Times New Roman"/>
          <w:color w:val="111111"/>
          <w:sz w:val="28"/>
          <w:szCs w:val="28"/>
          <w:lang w:val="en-US"/>
        </w:rPr>
        <w:t>d. Jika yang masuk ke dalam diri subjek bukanlah zat objek, maka  subjek sama sekali tidak memiliki pengetahuan terhadap  objek bersangkutan, tetapi pengetahuannya terhadap objek  lain yang berbeda.</w:t>
      </w:r>
    </w:p>
    <w:p>
      <w:pPr>
        <w:pStyle w:val="BookText"/>
        <w:bidi w:val="0"/>
        <w:jc w:val="both"/>
        <w:rPr/>
      </w:pPr>
      <w:r>
        <w:rPr>
          <w:rFonts w:eastAsia="Times New Roman" w:cs="Times New Roman" w:ascii="Times New Roman" w:hAnsi="Times New Roman"/>
          <w:color w:val="111111"/>
          <w:sz w:val="28"/>
          <w:szCs w:val="28"/>
          <w:lang w:val="en-US"/>
        </w:rPr>
        <w:t>e. Ilmu bersifat nonmaterial. Jika persepsi terjadi pada objek  material, maka ilmu terhadap objek material ini bukanlah  pada objek. Hal itu berarti ilmu tersebut tidaklah sesuai  dengan objek dan subjek sama sekali tidak memiliki ilmu  terhadap objek.</w:t>
      </w:r>
    </w:p>
    <w:p>
      <w:pPr>
        <w:pStyle w:val="BookText"/>
        <w:bidi w:val="0"/>
        <w:jc w:val="both"/>
        <w:rPr/>
      </w:pPr>
      <w:r>
        <w:rPr>
          <w:rFonts w:eastAsia="Times New Roman" w:cs="Times New Roman" w:ascii="Times New Roman" w:hAnsi="Times New Roman"/>
          <w:color w:val="111111"/>
          <w:sz w:val="28"/>
          <w:szCs w:val="28"/>
          <w:lang w:val="en-US"/>
        </w:rPr>
        <w:t>f. Subjek mengetahui zatnya sendiri sehingga pada saat yang  sama merupakan objek. Dengan demikian, dirinya sendiri  menjadi subjek dan pada saat yang sama merupakan objek  serta proses persepsinya pun terjadi di dalam dirinya.</w:t>
      </w:r>
    </w:p>
    <w:p>
      <w:pPr>
        <w:pStyle w:val="BookText"/>
        <w:bidi w:val="0"/>
        <w:jc w:val="both"/>
        <w:rPr/>
      </w:pPr>
      <w:r>
        <w:rPr>
          <w:rFonts w:eastAsia="Times New Roman" w:cs="Times New Roman" w:ascii="Times New Roman" w:hAnsi="Times New Roman"/>
          <w:color w:val="111111"/>
          <w:sz w:val="28"/>
          <w:szCs w:val="28"/>
          <w:lang w:val="en-US"/>
        </w:rPr>
        <w:t>g. Tuhan memiliki pengetahuan terhadap Diri-Nya dan ilmu-  Nya merupakan Zat-Nya, serta prosesnya pun tentulah  berada di dalam Diri-Nya. Tuhan adalah Wujud Sederhana  yang tidak terkomposisi dari selain Diri-Nya. Karenanya,  terjadi Ittihad al-'Āqil wa al-Ma'qul di dalam diri Tuhan.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Mulla Sadra, seluruh pengetahuan intelektual terjadi  melalui penyatuan dengan akal aktif. Akal aktif sebagai intelek, </w:t>
      </w:r>
      <w:bookmarkStart w:id="77" w:name="pg6434_60601"/>
    </w:p>
    <w:p>
      <w:pPr>
        <w:pStyle w:val="BookText"/>
        <w:bidi w:val="0"/>
        <w:rPr/>
      </w:pPr>
      <w:bookmarkEnd w:id="77"/>
      <w:r>
        <w:rPr>
          <w:rFonts w:eastAsia="Times New Roman" w:cs="Times New Roman" w:ascii="Times New Roman" w:hAnsi="Times New Roman"/>
          <w:color w:val="111111"/>
          <w:sz w:val="28"/>
          <w:szCs w:val="28"/>
          <w:lang w:val="en-US"/>
        </w:rPr>
        <w:t>yang menciptakan segala bentuk materi, dan dengan alam  inilah jiwa manusia disatukan ketika subjek menjadi penerima  pengetahuan intelektual. Agak sulit untuk tidak menyatakan  bahwa prinsip ini dipengaruhi oleh teori Idea Platonik, sekalipun  secara khusus, Mulla Sadra melakukan bantahan terhadap teori  tersebut. Teori Epistemologi ini sepertinya merupakan usaha  Mulla Sadra untuk membuktikan kebenaran wahyu, ilham, atau  intuisi yang sering dibicarakan dalam teologi maupun tasawuf.</w:t>
      </w:r>
    </w:p>
    <w:p>
      <w:pPr>
        <w:pStyle w:val="BookText"/>
        <w:bidi w:val="0"/>
        <w:jc w:val="both"/>
        <w:rPr/>
      </w:pPr>
      <w:r>
        <w:rPr>
          <w:rFonts w:eastAsia="Times New Roman" w:cs="Times New Roman" w:ascii="Times New Roman" w:hAnsi="Times New Roman"/>
          <w:color w:val="111111"/>
          <w:sz w:val="28"/>
          <w:szCs w:val="28"/>
          <w:lang w:val="en-US"/>
        </w:rPr>
        <w:t>Dalam filsafat, prinsip ini menjadi bagian penting penyelesaian  subjektifitas dan objektifitas pengetahuan yang belakangan di  dunia modern, menjadi persoalan mendasar dalam Hermeneutik.</w:t>
      </w:r>
    </w:p>
    <w:p>
      <w:pPr>
        <w:pStyle w:val="Heading3"/>
        <w:numPr>
          <w:ilvl w:val="2"/>
          <w:numId w:val="1"/>
        </w:numPr>
        <w:bidi w:val="0"/>
        <w:jc w:val="left"/>
        <w:rPr/>
      </w:pPr>
      <w:bookmarkStart w:id="78" w:name="__RefHeading___Toc808192_653776707"/>
      <w:bookmarkStart w:id="79" w:name="_Toc25"/>
      <w:bookmarkEnd w:id="78"/>
      <w:r>
        <w:rPr/>
        <w:t>8. Alam Imajinal (Al-'Alam Al-Mitsal)</w:t>
      </w:r>
      <w:bookmarkEnd w:id="7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Alam al-Mitsāl (selanjutnya disebut alam imajinal)  merupakan alam yang berada di antara alam Jabarut, alam Mulk  dan alam Syahādah. Alam imajinal merupakan alam ruhaniah  yang pada satu sisi dari segi adanya bentuk dan ukuran dapat  terinderai mirip dengan substansi jasmani, dan pada sisi yang  lain, dari segi pancaran cahayanya, mirip dengan substansi  intelek. Alam imajinal, dari sisi keterpisahannya dari materi,  merupakan alam ruhaniah, dan dari sisi adanya ukuran dan  bentuk, mirip dengan alam yang memiliki hukum kejadian dan  kehancuran (al-kawn wa al-fasād).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Al-Kawn wa Al-Fasad, Al-Farabi.</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 tentang alam imajinal sudah dimulai oleh Syaikh Isyraq  Suhrawardi maupun Ibn 'Arabi. Para filsuf Peripatetik menolak  ide ini karena bagi mereka, pada diri manusia tidak terdapat  alam antara; diri manusia merupakan gabungan dari materi dan  ruhani sehingga tidak menyisakan ruang bagi adanya alam di</w:t>
      </w:r>
    </w:p>
    <w:p>
      <w:pPr>
        <w:pStyle w:val="BookText"/>
        <w:bidi w:val="0"/>
        <w:rPr/>
      </w:pPr>
      <w:r>
        <w:rPr>
          <w:rFonts w:eastAsia="Times New Roman" w:cs="Times New Roman" w:ascii="Times New Roman" w:hAnsi="Times New Roman"/>
          <w:color w:val="111111"/>
          <w:sz w:val="28"/>
          <w:szCs w:val="28"/>
          <w:lang w:val="en-US"/>
        </w:rPr>
        <w:t>antara keduanya.</w:t>
      </w:r>
      <w:r>
        <w:rPr>
          <w:rStyle w:val="FootnoteAnchor"/>
        </w:rPr>
        <w:footnoteReference w:id="81"/>
      </w:r>
      <w:r>
        <w:rPr>
          <w:rFonts w:eastAsia="Times New Roman" w:cs="Times New Roman" w:ascii="Times New Roman" w:hAnsi="Times New Roman"/>
          <w:color w:val="111111"/>
          <w:sz w:val="28"/>
          <w:szCs w:val="28"/>
          <w:lang w:val="en-US"/>
        </w:rPr>
        <w:t>Mulla  Sadra melampui Syaikh    Isyraq dan Ibn 'Arabi    dalam mensistematisasi    prinsip ini. Di tangan    Mulla Sadra-lah  argumentasi rasional    terhadap keberadaan    alam ini dipaparkan.</w:t>
      </w:r>
    </w:p>
    <w:p>
      <w:pPr>
        <w:pStyle w:val="BookText"/>
        <w:bidi w:val="0"/>
        <w:jc w:val="both"/>
        <w:rPr/>
      </w:pPr>
      <w:r>
        <w:rPr>
          <w:rFonts w:eastAsia="Times New Roman" w:cs="Times New Roman" w:ascii="Times New Roman" w:hAnsi="Times New Roman"/>
          <w:color w:val="111111"/>
          <w:sz w:val="28"/>
          <w:szCs w:val="28"/>
          <w:lang w:val="en-US"/>
        </w:rPr>
        <w:t>Jalaluddin Astiyani    mendefinisikan alam    imajinal sebagai berikut:</w:t>
      </w:r>
    </w:p>
    <w:p>
      <w:pPr>
        <w:pStyle w:val="BookText"/>
        <w:bidi w:val="0"/>
        <w:jc w:val="both"/>
        <w:rPr/>
      </w:pPr>
      <w:r>
        <w:rPr>
          <w:rFonts w:eastAsia="Times New Roman" w:cs="Times New Roman" w:ascii="Times New Roman" w:hAnsi="Times New Roman"/>
          <w:color w:val="111111"/>
          <w:sz w:val="28"/>
          <w:szCs w:val="28"/>
          <w:lang w:val="en-US"/>
        </w:rPr>
        <w:t>"Alam Imajinal  merupakan alam ruhani yang transenden dan mewujud  pada substansi cahaya atau bercahaya yang dari sisi  fisik, memiliki forma fisik yang dapat diinderai, memiliki  ukuran, serupa dengan substansi fisik yang ada pada alam  materi dan dari sisi transendensinya terlepas dari gerakan,  perubahan, kejadian dan kehancuran. Serupa dengan  alam-alam intelek yang berasal dari substansi ruhaniah dan  intelek yang suci serta ruh-ruh yang tinggi dan huruf-huruf  yang agung.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Sozmon Tablighate Islomi, 1372) hal. 45. Teks aslinya sebagai  berikut:</w:t>
      </w:r>
    </w:p>
    <w:p>
      <w:pPr>
        <w:pStyle w:val="BookText"/>
        <w:bidi w:val="0"/>
        <w:jc w:val="both"/>
        <w:rPr/>
      </w:pPr>
      <w:r>
        <w:rPr>
          <w:rFonts w:ascii="IRNazanin" w:hAnsi="IRNazanin" w:eastAsia="IRNazanin"/>
          <w:color w:val="111111"/>
          <w:sz w:val="28"/>
          <w:sz w:val="28"/>
          <w:szCs w:val="28"/>
          <w:rtl w:val="true"/>
          <w:lang w:bidi="fa-IR"/>
        </w:rPr>
        <w:t>عا لم مثالی عبارت است از عالمی روحانی ومجرد و موجوداز جوهری  نوری یا نورانی که از لحاظ جسمیت و تجسم یعنی جسم بودن و محسوس  و متقدر بودن شبیه جواهر جسمانی موجو در عالم ماده واز حیث تجرد  و براءت از قبول حرکت واباء از تغیر وکون و فساد شبیه است به عوالم  عقلانی از جواهر مجرده و عقول مطهره وارواح عالیه و حروف عالیات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Pada alam imajinal itulah terjadi beragam persepsi dan  munculnya berbagai objek imajinal yang menjadi persepsi  manusia. Karenanya bagi Mulla Sadra, beragam bentuk  penyaksian terjadi di alam ini, baik ketika Jibril menggambarkan</w:t>
      </w:r>
    </w:p>
    <w:p>
      <w:pPr>
        <w:pStyle w:val="BookText"/>
        <w:bidi w:val="0"/>
        <w:rPr/>
      </w:pPr>
      <w:r>
        <w:rPr>
          <w:rFonts w:eastAsia="Times New Roman" w:cs="Times New Roman" w:ascii="Times New Roman" w:hAnsi="Times New Roman"/>
          <w:color w:val="111111"/>
          <w:sz w:val="28"/>
          <w:szCs w:val="28"/>
          <w:lang w:val="en-US"/>
        </w:rPr>
        <w:t>sosoknya sebagai Dihya al-Kalbi maupun suara-suara yang  merdu. Berbagai bentuk supranatural dapat dipahami melalui  alam ini yang kemudian melahirkan bentuk material sehingga  muncul berbagai keindahan, baik melalui irama musik yang  merdu, lukisan yang indah, maupun kata-kata yang puitis.</w:t>
      </w:r>
    </w:p>
    <w:p>
      <w:pPr>
        <w:pStyle w:val="BookText"/>
        <w:bidi w:val="0"/>
        <w:jc w:val="both"/>
        <w:rPr/>
      </w:pPr>
      <w:r>
        <w:rPr>
          <w:rFonts w:eastAsia="Times New Roman" w:cs="Times New Roman" w:ascii="Times New Roman" w:hAnsi="Times New Roman"/>
          <w:color w:val="111111"/>
          <w:sz w:val="28"/>
          <w:szCs w:val="28"/>
          <w:lang w:val="en-US"/>
        </w:rPr>
        <w:t>Alam imajinal, pada intinya, adalah ‘alam pencitraan bagi alam  ruhaniah ketika akan turun menuju alam material'. Segala bentuk  idea atau prinsip ilmu terlebih dahulu membentuk citra pada  alam ini dalam rangkaian bentuk sehingga segala bentuk yang  ada di alam materi ini ada citranya di alam imajinal tersebut.</w:t>
      </w:r>
    </w:p>
    <w:p>
      <w:pPr>
        <w:pStyle w:val="BookText"/>
        <w:bidi w:val="0"/>
        <w:jc w:val="both"/>
        <w:rPr/>
      </w:pPr>
      <w:r>
        <w:rPr>
          <w:rFonts w:eastAsia="Times New Roman" w:cs="Times New Roman" w:ascii="Times New Roman" w:hAnsi="Times New Roman"/>
          <w:color w:val="111111"/>
          <w:sz w:val="28"/>
          <w:szCs w:val="28"/>
          <w:lang w:val="en-US"/>
        </w:rPr>
        <w:t>Al-Qaysari menggambarkan bahwa seluruh makna, baik dalam  kurva naik (qaws al-shu'ūd)</w:t>
      </w:r>
      <w:r>
        <w:rPr>
          <w:rStyle w:val="FootnoteAnchor"/>
        </w:rPr>
        <w:footnoteReference w:id="83"/>
      </w:r>
      <w:r>
        <w:rPr>
          <w:rFonts w:eastAsia="Times New Roman" w:cs="Times New Roman" w:ascii="Times New Roman" w:hAnsi="Times New Roman"/>
          <w:color w:val="111111"/>
          <w:sz w:val="28"/>
          <w:szCs w:val="28"/>
          <w:lang w:val="en-US"/>
        </w:rPr>
        <w:t xml:space="preserve">maupun dalam kurva turun (qaws  al-nuzūl), memiliki bentuk-bentuk imajinal dan sesuai dengan  kesempurnaannya karena alam imajinal merupakan tempat  manifestasi seluruh hakikat. Setiap hakikat dari nama Zahir  memiliki wujud dalam alam tersebut, begitu pun hakikat dari  alam arwah ataupun alam intelek. </w:t>
      </w:r>
      <w:r>
        <w:rPr>
          <w:rStyle w:val="FootnoteAnchor"/>
        </w:rPr>
        <w:footnoteReference w:id="84"/>
      </w:r>
      <w:r>
        <w:rPr>
          <w:rFonts w:eastAsia="Times New Roman" w:cs="Times New Roman" w:ascii="Times New Roman" w:hAnsi="Times New Roman"/>
          <w:color w:val="111111"/>
          <w:sz w:val="28"/>
          <w:szCs w:val="28"/>
          <w:lang w:val="en-US"/>
        </w:rPr>
        <w:t xml:space="preserve"> Mulla Sadra secara tegas menyatakan keyakinannya akan  adanya alam ini,"Saya adalah salah satu di antara orang yang  berkeyakinan bahwa alam ide sebagai pilar filsafat benar-benar  ada, seperti yang telah dicapai oleh orang-orang yang memiliki  intuisi,... dan seperti yang disampaikan oleh Syaikh Isyraq." </w:t>
      </w:r>
      <w:r>
        <w:rPr>
          <w:rStyle w:val="FootnoteAnchor"/>
        </w:rPr>
        <w:footnoteReference w:id="85"/>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علم أنا ممن یؤمن بو جودالعالم هم المقداری الغیر المادی کما ذهب إلیه  أساطین الحکمة و أئمة الکشف حسبما حره وقرره صاحب الاشراق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Untuk membuktikan keyakinannya ini, Mulla Sadra  mengemukakan beberapa argumentasi,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yaitu:</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Forma-forma yang disaksikan seseorang di dalam mimpi  dan segala sesuatu yang disaksikan secara mental atau jika  seseorang membayangkan sesuatu, maka semua forma  tersebut adalah wujud. Tidak mungkin forma-forma tersebut  adalah otak yang merupakan bagian dari raga materi karena </w:t>
      </w:r>
    </w:p>
    <w:p>
      <w:pPr>
        <w:pStyle w:val="BookText"/>
        <w:bidi w:val="0"/>
        <w:rPr/>
      </w:pPr>
      <w:r>
        <w:rPr>
          <w:rFonts w:eastAsia="Times New Roman" w:cs="Times New Roman" w:ascii="Times New Roman" w:hAnsi="Times New Roman"/>
          <w:color w:val="111111"/>
          <w:sz w:val="28"/>
          <w:szCs w:val="28"/>
          <w:lang w:val="en-US"/>
        </w:rPr>
        <w:t>raga memiliki kondisi-kondisi fisik (seperti ruang, kuantitas  dan lain-lain) yang tidak dimiliki oleh forma-forma imajinatif  tersebut. Di samping itu, intelek intuitif telah membuktikan  ketidakmungkinan sesuatu yang berukuran besar berada di  dalam sesuatu yang berukuran kecil, seperti halnya otak.</w:t>
      </w:r>
    </w:p>
    <w:p>
      <w:pPr>
        <w:pStyle w:val="BookText"/>
        <w:bidi w:val="0"/>
        <w:jc w:val="both"/>
        <w:rPr/>
      </w:pPr>
      <w:r>
        <w:rPr>
          <w:rFonts w:eastAsia="Times New Roman" w:cs="Times New Roman" w:ascii="Times New Roman" w:hAnsi="Times New Roman"/>
          <w:color w:val="111111"/>
          <w:sz w:val="28"/>
          <w:szCs w:val="28"/>
          <w:lang w:val="en-US"/>
        </w:rPr>
        <w:t>Walaupun demikian, forma-forma tersebut ada dengan  keberadaan yang berbeda dengan forma-forma fisik.</w:t>
      </w:r>
    </w:p>
    <w:p>
      <w:pPr>
        <w:pStyle w:val="BookText"/>
        <w:bidi w:val="0"/>
        <w:jc w:val="both"/>
        <w:rPr/>
      </w:pPr>
      <w:r>
        <w:rPr>
          <w:rFonts w:eastAsia="Times New Roman" w:cs="Times New Roman" w:ascii="Times New Roman" w:hAnsi="Times New Roman"/>
          <w:color w:val="111111"/>
          <w:sz w:val="28"/>
          <w:szCs w:val="28"/>
          <w:lang w:val="en-US"/>
        </w:rPr>
        <w:t>b. Jika bentuk-bentuk imajinatif berada di dalam bagian otak  atau organ indra tertentu, seperti halnya yang dipahami oleh  kebanyakan filsuf, makaforma-formatersebutakan mengambil  tempat tertentu yang tidak bisa lagi ditempati bentuk lain. Di  samping itu, keadaan ini juga tidak mungkin karena forma-  forma tersebut akan memerlukan ruang tertentu. Ternyata,  fakta membuktikan bahwa seseorang dapat mengingat sekian  banyak pekerjaan, menyaksikan iklim-iklim yang berbeda,  kota dan keajaibannya; padahal, forma-forma dari objek  tersebut tetap tinggal di dalam memori dan imajinasi orang  tersebut. Melalui intuisi dapat pula diketahui bahwa pneuma  otak tidak mungkin memuat forma-forma tersebut di atas.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jika semua bentuk tersebut berada dalam  satu korpus, maka imjinasi akan mirip dengan lembaran  yang berisi sketsa semua bentuk yang saling tumpang tindih  sehingga tidak bisa dibedakan antara satu bentuk dengan  bentuk yang lain. Namun, jelas bahwa imajinasi tidaklah  seperti itu; imajinasi dapat membedakan satu forma dengan  forma yang lainnya tanpa adanya pencampuran. Oleh karena  itu, kita mengetahui bahwa forma-forma imajinatif itu tidak  menempati ruang di dalam pneuma otak, tetapi forma-  forma tersebut mewujud karena jiwa di dalam kekuatan </w:t>
      </w:r>
    </w:p>
    <w:p>
      <w:pPr>
        <w:pStyle w:val="BookText"/>
        <w:bidi w:val="0"/>
        <w:rPr/>
      </w:pPr>
      <w:r>
        <w:rPr>
          <w:rFonts w:eastAsia="Times New Roman" w:cs="Times New Roman" w:ascii="Times New Roman" w:hAnsi="Times New Roman"/>
          <w:color w:val="111111"/>
          <w:sz w:val="28"/>
          <w:szCs w:val="28"/>
          <w:lang w:val="en-US"/>
        </w:rPr>
        <w:t>imajinatifnya yang pasti  bukan bersifat material.</w:t>
      </w:r>
    </w:p>
    <w:p>
      <w:pPr>
        <w:pStyle w:val="BookText"/>
        <w:bidi w:val="0"/>
        <w:jc w:val="both"/>
        <w:rPr/>
      </w:pPr>
      <w:r>
        <w:rPr>
          <w:rFonts w:eastAsia="Times New Roman" w:cs="Times New Roman" w:ascii="Times New Roman" w:hAnsi="Times New Roman"/>
          <w:color w:val="111111"/>
          <w:sz w:val="28"/>
          <w:szCs w:val="28"/>
          <w:lang w:val="en-US"/>
        </w:rPr>
        <w:t>c. Jika fakultas imajinatif ada di  dalam tubuh materi, maka  fakultas imajinatif tersebut  pasti memiliki wujud materi  pula. Dalam keadaan ini, jika  seseorang membayangkan  suatu wujud dan imajinasi  teraktualkan di dalam wujud  itu, maka imajinasi ini akan  memerlukan integrasi kedua  wujud dalam materi yang sama, suatu keadaan yang tidak  mungkin.</w:t>
      </w:r>
    </w:p>
    <w:p>
      <w:pPr>
        <w:pStyle w:val="BookText"/>
        <w:bidi w:val="0"/>
        <w:jc w:val="both"/>
        <w:rPr/>
      </w:pPr>
      <w:r>
        <w:rPr>
          <w:rFonts w:eastAsia="Times New Roman" w:cs="Times New Roman" w:ascii="Times New Roman" w:hAnsi="Times New Roman"/>
          <w:color w:val="111111"/>
          <w:sz w:val="28"/>
          <w:szCs w:val="28"/>
          <w:lang w:val="en-US"/>
        </w:rPr>
        <w:t>d. Jika fakultas imajinatif adalah tubuh materi, maka fakultas  tersebut akan memiliki sifat seperti bagian-bagian tubuh  materi yang lain, yakni lapuk dan usang atau bertambah dan  berkurang karena ada-tidaknya asupan. Dalam kasus ini,  forma-forma imajinatif juga akan mengalami proses seperti  dasar pijakannya, yakni fakultas imajinatif tersebut.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Sadra menyebutkan bahwa Alam Imajinal, dari sisi  posisinya berada, baik pada kurva naik maupun kurva turun: pada  kurva naik, tidak lain, merupakan alam barzakh yang merupakan  tempat keberadaan bagi jiwa pascaberpisah dari raga, sedangkan  alam imajinal pada kurva turun merupakan alam yang berada di  antara alam ruhaniah dan materi. Penggambaran alam imajinal  pada kurva turun ini, seperti yang telah digambarkan pada awal  penjelasan, berawal dari terciptanya forma ruhaniah dari intelek </w:t>
      </w:r>
    </w:p>
    <w:p>
      <w:pPr>
        <w:pStyle w:val="BookText"/>
        <w:bidi w:val="0"/>
        <w:rPr/>
      </w:pPr>
      <w:r>
        <w:rPr>
          <w:rFonts w:eastAsia="Times New Roman" w:cs="Times New Roman" w:ascii="Times New Roman" w:hAnsi="Times New Roman"/>
          <w:color w:val="111111"/>
          <w:sz w:val="28"/>
          <w:szCs w:val="28"/>
          <w:lang w:val="en-US"/>
        </w:rPr>
        <w:t>terakhir dan untuk sampai pada materi, haruslah ada dimensi  antara yang menjembatani keduanya.</w:t>
      </w:r>
      <w:r>
        <w:rPr>
          <w:rStyle w:val="FootnoteAnchor"/>
        </w:rPr>
        <w:footnoteReference w:id="86"/>
      </w:r>
      <w:r>
        <w:rPr>
          <w:rFonts w:eastAsia="Times New Roman" w:cs="Times New Roman" w:ascii="Times New Roman" w:hAnsi="Times New Roman"/>
          <w:color w:val="111111"/>
          <w:sz w:val="28"/>
          <w:szCs w:val="28"/>
          <w:lang w:val="en-US"/>
        </w:rPr>
        <w:t xml:space="preserve"> Penggambaran tentang Alam Imajinal seringkali disamakan  dengan alam Idea Plato, mengingat alam Idea Plato merupakan  alam bagi seluruh forma intelek</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Muthahari Press, 2005), hlm. 95.</w:t>
      </w:r>
    </w:p>
    <w:p>
      <w:pPr>
        <w:pStyle w:val="BookText"/>
        <w:bidi w:val="0"/>
        <w:jc w:val="both"/>
        <w:rPr/>
      </w:pPr>
      <w:r>
        <w:rPr>
          <w:rFonts w:eastAsia="Times New Roman" w:cs="Times New Roman" w:ascii="Times New Roman" w:hAnsi="Times New Roman"/>
          <w:color w:val="111111"/>
          <w:sz w:val="28"/>
          <w:szCs w:val="28"/>
          <w:lang w:val="en-US"/>
        </w:rPr>
        <w:t>yang bersifat ruhaniah.</w:t>
      </w:r>
    </w:p>
    <w:p>
      <w:pPr>
        <w:pStyle w:val="BookText"/>
        <w:bidi w:val="0"/>
        <w:jc w:val="both"/>
        <w:rPr/>
      </w:pPr>
      <w:r>
        <w:rPr>
          <w:rFonts w:eastAsia="Times New Roman" w:cs="Times New Roman" w:ascii="Times New Roman" w:hAnsi="Times New Roman"/>
          <w:color w:val="111111"/>
          <w:sz w:val="28"/>
          <w:szCs w:val="28"/>
          <w:lang w:val="en-US"/>
        </w:rPr>
        <w:t>Kesalahan pandangan ini karena penyetaraan terhadap forma  nonmateri yang terjadi pada keduanya. Namun sesungguhnya,  keduanya sangat berbeda karena pada pandangan Mulla Sadra,  alam imajinal merupakan realitas alam tersendiri dengan beragam  spesifikasinya serta korpus yang real bagi forma-forma imajinal.</w:t>
      </w:r>
    </w:p>
    <w:p>
      <w:pPr>
        <w:pStyle w:val="BookText"/>
        <w:bidi w:val="0"/>
        <w:jc w:val="both"/>
        <w:rPr/>
      </w:pPr>
      <w:r>
        <w:rPr>
          <w:rFonts w:eastAsia="Times New Roman" w:cs="Times New Roman" w:ascii="Times New Roman" w:hAnsi="Times New Roman"/>
          <w:color w:val="111111"/>
          <w:sz w:val="28"/>
          <w:szCs w:val="28"/>
          <w:lang w:val="en-US"/>
        </w:rPr>
        <w:t>Para peneliti belakangan menyebut alam ini sebagai Mitsal al-  Mua'alaqah, sebagai pembeda bagi alam idea Plato.</w:t>
      </w:r>
      <w:r>
        <w:rPr>
          <w:rStyle w:val="FootnoteAnchor"/>
        </w:rPr>
        <w:footnoteReference w:id="88"/>
      </w:r>
      <w:r>
        <w:rPr>
          <w:rFonts w:eastAsia="Times New Roman" w:cs="Times New Roman" w:ascii="Times New Roman" w:hAnsi="Times New Roman"/>
          <w:color w:val="111111"/>
          <w:sz w:val="28"/>
          <w:szCs w:val="28"/>
          <w:lang w:val="en-US"/>
        </w:rPr>
        <w:t>Kita dapat  menyamakan konsep alam imajinal yang dikemukakan Mulla  Sadra ini dengan alam imajinal yang digagas Ibn Arabi karena  kesetaraan posisi dan karakter, bahkan konsep alam imajinal  Mulla Sadra hanya merupakan sistematisasi alam imajinal Ibn  Arabi. Kita dapat menemukan kesetaraan tersebut dalam semua  aspeknya, termasuk dalam kategori yang dibuat Mulla Sadra.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Sadra, seperti halnya Ibn Arabi, membagi Alam  Imajinal menjadi dua bagian: alam imajinal mutlak atau imajinal  terpisah (Mitsal al-Mutlaq aw Munfasil) dan alam imajinal tidak  mutlak atau imajinal bersambung (Mitsal al-Muqayyad aw  Muttasil). Alam imajinal mutlak dan terpisah merupakan alam  imajinal yang independen dan hakiki, yang merupakan forma  dari segala sesuatu yang terwujud dalam satu kondisi yang sama  di antara kehalusan ruhaniah dan kepadatan materi, sedangkan  alam imajinal tidak mutlak atau bersambung merupakan  alam imajinal yang tidak terpisah dari jiwa seseorang dan  menampilkan beragam forma yang berasal dari alam imajinal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mutlak atau terpisah.</w:t>
      </w:r>
      <w:r>
        <w:rPr>
          <w:rStyle w:val="FootnoteAnchor"/>
        </w:rPr>
        <w:footnoteReference w:id="89"/>
      </w:r>
      <w:r>
        <w:rPr>
          <w:rFonts w:eastAsia="Times New Roman" w:cs="Times New Roman" w:ascii="Times New Roman" w:hAnsi="Times New Roman"/>
          <w:color w:val="111111"/>
          <w:sz w:val="28"/>
          <w:szCs w:val="28"/>
          <w:lang w:val="en-US"/>
        </w:rPr>
        <w:t xml:space="preserve"> Upaya Mulla Sadra mengemukakan gagasan alam imajinal  dalam bagian prinsip filsafatnya merupakan usahanya untuk  membuktikan kebenaran bentuk penyaksian ruhaniah yang  tidak sekedar hasil pencitraan yang terjadi pada pneuma otak,  sebagaimana yang dipahami Ibn Sina.</w:t>
      </w:r>
      <w:r>
        <w:rPr>
          <w:rStyle w:val="FootnoteAnchor"/>
        </w:rPr>
        <w:footnoteReference w:id="90"/>
      </w:r>
      <w:r>
        <w:rPr>
          <w:rFonts w:eastAsia="Times New Roman" w:cs="Times New Roman" w:ascii="Times New Roman" w:hAnsi="Times New Roman"/>
          <w:color w:val="111111"/>
          <w:sz w:val="28"/>
          <w:szCs w:val="28"/>
          <w:lang w:val="en-US"/>
        </w:rPr>
        <w:t xml:space="preserve">Mulla Sadra mengalami  banyak penyaksian ruhaniah sehingga mungkin, mendorongnya  untuk menjelaskan prinsip alam imajinal ini. Seperti yang telah  digambarkan sebelumnya bahwa pembuktian adanya alam  imajinal ini terkait erat dengan konsep Epistemologi yang  dikembangkan Mulla Sadra serta upaya Mulla Sadra untuk  menjelaskan forma raga pascakematian dan berpisahnya jiwa  dengan raga materi. Jelas, prinsip ini sangat berkaitan erat  dengan pandangan Eskatologi yang digagas Mulla Sadra. </w:t>
      </w:r>
      <w:bookmarkStart w:id="80" w:name="pg6434_60608"/>
    </w:p>
    <w:p>
      <w:pPr>
        <w:pStyle w:val="Heading3"/>
        <w:numPr>
          <w:ilvl w:val="2"/>
          <w:numId w:val="1"/>
        </w:numPr>
        <w:bidi w:val="0"/>
        <w:jc w:val="left"/>
        <w:rPr/>
      </w:pPr>
      <w:bookmarkStart w:id="81" w:name="__RefHeading___Toc808194_653776707"/>
      <w:bookmarkStart w:id="82" w:name="_Toc26"/>
      <w:bookmarkEnd w:id="80"/>
      <w:bookmarkEnd w:id="81"/>
      <w:r>
        <w:rPr/>
        <w:t>Catatan3:</w:t>
      </w:r>
      <w:bookmarkEnd w:id="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Terjadi perbedaan dalam penerjemahan kata Asalat. S.H. Nasr  menggunakan kata prinsipiality, Fazlur Rahman menggunakan  kata priority dan beberapa pemikir lainnya menggunakan kata  reality. Penggunaan kata keutamaan disini mengacu pada kata  yang digunakan Fazlur Rahman, yaitu priority.</w:t>
      </w:r>
    </w:p>
    <w:p>
      <w:pPr>
        <w:pStyle w:val="BookText"/>
        <w:bidi w:val="0"/>
        <w:jc w:val="both"/>
        <w:rPr/>
      </w:pPr>
      <w:r>
        <w:rPr>
          <w:rFonts w:eastAsia="Times New Roman" w:cs="Times New Roman" w:ascii="Times New Roman" w:hAnsi="Times New Roman"/>
          <w:color w:val="111111"/>
          <w:sz w:val="28"/>
          <w:szCs w:val="28"/>
          <w:lang w:val="en-US"/>
        </w:rPr>
        <w:t>Prinsip regresi atau tasalsul merupakan prinsip logika yang  dikembangakan Aristoteles dan kemudian digunakan oleh  seluruh filsuf Muslim abad pertengahan untuk menunjukkan  ketidaklogisan pandangan-pandangan yang menyebabkan  regresi. Banyak argumen yang dikemukakan para filsuf  untuk menolak persoalan ini dan di antara yang terkenal  adalah argumentasi wasat (tengah) yang dikemukakan Ibn  Sina. Argumentasi tersebut sebagai berikut: “Sekiranya kita  membuat garis dan pada awal garis pertama (A) kita sebut  sebagai sebab dan pada ujung garis (C) kita sebut sebagai  akibat, kemudian kita taruh satu titik di tengah garis tersebut  (B) kita sebut sebagai akibat bagi A dan sebab bagi C,  maka sekiranya garis tersebut dipanjangkan seberapa pun  panjangnya, maka akal tetap akan menyatakan ada dua titik  ekstrim di awal (A) dan di akhir (C) yang pertama kita sebut  sebagai Sebab murni dan yang akhir kita sebut sebagai akibat  murni. Maka jelas ketidakmungkinan regresi di sini.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Lihat: Rahman, Philosophy of Mulla Sadra, hal. 35.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Lihat: Mulla Sadra, al-Asfar, J. I hal. 38-73.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Thabathaba'i, Bidayah al-Hikmah (Qom: Muasasah al-Nasyr  al-Islami, 1415), hlm. 13.</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dapat melihat diskursus dalam hal tersebut pada kitab Al- </w:t>
      </w:r>
    </w:p>
    <w:p>
      <w:pPr>
        <w:pStyle w:val="BookText"/>
        <w:bidi w:val="0"/>
        <w:rPr/>
      </w:pPr>
      <w:r>
        <w:rPr>
          <w:rFonts w:eastAsia="Times New Roman" w:cs="Times New Roman" w:ascii="Times New Roman" w:hAnsi="Times New Roman"/>
          <w:color w:val="111111"/>
          <w:sz w:val="28"/>
          <w:szCs w:val="28"/>
          <w:lang w:val="en-US"/>
        </w:rPr>
        <w:t>7.Ilahiyat Al-Syifa karya Ibn Sina atau Al-Matolib Al-Aliyyah karya Al-Razi.</w:t>
      </w:r>
    </w:p>
    <w:p>
      <w:pPr>
        <w:pStyle w:val="BookText"/>
        <w:bidi w:val="0"/>
        <w:jc w:val="both"/>
        <w:rPr/>
      </w:pPr>
      <w:r>
        <w:rPr>
          <w:rFonts w:eastAsia="Times New Roman" w:cs="Times New Roman" w:ascii="Times New Roman" w:hAnsi="Times New Roman"/>
          <w:color w:val="111111"/>
          <w:sz w:val="28"/>
          <w:szCs w:val="28"/>
          <w:lang w:val="en-US"/>
        </w:rPr>
        <w:t>Pengistilahan Tasykik menjadi Ambiguitas karena pada kata  Tasykik terkandung Univok (Wahdah) dan Ekuivok (Katsrat).,  karena disebutkan bahwa al-Wujud wahdah fi ayni al-Katsratihi  wa Katsrah fi ayni wahdatihi. Sebagian juga menggunakan kata  Gradasi untuk pengistilahan kata Tasykik.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Lihat: Mulla Sadra, Al-Asfar, J. 1, hlm. 79.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Lihat: Mulla Sadra, Al-Asfar, J.1, hlm. 70–71.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Teori intelek atau akal sepuluh, pada awalnya, dikembangkan  oleh Al-Farabi dan kemudian diteruskan oleh Ibn Sina. Lihat:</w:t>
      </w:r>
    </w:p>
    <w:p>
      <w:pPr>
        <w:pStyle w:val="BookText"/>
        <w:bidi w:val="0"/>
        <w:jc w:val="both"/>
        <w:rPr/>
      </w:pPr>
      <w:r>
        <w:rPr>
          <w:rFonts w:eastAsia="Times New Roman" w:cs="Times New Roman" w:ascii="Times New Roman" w:hAnsi="Times New Roman"/>
          <w:color w:val="111111"/>
          <w:sz w:val="28"/>
          <w:szCs w:val="28"/>
          <w:lang w:val="en-US"/>
        </w:rPr>
        <w:t>Haidar Bagir, Buku Saku Filsafat Islam (Bandung: Mizan, 2005),  hlm. 110–115.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Untuk lebih jelas tentang teori Ibn Sina, dalam hal ini, silahkan  baca Ibn Sina, Al-Isyarāt wa Al-Tanbihat, J. II, hlm. 57, dan  Thabathaba'i, Nihayah Al-Hikmah, hlm. 18.</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Lihat: Mulla Sadra, Al-Asfar, J. I, hlm. 432.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Untuk melihat kedekatan kedua prinsip ini, kita dapat melihat  tulisan David B. Burrel, Existence Deriving from “The Existent":</w:t>
      </w:r>
    </w:p>
    <w:p>
      <w:pPr>
        <w:pStyle w:val="BookText"/>
        <w:bidi w:val="0"/>
        <w:jc w:val="both"/>
        <w:rPr/>
      </w:pPr>
      <w:r>
        <w:rPr>
          <w:rFonts w:eastAsia="Times New Roman" w:cs="Times New Roman" w:ascii="Times New Roman" w:hAnsi="Times New Roman"/>
          <w:color w:val="111111"/>
          <w:sz w:val="28"/>
          <w:szCs w:val="28"/>
          <w:lang w:val="en-US"/>
        </w:rPr>
        <w:t>Mulla Sadra's dialectic with Ibn Sina and Ibn Al-Arabi. Tulisan  ini dapat diakses pada www.mullaSadra.org.</w:t>
      </w:r>
    </w:p>
    <w:p>
      <w:pPr>
        <w:pStyle w:val="BookText"/>
        <w:bidi w:val="0"/>
        <w:jc w:val="both"/>
        <w:rPr/>
      </w:pPr>
      <w:r>
        <w:rPr>
          <w:rFonts w:eastAsia="Times New Roman" w:cs="Times New Roman" w:ascii="Times New Roman" w:hAnsi="Times New Roman"/>
          <w:color w:val="111111"/>
          <w:sz w:val="28"/>
          <w:szCs w:val="28"/>
          <w:lang w:val="en-US"/>
        </w:rPr>
        <w:t>Postulat tersebut berbunyi “Hukm al-Amtsal fima yajuz  wa fima la yajuz wahidun” (hukum keserupaan apa yang  diperbolehkan dan tidak diperbolehkan adalah satu). Yang  dimaksud adalah bahwa peristiwa apa pun yang terjadi pada  dua bentuk yang serupa haruslah sama. Jika tidak, maka ada  bagian yang membedakan keduanya. Untuk lebih jelasnya lihat  Thabathaba'i , Bidayah, hlm. 24.</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Sofis adalah kelompok filsuf muda di Yunani yang berusaha  14. Postu</w:t>
      </w:r>
    </w:p>
    <w:p>
      <w:pPr>
        <w:pStyle w:val="BookText"/>
        <w:bidi w:val="0"/>
        <w:rPr/>
      </w:pPr>
      <w:r>
        <w:rPr>
          <w:rFonts w:eastAsia="Times New Roman" w:cs="Times New Roman" w:ascii="Times New Roman" w:hAnsi="Times New Roman"/>
          <w:color w:val="111111"/>
          <w:sz w:val="28"/>
          <w:szCs w:val="28"/>
          <w:lang w:val="en-US"/>
        </w:rPr>
        <w:t>menghancurkan bangunan filsafat Parmenides dan mereka  memiliki pandangan skeptis pada realitas. Tokoh utamanya,  Georgias, menyimpulkan tiga hal: 1) tak satupun yang ada,  2) jika ada sesuatu pun, tak ada yang dapat dipahami, 3) jika  sesuatu dapat dipahami, orang tak dapat mengatakan apa pun  tentangnya. Lihat: Sejarah Filsafat, hlm. 79–87.</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Lihat: Mulla Sadra, Al-Asfar, J. II, hlm. 354.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Mahdi Astiyani bahkan menulis buku khusus untuk  menjelaskan prinsip ini dengan judul Asas Al-Tauhid (Tehran:</w:t>
      </w:r>
    </w:p>
    <w:p>
      <w:pPr>
        <w:pStyle w:val="BookText"/>
        <w:bidi w:val="0"/>
        <w:jc w:val="both"/>
        <w:rPr/>
      </w:pPr>
      <w:r>
        <w:rPr>
          <w:rFonts w:eastAsia="Times New Roman" w:cs="Times New Roman" w:ascii="Times New Roman" w:hAnsi="Times New Roman"/>
          <w:color w:val="111111"/>
          <w:sz w:val="28"/>
          <w:szCs w:val="28"/>
          <w:lang w:val="en-US"/>
        </w:rPr>
        <w:t>Amir Kabir, 1377) dan Alamah Thabathaba'i menulis buku  Risalah Al-Tauhid.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Mir Damad, Qabsat (Qom: Chop Bidor, 1373), hlm. 232 Teks  tersebut berbunyi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أمهات الأصول العقلیة أن الواحد بما هو واحد لا یصدر عنه من  تلک الحیثیة إلا واحدا فلعل هذا الأصل بما تلوناه علیک من فطرابات العقل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Julle  19. Lihat: Al-Farabi, Majmu'ah Rasa'il Al-Farabi (Iran: Haydar  Abad, tth.), hlm. 7. Selanjutnya disebut Majmu'ah.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Lihat: Plotinus, Utsulujiyya (Qom: Intisyarat Bidor, 1413),  hlm. 67.</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Lihat: Ibn Rusyd, Tafsir Ma Ba’da Tabi'ah (Tehran: Intisyarat  Hikmah, 1377), J. II, hlm. 160.</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Lihat: Turan Koc, Body-Mind Relationship with Regard to Life  after Death according to Mulla Sadra (Tehran: Siprin, 2005),  hlm. 12.</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Lihat: Ibn Sina, Al-Isyarat, J. II, hlm. 106.</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Mulla Sadra, Al-Asfar, J. 7, hlm. 204. Teks tersebut berbunyi:</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هذه الأصول الممهدة التی قد مر ذکر هما مما یستقل به العقل النظری</w:t>
      </w:r>
      <w:r>
        <w:rPr>
          <w:rFonts w:ascii="IRNazanin" w:hAnsi="IRNazanin" w:eastAsia="IRNazanin"/>
          <w:color w:val="111111"/>
          <w:sz w:val="28"/>
          <w:sz w:val="28"/>
          <w:szCs w:val="28"/>
          <w:lang w:bidi="fa-IR"/>
        </w:rPr>
        <w:t xml:space="preserve"> </w:t>
      </w:r>
    </w:p>
    <w:p>
      <w:pPr>
        <w:pStyle w:val="BookText"/>
        <w:bidi w:val="0"/>
        <w:rPr/>
      </w:pPr>
      <w:r>
        <w:rPr>
          <w:rFonts w:ascii="IRNazanin" w:hAnsi="IRNazanin" w:eastAsia="IRNazanin"/>
          <w:color w:val="111111"/>
          <w:sz w:val="28"/>
          <w:sz w:val="28"/>
          <w:szCs w:val="28"/>
          <w:rtl w:val="true"/>
          <w:lang w:bidi="fa-IR"/>
        </w:rPr>
        <w:t>الذی لیس لعینه غشاوة التقلید ولا لمراآته رین العصبیة وظلمة العناد لاثبات  أن الواحد الحق الصرف وکذا الواحد بما هو واحد لا یصدر عنه من تلک  الحیثیة الا واحد وان لیس فی طباع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کثرة أن تصدر عن الواحد  ان یصدر عنها مبدعان مقابل واحد فواحدا إلی أن یتکثر الجهات والحیثیات  وینفتح باب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Persoalan kenapa hanya sampai pada intelek kesepuluh  adalah pertanyaan yang agak sulit untk mendapatkan jawaban  yang memadai. Jawaban yang dikemukakan, pada umumnya,  karena intelek kesepuluh sudah sedemikian jauhnya dari  sumber wujud sehingga tidak mampu lagi menciptakan intelek  berikutnya. Apa argumentasi logis untuk ini sama sekali tidak  kita temukan pada karya-karya filsuf Muslim abad pertengahan  tersebut. Haidar Bagir menyatakan bahwa pembatasan sampai  pada akal kesepuluh disebabkan oleh pengetahuan astronomi  masa itu, yang diwarnai oleh Ptolemeus, yang menyatakan  bahwa planet berjumlah sepuluh. Lihat: Haidar Bagir, Buku  Saku Filsafat Islam, hlm. 109.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Pada umumnya, sebagaimana yang telah disebutkan  sebelumnya, sepuluh intelek yang muncul, tetapi Nasiruddin  Tusi ketika menjelaskan tentang persoalan ini, berpendapat  bahwa sepuluh intelek tersebut dapat diringkas menjadi tiga  intelek utama. Lihat: Al-Isyārat, J. II, hlm. 109.</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Al-Gazhali, Tahafut, hlm. 132.</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Al-Gazhali, Tahafut. hlm. 120–129. Pernyataan Al-Ghazali  tersebut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Hal ini merupakan kekacauan dalam dasar pandangan  mereka, bahkan tidak tergambarkan berdasarkan prinsip-  prinsip mereka bahwa alam semesta ini merupakan ciptaan  Allah.</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Lihat: Al-Fakhrurozi, Mabahits al-Masyriqiyyah (Qom: Cop</w:t>
      </w:r>
    </w:p>
    <w:p>
      <w:pPr>
        <w:pStyle w:val="BookText"/>
        <w:bidi w:val="0"/>
        <w:rPr/>
      </w:pPr>
      <w:r>
        <w:rPr>
          <w:rFonts w:eastAsia="Times New Roman" w:cs="Times New Roman" w:ascii="Times New Roman" w:hAnsi="Times New Roman"/>
          <w:color w:val="111111"/>
          <w:sz w:val="28"/>
          <w:szCs w:val="28"/>
          <w:lang w:val="en-US"/>
        </w:rPr>
        <w:t>Bidor, 1411), J. I, hlm. 466.</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Diterjemahkan sebagai gerakan transubstansial di sini  mengacu pada penerjemahan yang dilakukan S.H. Nasr, yaitu  Transubstansial Motion.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Lihat: Ibn Rusyd, Talkhis Al-Kawn wa Al-Fasad (Beirut: Dar Al-  Gharb Al-Islami, 1995), hlm. 51.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Lihat: Ibn Sina, Al-Isyārat, J. II, hlm. 33. Lihat juga Murtadha  Mutahari, Harakat va Zamon dar Falasafeh Islomi (Tehran:</w:t>
      </w:r>
    </w:p>
    <w:p>
      <w:pPr>
        <w:pStyle w:val="BookText"/>
        <w:bidi w:val="0"/>
        <w:jc w:val="both"/>
        <w:rPr/>
      </w:pPr>
      <w:r>
        <w:rPr>
          <w:rFonts w:eastAsia="Times New Roman" w:cs="Times New Roman" w:ascii="Times New Roman" w:hAnsi="Times New Roman"/>
          <w:color w:val="111111"/>
          <w:sz w:val="28"/>
          <w:szCs w:val="28"/>
          <w:lang w:val="en-US"/>
        </w:rPr>
        <w:t>Intisyarat Hekmat, 1411), J. III, hlm. 305.</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Pandangan Mir Damad ini dapat kita lihat pada karyanya, Al-  Qabsat, hlm. 183— 238.</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Jalaluddin Rakhmat, “Al-Hikmah Al-Muta’aliyyah: Filsafat  Islam Pasca-Ibn Rusyd" dalam Mulla Sadra, Kearifan Puncak  (Yogyakarta: Pustaka Pelajar, 2004), hlm. xix.</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Untuk lebih jelasnya, Lihat: Mulla Sadra, Al-Asfar, J. 3, hlm. 85.</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Untuk lebih jelas tentang pandangan ini, kita dapat merujuk  pada Al-Asfar, J. III, hlm. 437 atau Ghulam Husayn Ibrahi  Dinani, Qawaid Kulli Falsafi dar Falsafeye Islomi (Tehran,  Pezuhisgoh, 1993), J. I, hlm. 87.</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Lihat: Fazlur Rahman, The Philosophy of Mulla Sadra, hlm.</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Mulla Sadra, Al-Asfar, J.3. hlm. 337. Teks aslinya sebagai  berikut:</w:t>
      </w:r>
    </w:p>
    <w:p>
      <w:pPr>
        <w:pStyle w:val="BookText"/>
        <w:bidi w:val="0"/>
        <w:jc w:val="both"/>
        <w:rPr/>
      </w:pPr>
      <w:r>
        <w:rPr>
          <w:rFonts w:ascii="IRNazanin" w:hAnsi="IRNazanin" w:eastAsia="IRNazanin"/>
          <w:color w:val="111111"/>
          <w:sz w:val="28"/>
          <w:sz w:val="28"/>
          <w:szCs w:val="28"/>
          <w:rtl w:val="true"/>
          <w:lang w:bidi="fa-IR"/>
        </w:rPr>
        <w:t xml:space="preserve">إن النفس إذا عقلت شیئا صارت عین صورته العقیلة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الإنسانیة  من شأنها أن تدرک جمیع الحقائق وتتحد بها  </w:t>
      </w:r>
      <w:r>
        <w:rPr>
          <w:rFonts w:eastAsia="IRNazanin" w:cs="IRNazanin"/>
          <w:color w:val="111111"/>
          <w:sz w:val="28"/>
          <w:szCs w:val="28"/>
          <w:lang w:bidi="fa-IR"/>
        </w:rPr>
        <w:t>39</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Mulla Sadra, Al-Asfar, J.I, hlm. 71.</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Mudzaffar, Al-Mantiq (Qom: Daftar Tablighat Islomi, 1374),  hlm.57.</w:t>
      </w:r>
    </w:p>
    <w:p>
      <w:pPr>
        <w:pStyle w:val="BookText"/>
        <w:bidi w:val="0"/>
        <w:rPr/>
      </w:pPr>
      <w:r>
        <w:rPr>
          <w:rFonts w:eastAsia="Times New Roman" w:cs="Times New Roman" w:ascii="Times New Roman" w:hAnsi="Times New Roman"/>
          <w:color w:val="111111"/>
          <w:sz w:val="28"/>
          <w:szCs w:val="28"/>
          <w:lang w:val="en-US"/>
        </w:rPr>
        <w:t>Alam materi memiliki hukum perubahan yang disebut  kejadian dan kehancuran. Namun secara khusus di dalam  filsafat, terdapat teori yang secara khusus disebut Kawn wa al-  Fasad yang merupakan teori yang berasal dari Al-Farabi yang  menyatakan ketiadaan ikatan dan keterpeliharaan rangkaian  wujud; keterwujudan satu makhluk setelah kehancuran  makhluk yang lain, begitu pun sebaliknya ,tanpa harus ada  dimensi kaitan antar makhluk tersebut. Untuk lebih jelas lihat:</w:t>
      </w:r>
    </w:p>
    <w:p>
      <w:pPr>
        <w:pStyle w:val="BookText"/>
        <w:bidi w:val="0"/>
        <w:jc w:val="both"/>
        <w:rPr/>
      </w:pPr>
      <w:r>
        <w:rPr>
          <w:rFonts w:eastAsia="Times New Roman" w:cs="Times New Roman" w:ascii="Times New Roman" w:hAnsi="Times New Roman"/>
          <w:color w:val="111111"/>
          <w:sz w:val="28"/>
          <w:szCs w:val="28"/>
          <w:lang w:val="en-US"/>
        </w:rPr>
        <w:t>Al-Kawn wa Al-Fasad, Al-Farabi.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Malikheh Sobiri, “Alam Mitsal va Tajarud Khiyol" dalam jurnal  Kherad Nomeh Shadro, (Tehran: Omuzise Farhangge, 1419),  Vol. 12, hlm. 72.</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Jalaluddin Asiyani, Risoleh Nuriyeh dar Alame Mitsal (Tehran:</w:t>
      </w:r>
    </w:p>
    <w:p>
      <w:pPr>
        <w:pStyle w:val="BookText"/>
        <w:bidi w:val="0"/>
        <w:jc w:val="both"/>
        <w:rPr/>
      </w:pPr>
      <w:r>
        <w:rPr>
          <w:rFonts w:eastAsia="Times New Roman" w:cs="Times New Roman" w:ascii="Times New Roman" w:hAnsi="Times New Roman"/>
          <w:color w:val="111111"/>
          <w:sz w:val="28"/>
          <w:szCs w:val="28"/>
          <w:lang w:val="en-US"/>
        </w:rPr>
        <w:t>Sozmon Tablighate Islomi, 1372) hal. 45. Teks aslinya sebagai  berikut:</w:t>
      </w:r>
    </w:p>
    <w:p>
      <w:pPr>
        <w:pStyle w:val="BookText"/>
        <w:bidi w:val="0"/>
        <w:jc w:val="both"/>
        <w:rPr/>
      </w:pPr>
      <w:r>
        <w:rPr>
          <w:rFonts w:ascii="IRNazanin" w:hAnsi="IRNazanin" w:eastAsia="IRNazanin"/>
          <w:color w:val="111111"/>
          <w:sz w:val="28"/>
          <w:sz w:val="28"/>
          <w:szCs w:val="28"/>
          <w:rtl w:val="true"/>
          <w:lang w:bidi="fa-IR"/>
        </w:rPr>
        <w:t xml:space="preserve">عا لم مثالی عبارت است از عالمی روحانی ومجرد و موجوداز جوهری  نوری یا نورانی که از لحاظ جسمیت و تجسم یعنی جسم بودن و محسوس  و متقدر بودن شبیه جواهر جسمانی موجو در عالم ماده واز حیث تجرد  و براءت از قبول حرکت واباء از تغیر وکون و فساد شبیه است به عوالم  عقلانی از جواهر مجرده و عقول مطهره وارواح عالیه و حروف عالیات  </w:t>
      </w:r>
      <w:r>
        <w:rPr>
          <w:rFonts w:eastAsia="IRNazanin" w:cs="IRNazanin"/>
          <w:color w:val="111111"/>
          <w:sz w:val="28"/>
          <w:szCs w:val="28"/>
          <w:lang w:bidi="fa-IR"/>
        </w:rPr>
        <w:t>44</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Para urafa membagi dua bagian rotasi wujud yang turun dan  naik. Yang turun disebut Qausi al-Nuzul yaitu berkaitan dengan  teodesi, semesta yang berasal dari tingkat ruhaniah, mitsaliyah  hingga material; sedangkan yang naik disebut Qaus al-Su’ud,  yaitu berkaitan dengan Eskatologi, semesta yang berasal dari  tingkat material, barzakh, atau kubur hingga akhirat.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Qaysari, Syarh Fushūs Al-Hikam (Qom: Instisyarat Bidor,  1363), hlm. 29.</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Sadra, Al-Asfar J.I hal. 302. Teks aslinya sebagai berikut: </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علم أنا ممن یؤمن بو جودالعالم هم المقداری الغیر المادی کما ذهب إلیه  أساطین الحکمة و أئمة الکشف حسبما حره وقرره صاحب الاشراق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Al-Asfar, J. I, hlm. 302 — 306.</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Lihat: Al-Asfar, J. III, hlm. 412.</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Lihat: Kholid Al-Walid, Tasawuf Mulla Sadra (Bandung:</w:t>
      </w:r>
    </w:p>
    <w:p>
      <w:pPr>
        <w:pStyle w:val="BookText"/>
        <w:bidi w:val="0"/>
        <w:jc w:val="both"/>
        <w:rPr/>
      </w:pPr>
      <w:r>
        <w:rPr>
          <w:rFonts w:eastAsia="Times New Roman" w:cs="Times New Roman" w:ascii="Times New Roman" w:hAnsi="Times New Roman"/>
          <w:color w:val="111111"/>
          <w:sz w:val="28"/>
          <w:szCs w:val="28"/>
          <w:lang w:val="en-US"/>
        </w:rPr>
        <w:t>Muthahari Press, 2005), hlm. 95.</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Malikheh Sobiri, “Olam Mitsal va Tajarrud Khiyol", dalam  Kherad Nomeh Sadro, Vol. 15, hlm. 71 – 72.</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Beragam kesamaan antara alam imajinal yang dikembangkan  Mulla Sadra dengan alam imajinal Ibn Arabi dapat kita lihat  pada Malikheh Sobiri, Olam Mitsal, hlm. 72–73.</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Lihat: Latimah Parvin Peerwani, Mulla Sadra on Imaginative  Perception and Imaginal World, dalam Transcendent  Philosophy Journal, Vol. 1 No. 2, Sepetmber 2007.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83" w:name="pg6434_60616"/>
      <w:bookmarkStart w:id="84" w:name="pg6434_60616"/>
      <w:bookmarkEnd w:id="84"/>
    </w:p>
    <w:p>
      <w:pPr>
        <w:pStyle w:val="Heading2"/>
        <w:numPr>
          <w:ilvl w:val="1"/>
          <w:numId w:val="1"/>
        </w:numPr>
        <w:bidi w:val="0"/>
        <w:jc w:val="left"/>
        <w:rPr/>
      </w:pPr>
      <w:bookmarkStart w:id="85" w:name="pg6434_60616"/>
      <w:bookmarkStart w:id="86" w:name="__RefHeading___Toc808196_653776707"/>
      <w:bookmarkStart w:id="87" w:name="_Toc27"/>
      <w:bookmarkEnd w:id="85"/>
      <w:bookmarkEnd w:id="86"/>
      <w:r>
        <w:rPr/>
        <w:t>BAGIAN KETIGA PRINSIP-PRINSIP ESKATOLOGI</w:t>
      </w:r>
      <w:bookmarkEnd w:id="87"/>
    </w:p>
    <w:p>
      <w:pPr>
        <w:pStyle w:val="Heading3"/>
        <w:numPr>
          <w:ilvl w:val="2"/>
          <w:numId w:val="1"/>
        </w:numPr>
        <w:bidi w:val="0"/>
        <w:jc w:val="left"/>
        <w:rPr/>
      </w:pPr>
      <w:bookmarkStart w:id="88" w:name="__RefHeading___Toc808198_653776707"/>
      <w:bookmarkStart w:id="89" w:name="_Toc28"/>
      <w:bookmarkEnd w:id="88"/>
      <w:r>
        <w:rPr/>
        <w:t>Point</w:t>
      </w:r>
      <w:bookmarkEnd w:id="89"/>
    </w:p>
    <w:p>
      <w:pPr>
        <w:pStyle w:val="BookText"/>
        <w:bidi w:val="0"/>
        <w:jc w:val="both"/>
        <w:rPr/>
      </w:pPr>
      <w:r>
        <w:rPr>
          <w:rFonts w:eastAsia="Times New Roman" w:cs="Times New Roman" w:ascii="Times New Roman" w:hAnsi="Times New Roman"/>
          <w:color w:val="111111"/>
          <w:sz w:val="28"/>
          <w:szCs w:val="28"/>
          <w:lang w:val="en-US"/>
        </w:rPr>
        <w:t>mulla Sadra, dalam mengemukakan pandangan-  pandangan Eskatologinya, memberikan landasan  filosofis yang didasarkan pada prinsip-prinsip filsafat  yang dikembangkannya. Landasan filosofis ini merupakan kerangka  dasar Mulla Sadra untuk merumuskan pandangan Eskatologinya.</w:t>
      </w:r>
    </w:p>
    <w:p>
      <w:pPr>
        <w:pStyle w:val="BookText"/>
        <w:bidi w:val="0"/>
        <w:jc w:val="both"/>
        <w:rPr/>
      </w:pPr>
      <w:r>
        <w:rPr>
          <w:rFonts w:eastAsia="Times New Roman" w:cs="Times New Roman" w:ascii="Times New Roman" w:hAnsi="Times New Roman"/>
          <w:color w:val="111111"/>
          <w:sz w:val="28"/>
          <w:szCs w:val="28"/>
          <w:lang w:val="en-US"/>
        </w:rPr>
        <w:t>Karena itu, kita dapat menyebut landasan filosofis tersebut sebagai  prinsip-prinsip Eskatologi. Adapun prinsip-prinsip dasar eskatologi  yang dikemukakan Mulla Sadra, antara lain, Argumentasi  Eskatologis, Realitas Jiwa, Persoalan Reinkarnasi, Sebelas Prinsip  Dasar Eskatologi, Kritik Pandangan Eskatologi Pemikir Muslim, dan  Jawaban Mulla Sadra atas Persoalan Eskatologi.</w:t>
      </w:r>
    </w:p>
    <w:p>
      <w:pPr>
        <w:pStyle w:val="Heading3"/>
        <w:numPr>
          <w:ilvl w:val="2"/>
          <w:numId w:val="1"/>
        </w:numPr>
        <w:bidi w:val="0"/>
        <w:jc w:val="left"/>
        <w:rPr/>
      </w:pPr>
      <w:bookmarkStart w:id="90" w:name="__RefHeading___Toc808200_653776707"/>
      <w:bookmarkStart w:id="91" w:name="_Toc29"/>
      <w:bookmarkEnd w:id="90"/>
      <w:r>
        <w:rPr/>
        <w:t>1. Argumentasi Eskatologis</w:t>
      </w:r>
      <w:bookmarkEnd w:id="91"/>
    </w:p>
    <w:p>
      <w:pPr>
        <w:pStyle w:val="BookText"/>
        <w:bidi w:val="0"/>
        <w:jc w:val="both"/>
        <w:rPr/>
      </w:pPr>
      <w:r>
        <w:rPr>
          <w:rFonts w:eastAsia="Times New Roman" w:cs="Times New Roman" w:ascii="Times New Roman" w:hAnsi="Times New Roman"/>
          <w:color w:val="111111"/>
          <w:sz w:val="28"/>
          <w:szCs w:val="28"/>
          <w:lang w:val="en-US"/>
        </w:rPr>
        <w:t>Jawadi Amuli,</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Merupakan pengajar utama kitab al-Hikmah al-Muta’aliyyah  dan telah melahirkan filsuf-filsuf besar. Di antara muridnya  yang cukup terkenal adalah Muhammad Taqi Misbah Yazdi.</w:t>
      </w:r>
    </w:p>
    <w:p>
      <w:pPr>
        <w:pStyle w:val="BookText"/>
        <w:bidi w:val="0"/>
        <w:jc w:val="both"/>
        <w:rPr/>
      </w:pPr>
      <w:r>
        <w:rPr>
          <w:rFonts w:eastAsia="Times New Roman" w:cs="Times New Roman" w:ascii="Times New Roman" w:hAnsi="Times New Roman"/>
          <w:color w:val="111111"/>
          <w:sz w:val="28"/>
          <w:szCs w:val="28"/>
          <w:lang w:val="en-US"/>
        </w:rPr>
        <w:t>komentator utama Mulla Sadra saat  ini, dengan menggunakan dasar al-Hikmah al-Muta’āliyyāh,  menghimpun tujuh argumentasi rasional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dalam upaya  pembuktian eskatologi. Tujuh argumentasi itu, antara lain,  Argumentasi Gerakan dan Tujuan, Argumentasi Hikmah,  Argumentasi Rahmat, Argumentasi Hakikat, Argumentasi  Keadilan, Argumentasi Transendensi Ruh, dan Argumentasi  Kerinduan akan kehidupan Abadi. Penjelasan tujuh argumentasi  tersebut sebagai berikut: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Argumentasi Gerakan dan Tujuan  Argumentasi ini terdiri di atas prinsip gerakan </w:t>
      </w:r>
    </w:p>
    <w:p>
      <w:pPr>
        <w:pStyle w:val="BookText"/>
        <w:bidi w:val="0"/>
        <w:rPr/>
      </w:pPr>
      <w:r>
        <w:rPr>
          <w:rFonts w:eastAsia="Times New Roman" w:cs="Times New Roman" w:ascii="Times New Roman" w:hAnsi="Times New Roman"/>
          <w:color w:val="111111"/>
          <w:sz w:val="28"/>
          <w:szCs w:val="28"/>
          <w:lang w:val="en-US"/>
        </w:rPr>
        <w:t>transubstansial yang dikemukakan Mulla Sadra. Susunan logis  argumentasi ini sebagai berikut: Alam materi dengan segala apa  yang ada di dalamnya, baik itu yang ada di langit ataupun yang  ada di bumi, mulai dari bebatuan, tumbuh-tumbuhan, binatang  hingga manusia merupakan kesatuan hakiki yang sesuai satu  sama lain dan kesemuanya melakukan aktivitas gerakan.</w:t>
      </w:r>
    </w:p>
    <w:p>
      <w:pPr>
        <w:pStyle w:val="BookText"/>
        <w:bidi w:val="0"/>
        <w:jc w:val="both"/>
        <w:rPr/>
      </w:pPr>
      <w:r>
        <w:rPr>
          <w:rFonts w:eastAsia="Times New Roman" w:cs="Times New Roman" w:ascii="Times New Roman" w:hAnsi="Times New Roman"/>
          <w:color w:val="111111"/>
          <w:sz w:val="28"/>
          <w:szCs w:val="28"/>
          <w:lang w:val="en-US"/>
        </w:rPr>
        <w:t>Gerakan merupakan gambaran dari aktualisasi potensi, yaitu  dari persiapan khusus menuju kesempurnaan yang khusus.</w:t>
      </w:r>
    </w:p>
    <w:p>
      <w:pPr>
        <w:pStyle w:val="BookText"/>
        <w:bidi w:val="0"/>
        <w:jc w:val="both"/>
        <w:rPr/>
      </w:pPr>
      <w:r>
        <w:rPr>
          <w:rFonts w:eastAsia="Times New Roman" w:cs="Times New Roman" w:ascii="Times New Roman" w:hAnsi="Times New Roman"/>
          <w:color w:val="111111"/>
          <w:sz w:val="28"/>
          <w:szCs w:val="28"/>
          <w:lang w:val="en-US"/>
        </w:rPr>
        <w:t>Oleh karena itu, tujuan menjadi sebuah keharusan karena  tidak mungkin ada gerakan tanpa tujuan. Jika setiap tujuan  yang dihasilkan mengantarkan pada tujuan yang lain, kita dapat  menyimpulkan bahwa dibalik itu, semua ada tujuan yang paling  akhir atau tujuan hakiki. Ketika subjek yang bergerak tiba pada  tujuan hakiki tersebut, dia akan menemukan ketenangan dan  gerakan berubah menjadi statis.</w:t>
      </w:r>
    </w:p>
    <w:p>
      <w:pPr>
        <w:pStyle w:val="BookText"/>
        <w:bidi w:val="0"/>
        <w:jc w:val="both"/>
        <w:rPr/>
      </w:pPr>
      <w:r>
        <w:rPr>
          <w:rFonts w:eastAsia="Times New Roman" w:cs="Times New Roman" w:ascii="Times New Roman" w:hAnsi="Times New Roman"/>
          <w:color w:val="111111"/>
          <w:sz w:val="28"/>
          <w:szCs w:val="28"/>
          <w:lang w:val="en-US"/>
        </w:rPr>
        <w:t>b. Argumentasi Hikmah  Argumentasi ini dibangun dengan beberapa premis,  antara lain,  Pertama, Allah Swt. adalah Zat Yang Hakim. Maksudnya,  tidak mungkin keluar dari diri Allah Swt. tindakan yang tanpa  tujuan atau sia-sia. Sisi lain Allah Swt. adalah Zat Mutlak Yang  Mahasempurna sehingga tidak menuntut atau membutuhkan  kesempurnaan yang lain.</w:t>
      </w:r>
    </w:p>
    <w:p>
      <w:pPr>
        <w:pStyle w:val="BookText"/>
        <w:bidi w:val="0"/>
        <w:jc w:val="both"/>
        <w:rPr/>
      </w:pPr>
      <w:r>
        <w:rPr>
          <w:rFonts w:eastAsia="Times New Roman" w:cs="Times New Roman" w:ascii="Times New Roman" w:hAnsi="Times New Roman"/>
          <w:color w:val="111111"/>
          <w:sz w:val="28"/>
          <w:szCs w:val="28"/>
          <w:lang w:val="en-US"/>
        </w:rPr>
        <w:t>Kedua, perbuatan Allah Swt., di antaranya, adalah  menciptakan alam semesta, termasuk manusia di dalamnya  dengan dasar Hikmah Ilahi: bahwa setiap makhluk memiliki  tujuan yang khusus.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tujuan akhir dari setiap ciptaan, termasuk manusia, </w:t>
      </w:r>
    </w:p>
    <w:p>
      <w:pPr>
        <w:pStyle w:val="BookText"/>
        <w:bidi w:val="0"/>
        <w:rPr/>
      </w:pPr>
      <w:r>
        <w:rPr>
          <w:rFonts w:eastAsia="Times New Roman" w:cs="Times New Roman" w:ascii="Times New Roman" w:hAnsi="Times New Roman"/>
          <w:color w:val="111111"/>
          <w:sz w:val="28"/>
          <w:szCs w:val="28"/>
          <w:lang w:val="en-US"/>
        </w:rPr>
        <w:t>adalah sampainya pada kesempurnaan yang kekal dan abadi,  yang semua itu tidak mungkin ada dalam kehidupan dunia ini.</w:t>
      </w:r>
    </w:p>
    <w:p>
      <w:pPr>
        <w:pStyle w:val="BookText"/>
        <w:bidi w:val="0"/>
        <w:jc w:val="both"/>
        <w:rPr/>
      </w:pPr>
      <w:r>
        <w:rPr>
          <w:rFonts w:eastAsia="Times New Roman" w:cs="Times New Roman" w:ascii="Times New Roman" w:hAnsi="Times New Roman"/>
          <w:color w:val="111111"/>
          <w:sz w:val="28"/>
          <w:szCs w:val="28"/>
          <w:lang w:val="en-US"/>
        </w:rPr>
        <w:t>Karenanya, haruslah ada kehidupan lain yang sesuai dengan  tujuan tersebut.</w:t>
      </w:r>
    </w:p>
    <w:p>
      <w:pPr>
        <w:pStyle w:val="BookText"/>
        <w:bidi w:val="0"/>
        <w:jc w:val="both"/>
        <w:rPr/>
      </w:pPr>
      <w:r>
        <w:rPr>
          <w:rFonts w:eastAsia="Times New Roman" w:cs="Times New Roman" w:ascii="Times New Roman" w:hAnsi="Times New Roman"/>
          <w:color w:val="111111"/>
          <w:sz w:val="28"/>
          <w:szCs w:val="28"/>
          <w:lang w:val="en-US"/>
        </w:rPr>
        <w:t>Dari tiga premis tersebut, kita dapat menyimpulkan-  berdasarkan Hikmah Ilahi – bahwa di balik kehidupan dunia  yang terbatas ini, ada kehidupan lain yang sempurna dan  abadi, yang merupakan tempat bagi tujuan kehidupan manusia  dan semua makhluk, terutama manusia, pada akhirnya, akan  mencapai tujuan akhir tersebut.</w:t>
      </w:r>
    </w:p>
    <w:p>
      <w:pPr>
        <w:pStyle w:val="BookText"/>
        <w:bidi w:val="0"/>
        <w:jc w:val="both"/>
        <w:rPr/>
      </w:pPr>
      <w:r>
        <w:rPr>
          <w:rFonts w:eastAsia="Times New Roman" w:cs="Times New Roman" w:ascii="Times New Roman" w:hAnsi="Times New Roman"/>
          <w:color w:val="111111"/>
          <w:sz w:val="28"/>
          <w:szCs w:val="28"/>
          <w:lang w:val="en-US"/>
        </w:rPr>
        <w:t>c. Argumentasi Rahmat  Salah satu sifat utama yang ada pada Allah Swt. adalah  sifat Rahmat dan sifat ini memiliki makna 'melepaskan atau  mengangkat kebutuhan dari setiap yang membutuhkan dan  memberikan kesempurnaan yang sesuai dengan potensi dari  setiap wujud'. Pada diri manusia terdapat kebutuhan untuk  memiliki kehidupan yang penuh dengan kebahagiaan dan  keabadian. Karenanya, berdasarkan sifat Rahmat, Allah Swt.</w:t>
      </w:r>
    </w:p>
    <w:p>
      <w:pPr>
        <w:pStyle w:val="BookText"/>
        <w:bidi w:val="0"/>
        <w:jc w:val="both"/>
        <w:rPr/>
      </w:pPr>
      <w:r>
        <w:rPr>
          <w:rFonts w:eastAsia="Times New Roman" w:cs="Times New Roman" w:ascii="Times New Roman" w:hAnsi="Times New Roman"/>
          <w:color w:val="111111"/>
          <w:sz w:val="28"/>
          <w:szCs w:val="28"/>
          <w:lang w:val="en-US"/>
        </w:rPr>
        <w:t>memberikan kepada manusia kesempurnaan yang sesuai  dengan kebutuhan manusia tersebut. Karena Allah Swt. adalah  Zat Yang Mahakuasa dan Penguasa Yang Mutlak, tidak ada yang  dapat menghalangi turunnya rahmat tersebut. Kesimpulannya  adalah bahwa manusia akan memiliki kehidupan yang abadi.</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 Argumentasi Hakikat  Allah Swt. adalah kebenaran murni yang terlepas dari-Nya  segala bentuk kekeliruan maupun kesalahan (batil). Untuk dapat  melepaskan berbagai kesalahan dan kekeliruan hanya dengan </w:t>
      </w:r>
    </w:p>
    <w:p>
      <w:pPr>
        <w:pStyle w:val="BookText"/>
        <w:bidi w:val="0"/>
        <w:rPr/>
      </w:pPr>
      <w:r>
        <w:rPr>
          <w:rFonts w:eastAsia="Times New Roman" w:cs="Times New Roman" w:ascii="Times New Roman" w:hAnsi="Times New Roman"/>
          <w:color w:val="111111"/>
          <w:sz w:val="28"/>
          <w:szCs w:val="28"/>
          <w:lang w:val="en-US"/>
        </w:rPr>
        <w:t>terpancarnya hakikat diri Allah Swt. Perbedaan dan pertikaian  antara kebenaran dan kekeliruan terjadi dan dapat disaksikan  dalam alam semesta ini serta wajah hakiki kebenaran tidaklah  terpancar di dunia ini. Hal itu disebablan oleh alam ini bukan  merupakan tempat yang memadai bagi terpancarnya kebenaran  murni tersebut. Karenanya, menjadi kemestian adanya saat atau  masa sebagai fase dari terpancarnya kebenaran dan kesalahan  menjadi hilang. Hal ini tidak akan mungkin terjadi, kecuali  dengan hadirnya masa kebenaran yang seluruh hakikat yang  ada pada manusia terungkapkan dan seluruh bentuk kebenaran  terpancarkan.</w:t>
      </w:r>
    </w:p>
    <w:p>
      <w:pPr>
        <w:pStyle w:val="BookText"/>
        <w:bidi w:val="0"/>
        <w:jc w:val="both"/>
        <w:rPr/>
      </w:pPr>
      <w:r>
        <w:rPr>
          <w:rFonts w:eastAsia="Times New Roman" w:cs="Times New Roman" w:ascii="Times New Roman" w:hAnsi="Times New Roman"/>
          <w:color w:val="111111"/>
          <w:sz w:val="28"/>
          <w:szCs w:val="28"/>
          <w:lang w:val="en-US"/>
        </w:rPr>
        <w:t>e. Argumentasi Keadilan  Allah Swt. memiliki sifat adil yang menunjukkan bahwa  Allah Swt. sedikitpun tidak akan berbuat kezaliman. Di alam  dunia ini, kita menyaksikan bahwa perbuatan manusia, baik  itu perbuatan yang baik maupun perbuatan yang jahat, tidak  mendapatkan balasan atau ganjaran. Karenanya, sifat Adil Allah  Swt. menunjukkan akan adanya alam pembalasan bagi semua  perbuatan tersebut dan alam tersebut, tidak lain, adalah alam  akhirat sebagai tempat terpancarnya keadilan Allah Swt..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 Argumentasi Transendensi Ruh  Hakikat manusia, pada intinya, adalah transenden dan  nonmateri. Sebagai bukti untuk itu adalah kesadaran manusia  akan dirinya bersifat huduri dan persepsi terhadap segala objek  eksternal melalui proses berpikir. Hakikat ternasenden ini  dinamakan sebagai “ruh". Berbagai ketentuan materi, seperti  kematian atau kehancuran, tidak berlaku baginya. Karenanya, </w:t>
      </w:r>
    </w:p>
    <w:p>
      <w:pPr>
        <w:pStyle w:val="BookText"/>
        <w:bidi w:val="0"/>
        <w:rPr/>
      </w:pPr>
      <w:r>
        <w:rPr>
          <w:rFonts w:eastAsia="Times New Roman" w:cs="Times New Roman" w:ascii="Times New Roman" w:hAnsi="Times New Roman"/>
          <w:color w:val="111111"/>
          <w:sz w:val="28"/>
          <w:szCs w:val="28"/>
          <w:lang w:val="en-US"/>
        </w:rPr>
        <w:t>kematian tidak lebih bermakna ,lepasnya ruh dari kurungan  raga dan berpindah ke alam yang lain' dan kebangkitan tidaklah  bermakna kehidupan kembali ruh, melainkan terikatnya ruh  pada raga yang baru kembali.</w:t>
      </w:r>
    </w:p>
    <w:p>
      <w:pPr>
        <w:pStyle w:val="BookText"/>
        <w:bidi w:val="0"/>
        <w:jc w:val="both"/>
        <w:rPr/>
      </w:pPr>
      <w:r>
        <w:rPr>
          <w:rFonts w:eastAsia="Times New Roman" w:cs="Times New Roman" w:ascii="Times New Roman" w:hAnsi="Times New Roman"/>
          <w:color w:val="111111"/>
          <w:sz w:val="28"/>
          <w:szCs w:val="28"/>
          <w:lang w:val="en-US"/>
        </w:rPr>
        <w:t>g. Argumentasi Kerinduan akan kehidupan Abadi  Merupakan fitrah pada diri manusia adanya kerinduan  akan kehidupan abadi. Tanpa ada wujud eksternal yang  dirindukan manusia tersebut adalah satu hal yang bertentangan  dengan sifat hikmah Allah Swt.. Kehidupan abadi tidak akan  mungkin terjadi di alam dunia ini. Karenanya, pastilah ada alam  lain yang menjadi tempat bagi kehidupan abadi manusia.</w:t>
      </w:r>
    </w:p>
    <w:p>
      <w:pPr>
        <w:pStyle w:val="BookText"/>
        <w:bidi w:val="0"/>
        <w:jc w:val="both"/>
        <w:rPr/>
      </w:pPr>
      <w:r>
        <w:rPr>
          <w:rFonts w:eastAsia="Times New Roman" w:cs="Times New Roman" w:ascii="Times New Roman" w:hAnsi="Times New Roman"/>
          <w:color w:val="111111"/>
          <w:sz w:val="28"/>
          <w:szCs w:val="28"/>
          <w:lang w:val="en-US"/>
        </w:rPr>
        <w:t>Argumentasi yang dikembangkan Jawadi Amuli ini,  terlihat jelas, didasari oleh prinsip-prinsip yang dikembangkan  Mulla Sadra. Karenanya, untuk dapat menerima argumentasi-  argumentasi yang dikembangkan Jawadi Amuli tersebut,  terlebih dahulu harus menerima prinsip-prinsip filsafat yang  dikembangkan Mulla Sadra.</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persoalan yang tidak    terlalu dalam dikembangkan  Mulla Sadra dalam filsafatnya    adalah persoalan fisika yang    sebelumnya pada tradisi  Filsafat Peripatetik cukup    mendapatkan ruang kajian    yang luas. Paling tidak,  sekiranya argumentasi-    argumentasi eskatologis yang    di simpulkan Jawadi Amuli </w:t>
      </w:r>
      <w:bookmarkStart w:id="92" w:name="pg6434_60621"/>
    </w:p>
    <w:p>
      <w:pPr>
        <w:pStyle w:val="BookText"/>
        <w:bidi w:val="0"/>
        <w:rPr/>
      </w:pPr>
      <w:bookmarkEnd w:id="92"/>
      <w:r>
        <w:rPr>
          <w:rFonts w:eastAsia="Times New Roman" w:cs="Times New Roman" w:ascii="Times New Roman" w:hAnsi="Times New Roman"/>
          <w:color w:val="111111"/>
          <w:sz w:val="28"/>
          <w:szCs w:val="28"/>
          <w:lang w:val="en-US"/>
        </w:rPr>
        <w:t>dari Mulla Sadra tersebut mengambil pendekatan fisika, akan  sangat membantu bagi peneliti barat modern untuk meyakini  kebenaran eskatologi.</w:t>
      </w:r>
    </w:p>
    <w:p>
      <w:pPr>
        <w:pStyle w:val="BookText"/>
        <w:bidi w:val="0"/>
        <w:jc w:val="both"/>
        <w:rPr/>
      </w:pPr>
      <w:r>
        <w:rPr>
          <w:rFonts w:eastAsia="Times New Roman" w:cs="Times New Roman" w:ascii="Times New Roman" w:hAnsi="Times New Roman"/>
          <w:color w:val="111111"/>
          <w:sz w:val="28"/>
          <w:szCs w:val="28"/>
          <w:lang w:val="en-US"/>
        </w:rPr>
        <w:t>Namun demikian, argumentasi-argumentasi di atas,  secara umum, cukup memadai untuk membuktikan bagi kita  bahwa peristiwa kebangkitan pasti akan terjadi dan ada alam  di balik alam materi ini; yang pada alam tersebut semua  realitas terungkap. Argumentasi-argumentasi ini mengantarkan  kita untuk dapat meyakini bahwa eskatologi adalah sebuah  kebenaran.</w:t>
      </w:r>
    </w:p>
    <w:p>
      <w:pPr>
        <w:pStyle w:val="Heading3"/>
        <w:numPr>
          <w:ilvl w:val="2"/>
          <w:numId w:val="1"/>
        </w:numPr>
        <w:bidi w:val="0"/>
        <w:jc w:val="left"/>
        <w:rPr/>
      </w:pPr>
      <w:bookmarkStart w:id="93" w:name="__RefHeading___Toc808202_653776707"/>
      <w:bookmarkStart w:id="94" w:name="_Toc30"/>
      <w:bookmarkEnd w:id="93"/>
      <w:r>
        <w:rPr/>
        <w:t>2. Realitas Jiwa</w:t>
      </w:r>
      <w:bookmarkEnd w:id="94"/>
    </w:p>
    <w:p>
      <w:pPr>
        <w:pStyle w:val="BookText"/>
        <w:bidi w:val="0"/>
        <w:jc w:val="both"/>
        <w:rPr/>
      </w:pPr>
      <w:r>
        <w:rPr>
          <w:rFonts w:eastAsia="Times New Roman" w:cs="Times New Roman" w:ascii="Times New Roman" w:hAnsi="Times New Roman"/>
          <w:color w:val="111111"/>
          <w:sz w:val="28"/>
          <w:szCs w:val="28"/>
          <w:lang w:val="en-US"/>
        </w:rPr>
        <w:t>Salah satu bagian mendasar dalam pembahasan eskatologi  adalah pembahasan realitas jiwa karena bagaimanapun,  argumentasi yang dikemukakan tentang eskatologi, semuanya  bergantung pada pembuktian tentang jiwa. Mulla Sadra  mengemukakan prinsip ini sebagai dasar bagi pandangan  Eskatologi yang dibangunnya. Adapun bagian penting dari  persoalan jiwa yang perlu dikemukakan, antara lain,  a. Argumentasi Adanya Jiwa  Jiwa merupakan gambaran dari 'substansi yang secara  zatnya nonmateri, tetapi terikat dengan materi dalam  aktivitasnya.'</w:t>
      </w:r>
      <w:r>
        <w:rPr>
          <w:rStyle w:val="FootnoteAnchor"/>
        </w:rPr>
        <w:footnoteReference w:id="92"/>
      </w:r>
    </w:p>
    <w:p>
      <w:pPr>
        <w:pStyle w:val="BookText"/>
        <w:bidi w:val="0"/>
        <w:jc w:val="both"/>
        <w:rPr/>
      </w:pPr>
      <w:r>
        <w:rPr>
          <w:rFonts w:ascii="Amiri" w:hAnsi="Amiri" w:eastAsia="Amiri" w:cs="Amiri"/>
          <w:color w:val="111111"/>
          <w:sz w:val="28"/>
          <w:sz w:val="28"/>
          <w:szCs w:val="28"/>
          <w:rtl w:val="true"/>
          <w:lang w:bidi="ar-SA"/>
        </w:rPr>
        <w:t>الجوهر المجرد عن المادة ذات المتعلق بها فعلا</w:t>
      </w:r>
    </w:p>
    <w:p>
      <w:pPr>
        <w:pStyle w:val="BookText"/>
        <w:bidi w:val="0"/>
        <w:jc w:val="both"/>
        <w:rPr/>
      </w:pPr>
      <w:r>
        <w:rPr>
          <w:rFonts w:eastAsia="Times New Roman" w:cs="Times New Roman" w:ascii="Times New Roman" w:hAnsi="Times New Roman"/>
          <w:color w:val="111111"/>
          <w:sz w:val="28"/>
          <w:szCs w:val="28"/>
          <w:lang w:val="en-US"/>
        </w:rPr>
        <w:t>Mulla Sadra memberikan bukti bagi keberadaan jiwa  dengan mengemukakan tiga bentuk argumentasi"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1) Wujud Mumkin yang Paling Utama dan Tidak Adanya Kesia-  siaan dalam Penciptaan Wujud Mumkin (Imkan Al-Asryāf wa  ‘Adam Abātsiah Khalq Al-Mumkināt).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Sadra, dengan argumentasi ini, ingin </w:t>
      </w:r>
    </w:p>
    <w:p>
      <w:pPr>
        <w:pStyle w:val="BookText"/>
        <w:bidi w:val="0"/>
        <w:rPr/>
      </w:pPr>
      <w:r>
        <w:rPr>
          <w:rFonts w:eastAsia="Times New Roman" w:cs="Times New Roman" w:ascii="Times New Roman" w:hAnsi="Times New Roman"/>
          <w:color w:val="111111"/>
          <w:sz w:val="28"/>
          <w:szCs w:val="28"/>
          <w:lang w:val="en-US"/>
        </w:rPr>
        <w:t>menunjukkan bahwa Allah Swt. ketika menciptakan makhluk-  makhluknya memulai dari penciptaan zat yang paling utama  dan paling sempurna. Zat pertama, karena kedekatannya  dengan sumber penciptaan dan merupakan ciptaan  pertama, maka kualitas dirinya menjadi tidak terbatas. Zat  berikutnya memiliki kesamaan dengan yang pertama dalam  kesempurnaan, meskipun secara kualitas berada di bawah  tingkat yang pertama dan demikian seterusnya, sampai  pada tingkat yang paling rendah, yaitu wujud Mumkin  yang berada pada batasan aktualisasi potensi menjadi  aktual dan memunculkan bentuk-bentuk kehidupan, serta  memunculkan efek-efek instingtif yang menuntun makhluk  tersebut dalam level kehidupannya untuk terus berlanjut  pada tujuan utama kehidupannya. Wujud yang berada pada  tingkat ini, yang mengeluarkan potensi menjadi aksi itulah  yang disebut dengan jiwa. Unsur-unsur materi yang terwujud  hanya memiliki potensi reseptif untuk menerima jiwa.</w:t>
      </w:r>
    </w:p>
    <w:p>
      <w:pPr>
        <w:pStyle w:val="BookText"/>
        <w:bidi w:val="0"/>
        <w:jc w:val="both"/>
        <w:rPr/>
      </w:pPr>
      <w:r>
        <w:rPr>
          <w:rFonts w:eastAsia="Times New Roman" w:cs="Times New Roman" w:ascii="Times New Roman" w:hAnsi="Times New Roman"/>
          <w:color w:val="111111"/>
          <w:sz w:val="28"/>
          <w:szCs w:val="28"/>
          <w:lang w:val="en-US"/>
        </w:rPr>
        <w:t>Proses aktualisasi potensi menjadi aksi merupakan proses  penyempurnaan setiap bentuk wujud yang menunjukkan  tidak adanya kesia-siaan dari setiap bentuk wujud dan hal  ini hanya mungkin terjadi jika pada Wujud mumkin tersebut  terdapat elemen yang menggerakkan aktualisasi dan elemen  tersebut tidak lain adalah jiwa.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Munculnya Efek dari Materi (Sudur Al-Atsār an Al-Ajsām).</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Argumentasi ini didasarkan pada efek yang muncul dari  forma-forma materi tanpa adanya intervensi luar maupun  keinginan untuk menghadirkannya. Sebagai contoh adalah  apa yang terjadi pada indra. Indra memersepsi yang ada di  sekitarnya dengan sendirinya, atau gerakan yang terjadi, </w:t>
      </w:r>
    </w:p>
    <w:p>
      <w:pPr>
        <w:pStyle w:val="BookText"/>
        <w:bidi w:val="0"/>
        <w:rPr/>
      </w:pPr>
      <w:r>
        <w:rPr>
          <w:rFonts w:eastAsia="Times New Roman" w:cs="Times New Roman" w:ascii="Times New Roman" w:hAnsi="Times New Roman"/>
          <w:color w:val="111111"/>
          <w:sz w:val="28"/>
          <w:szCs w:val="28"/>
          <w:lang w:val="en-US"/>
        </w:rPr>
        <w:t>perkembangan maupun pertumbuhan atau melahirkan jenis  yang semisal dengan dirinya. Bagi Mulla Sadra, hal ini tidak  mungkin hadir dari materi, sekalipun materi pertama, karena  materi utama hanyalah sebagai reseptif secara mutlak tanpa  ada kemungkinan baginya untuk melakukan aktivitas apalagi  mengeluarkan efek. Oleh karena itu, bagi Mulla Sadra, efek-  efek yang terjadi pada bentuk materi di atas pastilah berasal  dari sesuatu yang lain selain dari materi dan itulah jiwa.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Kehidupan adalah Jiwa (Al-Hayah hiya Al-Nafs)  Argumentasi ketiga yang dikemukakan Mulla Sadra  adalah argumentasi kehidupan. Ketika kita menyaksikan  berbagai makhluk memiliki indra dan mempersepsi gambaran  sesuatu, kita mengetahui bahwa makhluk tersebut hidup.</w:t>
      </w:r>
    </w:p>
    <w:p>
      <w:pPr>
        <w:pStyle w:val="BookText"/>
        <w:bidi w:val="0"/>
        <w:jc w:val="both"/>
        <w:rPr/>
      </w:pPr>
      <w:r>
        <w:rPr>
          <w:rFonts w:eastAsia="Times New Roman" w:cs="Times New Roman" w:ascii="Times New Roman" w:hAnsi="Times New Roman"/>
          <w:color w:val="111111"/>
          <w:sz w:val="28"/>
          <w:szCs w:val="28"/>
          <w:lang w:val="en-US"/>
        </w:rPr>
        <w:t>Indra dan kemampuan untuk mempersepsi objek berasal  di antara tiga kemungkinan: pertama, sumber utama, yaitu  jiwa; kedua, fisik yang memiliki jiwa; ketiga, fisik.</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Sadra menolak dua kemungkinan terakhir karena  menurutnya, jika berasal dari fisik yang memiliki jiwa, maka  bagaimana mungkin hal tersebut terjadi pada saat yang  sama; fisik, tidak lain, merupakan objek yang dikendalikan  jiwa, sedangkan kemungkinan bahwa kemampuan untuk  mempersepsi hanya berasal dari fisik semata, Mulla Sadra  memberikan penjelasan yang lebih dalam. Menurutnya,  makna alam semesta, jiwa, dan kehidupan tidak sama  karena makna semesta tidak lain, kecuali sebagai forma  fisik yang keberadaannya didahului oleh forma lain sebagai  sumber bagi keberadaan dan kehidupannya. Mulla Sadra,  dalam hal ini, memberikan contoh perahu yang memberikan  manfaat tertentu, tetapi manfaat tersebut sangat bergantung </w:t>
      </w:r>
    </w:p>
    <w:p>
      <w:pPr>
        <w:pStyle w:val="BookText"/>
        <w:bidi w:val="0"/>
        <w:rPr/>
      </w:pPr>
      <w:r>
        <w:rPr>
          <w:rFonts w:eastAsia="Times New Roman" w:cs="Times New Roman" w:ascii="Times New Roman" w:hAnsi="Times New Roman"/>
          <w:color w:val="111111"/>
          <w:sz w:val="28"/>
          <w:szCs w:val="28"/>
          <w:lang w:val="en-US"/>
        </w:rPr>
        <w:t>kepada kehadiran bentuk lain, yaitu pendayung. Dengan  demikian, menurut Mulla Sadra, forma fisik tertentu untuk  dapat menghasilkan efek memerlukan bentuk yang lain  selain dari dirinya, dan demikian terjadi seterusnya. Kondisi  yang seperti ini, menurut Mulla Sadra, bertentangan dengan  makna kesempurnaan.</w:t>
      </w:r>
      <w:r>
        <w:rPr>
          <w:rStyle w:val="FootnoteAnchor"/>
        </w:rPr>
        <w:footnoteReference w:id="93"/>
      </w:r>
      <w:r>
        <w:rPr>
          <w:rFonts w:eastAsia="Times New Roman" w:cs="Times New Roman" w:ascii="Times New Roman" w:hAnsi="Times New Roman"/>
          <w:color w:val="111111"/>
          <w:sz w:val="28"/>
          <w:szCs w:val="28"/>
          <w:lang w:val="en-US"/>
        </w:rPr>
        <w:t xml:space="preserve"> b. Substansialitas Jiwa (Jawhariyyāt Al-Nafs)  Di antara sepuluh kategori (Ma'qūlat) dalam pembagian  kuiditas yang dikemukakan Mulla Sadra, pembagian dasar  utama dari kategori tersebut adalah substansi dan aksiden.</w:t>
      </w:r>
    </w:p>
    <w:p>
      <w:pPr>
        <w:pStyle w:val="BookText"/>
        <w:bidi w:val="0"/>
        <w:jc w:val="both"/>
        <w:rPr/>
      </w:pPr>
      <w:r>
        <w:rPr>
          <w:rFonts w:eastAsia="Times New Roman" w:cs="Times New Roman" w:ascii="Times New Roman" w:hAnsi="Times New Roman"/>
          <w:color w:val="111111"/>
          <w:sz w:val="28"/>
          <w:szCs w:val="28"/>
          <w:lang w:val="en-US"/>
        </w:rPr>
        <w:t>Substansi merupakan gambaran dari sesuatu yang “jika ada  secara eksternal tidak bergantung pada korpus dan tidak  membutuhkannya dalam wujudnya" (Iza wujiddat fi al-  Khārij wujidat la fi Maudhu' mustaghni anha fi wujūdihi),</w:t>
      </w:r>
      <w:r>
        <w:rPr>
          <w:rStyle w:val="FootnoteAnchor"/>
        </w:rPr>
        <w:footnoteReference w:id="94"/>
      </w:r>
    </w:p>
    <w:p>
      <w:pPr>
        <w:pStyle w:val="BookText"/>
        <w:bidi w:val="0"/>
        <w:jc w:val="both"/>
        <w:rPr/>
      </w:pPr>
      <w:r>
        <w:rPr>
          <w:rFonts w:ascii="IRNazanin" w:hAnsi="IRNazanin" w:eastAsia="IRNazanin"/>
          <w:color w:val="111111"/>
          <w:sz w:val="28"/>
          <w:sz w:val="28"/>
          <w:szCs w:val="28"/>
          <w:rtl w:val="true"/>
          <w:lang w:bidi="fa-IR"/>
        </w:rPr>
        <w:t>إذا وجدت فی الخارج وجدت لا فی موضوع مستغن عنها فی وجوده</w:t>
      </w:r>
    </w:p>
    <w:p>
      <w:pPr>
        <w:pStyle w:val="BookText"/>
        <w:bidi w:val="0"/>
        <w:jc w:val="both"/>
        <w:rPr/>
      </w:pPr>
      <w:r>
        <w:rPr>
          <w:rFonts w:eastAsia="Times New Roman" w:cs="Times New Roman" w:ascii="Times New Roman" w:hAnsi="Times New Roman"/>
          <w:color w:val="111111"/>
          <w:sz w:val="28"/>
          <w:szCs w:val="28"/>
          <w:lang w:val="en-US"/>
        </w:rPr>
        <w:t>sedangkan aksiden merupakan gambaran dari jika “ada secara  eksternal keberadaannya bergantung pada korpus dan tidak  membutuhkannya dalam wujudnya" (Iza wujiddat fi al-Khārij  wujidat fi Maudhu' mustaghni anha fi wujūdihi).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IRNazanin" w:hAnsi="IRNazanin" w:eastAsia="IRNazanin"/>
          <w:color w:val="111111"/>
          <w:sz w:val="28"/>
          <w:sz w:val="28"/>
          <w:szCs w:val="28"/>
          <w:rtl w:val="true"/>
          <w:lang w:bidi="fa-IR"/>
        </w:rPr>
        <w:t>إذا وجدت فی الخارج وجدت فی موضوع مستغن عنها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Keberadaan substansi adalah keberadaan yang  independen, dalam pengertian bahwa keberadaannya di luar  tidaklah menempel atau bergantung kepada keberadaan yang  lain, bahkan dirinya menjadi korpus bagi keberadaan aksiden,  sedangkan genus yang ada di atasnya adalah sesuatu yang  tidak mungkin lagi didefinisikan. Substansi merupakan bagian  tertinggi dari rangkaian genus yang dapat diketahui. Persoalan  kemudian apakah jiwa merupakan substansi ataukah masuk  dalam kategori aksiden, jika jiwa masuk dalam kategori aksiden,  maka ada sesuatu yang lain yang menjadi hakikat diri manusia</w:t>
      </w:r>
    </w:p>
    <w:p>
      <w:pPr>
        <w:pStyle w:val="BookText"/>
        <w:bidi w:val="0"/>
        <w:rPr/>
      </w:pPr>
      <w:r>
        <w:rPr>
          <w:rFonts w:eastAsia="Times New Roman" w:cs="Times New Roman" w:ascii="Times New Roman" w:hAnsi="Times New Roman"/>
          <w:color w:val="111111"/>
          <w:sz w:val="28"/>
          <w:szCs w:val="28"/>
          <w:lang w:val="en-US"/>
        </w:rPr>
        <w:t>sebagai korpus bagi    raga manusia. Beberapa    argumentasi berikut    memberikan bukti akan  substansial jiwa, antara    lain,    a. Beragam efek yang    karena jika demikian, maka seluruh  tumbuh, bergerak,    dan sebagainya dari  beragam makhluk, baik    itu tumbuh-tumbuhan,    hewan maupun manusia,  tidak disebabkan oleh    sesuatu yang berada di  pastilah substansi.</w:t>
      </w:r>
    </w:p>
    <w:p>
      <w:pPr>
        <w:pStyle w:val="BookText"/>
        <w:bidi w:val="0"/>
        <w:jc w:val="both"/>
        <w:rPr/>
      </w:pPr>
      <w:r>
        <w:rPr>
          <w:rFonts w:eastAsia="Times New Roman" w:cs="Times New Roman" w:ascii="Times New Roman" w:hAnsi="Times New Roman"/>
          <w:color w:val="111111"/>
          <w:sz w:val="28"/>
          <w:szCs w:val="28"/>
          <w:lang w:val="en-US"/>
        </w:rPr>
        <w:t>luar dirinya, melainkan  berasal dari diri makhluk tersebut. Diri yang dimaksud  bukanlah raga materi karena jika demikian, maka seluruh  raga akan mengeluarkan efek eksternal. Karenanya, sumber  efek tersebut, tidak lain, adalah jiwa. Segala bentuk yang  menjadi korpus dan sandaran bagi sesuatu, maka sesuatu  tersebut adalah substansi. Karenanya, jiwa sebagai korpus  bagi beragam efek tersebut pastilah substansi.</w:t>
      </w:r>
      <w:r>
        <w:rPr>
          <w:rStyle w:val="FootnoteAnchor"/>
        </w:rPr>
        <w:footnoteReference w:id="95"/>
      </w:r>
      <w:r>
        <w:rPr>
          <w:rFonts w:eastAsia="Times New Roman" w:cs="Times New Roman" w:ascii="Times New Roman" w:hAnsi="Times New Roman"/>
          <w:color w:val="111111"/>
          <w:sz w:val="28"/>
          <w:szCs w:val="28"/>
          <w:lang w:val="en-US"/>
        </w:rPr>
        <w:t xml:space="preserve"> b. Mulla Sadra membuktikan substansial jiwa melalui ilmu  huduri. Penjelasan tentang hal tersebut sebagai berikut: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persepsi terhadap sesuatu adalah sampainya forma objek pada  diri subjek. Jika subjek mempersepsi dirinya, maka pastilah  ketika persepsi tersebut terjadi, dia tidak membutuhkan  ruang tertentu (sebagai media bagi munculnya diri sebagai </w:t>
      </w:r>
    </w:p>
    <w:p>
      <w:pPr>
        <w:pStyle w:val="BookText"/>
        <w:bidi w:val="0"/>
        <w:rPr/>
      </w:pPr>
      <w:r>
        <w:rPr>
          <w:rFonts w:eastAsia="Times New Roman" w:cs="Times New Roman" w:ascii="Times New Roman" w:hAnsi="Times New Roman"/>
          <w:color w:val="111111"/>
          <w:sz w:val="28"/>
          <w:szCs w:val="28"/>
          <w:lang w:val="en-US"/>
        </w:rPr>
        <w:t>objek persepsi), melainkan berdiri pada dirinya. Jika persepsi  terjadi pada ruang tertentu, maka forma dirinya tidak akan  hadir pada dirinya, melainkan hadir pada ruang tersebut  karena keberadaan objek yang menempati pasti selalu terikat  pada ruang yang ditempati dan ini bertentangan dengan apa  yang telah ditetapkan.</w:t>
      </w:r>
    </w:p>
    <w:p>
      <w:pPr>
        <w:pStyle w:val="BookText"/>
        <w:bidi w:val="0"/>
        <w:jc w:val="both"/>
        <w:rPr/>
      </w:pPr>
      <w:r>
        <w:rPr>
          <w:rFonts w:eastAsia="Times New Roman" w:cs="Times New Roman" w:ascii="Times New Roman" w:hAnsi="Times New Roman"/>
          <w:color w:val="111111"/>
          <w:sz w:val="28"/>
          <w:szCs w:val="28"/>
          <w:lang w:val="en-US"/>
        </w:rPr>
        <w:t>Persepsi terhadap diri adalah persepsi yang tidak  akan pernah lepas dari diri seseorang, sedangkan kesadaran  terhadap kesadaran atau pengetahuan diri yang dimiliki dapat  saja dilupakan pada saat tertentu karena pengetahuan terhadap  keberadaan pengetahuan tersebut bukanlah wujud diri. Hal  tersebut sama dengan persepsi subjek terhadap objek-objek  eksternal yang lain.</w:t>
      </w:r>
    </w:p>
    <w:p>
      <w:pPr>
        <w:pStyle w:val="BookText"/>
        <w:bidi w:val="0"/>
        <w:jc w:val="both"/>
        <w:rPr/>
      </w:pPr>
      <w:r>
        <w:rPr>
          <w:rFonts w:eastAsia="Times New Roman" w:cs="Times New Roman" w:ascii="Times New Roman" w:hAnsi="Times New Roman"/>
          <w:color w:val="111111"/>
          <w:sz w:val="28"/>
          <w:szCs w:val="28"/>
          <w:lang w:val="en-US"/>
        </w:rPr>
        <w:t>Dengan argumentasi ini, Mulla Sadra membuktikan  bahwa keberadaan jiwa tidaklah menempel pada sesuatu yang  lain, melainkan pada dirinya.</w:t>
      </w:r>
    </w:p>
    <w:p>
      <w:pPr>
        <w:pStyle w:val="BookText"/>
        <w:bidi w:val="0"/>
        <w:jc w:val="both"/>
        <w:rPr/>
      </w:pPr>
      <w:r>
        <w:rPr>
          <w:rFonts w:eastAsia="Times New Roman" w:cs="Times New Roman" w:ascii="Times New Roman" w:hAnsi="Times New Roman"/>
          <w:color w:val="111111"/>
          <w:sz w:val="28"/>
          <w:szCs w:val="28"/>
          <w:lang w:val="en-US"/>
        </w:rPr>
        <w:t>c. Jiwa dalam Kebaruannya sebagai Jasmani dan  Keabadiannya sebagai Ruhani (Nafs Al-jasmāniyah Al-Hudüts  Ruhāniyyāh Al-Baqā')  Yang dimaksud Mulla Sadra dengan kebaruan jasmani  dan keabadian jiwa (Jasmāniyah al-Hudūts wa Ruhāniyyāh al-  Baqā') adalah proses terjadinya jiwa yang bersifat baru dan  berasal dari fisik atau materi, dan selanjutnya mengalami  proses kesempurnaan melalui gerakan transubstansial (seperti  penjelasan sebelumnya) dan kemudian menyempurna menjadi  ruhani serta tetap abadi pada kondisi tersebut'.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Pandangan ini sangat bertentangan, pada umumnya,  dengan para filsuf pendahulu Mulla Sadra yang meyakini bahwa </w:t>
      </w:r>
    </w:p>
    <w:p>
      <w:pPr>
        <w:pStyle w:val="BookText"/>
        <w:bidi w:val="0"/>
        <w:rPr/>
      </w:pPr>
      <w:r>
        <w:rPr>
          <w:rFonts w:eastAsia="Times New Roman" w:cs="Times New Roman" w:ascii="Times New Roman" w:hAnsi="Times New Roman"/>
          <w:color w:val="111111"/>
          <w:sz w:val="28"/>
          <w:szCs w:val="28"/>
          <w:lang w:val="en-US"/>
        </w:rPr>
        <w:t>jiwa telah tercipta terlebih dahulu sebelum tubuh diciptakan,  baru kemudian bergabung dengan fisik yang baru diciptakan  tersebut.</w:t>
      </w:r>
      <w:r>
        <w:rPr>
          <w:rStyle w:val="FootnoteAnchor"/>
        </w:rPr>
        <w:footnoteReference w:id="96"/>
      </w:r>
      <w:r>
        <w:rPr>
          <w:rFonts w:eastAsia="Times New Roman" w:cs="Times New Roman" w:ascii="Times New Roman" w:hAnsi="Times New Roman"/>
          <w:color w:val="111111"/>
          <w:sz w:val="28"/>
          <w:szCs w:val="28"/>
          <w:lang w:val="en-US"/>
        </w:rPr>
        <w:t>Bagi Mulla Sadra, jiwa terjadi bersamaan dengan  terjadinya fisik dan sama-sama berasal dari materi. Ketika materi  pertama terbentuk, ada dua unsur utama yang membentuk  materi tersebut, yaitu forma dan dasar materi (Hayūla).</w:t>
      </w:r>
    </w:p>
    <w:p>
      <w:pPr>
        <w:pStyle w:val="BookText"/>
        <w:bidi w:val="0"/>
        <w:jc w:val="both"/>
        <w:rPr/>
      </w:pPr>
      <w:r>
        <w:rPr>
          <w:rFonts w:eastAsia="Times New Roman" w:cs="Times New Roman" w:ascii="Times New Roman" w:hAnsi="Times New Roman"/>
          <w:color w:val="111111"/>
          <w:sz w:val="28"/>
          <w:szCs w:val="28"/>
          <w:lang w:val="en-US"/>
        </w:rPr>
        <w:t>Perkembangan forma inilah yang kemudian teraktualisasi  menjadi jiwa, sedangkan materi dasar teraktualisasi menjadi  raga.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Menurut Mulla Sadra, jiwa merupakan forma manusia  yang muncul secara fisik dan abadi menjadi ruhani (Jasmāniyah  al-Hudüts Ruhāniyah al-Baqā'),</w:t>
      </w:r>
      <w:r>
        <w:rPr>
          <w:rStyle w:val="FootnoteAnchor"/>
        </w:rPr>
        <w:footnoteReference w:id="97"/>
      </w:r>
      <w:r>
        <w:rPr>
          <w:rFonts w:eastAsia="Times New Roman" w:cs="Times New Roman" w:ascii="Times New Roman" w:hAnsi="Times New Roman"/>
          <w:color w:val="111111"/>
          <w:sz w:val="28"/>
          <w:szCs w:val="28"/>
          <w:lang w:val="en-US"/>
        </w:rPr>
        <w:t>sebagaimana yang telah lalu,  bahwa intelek affektif (“Akal al-Munfā'il) merupakan akhir dari  makna fisik dan permulaan dari makna ruhani, sedangkan  manusia merupakan jalan penghubung (Sirāth al-Mamdūd) di  antara dua alam, dia sederhana melalui ruhnya dan terkomposisi  melalui fisiknya. Tabi'at fisiknya merupakan yang paling murni  di antara forma-forma materi bumi dan jiwanya menempati  tingkat yang paling tinggi di antara jiwa yang utama.</w:t>
      </w:r>
      <w:r>
        <w:rPr>
          <w:rStyle w:val="FootnoteAnchor"/>
        </w:rPr>
        <w:footnoteReference w:id="98"/>
      </w:r>
      <w:r>
        <w:rPr>
          <w:rFonts w:eastAsia="Times New Roman" w:cs="Times New Roman" w:ascii="Times New Roman" w:hAnsi="Times New Roman"/>
          <w:color w:val="111111"/>
          <w:sz w:val="28"/>
          <w:szCs w:val="28"/>
          <w:lang w:val="en-US"/>
        </w:rPr>
        <w:t xml:space="preserve"> Untuk membuktikan pandangannya, Mulla Sadra  mengemukakan berbagai bukti sebagai berikut:</w:t>
      </w:r>
      <w:r>
        <w:rPr>
          <w:rStyle w:val="FootnoteAnchor"/>
        </w:rPr>
        <w:footnoteReference w:id="99"/>
      </w:r>
      <w:r>
        <w:rPr>
          <w:rFonts w:eastAsia="Times New Roman" w:cs="Times New Roman" w:ascii="Times New Roman" w:hAnsi="Times New Roman"/>
          <w:color w:val="111111"/>
          <w:sz w:val="28"/>
          <w:szCs w:val="28"/>
          <w:lang w:val="en-US"/>
        </w:rPr>
        <w:t xml:space="preserve"> a. Setiap yang terlepas dari materi tidak akan bersatu  dengannya dan menjadi aksiden yang dekat (“Aridh al-  Qarib), dengan dasar bahwa sesungguhnya, dimensi  potensial dan kesiapan kembali kepada persoalan  bahwa dirinya secara substansial merupakan potensi  semata yang dihasilkan dari forma yang membentuknya  (Muqawwāmah) dan tidaklah dirinya, melainkan hanyalah  bagian dari materi dasar utama (Hayūlah al-Jurmāniyyah), </w:t>
      </w:r>
    </w:p>
    <w:p>
      <w:pPr>
        <w:pStyle w:val="BookText"/>
        <w:bidi w:val="0"/>
        <w:rPr/>
      </w:pPr>
      <w:r>
        <w:rPr>
          <w:rFonts w:eastAsia="Times New Roman" w:cs="Times New Roman" w:ascii="Times New Roman" w:hAnsi="Times New Roman"/>
          <w:color w:val="111111"/>
          <w:sz w:val="28"/>
          <w:szCs w:val="28"/>
          <w:lang w:val="en-US"/>
        </w:rPr>
        <w:t xml:space="preserve">maka pastilah barang siapa yang beranggapan bahwa jiwa  terlepas dari materi, kemudian bergabung bersamanya,  maka pandangan ini akan menyebabkan terjadinya  reinkarnasi. </w:t>
      </w:r>
      <w:r>
        <w:rPr>
          <w:rStyle w:val="FootnoteAnchor"/>
        </w:rPr>
        <w:footnoteReference w:id="100"/>
      </w:r>
      <w:r>
        <w:rPr>
          <w:rFonts w:eastAsia="Times New Roman" w:cs="Times New Roman" w:ascii="Times New Roman" w:hAnsi="Times New Roman"/>
          <w:color w:val="111111"/>
          <w:sz w:val="28"/>
          <w:szCs w:val="28"/>
          <w:lang w:val="en-US"/>
        </w:rPr>
        <w:t xml:space="preserve"> b. Sekiranya jiwa ada sebelum fisik diciptakan, maka jiwa  tidak mungkin plural ataupun satu. Tidak mungkin yang  pertama (plural) karena perbedaan hanya terjadi pada  sesuatu yang memiliki batasan spesies (Nau'), baik  melalui materi-materinya, aksiden-aksidennya, aktivitas-  aktivitasnya atau tujuan-tujuannya atau sebab-sebab  yang berpengaruh pada jiwa ini, sedangkan forma jiwa  sekaligus merupakan substansinya karena kesatuannya  dalam spesiesnya dan aktivitasnya merupakan hal yang  satu. Tujuannya tersambung padanya dan menyerupainya,  maka pluralitasnya hanya akan terjadi, baik melalui  materi maupun sebagaimana dia dalam ketetapannya  (identitasnya), seperti tubuh padahal realitasnya jiwa  terpisah dari tubuh. Hal ini jelas inkonsistensi. Yang kedua  (Satu) karena diterimanya pluralitas setelah kesatuan  dari spesifikasi ukuran-ukuran dan aksiden-aksidennya,  sedangkan jiwa tidaklah demikian.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Jika jiwa diciptakan sebelum tubuh, maka jiwa pastilah  merupakan akal murni sehingga tidak mungkin  keadaannya berubah ketika dirinya terpisah dari lingkupan  alam kesucian (“ālam al-Quds) dan kemudian dilingkupi  berbagai keburukan tubuh. Atau jiwa tersebut merupakan  jiwa substansial sehingga jiwa tersebut hanya vakum sejak  azali karena kemustahilannya untuk berpindah dan tidak  ada kevakuman dalam wujud. Mulla Sadra, dalam hal </w:t>
      </w:r>
    </w:p>
    <w:p>
      <w:pPr>
        <w:pStyle w:val="BookText"/>
        <w:bidi w:val="0"/>
        <w:rPr/>
      </w:pPr>
      <w:r>
        <w:rPr>
          <w:rFonts w:eastAsia="Times New Roman" w:cs="Times New Roman" w:ascii="Times New Roman" w:hAnsi="Times New Roman"/>
          <w:color w:val="111111"/>
          <w:sz w:val="28"/>
          <w:szCs w:val="28"/>
          <w:lang w:val="en-US"/>
        </w:rPr>
        <w:t>ini menunjukkan      dalam penolakan    terhadap    reinkarnasi karena    pandangan yang    menunjukkan    keberadaan    jiwa sebelum    kebaradaan    raga terjebak    pada persoalan    reinkarnasi dan  dengan pandangan    ini juga, Mulla Sadra  menunjukkan  pengaruh gerakan transubstansial yang merubah materi  menjadi ruhani, kemudian melepaskan jiwa dari ikatannya  dengan materi dan masuk pada alam barzakh, kemudian  terus berkembang menuju alam akhirat adalah alam  ruhaniah dan puncak perkembangan jiwa.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demikian, sekalipun bertentangan dengan  sebagian besar filsuf sebelumnya, ada beberapa pandangan  filsuf sebelum Mulla Sadra yang sesungguhnya juga memandang  bahwa keberadaan jiwa tidaklah mendahului keberadaan  raga. Al-Farabi dan Al-Ghazali meyakini bahwa jiwa belum  ada sebelum keberadaan raga, hanya saja, keduanya tidak  memberikan penjelasan secara rinci proses munculnya jiwa  bersama dengan raga tersebut. Al-Ghazali hanya menyatakan </w:t>
      </w:r>
    </w:p>
    <w:p>
      <w:pPr>
        <w:pStyle w:val="BookText"/>
        <w:bidi w:val="0"/>
        <w:rPr/>
      </w:pPr>
      <w:r>
        <w:rPr>
          <w:rFonts w:eastAsia="Times New Roman" w:cs="Times New Roman" w:ascii="Times New Roman" w:hAnsi="Times New Roman"/>
          <w:color w:val="111111"/>
          <w:sz w:val="28"/>
          <w:szCs w:val="28"/>
          <w:lang w:val="en-US"/>
        </w:rPr>
        <w:t>sekilas bahwa jiwa diciptakan Allah di ‘Alam al-Amr, ketika janin  telah siap untuk menerima kehadiran jiwa.</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Pandangan Al-Ghazali tersebut mendapatkan kritik dari Mulla  Sadra karena bagi Mulla Sadra, hal tersebut menyebabkan  terjadinya reinkarnasi.</w:t>
      </w:r>
    </w:p>
    <w:p>
      <w:pPr>
        <w:pStyle w:val="BookText"/>
        <w:bidi w:val="0"/>
        <w:jc w:val="both"/>
        <w:rPr/>
      </w:pPr>
      <w:r>
        <w:rPr>
          <w:rFonts w:eastAsia="Times New Roman" w:cs="Times New Roman" w:ascii="Times New Roman" w:hAnsi="Times New Roman"/>
          <w:color w:val="111111"/>
          <w:sz w:val="28"/>
          <w:szCs w:val="28"/>
          <w:lang w:val="en-US"/>
        </w:rPr>
        <w:t>d. Dualisme Jiwa dengan Raga  Untuk menunjukkan bahwa antara jiwa dan raga  bukanlah sesuatu yang satu secara dimensional, Mulla Sadra  mengemukakan beberapa argumentasi yang disebut Arsyiyyāh,  yaitu:</w:t>
      </w:r>
    </w:p>
    <w:p>
      <w:pPr>
        <w:pStyle w:val="BookText"/>
        <w:bidi w:val="0"/>
        <w:jc w:val="both"/>
        <w:rPr/>
      </w:pPr>
      <w:r>
        <w:rPr>
          <w:rFonts w:eastAsia="Times New Roman" w:cs="Times New Roman" w:ascii="Times New Roman" w:hAnsi="Times New Roman"/>
          <w:color w:val="111111"/>
          <w:sz w:val="28"/>
          <w:szCs w:val="28"/>
          <w:lang w:val="en-US"/>
        </w:rPr>
        <w:t>Seperti yang diketahui bahwa persepsi merupakan  hadirnya objek pada diri subjek. Sekiranya terjadi persepsi  pada daya fisik (Tabi'ah al-Jasmaniyyah), sedangkan jiwa  merupakan daya fisik, maka yang akan terjadi adalah aksiden  berdiri dengan dirinya dan ini jelas tidak mungkin. Penjelasan  untuk hal ini adalah sebagai berikut: jiwa mempersepsi daya  fisik karena merupakan cara bagaimana merasakan sesuatu  merupakan aksiden. Sekiranya jiwa merupakan daya fisik,  maka yang akan terjadi adalah aksiden berdiri pada dirinya.</w:t>
      </w:r>
    </w:p>
    <w:p>
      <w:pPr>
        <w:pStyle w:val="BookText"/>
        <w:bidi w:val="0"/>
        <w:jc w:val="both"/>
        <w:rPr/>
      </w:pPr>
      <w:r>
        <w:rPr>
          <w:rFonts w:eastAsia="Times New Roman" w:cs="Times New Roman" w:ascii="Times New Roman" w:hAnsi="Times New Roman"/>
          <w:color w:val="111111"/>
          <w:sz w:val="28"/>
          <w:szCs w:val="28"/>
          <w:lang w:val="en-US"/>
        </w:rPr>
        <w:t>Hal ini tidak mungkin, mengingat aksiden jika berada di  luar berada pada substansi dan tidak pada dirinya. Oleh  karena itu, pasti subjek yang mempersepsi, bukan daya  fisik, tetapi dia berada pada korpus yang lain. Korpus yang  dimaksud bukan fisik mutlak karena hal tersebut tidak  mungkin karena akan mengakibatkan setiap forma fisik  akan dapat melakukan persepsi, bukan pula bagian dari  fisik karena akan menyebabkan seluruh bagian dari fisik  dapat melakukan persepsi; dan ini bertentangan dengan  fakta. Karenanya, daya yang melakukan persepsi terhadap  daya fisik tersebut pastilah selain dari daya fisik, dan bukan  pula fisik tempat bersandarnya daya fisik. Pastilah sesuatu  selain dari keduanya, yaitu jiwa.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argumentasi ini, Mulla Sadra membuktikan  dualisme pada diri manusia dan keduanya memiliki perbedaan  secara dimensional. Namun demikian, dualisme ini bukan  sebagaimana yang dipahami Ibn Sina: jiwa dan raga merupakan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dua substansi yang berhubungan sejak awal keberadaan. Mulla  Sadra menolak pola hubungan dua substansi yang diyakini Ibn  Sina. Dualisme, dalam pengertian Mulla Sadra di sini, adalah  jiwa, sekalipun berkembang bersama raga pada awalnya, tetapi  kemudian menjadi korpus bagi seluruh daya dan potensi,  berbeda dengan raga fisik yang hanya bersifat resesif bagi  aktualisasi seluruh daya dan potensi tersebut. Mulla Sadra  seringkali menggunakan perumpamaan bagi dualisme jiwa dan  raga: seperti juru mudi dan perahu.</w:t>
      </w:r>
      <w:r>
        <w:rPr>
          <w:rStyle w:val="FootnoteAnchor"/>
        </w:rPr>
        <w:footnoteReference w:id="102"/>
      </w:r>
      <w:r>
        <w:rPr>
          <w:rFonts w:eastAsia="Times New Roman" w:cs="Times New Roman" w:ascii="Times New Roman" w:hAnsi="Times New Roman"/>
          <w:color w:val="111111"/>
          <w:sz w:val="28"/>
          <w:szCs w:val="28"/>
          <w:lang w:val="en-US"/>
        </w:rPr>
        <w:t xml:space="preserve"> e. Transendensi Jiwa Rasional (Tajarrūd Al-Nafs Al-  Nātiqah)  Di antara persoalan penting yang menjadi bagian  pembahasan dalam persoalan jiwa adalah transendensi jiwa  rasional. Dalam konteks ini, para filsuf, khususnya Mulla  Sadra, ingin menunjukkan bahwa jiwa, setelah mengalami  perkembangan akibat gerakan transubstansial yang terjadi,  menyebabkannya menjadi substansi yang nonmaterial yang ada  pada diri manusia. Hal ini menjadi landasan utama keabadian  diri manusia karena perkembangannya yang menonmateri  tersebut dan kemampuan jiwa untuk dapat berpindah dari satu  fase kehidupan (Nasy'ah) kepada fase kehidupan yang lain. Di  antara argumentasi yang dikemukakan Mulla Sadra, </w:t>
      </w:r>
      <w:r>
        <w:rPr>
          <w:rStyle w:val="FootnoteAnchor"/>
        </w:rPr>
        <w:footnoteReference w:id="103"/>
      </w:r>
      <w:r>
        <w:rPr>
          <w:rFonts w:eastAsia="Times New Roman" w:cs="Times New Roman" w:ascii="Times New Roman" w:hAnsi="Times New Roman"/>
          <w:color w:val="111111"/>
          <w:sz w:val="28"/>
          <w:szCs w:val="28"/>
          <w:lang w:val="en-US"/>
        </w:rPr>
        <w:t xml:space="preserve">antara  lain,  a. Argumentasi ini berdasarkan prinsip ilmu hudūri dengan  penjelasan sebagai berikut: kita dapat mempersepsi diri  kita sendiri dan persepsi tersebut menghasilkan diri kita  pada diri kita dan karena tidak ada sesuatu yang eksternal  selain diri kita, maka pastilah hadirnya zat diri kita pada </w:t>
      </w:r>
    </w:p>
    <w:p>
      <w:pPr>
        <w:pStyle w:val="BookText"/>
        <w:bidi w:val="0"/>
        <w:rPr/>
      </w:pPr>
      <w:r>
        <w:rPr>
          <w:rFonts w:eastAsia="Times New Roman" w:cs="Times New Roman" w:ascii="Times New Roman" w:hAnsi="Times New Roman"/>
          <w:color w:val="111111"/>
          <w:sz w:val="28"/>
          <w:szCs w:val="28"/>
          <w:lang w:val="en-US"/>
        </w:rPr>
        <w:t>diri kita bersifat huduri, yaitu zat jiwa dihasilkan pada zat  jiwa dan berdiri pada zatnya. Hal ini menunjukkan bahwa  jiwa adalah substansi yang berdiri sendiri dan terlepas  dari materi.</w:t>
      </w:r>
    </w:p>
    <w:p>
      <w:pPr>
        <w:pStyle w:val="BookText"/>
        <w:bidi w:val="0"/>
        <w:jc w:val="both"/>
        <w:rPr/>
      </w:pPr>
      <w:r>
        <w:rPr>
          <w:rFonts w:eastAsia="Times New Roman" w:cs="Times New Roman" w:ascii="Times New Roman" w:hAnsi="Times New Roman"/>
          <w:color w:val="111111"/>
          <w:sz w:val="28"/>
          <w:szCs w:val="28"/>
          <w:lang w:val="en-US"/>
        </w:rPr>
        <w:t>b. Argumentasi kedua adalah argumentasi yang disebut  Mulla Sadra dengan argumentasi Arsyiyyah dengan  penjelasan sebagai berikut: jika daya rasional sama  seperti halnya daya-daya fisik yang lain dan berada pada  dimensi materi, maka pada daya ini akan berlaku hukum  yang terjadi sebagaimana pada daya-daya fisik yang lain,  pada saat fisik tersebut mencapai usia tua. Seperti halnya  daya-daya fisik menjadi lemah ketika tua, demikian yang  akan terjadi pada daya rasional, tetapi kenyataan terjadi  sebaliknya. Usia tua tidak menyebabkan lemahnya daya  rasional, bahkan semakin tua dan dewasa seseorang,  semakin kuat daya rasionalnya. Karenanya, daya rasional  tidak berada pada raga atau fisiknya, melainkan pada  sesuatu yang nonmateri.</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Pandangan bahwa jiwa sebagai substansi transenden,  sebenarnya secara umum dikenal sebagai pengaruh filsafat  Plato. Hal ini sepertinya seringkali menjadi sasaran kritik,  seperti yang dilakukan Fazlur Rahman.</w:t>
      </w:r>
      <w:r>
        <w:rPr>
          <w:rStyle w:val="FootnoteAnchor"/>
        </w:rPr>
        <w:footnoteReference w:id="104"/>
      </w:r>
      <w:r>
        <w:rPr>
          <w:rFonts w:eastAsia="Times New Roman" w:cs="Times New Roman" w:ascii="Times New Roman" w:hAnsi="Times New Roman"/>
          <w:color w:val="111111"/>
          <w:sz w:val="28"/>
          <w:szCs w:val="28"/>
          <w:lang w:val="en-US"/>
        </w:rPr>
        <w:t xml:space="preserve">Namun demikian,  patut disadari bahwa pandangan Plato dan Mulla Sadra tentang  jiwa sangat berbeda dan dalam pandangan-pandangan filsafat  yang dibangun Mulla Sadra, kita melihat pandangan utama  bertransformasinya seluruh forma wujud pada tingkat yang lebih  tinggi melalui gerakan transubstansial yang dikembangkannya,  yang pada akhirnya, tentu saja melepaskan forma wujud  tertentu dari materi, mengingat materi dalam teori Kosmologi </w:t>
      </w:r>
    </w:p>
    <w:p>
      <w:pPr>
        <w:pStyle w:val="BookText"/>
        <w:bidi w:val="0"/>
        <w:rPr/>
      </w:pPr>
      <w:r>
        <w:rPr>
          <w:rFonts w:eastAsia="Times New Roman" w:cs="Times New Roman" w:ascii="Times New Roman" w:hAnsi="Times New Roman"/>
          <w:color w:val="111111"/>
          <w:sz w:val="28"/>
          <w:szCs w:val="28"/>
          <w:lang w:val="en-US"/>
        </w:rPr>
        <w:t>Mulla Sadra menempati level terendah dari level-level wujud  yang diutarakannya.</w:t>
      </w:r>
    </w:p>
    <w:p>
      <w:pPr>
        <w:pStyle w:val="BookText"/>
        <w:bidi w:val="0"/>
        <w:jc w:val="both"/>
        <w:rPr/>
      </w:pPr>
      <w:r>
        <w:rPr>
          <w:rFonts w:eastAsia="Times New Roman" w:cs="Times New Roman" w:ascii="Times New Roman" w:hAnsi="Times New Roman"/>
          <w:color w:val="111111"/>
          <w:sz w:val="28"/>
          <w:szCs w:val="28"/>
          <w:lang w:val="en-US"/>
        </w:rPr>
        <w:t>Ada beberapa argumentasi lain berkaitan hal ini yang  dikemukakan Mulla Sadra, tetapi dua argumentasi di atas sudah  memadai untuk membuktikan transedensi jiwa dari raga dan  materi.</w:t>
      </w:r>
    </w:p>
    <w:p>
      <w:pPr>
        <w:pStyle w:val="BookText"/>
        <w:bidi w:val="0"/>
        <w:jc w:val="both"/>
        <w:rPr/>
      </w:pPr>
      <w:r>
        <w:rPr>
          <w:rFonts w:eastAsia="Times New Roman" w:cs="Times New Roman" w:ascii="Times New Roman" w:hAnsi="Times New Roman"/>
          <w:color w:val="111111"/>
          <w:sz w:val="28"/>
          <w:szCs w:val="28"/>
          <w:lang w:val="en-US"/>
        </w:rPr>
        <w:t>f. Tetapnya Jiwa Pascakehancuran Raga  Para filsuf muslim berpandangan bahwa jiwa akan tetap  ada pascakehancuran raga, mengingat bahwa jiwa bersifat  transenden dan jiwa tidak bergantung kepada raga, kecuali  sebagai identitas bagi dirinya. Keberadaannya justru menjadi  korpus bagi keberadaan raga, tetapi tidak sebaliknya. Ibn  Sina menyatakan, “Sesungguhnya, jiwa tidaklah mengalami  kematian dengan kematian raga, bahkan tidak akan mengalami  kehancuran sama sekali."</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Wezarat Farhangge va Omuzes, 1421) Vol. 15 hal. 69. Teks  aslinya sebagai berikut:</w:t>
      </w:r>
    </w:p>
    <w:p>
      <w:pPr>
        <w:pStyle w:val="BookText"/>
        <w:bidi w:val="0"/>
        <w:jc w:val="both"/>
        <w:rPr/>
      </w:pPr>
      <w:r>
        <w:rPr>
          <w:rFonts w:ascii="IRNazanin" w:hAnsi="IRNazanin" w:eastAsia="IRNazanin"/>
          <w:color w:val="111111"/>
          <w:sz w:val="28"/>
          <w:sz w:val="28"/>
          <w:szCs w:val="28"/>
          <w:rtl w:val="true"/>
          <w:lang w:bidi="fa-IR"/>
        </w:rPr>
        <w:t>إن النفس لا تموت بموت البدن ولا تقبل الفساد أصلا</w:t>
      </w:r>
    </w:p>
    <w:p>
      <w:pPr>
        <w:pStyle w:val="BookText"/>
        <w:bidi w:val="0"/>
        <w:jc w:val="both"/>
        <w:rPr/>
      </w:pPr>
      <w:r>
        <w:rPr>
          <w:rFonts w:eastAsia="Times New Roman" w:cs="Times New Roman" w:ascii="Times New Roman" w:hAnsi="Times New Roman"/>
          <w:color w:val="111111"/>
          <w:sz w:val="28"/>
          <w:szCs w:val="28"/>
          <w:lang w:val="en-US"/>
        </w:rPr>
        <w:t>Pandangan ini tentu menjadi pandangan yang sangat  mendasar, mengingat kebangkitan hanya bisa terjadi jika jiwa  tetap ada. Untuk menjelaskan persoalan ini, Mulla Sadra terlebih  dahulu menjelaskan keterikatan jiwa dengan raga. Mulla Sadra  menolak pandangan yang menyatakan bahwa kebersamaan  antara jiwa dengan raga hanyalah kebersamaan kebetulan dan di  antara keduanya tidak terjadi ikatan esensial (Zātiyyah). Baginya,  ikatan di antara keduanya adalah ikatan keharusan (luzūmiyyāh),  bukan kebersamaan kesetaraan (Mutadoifayn) dan bukan  pula kebersamaan dua akibat untuk satu sebab dalam wujud.</w:t>
      </w:r>
    </w:p>
    <w:p>
      <w:pPr>
        <w:pStyle w:val="BookText"/>
        <w:bidi w:val="0"/>
        <w:jc w:val="both"/>
        <w:rPr/>
      </w:pPr>
      <w:r>
        <w:rPr>
          <w:rFonts w:eastAsia="Times New Roman" w:cs="Times New Roman" w:ascii="Times New Roman" w:hAnsi="Times New Roman"/>
          <w:color w:val="111111"/>
          <w:sz w:val="28"/>
          <w:szCs w:val="28"/>
          <w:lang w:val="en-US"/>
        </w:rPr>
        <w:t>Keterikatan di antara keduanya tidak lain, kecuali kebersamaan  keharusan secara utuh, seperti antara materi dengan forma.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Mulla Sadra, raga membutuhkan jiwa tidak dalam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kekhususannya,    melainkan secara    mutlak dalam  aktualisasinya,    sedangkan jiwa    membutuhkan  raga bukan dari    segi hakikat mutlak    rasional, melainkan  dari segi keberadaan    personalitas dan    identitasnya serta  kebaruan kedirian    jiwa. Dengan    penjelasannya  tersebut, Mulla    Sadra mendudukkan  posisi raga hanyalah sebagai reseptif semata. Ketergantungan  raga, menurutnya, adalah ketergantungan mutlak yang tidak  akan lenyap selama adanya jiwa bersamanya dan tidak akan ada  dengan ketiadaan jiwa.</w:t>
      </w:r>
      <w:r>
        <w:rPr>
          <w:rStyle w:val="FootnoteAnchor"/>
        </w:rPr>
        <w:footnoteReference w:id="106"/>
      </w:r>
      <w:r>
        <w:rPr>
          <w:rFonts w:eastAsia="Times New Roman" w:cs="Times New Roman" w:ascii="Times New Roman" w:hAnsi="Times New Roman"/>
          <w:color w:val="111111"/>
          <w:sz w:val="28"/>
          <w:szCs w:val="28"/>
          <w:lang w:val="en-US"/>
        </w:rPr>
        <w:t xml:space="preserve"> Dalam logika Mulla Sadra, tidak mungkin jiwa mengalami  kehancuran karena jika kehancuran dapat terjadi pada jiwa,  maka pastilah pada jiwa terdapat potensi untuk menerima  kehancuran, sedangkan potensi tersebut bukanlah substansi  jiwa. Sesuatu yang memiliki potensi kehancuran haruslah  bersama dengan sesuatu yang hancur dan itu adalah materi,  sedangkan jiwa adalah substansi yang transenden yang reseptif  terhadap forma-forma rasional. Karena itu menurut Mulla Sadra, </w:t>
      </w:r>
    </w:p>
    <w:p>
      <w:pPr>
        <w:pStyle w:val="BookText"/>
        <w:bidi w:val="0"/>
        <w:rPr/>
      </w:pPr>
      <w:r>
        <w:rPr>
          <w:rFonts w:eastAsia="Times New Roman" w:cs="Times New Roman" w:ascii="Times New Roman" w:hAnsi="Times New Roman"/>
          <w:color w:val="111111"/>
          <w:sz w:val="28"/>
          <w:szCs w:val="28"/>
          <w:lang w:val="en-US"/>
        </w:rPr>
        <w:t>tidak mungkin jiwa mengalami kehancuran.</w:t>
      </w:r>
      <w:r>
        <w:rPr>
          <w:rStyle w:val="FootnoteAnchor"/>
        </w:rPr>
        <w:footnoteReference w:id="107"/>
      </w:r>
      <w:r>
        <w:rPr>
          <w:rFonts w:eastAsia="Times New Roman" w:cs="Times New Roman" w:ascii="Times New Roman" w:hAnsi="Times New Roman"/>
          <w:color w:val="111111"/>
          <w:sz w:val="28"/>
          <w:szCs w:val="28"/>
          <w:lang w:val="en-US"/>
        </w:rPr>
        <w:t>Hal ini bertolak  belakang dengan pandangan Al-Farabi karena menurutnya,  jiwa-jiwa yang tidak mengalami kesempurnaan akan tetap  pada tingkatnya sebagai materi, bahkan dapat hancur bersama  kehancuran materi tersebut.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Sedang para penduduk negeri Jahiliyyah,  sesungguhnya, jiwa mereka akan tetap dan tidak mengalami  penyempurnaan dan untuk tetap ada membutuhkan materi  sebagai keharusan, yaitu tidak tergambarkan padanya  (penduduk Jahiliyyah) gambaran dari objek-objek intelek  pertama sama sekali. Jika materinya hancur, yang selama ini  menjadi dasar fundamen keberadaan mereka, maka hancur  pulalah daya-daya yang selama ini merupakan personalitas  dirinya, yang menjadikan dirinya sebagai sebuah identitas.</w:t>
      </w:r>
    </w:p>
    <w:p>
      <w:pPr>
        <w:pStyle w:val="BookText"/>
        <w:bidi w:val="0"/>
        <w:jc w:val="both"/>
        <w:rPr/>
      </w:pPr>
      <w:r>
        <w:rPr>
          <w:rFonts w:eastAsia="Times New Roman" w:cs="Times New Roman" w:ascii="Times New Roman" w:hAnsi="Times New Roman"/>
          <w:color w:val="111111"/>
          <w:sz w:val="28"/>
          <w:szCs w:val="28"/>
          <w:lang w:val="en-US"/>
        </w:rPr>
        <w:t>Tinggallah padanya daya-daya yang tersisa dan jika materi  ini hancur, maka berubahlah dirinya menjadi sesuatu  yang lain dengan forma materi tersebut dan berubah dari  forma sebelumnya... hingga berubah menjadi materi padat  dan tetap sebagai materi padat tersebut sebagai forma  akhirnya." Lihat: Al-Farabi, Kitab Ara' Ahl Al-Madinah Al-  Fadilah (Beirut: Dar Al-Masyriq, 2002), hlm. 142.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argumentasi ini, Mulla Sadra ingin menunjukkan  bahwa keterikatan yang terjadi di antara keduanya adalah  keterikatan keharusan: secara eksternal, tidak mungkin ada  raga tanpa jiwa, seperti halnya tidak mungkin materi ada tanpa  keberadaan forma. Jiwa membutuhkan raga dalam kebaruan  dirinya serta dalam identitasnya. Tanpa raga, tentu saja jiwa  tidak akan memiliki identitas, tetapi keberadaan jiwa selanjutnya  tidak lagi bergantung kepada raga, melainkan ragalah yang  bergantung kepada jiwa, seperti halnya antara aksiden  dengan substansi. Keberadaan aksiden secara eksternal akan  selalu bergantung kepada keberadaan substansi, tetapi tidak  sebaliknya. Kehancuran atau kematian raga sama sekali tidak  menyebabkan kehancuran atau kematian pada jiwa. Kehancuran  atau kematian hanya terjadi pada materi, sedangkan jiwa adalah  substansi nonmateri yang terbebas dari ruang dan waktu  sehingga terbebas dari kehancuran. Seperti yang dinyatakan  juga oleh Khwaja NaSiruddin Tusi, “Jiwa hidup melalui zatnya  dan menghidupkan selainnya, serta segala sesuatu yang hidup  karena zatnya mustahil baginya kematian selama-lamanya."22  g. Fakultas Jiwa  Pembagian terhadap fakultas yang dilakukan Mulla Sadra  tidak murni berasal dari Mulla Sadra, melainkan mengikuti  pembagian yang telah dilakukan sebelumnya oleh Ibn Sina di</w:t>
      </w:r>
    </w:p>
    <w:p>
      <w:pPr>
        <w:pStyle w:val="BookText"/>
        <w:bidi w:val="0"/>
        <w:rPr/>
      </w:pPr>
      <w:r>
        <w:rPr>
          <w:rFonts w:eastAsia="Times New Roman" w:cs="Times New Roman" w:ascii="Times New Roman" w:hAnsi="Times New Roman"/>
          <w:color w:val="111111"/>
          <w:sz w:val="28"/>
          <w:szCs w:val="28"/>
          <w:lang w:val="en-US"/>
        </w:rPr>
        <w:t>dalam kitabnya, Al-Syifa'.</w:t>
      </w:r>
      <w:r>
        <w:rPr>
          <w:rStyle w:val="FootnoteAnchor"/>
        </w:rPr>
        <w:footnoteReference w:id="109"/>
      </w:r>
      <w:r>
        <w:rPr>
          <w:rFonts w:eastAsia="Times New Roman" w:cs="Times New Roman" w:ascii="Times New Roman" w:hAnsi="Times New Roman"/>
          <w:color w:val="111111"/>
          <w:sz w:val="28"/>
          <w:szCs w:val="28"/>
          <w:lang w:val="en-US"/>
        </w:rPr>
        <w:t>Pembagian tersebut sebagai berikut:</w:t>
      </w:r>
    </w:p>
    <w:p>
      <w:pPr>
        <w:pStyle w:val="BookText"/>
        <w:bidi w:val="0"/>
        <w:jc w:val="both"/>
        <w:rPr/>
      </w:pPr>
      <w:r>
        <w:rPr>
          <w:rFonts w:eastAsia="Times New Roman" w:cs="Times New Roman" w:ascii="Times New Roman" w:hAnsi="Times New Roman"/>
          <w:color w:val="111111"/>
          <w:sz w:val="28"/>
          <w:szCs w:val="28"/>
          <w:lang w:val="en-US"/>
        </w:rPr>
        <w:t>Fakultas jiwa terbagi secara mendasar menjadi tiga  bagian, yaitu:</w:t>
      </w:r>
    </w:p>
    <w:p>
      <w:pPr>
        <w:pStyle w:val="BookText"/>
        <w:bidi w:val="0"/>
        <w:jc w:val="both"/>
        <w:rPr/>
      </w:pPr>
      <w:r>
        <w:rPr>
          <w:rFonts w:eastAsia="Times New Roman" w:cs="Times New Roman" w:ascii="Times New Roman" w:hAnsi="Times New Roman"/>
          <w:color w:val="111111"/>
          <w:sz w:val="28"/>
          <w:szCs w:val="28"/>
          <w:lang w:val="en-US"/>
        </w:rPr>
        <w:t>Pertama, jiwa tumbuh-tumbuhan merupakan  kesempurnaan pertama bagi fisik alami yang berorientasi kepada  apa yang telah menghadirkannya, mengendalikannya, bahkan  reproduksi. Kedua, jiwa hewani merupakan kesempurnaan  pertama bagi fisik alami yang berorientasi kepada persepsi  parsial dan bergerak dengan keinginan. Ketiga, jiwa manusia  merupakan kesempurnaan pertama bagi fisik alami yang  berorientasi kepada intelek general, melakukan aktivitas  kreatif dengan menggunakan kemampuan berpikir dan analisis  rasional. Pada ketiga fakultas ini terdapat kesempurnaan dan  kekurangan yang berbeda-beda.</w:t>
      </w:r>
    </w:p>
    <w:p>
      <w:pPr>
        <w:pStyle w:val="BookText"/>
        <w:bidi w:val="0"/>
        <w:jc w:val="both"/>
        <w:rPr/>
      </w:pPr>
      <w:r>
        <w:rPr>
          <w:rFonts w:eastAsia="Times New Roman" w:cs="Times New Roman" w:ascii="Times New Roman" w:hAnsi="Times New Roman"/>
          <w:color w:val="111111"/>
          <w:sz w:val="28"/>
          <w:szCs w:val="28"/>
          <w:lang w:val="en-US"/>
        </w:rPr>
        <w:t>Pada jiwa tumbuh-tumbuhan terdapat tiga daya, yaitu  daya konsumsi yang mengarahkan fisik untuk memiliki bentuk  fisik sebagaimana jenisnya, daya berkembang adalah daya yang  mengembangkan fisik untuk sempurna dalam tinggi, dalam,  dan luas sehingga sempurna dalam pertumbuhannya, daya  reproduksi adalah daya yang mengambil materi yang sama  secara potensial dari fisik tempatnya bergantung dan kemudian  melakukan aktivitas untuk mengembangkan fisik lain yang  berkesesuaian dari segi bentuk, jenis, dan perbuatan.</w:t>
      </w:r>
    </w:p>
    <w:p>
      <w:pPr>
        <w:pStyle w:val="BookText"/>
        <w:bidi w:val="0"/>
        <w:jc w:val="both"/>
        <w:rPr/>
      </w:pPr>
      <w:r>
        <w:rPr>
          <w:rFonts w:eastAsia="Times New Roman" w:cs="Times New Roman" w:ascii="Times New Roman" w:hAnsi="Times New Roman"/>
          <w:color w:val="111111"/>
          <w:sz w:val="28"/>
          <w:szCs w:val="28"/>
          <w:lang w:val="en-US"/>
        </w:rPr>
        <w:t>Pada jiwa hewani terbagi menjadi dua daya, yaitu  penggerak dan persepsi. Penggerak terbagi menjadi dua bagian,  yaitu penggerak karena dirinya menjadi penyebab gerakan  atau penggerak karena dirinya adalah subjek. Makna penyebab  adalah 'dirinya merupakan sebab tujuan dan sebab ini adalah  sebab paling utama dari empat sebab'.</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Di antara pembagian sebab tidak sempurna sebagai berikut:</w:t>
      </w:r>
    </w:p>
    <w:p>
      <w:pPr>
        <w:pStyle w:val="BookText"/>
        <w:bidi w:val="0"/>
        <w:jc w:val="both"/>
        <w:rPr/>
      </w:pPr>
      <w:r>
        <w:rPr>
          <w:rFonts w:eastAsia="Times New Roman" w:cs="Times New Roman" w:ascii="Times New Roman" w:hAnsi="Times New Roman"/>
          <w:color w:val="111111"/>
          <w:sz w:val="28"/>
          <w:szCs w:val="28"/>
          <w:lang w:val="en-US"/>
        </w:rPr>
        <w:t>sebab internal, sebab eksternal, sebab subjek dan sebab  tujuan. Lihat: Thabataba'i, Bidayah, hlm. 86.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Penyebab tersebut</w:t>
      </w:r>
    </w:p>
    <w:p>
      <w:pPr>
        <w:pStyle w:val="BookText"/>
        <w:bidi w:val="0"/>
        <w:rPr/>
      </w:pPr>
      <w:r>
        <w:rPr>
          <w:rFonts w:eastAsia="Times New Roman" w:cs="Times New Roman" w:ascii="Times New Roman" w:hAnsi="Times New Roman"/>
          <w:color w:val="111111"/>
          <w:sz w:val="28"/>
          <w:szCs w:val="28"/>
          <w:lang w:val="en-US"/>
        </w:rPr>
        <w:t>merupakan daya kerinduan (Syawqiyyāh) yang berhubungan  dengan daya imajinasi. Jika tergambarkan pada dirinya forma  yang dituju atau yang datang kepadanya, muncullah daya  penggerak yang lain untuk menggerakkan dan dalam hal ini  terbagi menjadi dua, yaitu bagian yang disebut daya syahwat,  yaitu 'daya yang muncul karena gerakan yang mendekatinya  dari sebab-sebab yang menggambarkan keharusan atau faidah  yang mendatangkan kenikmatan' dan bagian yang disebut  daya emosional (Ghadabiyyāh), yaitu 'daya yang muncul untuk  menolak sesuatu yang digambarkan akan mendatangkan bahaya  atau kerusakan dan daya ini menuntut untuk mengalahkan'.</w:t>
      </w:r>
    </w:p>
    <w:p>
      <w:pPr>
        <w:pStyle w:val="BookText"/>
        <w:bidi w:val="0"/>
        <w:jc w:val="both"/>
        <w:rPr/>
      </w:pPr>
      <w:r>
        <w:rPr>
          <w:rFonts w:eastAsia="Times New Roman" w:cs="Times New Roman" w:ascii="Times New Roman" w:hAnsi="Times New Roman"/>
          <w:color w:val="111111"/>
          <w:sz w:val="28"/>
          <w:szCs w:val="28"/>
          <w:lang w:val="en-US"/>
        </w:rPr>
        <w:t>Daya penggerak sebagai subjek yaitu 'daya yang terbit pada  syaraf atau sejenisnya, mengerutkan urat-urat syaraf tersebut,  menarik tulang-tulang dan syaraf-syaraf, serta ikatan-ikatan  kepada posisi yang bertentangan dari posisi awalnya'.</w:t>
      </w:r>
    </w:p>
    <w:p>
      <w:pPr>
        <w:pStyle w:val="BookText"/>
        <w:bidi w:val="0"/>
        <w:jc w:val="both"/>
        <w:rPr/>
      </w:pPr>
      <w:r>
        <w:rPr>
          <w:rFonts w:eastAsia="Times New Roman" w:cs="Times New Roman" w:ascii="Times New Roman" w:hAnsi="Times New Roman"/>
          <w:color w:val="111111"/>
          <w:sz w:val="28"/>
          <w:szCs w:val="28"/>
          <w:lang w:val="en-US"/>
        </w:rPr>
        <w:t>Daya persepsi terbagi menjadi dua bagian, yaitu daya  persepsi yang datang dari luar dan dari dalam. Daya persepsi  dari luar adalah indriawi. Daya persepsi dari dalam terbagi  menjadi daya persepsi parsial yang berasal dari indra eksternal  dan daya persepsi general yang berasal dari indra mental.</w:t>
      </w:r>
    </w:p>
    <w:p>
      <w:pPr>
        <w:pStyle w:val="BookText"/>
        <w:bidi w:val="0"/>
        <w:jc w:val="both"/>
        <w:rPr/>
      </w:pPr>
      <w:r>
        <w:rPr>
          <w:rFonts w:eastAsia="Times New Roman" w:cs="Times New Roman" w:ascii="Times New Roman" w:hAnsi="Times New Roman"/>
          <w:color w:val="111111"/>
          <w:sz w:val="28"/>
          <w:szCs w:val="28"/>
          <w:lang w:val="en-US"/>
        </w:rPr>
        <w:t>Indra mental terbagi menjadi dua, yaitu indra mental yang  hanya persepsi dan indra mental persepsi dan pengendali.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Indra pental persepsi terbagi lagi menjadi persepsi terhadap  forma parsial dan makna parsial. Yang dimaksud forma parsial  misalnya imajinasi terhadap diri seseorang, sedangkan yang  dimaksud makna parsial misalnya persepsi terhadap A sebagai  sahabat dan B adalah musuh. Pengindra terhadap forma parsial  disebut indra bersama (Hissi Musytarāk) dan dia mengumpulkan  beragam forma indriawi eksternal, sedangkan pengindra makna </w:t>
      </w:r>
    </w:p>
    <w:p>
      <w:pPr>
        <w:pStyle w:val="BookText"/>
        <w:bidi w:val="0"/>
        <w:rPr/>
      </w:pPr>
      <w:r>
        <w:rPr>
          <w:rFonts w:eastAsia="Times New Roman" w:cs="Times New Roman" w:ascii="Times New Roman" w:hAnsi="Times New Roman"/>
          <w:color w:val="111111"/>
          <w:sz w:val="28"/>
          <w:szCs w:val="28"/>
          <w:lang w:val="en-US"/>
        </w:rPr>
        <w:t>parsial disebut estimasi (Wahmi). Kedua daya ini memiliki  perbendaharaan; perbendaharaan indra bersama adalah  imajinasi, sedangkan estimasi adalah pengingat (Hāfizah).</w:t>
      </w:r>
    </w:p>
    <w:p>
      <w:pPr>
        <w:pStyle w:val="BookText"/>
        <w:bidi w:val="0"/>
        <w:jc w:val="both"/>
        <w:rPr/>
      </w:pPr>
      <w:r>
        <w:rPr>
          <w:rFonts w:eastAsia="Times New Roman" w:cs="Times New Roman" w:ascii="Times New Roman" w:hAnsi="Times New Roman"/>
          <w:color w:val="111111"/>
          <w:sz w:val="28"/>
          <w:szCs w:val="28"/>
          <w:lang w:val="en-US"/>
        </w:rPr>
        <w:t>Daya pengendali mengendalikan objek-objek  perbendaharaan pada dua perbendaharaan tersebut dengan  cara mengomposisikan dan menganalisis. Pengomposisian  seperti manusia dalam rupa burung atau gunung zamrud. Daya  ini, jika menggunakan daya estimasi hewani disebut imajinasi,  jika menggunakan daya intelek (Nātiqah) disebut berpikir  (Mufakkirāh).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Pembagian semua ini hanya berlaku untuk fakultas jiwa  tumbuh-tumbuhan dan hewan, sedangkan pada jiwa manusia,  bagi Mulla Sadra, tidak dapat terjadi pembagian daya, mengingat  jiwa manusia hanya melakukan persepsi general dan sesuatu  yang general, dalam konteks generalitasnya, bukanlah sesuatu  yang dapat dibagi-bagi.</w:t>
      </w:r>
      <w:r>
        <w:rPr>
          <w:rStyle w:val="FootnoteAnchor"/>
        </w:rPr>
        <w:footnoteReference w:id="111"/>
      </w:r>
      <w:r>
        <w:rPr>
          <w:rFonts w:eastAsia="Times New Roman" w:cs="Times New Roman" w:ascii="Times New Roman" w:hAnsi="Times New Roman"/>
          <w:color w:val="111111"/>
          <w:sz w:val="28"/>
          <w:szCs w:val="28"/>
          <w:lang w:val="en-US"/>
        </w:rPr>
        <w:t xml:space="preserve"> Untuk lebih jelas, kita dapat melihat diagram berikt ini: </w: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051300" cy="6451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9"/>
                        <a:stretch/>
                      </pic:blipFill>
                      <pic:spPr>
                        <a:xfrm>
                          <a:off x="0" y="0"/>
                          <a:ext cx="4051440" cy="6451560"/>
                        </a:xfrm>
                        <a:prstGeom prst="rect">
                          <a:avLst/>
                        </a:prstGeom>
                        <a:ln w="0">
                          <a:noFill/>
                        </a:ln>
                      </pic:spPr>
                    </pic:pic>
                  </a:graphicData>
                </a:graphic>
              </wp:inline>
            </w:drawing>
          </mc:Choice>
          <mc:Fallback>
            <w:pict>
              <v:shape id="shape_0" stroked="f" o:allowincell="f" style="position:absolute;margin-left:0pt;margin-top:-508.05pt;width:318.95pt;height:507.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Pembagian ini penting diutarakan, mengingat Mulla  Sadra menunjukkan bahwa kualitas manusia didasarkan  dominasi daya-daya tersebut dan daya yang mendominasi akan  membentuk karakter jiwa sekaligus sebagai dasar pembentuk  raga berikutnya. Daya-daya tersebut, pada intinya, merupakan  komposisi yang membentuk jiwa manusia. Mulla Sadra  menggambarkan daya-daya tersebut dalam karakter sebagai  berikut:</w:t>
      </w:r>
    </w:p>
    <w:p>
      <w:pPr>
        <w:pStyle w:val="BookText"/>
        <w:bidi w:val="0"/>
        <w:jc w:val="both"/>
        <w:rPr/>
      </w:pPr>
      <w:r>
        <w:rPr>
          <w:rFonts w:eastAsia="Times New Roman" w:cs="Times New Roman" w:ascii="Times New Roman" w:hAnsi="Times New Roman"/>
          <w:color w:val="111111"/>
          <w:sz w:val="28"/>
          <w:szCs w:val="28"/>
          <w:lang w:val="en-US"/>
        </w:rPr>
        <w:t>Bahwa pada setiap manusia, batinnya bagaikan  campuran dari beragam sifat daya: sebagian binatang,  sebagian binatang buas, sebagian setan, sebagian malaikat.</w:t>
      </w:r>
    </w:p>
    <w:p>
      <w:pPr>
        <w:pStyle w:val="BookText"/>
        <w:bidi w:val="0"/>
        <w:jc w:val="both"/>
        <w:rPr/>
      </w:pPr>
      <w:r>
        <w:rPr>
          <w:rFonts w:eastAsia="Times New Roman" w:cs="Times New Roman" w:ascii="Times New Roman" w:hAnsi="Times New Roman"/>
          <w:color w:val="111111"/>
          <w:sz w:val="28"/>
          <w:szCs w:val="28"/>
          <w:lang w:val="en-US"/>
        </w:rPr>
        <w:t>Sifat yang keluar dari binatang adalah syahwat dan  keburukannya adalah rakus dan dusta. Dari binatang buas  adalah iri hati, permusuhan, dan kebencian. Dari setan  adalah makar, tipu daya, licik, sombong, dan mencintai  kekuasaan. Dari malaikat adalah, pengetahuan, kesucian  dan kebersihan. Dasar keseluruhan empat karakter ini  terkomposisi pada batin manusia sebagai komposisi yang  sangat kuat dan tidak mudah untuk menguraikannya.</w:t>
      </w:r>
      <w:r>
        <w:rPr>
          <w:rStyle w:val="FootnoteAnchor"/>
        </w:rPr>
        <w:footnoteReference w:id="112"/>
      </w:r>
    </w:p>
    <w:p>
      <w:pPr>
        <w:pStyle w:val="BookText"/>
        <w:bidi w:val="0"/>
        <w:jc w:val="both"/>
        <w:rPr/>
      </w:pPr>
      <w:r>
        <w:rPr>
          <w:rFonts w:ascii="IRNazanin" w:hAnsi="IRNazanin" w:eastAsia="IRNazanin"/>
          <w:color w:val="111111"/>
          <w:sz w:val="28"/>
          <w:sz w:val="28"/>
          <w:szCs w:val="28"/>
          <w:rtl w:val="true"/>
          <w:lang w:bidi="fa-IR"/>
        </w:rPr>
        <w:t>إن کل إنسان بشری باطنه کأنه معجون من صفات قوی بعضها بهیمیة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سبعیة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ملکیة حتی یصدر من البهمیة  الشهوة والشره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والحرص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السبعیة الحسد و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الشیطانیة المکر والخدیعة و الحیلة و التکبر 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الجاه و  الافتخار و 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الملکیة العلم و 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واصول جمیع  الأخلاق هذه الأربعة وقد عجنت فی باطنه عجنا محکما لا یکاد یتخلص 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Patut di ingat bahwa dalam pandangan antropologis  Mulla Sadra, jiwa mengalami proses perkembangan sebagaimana  yang telah dibicarakan sebelumnya, tetapi yang paling mendasar  bagi Mulla Sadra adalah pandangan ini didasarkan pada  prinsipnya, al-Labs ba'da al-Labs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peningkatan kualitas jiwa  pada tahap berikutnya tidaklah menghilangkan keberadaan jiwa  sebelumnya, tetapi jiwa bertransformasi pada level yang lebih  tinggi, sekaligus menghimpun level-level sebelumnya. Kita  dapat membayangkan sebuah piramida yang terus berkembang  naik. Dalam perkembangan tersebut, kita menyaksikan bahwa  piramida tersebut menghimpun elemen yang semakin lama</w:t>
      </w:r>
      <w:bookmarkStart w:id="95" w:name="pg6434_60641"/>
    </w:p>
    <w:p>
      <w:pPr>
        <w:pStyle w:val="BookText"/>
        <w:bidi w:val="0"/>
        <w:rPr/>
      </w:pPr>
      <w:bookmarkEnd w:id="95"/>
      <w:r>
        <w:rPr>
          <w:rFonts w:eastAsia="Times New Roman" w:cs="Times New Roman" w:ascii="Times New Roman" w:hAnsi="Times New Roman"/>
          <w:color w:val="111111"/>
          <w:sz w:val="28"/>
          <w:szCs w:val="28"/>
          <w:lang w:val="en-US"/>
        </w:rPr>
        <w:t>semakin banyak tanpa harus kehilangan forma utamanya, yaitu  piramida. Demikian pula dengan jiwa menurut Mulla Sadra. Jadi,  ketika jiwa telah berkembang menjadi jiwa rasional, pastilah  didalamnya terkandung jiwa tumbuh-tumbuhan, binatang,  hingga menjadi jiwa rasional.</w:t>
      </w:r>
    </w:p>
    <w:p>
      <w:pPr>
        <w:pStyle w:val="BookText"/>
        <w:bidi w:val="0"/>
        <w:jc w:val="both"/>
        <w:rPr/>
      </w:pPr>
      <w:r>
        <w:rPr>
          <w:rFonts w:eastAsia="Times New Roman" w:cs="Times New Roman" w:ascii="Times New Roman" w:hAnsi="Times New Roman"/>
          <w:color w:val="111111"/>
          <w:sz w:val="28"/>
          <w:szCs w:val="28"/>
          <w:lang w:val="en-US"/>
        </w:rPr>
        <w:t>Karenanya, menurut Mulla Sadra, forma jiwa akan sangat  diwarnai oleh level mana jiwa tersebut menjadi sangat aktif.</w:t>
      </w:r>
    </w:p>
    <w:p>
      <w:pPr>
        <w:pStyle w:val="BookText"/>
        <w:bidi w:val="0"/>
        <w:jc w:val="both"/>
        <w:rPr/>
      </w:pPr>
      <w:r>
        <w:rPr>
          <w:rFonts w:eastAsia="Times New Roman" w:cs="Times New Roman" w:ascii="Times New Roman" w:hAnsi="Times New Roman"/>
          <w:color w:val="111111"/>
          <w:sz w:val="28"/>
          <w:szCs w:val="28"/>
          <w:lang w:val="en-US"/>
        </w:rPr>
        <w:t>Sekiranya jiwa tersebut hanya memfokuskan persepsinya pada  level jiwa binatang, maka  ketika jiwa berlalui dengan    raga melalui proses kematian,  forma binatanglah yang akan  muncul sebagai identitas baru      manusia tersebut.</w:t>
      </w:r>
    </w:p>
    <w:p>
      <w:pPr>
        <w:pStyle w:val="BookText"/>
        <w:bidi w:val="0"/>
        <w:jc w:val="both"/>
        <w:rPr/>
      </w:pPr>
      <w:r>
        <w:rPr>
          <w:rFonts w:eastAsia="Times New Roman" w:cs="Times New Roman" w:ascii="Times New Roman" w:hAnsi="Times New Roman"/>
          <w:color w:val="111111"/>
          <w:sz w:val="28"/>
          <w:szCs w:val="28"/>
          <w:lang w:val="en-US"/>
        </w:rPr>
        <w:t>Pandangan Mulla Sadra    yang seperti ini jelas sangat    berbeda dengan pandangan    filsuf Peripatetik sebelumnya,  khususnya Ibn Sina, yang    menganggap bahwa jiwa    spesifik pada setiap identitas    dan berbeda satu sama lain.</w:t>
      </w:r>
      <w:r>
        <w:rPr>
          <w:rStyle w:val="FootnoteAnchor"/>
        </w:rPr>
        <w:footnoteReference w:id="113"/>
      </w:r>
      <w:r>
        <w:rPr>
          <w:rFonts w:eastAsia="Times New Roman" w:cs="Times New Roman" w:ascii="Times New Roman" w:hAnsi="Times New Roman"/>
          <w:color w:val="111111"/>
          <w:sz w:val="28"/>
          <w:szCs w:val="28"/>
          <w:lang w:val="en-US"/>
        </w:rPr>
        <w:t xml:space="preserve"> Bahkan, pandangan Mulla Sadra yang seperti ini, menurut  Fazlur Rahman, lebih dekat dengan pandangan para Sufi, seperti  Ibn Arabi dan Al-Ghazali atau Syuhrawardi.</w:t>
      </w:r>
      <w:r>
        <w:rPr>
          <w:rStyle w:val="FootnoteAnchor"/>
        </w:rPr>
        <w:footnoteReference w:id="114"/>
      </w:r>
    </w:p>
    <w:p>
      <w:pPr>
        <w:pStyle w:val="Heading3"/>
        <w:numPr>
          <w:ilvl w:val="2"/>
          <w:numId w:val="1"/>
        </w:numPr>
        <w:bidi w:val="0"/>
        <w:jc w:val="left"/>
        <w:rPr/>
      </w:pPr>
      <w:bookmarkStart w:id="96" w:name="__RefHeading___Toc808204_653776707"/>
      <w:bookmarkStart w:id="97" w:name="_Toc31"/>
      <w:bookmarkEnd w:id="96"/>
      <w:r>
        <w:rPr/>
        <w:t>3. Persoalan Reinkarnasi</w:t>
      </w:r>
      <w:bookmarkEnd w:id="97"/>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Persoalan Reinkarnasi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Reinkarnasi merupakan pandangan yang berkaitan  dengan kehidupan pascakematian dan pandangan ini muncul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Mercia Eliade, Encyclopedia of Religion (USA: MacMilan  Library Refrence), Vol. 11-12, hlm. 265–269.</w:t>
      </w:r>
    </w:p>
    <w:p>
      <w:pPr>
        <w:pStyle w:val="BookText"/>
        <w:bidi w:val="0"/>
        <w:rPr/>
      </w:pPr>
      <w:r>
        <w:rPr>
          <w:rFonts w:eastAsia="Times New Roman" w:cs="Times New Roman" w:ascii="Times New Roman" w:hAnsi="Times New Roman"/>
          <w:color w:val="111111"/>
          <w:sz w:val="28"/>
          <w:szCs w:val="28"/>
          <w:lang w:val="en-US"/>
        </w:rPr>
        <w:t>jauh sebelum Islam. Hindu dan Budha merupakan dua agama  yang menjadikan reinkarnasi sebagai keyakinan dasar bagi  pemeluknya</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Bustane Kitob, 1385), hlm. 779.</w:t>
      </w:r>
    </w:p>
    <w:p>
      <w:pPr>
        <w:pStyle w:val="BookText"/>
        <w:bidi w:val="0"/>
        <w:jc w:val="both"/>
        <w:rPr/>
      </w:pPr>
      <w:r>
        <w:rPr>
          <w:rFonts w:eastAsia="Times New Roman" w:cs="Times New Roman" w:ascii="Times New Roman" w:hAnsi="Times New Roman"/>
          <w:color w:val="111111"/>
          <w:sz w:val="28"/>
          <w:szCs w:val="28"/>
          <w:lang w:val="en-US"/>
        </w:rPr>
        <w:t>berkaitan peristiwa kehidupan pascakematian.</w:t>
      </w:r>
    </w:p>
    <w:p>
      <w:pPr>
        <w:pStyle w:val="BookText"/>
        <w:bidi w:val="0"/>
        <w:jc w:val="both"/>
        <w:rPr/>
      </w:pPr>
      <w:r>
        <w:rPr>
          <w:rFonts w:eastAsia="Times New Roman" w:cs="Times New Roman" w:ascii="Times New Roman" w:hAnsi="Times New Roman"/>
          <w:color w:val="111111"/>
          <w:sz w:val="28"/>
          <w:szCs w:val="28"/>
          <w:lang w:val="en-US"/>
        </w:rPr>
        <w:t xml:space="preserve">Sebagian besar pemikir Islam, baik teolog maupun filsuf,  menolak keyakinan ini, </w:t>
      </w:r>
      <w:r>
        <w:rPr>
          <w:rStyle w:val="FootnoteAnchor"/>
        </w:rPr>
        <w:footnoteReference w:id="116"/>
      </w:r>
    </w:p>
    <w:p>
      <w:pPr>
        <w:pStyle w:val="BookText"/>
        <w:bidi w:val="0"/>
        <w:jc w:val="both"/>
        <w:rPr/>
      </w:pPr>
      <w:r>
        <w:rPr>
          <w:rFonts w:ascii="IRNazanin" w:hAnsi="IRNazanin" w:eastAsia="IRNazanin"/>
          <w:color w:val="111111"/>
          <w:sz w:val="28"/>
          <w:sz w:val="28"/>
          <w:szCs w:val="28"/>
          <w:rtl w:val="true"/>
          <w:lang w:bidi="fa-IR"/>
        </w:rPr>
        <w:t>شهر وندان مدینه های عاری از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سعادت آنان درحیات  دنیوی منحصر در ارضای امیال غر یزی جسمانی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کز از  زندان جسم رهایی نمی یا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آنان همواره ازیکصورت  مادی به صورتی دیگر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إلی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 مقدر با شد – در  جسد انسان تنا سخ می یا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تدریجا به مرتبه حیوانی انحطاط پیدا می  کنند و به تما می از میان می روند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Namun demikian, penulis tidak menemukan padanan        kata-kata Al-Farabi, sebagaimana yang disebutkan Majid  Fachry di atas.</w:t>
      </w:r>
    </w:p>
    <w:p>
      <w:pPr>
        <w:pStyle w:val="BookText"/>
        <w:bidi w:val="0"/>
        <w:jc w:val="both"/>
        <w:rPr/>
      </w:pPr>
      <w:r>
        <w:rPr>
          <w:rFonts w:eastAsia="Times New Roman" w:cs="Times New Roman" w:ascii="Times New Roman" w:hAnsi="Times New Roman"/>
          <w:color w:val="111111"/>
          <w:sz w:val="28"/>
          <w:szCs w:val="28"/>
          <w:lang w:val="en-US"/>
        </w:rPr>
        <w:t>mengingat reinkarnasi bertolak  belakang dengan prinsip kebangkitan yang diyakini Islam.</w:t>
      </w:r>
    </w:p>
    <w:p>
      <w:pPr>
        <w:pStyle w:val="BookText"/>
        <w:bidi w:val="0"/>
        <w:jc w:val="both"/>
        <w:rPr/>
      </w:pPr>
      <w:r>
        <w:rPr>
          <w:rFonts w:eastAsia="Times New Roman" w:cs="Times New Roman" w:ascii="Times New Roman" w:hAnsi="Times New Roman"/>
          <w:color w:val="111111"/>
          <w:sz w:val="28"/>
          <w:szCs w:val="28"/>
          <w:lang w:val="en-US"/>
        </w:rPr>
        <w:t>Mulla Sadra, seperti halnya Ibn Sina dalam upayanya untuk  menegakkan pandangannya dalam Eskatologi, mengemukakan  argumentasi kekeliruan reinkarnasi, tetapi untuk lebih jelas  sebelum mengemukakan argumentasi Mulla Sadra, ada baiknya  diketahui terlebih dahulu makna, jenis dan pandangan berkaitan  dengan prinsip reinkarnasi tersebut.</w:t>
      </w:r>
    </w:p>
    <w:p>
      <w:pPr>
        <w:pStyle w:val="BookText"/>
        <w:bidi w:val="0"/>
        <w:jc w:val="both"/>
        <w:rPr/>
      </w:pPr>
      <w:r>
        <w:rPr>
          <w:rFonts w:eastAsia="Times New Roman" w:cs="Times New Roman" w:ascii="Times New Roman" w:hAnsi="Times New Roman"/>
          <w:color w:val="111111"/>
          <w:sz w:val="28"/>
          <w:szCs w:val="28"/>
          <w:lang w:val="en-US"/>
        </w:rPr>
        <w:t xml:space="preserve">a. Makna dan Jenis Reinkarnasi  Makna secara umum dari reinkarnasi adalah kelahiran  kembali jiwa atau diri dalam rangkaian fisik atau penjelmaan  yang di luar kebiasaan, yang biasanya (kelahiran tersebut) pada  manusia atau binatang di alam semesta, tetapi kadang juga pada  beberapa bentuk ruhaniah, seperti malaikat, setan, tumbuh-  tumbuhan, atau astrologis'. </w:t>
      </w:r>
      <w:r>
        <w:rPr>
          <w:rStyle w:val="FootnoteAnchor"/>
        </w:rPr>
        <w:footnoteReference w:id="117"/>
      </w:r>
      <w:r>
        <w:rPr>
          <w:rFonts w:eastAsia="Times New Roman" w:cs="Times New Roman" w:ascii="Times New Roman" w:hAnsi="Times New Roman"/>
          <w:color w:val="111111"/>
          <w:sz w:val="28"/>
          <w:szCs w:val="28"/>
          <w:lang w:val="en-US"/>
        </w:rPr>
        <w:t xml:space="preserve">Kyosamsaki memberikan makna  reinkarnasi sebagai “perpindahan jiwa-meliputi jiwa manusia,  hewan, dan tumbuh-tumbuhan- dari raga aktualnya kepada raga  selainnya'. </w:t>
      </w:r>
      <w:r>
        <w:rPr>
          <w:rStyle w:val="FootnoteAnchor"/>
        </w:rPr>
        <w:footnoteReference w:id="118"/>
      </w:r>
    </w:p>
    <w:p>
      <w:pPr>
        <w:pStyle w:val="BookText"/>
        <w:bidi w:val="0"/>
        <w:jc w:val="both"/>
        <w:rPr/>
      </w:pPr>
      <w:r>
        <w:rPr>
          <w:rFonts w:ascii="IRNazanin" w:hAnsi="IRNazanin" w:eastAsia="IRNazanin"/>
          <w:color w:val="111111"/>
          <w:sz w:val="28"/>
          <w:sz w:val="28"/>
          <w:szCs w:val="28"/>
          <w:rtl w:val="true"/>
          <w:lang w:bidi="fa-IR"/>
        </w:rPr>
        <w:t xml:space="preserve">انتقال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نفس انسان یا حیوان ویا نفس نباتی – از بدن فعلی خویش  به بدنی دیکر</w:t>
      </w:r>
      <w:r>
        <w:rPr>
          <w:rFonts w:eastAsia="IRNazanin" w:cs="IRNazanin"/>
          <w:color w:val="111111"/>
          <w:sz w:val="28"/>
          <w:szCs w:val="28"/>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Makna ini jelas meliputi segala jenis perpindahan  jiwa, baik secara vertikal maupun horizontal. Secara vertikal,  yaitu perpindahan jiwa dari raga yang lebih rendah kepada raga  yang lebih tinggi secara kualitas, baik dalam kehidupan di dunia  ini maupun kehidupan berikutnya, sedangkan secara horizontal,  yaitu perpindahan jiwa di antara raga di dunia dalam tingkat dan  kualitas yang sama atau lebih rendah.</w:t>
      </w:r>
    </w:p>
    <w:p>
      <w:pPr>
        <w:pStyle w:val="BookText"/>
        <w:bidi w:val="0"/>
        <w:rPr/>
      </w:pPr>
      <w:r>
        <w:rPr>
          <w:rFonts w:eastAsia="Times New Roman" w:cs="Times New Roman" w:ascii="Times New Roman" w:hAnsi="Times New Roman"/>
          <w:color w:val="111111"/>
          <w:sz w:val="28"/>
          <w:szCs w:val="28"/>
          <w:lang w:val="en-US"/>
        </w:rPr>
        <w:t xml:space="preserve">Dari makna ini juga, muncul beragam jenis pembagian  reinkarnasi, antara lain,  Pertama, perpindahan jiwa dari satu raga kepada raga yang  lain dengan adanya keterikatan antara raga yang satu dengan  lainnya. Reinkarnasi jenis ini disebut reinkarnasi bersambung  (Ittisāli). Kedua, perpindahan jiwa dari satu raga kepada raga  yang lain dengan tanpa ikatan antara satu dengan lainnya yang  disebut reinkarnasi terpisah (Infisāli). Ketiga, perpindahan jiwa  kepada raga astrologis yang terbentuk dari materi duniawi yang  disebut reinkarnasi penguasaan (Mulki). Keempat, perpindahan  raga kepada raga imajinal dan ukhrawi yang disebut reinkarnasi  kemalaikatan (Malākuti). Kelima, jika raga berikutnya lebih  mulia dan utama dari raga sebelumnya, seperti perpindahan  jiwa hewan kepada manusia, maka reinkarnasi jenis ini disebut  reinkarnasi naik (Su’ūdi). Keenam, jika raga yang kedua secara  kualitas lebih rendah dari raga pertama, maka jenis reinkarnasi  seperti ini disebut reinkarnasi turun (Nuzuli). </w:t>
      </w:r>
      <w:r>
        <w:rPr>
          <w:rStyle w:val="FootnoteAnchor"/>
        </w:rPr>
        <w:footnoteReference w:id="119"/>
      </w:r>
      <w:r>
        <w:rPr>
          <w:rFonts w:eastAsia="Times New Roman" w:cs="Times New Roman" w:ascii="Times New Roman" w:hAnsi="Times New Roman"/>
          <w:color w:val="111111"/>
          <w:sz w:val="28"/>
          <w:szCs w:val="28"/>
          <w:lang w:val="en-US"/>
        </w:rPr>
        <w:t xml:space="preserve"> Mulla Sadra melakukan pembagian lainnya, antara lain,  jiwa mengalami perpindahan dari raga materi yang berbeda  dari sebelumnya. Hal itu, pada raga manusia disebut Nasakh,  pada raga hewan disebut Masakh, pada raga tumbuh-tumbuhan  disebut fasakh, dan pada raga materi keras disebut Rasakh.</w:t>
      </w:r>
      <w:r>
        <w:rPr>
          <w:rStyle w:val="FootnoteAnchor"/>
        </w:rPr>
        <w:footnoteReference w:id="120"/>
      </w:r>
      <w:r>
        <w:rPr>
          <w:rFonts w:eastAsia="Times New Roman" w:cs="Times New Roman" w:ascii="Times New Roman" w:hAnsi="Times New Roman"/>
          <w:color w:val="111111"/>
          <w:sz w:val="28"/>
          <w:szCs w:val="28"/>
          <w:lang w:val="en-US"/>
        </w:rPr>
        <w:t xml:space="preserve"> b. Ragam Pandangan Tentang Reinkarnasi  Mengingat persoalan reinkarnasi termasuk di antara  persoalan penting berkaitan dengan pembahasan eskatologi,  muncul beragam pandangan yang berkaitan persoalan tersebut.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filsafat Islam, terjadi perbedaan pandangan antara  Peripatetik dengan lluminasi. Namun patut diingat bahwa </w:t>
      </w:r>
    </w:p>
    <w:p>
      <w:pPr>
        <w:pStyle w:val="BookText"/>
        <w:bidi w:val="0"/>
        <w:rPr/>
      </w:pPr>
      <w:r>
        <w:rPr>
          <w:rFonts w:eastAsia="Times New Roman" w:cs="Times New Roman" w:ascii="Times New Roman" w:hAnsi="Times New Roman"/>
          <w:color w:val="111111"/>
          <w:sz w:val="28"/>
          <w:szCs w:val="28"/>
          <w:lang w:val="en-US"/>
        </w:rPr>
        <w:t>perbedaaan pandangan tersebut khusus pada reinkarnasi  terpisah (Infisāli). Dalam kitab Syarh Hikmah al-Isyraq</w:t>
      </w:r>
      <w:r>
        <w:rPr>
          <w:rStyle w:val="FootnoteAnchor"/>
        </w:rPr>
        <w:footnoteReference w:id="121"/>
      </w:r>
      <w:r>
        <w:rPr>
          <w:rFonts w:eastAsia="Times New Roman" w:cs="Times New Roman" w:ascii="Times New Roman" w:hAnsi="Times New Roman"/>
          <w:color w:val="111111"/>
          <w:sz w:val="28"/>
          <w:szCs w:val="28"/>
          <w:lang w:val="en-US"/>
        </w:rPr>
        <w:t>,  Qutbuddin Syirāzi mengemukakan beragam pandangan yantg  berkaitan dengan reinkarnasi, antara lain,  a. Pandangan ini berasal dari sekelompok kecil dari filsuf  terdahulu dan disebut sebagai Kelompok Reinkarnasi.</w:t>
      </w:r>
    </w:p>
    <w:p>
      <w:pPr>
        <w:pStyle w:val="BookText"/>
        <w:bidi w:val="0"/>
        <w:jc w:val="both"/>
        <w:rPr/>
      </w:pPr>
      <w:r>
        <w:rPr>
          <w:rFonts w:eastAsia="Times New Roman" w:cs="Times New Roman" w:ascii="Times New Roman" w:hAnsi="Times New Roman"/>
          <w:color w:val="111111"/>
          <w:sz w:val="28"/>
          <w:szCs w:val="28"/>
          <w:lang w:val="en-US"/>
        </w:rPr>
        <w:t>Mereka berpandangan bahwa jiwa bukan wujud  ruhani sehingga selalu membutuhkan raga fisik; jiwa  pascakematian kembali lagi pada raga yang lain. Dengan  dasar pandangan ini, semua jiwa akan terus, secara  kontinu, berpindah dari raga yang satu pada raga yang  lain dan pada pandangan ini sama sekali tidak terjadi  perbedaan antara jiwa yang telah mencapai kesempurnaan  ataupun tidak dan pada sisi ini terjadi perbedaan dengan  pandangan kedua.</w:t>
      </w:r>
    </w:p>
    <w:p>
      <w:pPr>
        <w:pStyle w:val="BookText"/>
        <w:bidi w:val="0"/>
        <w:jc w:val="both"/>
        <w:rPr/>
      </w:pPr>
      <w:r>
        <w:rPr>
          <w:rFonts w:eastAsia="Times New Roman" w:cs="Times New Roman" w:ascii="Times New Roman" w:hAnsi="Times New Roman"/>
          <w:color w:val="111111"/>
          <w:sz w:val="28"/>
          <w:szCs w:val="28"/>
          <w:lang w:val="en-US"/>
        </w:rPr>
        <w:t>b. Pandangan kedua ini dikemukakan oleh kelompok  Peripatetik, mulai dari Aristoteles dan pengikutnya hingga  para filsuf Muslim Peripatetik, seperti halnya Al-Farabi,  bahkan Ibn Sina dan para pengikutnya. Pandangan ini  berkaitan dengan jiwa yang tidak mencapai kesempurnaan,  baik pada amal maupun ilmu. Pascakematian jiwa yang  seperti ini akan hilang dan tidak dibangkitkan kembali  atau juga masuk pada dunia nonmaterial atau ruhani dan  meneruskan kehidupanya. Namun pada tingkat ini, terjadi  persoalan pada reinkarnasi terpisah (Infisāli), yaitu tidak  terjadi kaitan dengan raga sebelumnya.</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Pandangan ketiga adalah pandangan yang menerima  perpindahan dari satu raga kepada raga yang lain dalam  satu spesies, seperti perpindahan dari raga manusia yang </w:t>
      </w:r>
    </w:p>
    <w:p>
      <w:pPr>
        <w:pStyle w:val="BookText"/>
        <w:bidi w:val="0"/>
        <w:rPr/>
      </w:pPr>
      <w:r>
        <w:rPr>
          <w:rFonts w:eastAsia="Times New Roman" w:cs="Times New Roman" w:ascii="Times New Roman" w:hAnsi="Times New Roman"/>
          <w:color w:val="111111"/>
          <w:sz w:val="28"/>
          <w:szCs w:val="28"/>
          <w:lang w:val="en-US"/>
        </w:rPr>
        <w:t>satu kepada raga manusia yang lain.</w:t>
      </w:r>
    </w:p>
    <w:p>
      <w:pPr>
        <w:pStyle w:val="BookText"/>
        <w:bidi w:val="0"/>
        <w:jc w:val="both"/>
        <w:rPr/>
      </w:pPr>
      <w:r>
        <w:rPr>
          <w:rFonts w:eastAsia="Times New Roman" w:cs="Times New Roman" w:ascii="Times New Roman" w:hAnsi="Times New Roman"/>
          <w:color w:val="111111"/>
          <w:sz w:val="28"/>
          <w:szCs w:val="28"/>
          <w:lang w:val="en-US"/>
        </w:rPr>
        <w:t>d. Pandangan keempat adalah pandangan yang menerima  perpindahan jiwa kepada raga yang berbeda spesies,  tetapi jika raga sebelumnya adalah raga hewan, maka raga  berikutnya haruslah raga hewan juga.</w:t>
      </w:r>
    </w:p>
    <w:p>
      <w:pPr>
        <w:pStyle w:val="BookText"/>
        <w:bidi w:val="0"/>
        <w:jc w:val="both"/>
        <w:rPr/>
      </w:pPr>
      <w:r>
        <w:rPr>
          <w:rFonts w:eastAsia="Times New Roman" w:cs="Times New Roman" w:ascii="Times New Roman" w:hAnsi="Times New Roman"/>
          <w:color w:val="111111"/>
          <w:sz w:val="28"/>
          <w:szCs w:val="28"/>
          <w:lang w:val="en-US"/>
        </w:rPr>
        <w:t>e. Pandangan kelima adalah pandangan yang menyatakan  bahwa jiwa manusia dapat pindah ke selain manusia,  seperti pindah kepada raga tumbuh-tumbuhan, bahkan  binatang  f. Pandangan keenam menyatakan bahwa jiwa manusia  dapat berpindah kepada raga apa saja, bahkan kepada  bebatuan. Quthbudin Al-Razi menyebutkan bahwa  Ikhwan al-Safa cenderung pada pandangan keenam ini,  tetapi setelah melewati itu semua, jiwa akan berpindah ke  alam astrologis imajinal.</w:t>
      </w:r>
    </w:p>
    <w:p>
      <w:pPr>
        <w:pStyle w:val="BookText"/>
        <w:bidi w:val="0"/>
        <w:jc w:val="both"/>
        <w:rPr/>
      </w:pPr>
      <w:r>
        <w:rPr>
          <w:rFonts w:eastAsia="Times New Roman" w:cs="Times New Roman" w:ascii="Times New Roman" w:hAnsi="Times New Roman"/>
          <w:color w:val="111111"/>
          <w:sz w:val="28"/>
          <w:szCs w:val="28"/>
          <w:lang w:val="en-US"/>
        </w:rPr>
        <w:t>g. Pandangan ketujuh adalah pandangan yang diyakini  Syaikh Isyraq, bahwa jiwa menengah dari hamba-  hamba yang mendapatkan kebahagiaan akan berpindah  kepada fisik astrologis, sedangkan jiwa yang mengalami  penderitaan akan berpindah kepada raga binatang.</w:t>
      </w:r>
    </w:p>
    <w:p>
      <w:pPr>
        <w:pStyle w:val="BookText"/>
        <w:bidi w:val="0"/>
        <w:jc w:val="both"/>
        <w:rPr/>
      </w:pPr>
      <w:r>
        <w:rPr>
          <w:rFonts w:eastAsia="Times New Roman" w:cs="Times New Roman" w:ascii="Times New Roman" w:hAnsi="Times New Roman"/>
          <w:color w:val="111111"/>
          <w:sz w:val="28"/>
          <w:szCs w:val="28"/>
          <w:lang w:val="en-US"/>
        </w:rPr>
        <w:t xml:space="preserve">Namun, Syaikh Isyraq menolak perpindahan jiwa manusia  ke raga tumbuh-tumbuhan dan bebatuan. Dalam hal ini,  Syaikh Isyraq mengutip pandangan Yüzasif, </w:t>
      </w:r>
      <w:r>
        <w:rPr>
          <w:rStyle w:val="FootnoteAnchor"/>
        </w:rPr>
        <w:footnoteReference w:id="122"/>
      </w:r>
      <w:r>
        <w:rPr>
          <w:rFonts w:eastAsia="Times New Roman" w:cs="Times New Roman" w:ascii="Times New Roman" w:hAnsi="Times New Roman"/>
          <w:color w:val="111111"/>
          <w:sz w:val="28"/>
          <w:szCs w:val="28"/>
          <w:lang w:val="en-US"/>
        </w:rPr>
        <w:t>seorang  filsuf India yang mengemukakan dan meyakini pandangan  reinkarnasi.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Penolakan Mulla Sadra terhadap Reinkarnasi  Reinkarnasi, bagi Mulla Sadra, merupakan pandangan  yang berasal dari kekeliruan pemahaman terhadap apa yang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dibawa para filsuf terdahulu maupun para nabi. Mulla Sadra  secara mutlak menolak prinsip reinkarnasi ini, baik yang bersifat  naik (Su'ūdi) maupun turun (Nuzuli). Untuk itu, ia kemukakan  berbagai argumentasi penolakannya terhadap reinkarnasi,</w:t>
      </w:r>
      <w:r>
        <w:rPr>
          <w:rStyle w:val="FootnoteAnchor"/>
        </w:rPr>
        <w:footnoteReference w:id="123"/>
      </w:r>
      <w:r>
        <w:rPr>
          <w:rFonts w:eastAsia="Times New Roman" w:cs="Times New Roman" w:ascii="Times New Roman" w:hAnsi="Times New Roman"/>
          <w:color w:val="111111"/>
          <w:sz w:val="28"/>
          <w:szCs w:val="28"/>
          <w:lang w:val="en-US"/>
        </w:rPr>
        <w:t xml:space="preserve"> antara lain,  a. Jiwa memiliki keterikatan substantif dengan raga,  komposisi keduanya adalah komposisi kesatuan alamiah,  sekalipun satu dengan yang lainnya, secara substantif,  memiliki gerakan transubstansial. Jiwa pada awal  kehadirannya merupakan  potensi dalam segala      keadaannya, begitu pula  dengan raga. Keduanya  secara bersama keluar    dari potensi menuju    aktualitas dan derajat    potensi serta aksi pada    setiap bagian jiwa tertentu  di hadapan keadaan raga  yang khusus selama    terikat dengan raga. Jiwa    selalu berada dalam kondisi aktualisasi potensi selama  fase kehidupannya bersama raga. Jiwa, berdasarkan amal  perbuatannya, baik itu perbuatan baik ataupun perbuatan  buruk, merupakan aktualitas yang menghasilkan peringkat  wujud.</w:t>
      </w:r>
      <w:r>
        <w:rPr>
          <w:rStyle w:val="FootnoteAnchor"/>
        </w:rPr>
        <w:footnoteReference w:id="124"/>
      </w:r>
      <w:r>
        <w:rPr>
          <w:rFonts w:eastAsia="Times New Roman" w:cs="Times New Roman" w:ascii="Times New Roman" w:hAnsi="Times New Roman"/>
          <w:color w:val="111111"/>
          <w:sz w:val="28"/>
          <w:szCs w:val="28"/>
          <w:lang w:val="en-US"/>
        </w:rPr>
        <w:t xml:space="preserve">Ketika jiwa telah berada pada aktualitas tertentu,  maka mustahil baginya untuk kembali lagi pada tingkat  potensi murni pada bentuk tersebut, sebagaimana  mustahilnya kembalinya binatang yang telah mencapai </w:t>
      </w:r>
    </w:p>
    <w:p>
      <w:pPr>
        <w:pStyle w:val="BookText"/>
        <w:bidi w:val="0"/>
        <w:rPr/>
      </w:pPr>
      <w:r>
        <w:rPr>
          <w:rFonts w:eastAsia="Times New Roman" w:cs="Times New Roman" w:ascii="Times New Roman" w:hAnsi="Times New Roman"/>
          <w:color w:val="111111"/>
          <w:sz w:val="28"/>
          <w:szCs w:val="28"/>
          <w:lang w:val="en-US"/>
        </w:rPr>
        <w:t>derajat aktualitasnya sebagai binatang untuk kembali lagi  pada awal penciptaannya sebagai nutfah atau 'alaqah  karena gerakan transubstansial secara substantif terjadi  dan tidak mungkin berbalik, baik itu dipaksakan, alamiah,  keinginan, maupun ketidaksengajaan. Sekiranya ikatan  jiwa berpindah kepada raga lain yang masih dalam bentuk  janin misalnya, atau selainnya, maka akan mengakibatkan  yang satu berwujud sebagai potensi, sedangkan yang lain  dalam wujudnya secara aktua. Dengan kata lain, suatu  bentuk yang satu pada saat yang sama adalah potensi,  tetapi pada saat yang sama adalah aktual, dan ini jelas tidak  mungkin karena komposisi di antara keduanya adalah  kesatuan alamiah. Pada komposisi alamiah, mustahil  terjadi pada dua hal yang menyatu satu bagiannya adalah  potensi dan yang lain aktual.</w:t>
      </w:r>
    </w:p>
    <w:p>
      <w:pPr>
        <w:pStyle w:val="BookText"/>
        <w:bidi w:val="0"/>
        <w:jc w:val="both"/>
        <w:rPr/>
      </w:pPr>
      <w:r>
        <w:rPr>
          <w:rFonts w:eastAsia="Times New Roman" w:cs="Times New Roman" w:ascii="Times New Roman" w:hAnsi="Times New Roman"/>
          <w:color w:val="111111"/>
          <w:sz w:val="28"/>
          <w:szCs w:val="28"/>
          <w:lang w:val="en-US"/>
        </w:rPr>
        <w:t>b. Setiap yang terkomposisi alamiah tersusun dari materi  dan forma, baik itu jiwa maupun raga, baik itu raga  binatang, raga alami lain, maupun jenis lain dari kesatuan.</w:t>
      </w:r>
    </w:p>
    <w:p>
      <w:pPr>
        <w:pStyle w:val="BookText"/>
        <w:bidi w:val="0"/>
        <w:jc w:val="both"/>
        <w:rPr/>
      </w:pPr>
      <w:r>
        <w:rPr>
          <w:rFonts w:eastAsia="Times New Roman" w:cs="Times New Roman" w:ascii="Times New Roman" w:hAnsi="Times New Roman"/>
          <w:color w:val="111111"/>
          <w:sz w:val="28"/>
          <w:szCs w:val="28"/>
          <w:lang w:val="en-US"/>
        </w:rPr>
        <w:t>Tidak mungkin terjadi bahwa yang satu bagian menjadi  hilang dan satu lainnya tetap sebagai unsur materi dan  forma karena hubungan antara materi dengan forma  adalah hubungan kekurangan, maka keberadaan setiap  materi pastilah bersama dengan formanya yang keluar  dari potensi menjadi aktual, demikian pula dengan  forma dari segi substansi dan zatnya sebagai sebuah  forma pastilah mengandung materi sebagai identitas dan  kekhususan bagi kondisi dan aktivitasnya secara khusus.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salah satu dari materi terbentuk, maka pastilah  terbentuk dengan terbentuknya forma bersamanya dalam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satu dimensi. Sekiranya materi tersebut hancur, maka  hancur pulalah formanya karena forma dari sesuatu  adalah pelengkap dan penyempurnanya sehingga wujud  sesuatu yang kurang sebagai sesuatu yang kurang adalah  mustahil karena kesempurnaan sesuatu adalah pendiri  dan penyebabnya. Demikian pula kesempurnaan sesuatu;  jika hilang kesempurnaannya, maka hilang pula sesuatu  tersebut. Demikian pula bahwa setiap bagian dari satu  genus; jika genus tersebut hilang, maka hilang pula jenis  yang membentuk dirinya,</w:t>
      </w:r>
      <w:r>
        <w:rPr>
          <w:rStyle w:val="FootnoteAnchor"/>
        </w:rPr>
        <w:footnoteReference w:id="125"/>
      </w:r>
      <w:r>
        <w:rPr>
          <w:rFonts w:eastAsia="Times New Roman" w:cs="Times New Roman" w:ascii="Times New Roman" w:hAnsi="Times New Roman"/>
          <w:color w:val="111111"/>
          <w:sz w:val="28"/>
          <w:szCs w:val="28"/>
          <w:lang w:val="en-US"/>
        </w:rPr>
        <w:t xml:space="preserve">begitupun sebaliknya. Seperti  itu juga hubungan antara jiwa dan raga tertentu yang  bersamanya, kaitan keduanya adalah kaitan kejadian dan  kehancuran (al-Kawn wa al-Fasād). Jiwa dalam posisinya  sebagai jiwa merupakan hakikat forma spesies bagi raga  dan merupakan sebab formal (Surriyyāh) bagi zat spesies  yang dihasilkan dari aktivitas jiwa, sedangkan raga  dalam posisinya sebagai raga merupakan materi bagi  jiwa yang terikat kepadanya dan merupakan sebab materi  bagi spesies. Sebagaimana yang telah diketahui, jiwa  selama menjadi substansi yang lemah merupakan bagian  dari wujud yang rendah dan membutuhkan hubungan  dengan raga fisik, seperti halnya pada sebagian forma  dan aksiden. Jika kaitan antara keduanya dalam bentuk  yang seperti ini, kaitan dalam wujud dan kebersamaan  substantif di antara keduanya merupakan kaitan materi  dasar yang tetap (al-Hayūla al-Tsābita), maka hilangnya  salah satu diantaranya akan menyebabkan hilangnya yang  lain. Akan tetapi, pada jiwa manusia terdapat konteks lain  dari wujud yang bukan merupakan wujud yang terikat </w:t>
      </w:r>
    </w:p>
    <w:p>
      <w:pPr>
        <w:pStyle w:val="BookText"/>
        <w:bidi w:val="0"/>
        <w:rPr/>
      </w:pPr>
      <w:r>
        <w:rPr>
          <w:rFonts w:eastAsia="Times New Roman" w:cs="Times New Roman" w:ascii="Times New Roman" w:hAnsi="Times New Roman"/>
          <w:color w:val="111111"/>
          <w:sz w:val="28"/>
          <w:szCs w:val="28"/>
          <w:lang w:val="en-US"/>
        </w:rPr>
        <w:t>secara pasif alami (al-Wujūd ta'alūqi al-Infi'āli al-Tabi'i),  baik rasional murni ataupun selainnya. Kehancurannya  dalam konteksnya sebagai jiwa atau forma alami lainnya  tidaklah menyebabkan kehancuran dirinya secara mutlak  karena dirinya dihasilkan melalui keberadaan pembeda  (Mufāriqi) dan wujud tersebut mustahil terikat pada raga  materi setelah terpisah dan argumentasi ini membatalkan  pandangan reinkarnasi, baik dalam bentuk Naik (Su’ūdi)  ataupun Turun (Nuzūlī).</w:t>
      </w:r>
    </w:p>
    <w:p>
      <w:pPr>
        <w:pStyle w:val="BookText"/>
        <w:bidi w:val="0"/>
        <w:jc w:val="both"/>
        <w:rPr/>
      </w:pPr>
      <w:r>
        <w:rPr>
          <w:rFonts w:eastAsia="Times New Roman" w:cs="Times New Roman" w:ascii="Times New Roman" w:hAnsi="Times New Roman"/>
          <w:color w:val="111111"/>
          <w:sz w:val="28"/>
          <w:szCs w:val="28"/>
          <w:lang w:val="en-US"/>
        </w:rPr>
        <w:t>c. Jiwa manusia adalah sesuatu yang baru melalui kebaruan  pencampuran manusia melalui tingkat nutfah, janin,  hingga mencapai derajat manusia. Pada saat yang sama,  manusia tersebut telah melalui proses penyempurnaan  alami melewati derajat tumbuh-tumbuhan, hewan yang  dihasilkan pada setiap bagian dari materi, forma, raga  dan jiwa. Penyempurnaan nutfah manusia haruslah  dalam proses perubahan ciptaan, mulai dari bebatuan,  tumbuh-tumbuhan binatang, kemudian manusia.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sebagaimana pandangan sebagian orang yang  menyatakan bahwa kejadian terjadi pascakehancuran dan  kehancuran terjadi pascakejadian (al-Kawn wa al-Fasād);  terbentuknya dari satu forma ke forma yang lain yang  berbeda wujud (Mutabā'inah al-wujud). Yang seperti ini  keliru, mengingat ketidakmungkinan perubahan subjek  alami yang melakukan pengendalian terhadap materi  menjadi subjek alami yang lain sehingga menjadikan  dua subjek dalam satu tempat dalam proses perbuatan  yang dilakukan, sebagaimana mustahilnya perpindahan  aktivitas alami dari salah satu subjek alami kepada yang </w:t>
      </w:r>
    </w:p>
    <w:p>
      <w:pPr>
        <w:pStyle w:val="BookText"/>
        <w:bidi w:val="0"/>
        <w:rPr/>
      </w:pPr>
      <w:r>
        <w:rPr>
          <w:rFonts w:eastAsia="Times New Roman" w:cs="Times New Roman" w:ascii="Times New Roman" w:hAnsi="Times New Roman"/>
          <w:color w:val="111111"/>
          <w:sz w:val="28"/>
          <w:szCs w:val="28"/>
          <w:lang w:val="en-US"/>
        </w:rPr>
        <w:t>lainnya. Demikian pula kemustahilan yang terjadi pada  perpindahan subjek yang satu dari perbuatan alami  kepada perbuatan alami yang tidak berkaitan dengan yang  pertama tanpa kesatuan dimensional di antara keduanya.</w:t>
      </w:r>
    </w:p>
    <w:p>
      <w:pPr>
        <w:pStyle w:val="BookText"/>
        <w:bidi w:val="0"/>
        <w:jc w:val="both"/>
        <w:rPr/>
      </w:pPr>
      <w:r>
        <w:rPr>
          <w:rFonts w:eastAsia="Times New Roman" w:cs="Times New Roman" w:ascii="Times New Roman" w:hAnsi="Times New Roman"/>
          <w:color w:val="111111"/>
          <w:sz w:val="28"/>
          <w:szCs w:val="28"/>
          <w:lang w:val="en-US"/>
        </w:rPr>
        <w:t>Hal tersebut adalah makna reinkarnasi. Dengan logika  seperti ini, reinkarnasi adalah keliru.</w:t>
      </w:r>
    </w:p>
    <w:p>
      <w:pPr>
        <w:pStyle w:val="BookText"/>
        <w:bidi w:val="0"/>
        <w:jc w:val="both"/>
        <w:rPr/>
      </w:pPr>
      <w:r>
        <w:rPr>
          <w:rFonts w:eastAsia="Times New Roman" w:cs="Times New Roman" w:ascii="Times New Roman" w:hAnsi="Times New Roman"/>
          <w:color w:val="111111"/>
          <w:sz w:val="28"/>
          <w:szCs w:val="28"/>
          <w:lang w:val="en-US"/>
        </w:rPr>
        <w:t>d. Jiwa, setelah berpisah dari raga, terjadi fase keterpisahan.</w:t>
      </w:r>
    </w:p>
    <w:p>
      <w:pPr>
        <w:pStyle w:val="BookText"/>
        <w:bidi w:val="0"/>
        <w:jc w:val="both"/>
        <w:rPr/>
      </w:pPr>
      <w:r>
        <w:rPr>
          <w:rFonts w:eastAsia="Times New Roman" w:cs="Times New Roman" w:ascii="Times New Roman" w:hAnsi="Times New Roman"/>
          <w:color w:val="111111"/>
          <w:sz w:val="28"/>
          <w:szCs w:val="28"/>
          <w:lang w:val="en-US"/>
        </w:rPr>
        <w:t>Masa berpisahnya dari raga pertama bukanlah masa  perpindahannya pada raga berikutnya dan di antara  keduanya ada fase yang memisahkannya sehingga di antara  kedua raga tersebut terjadi kevakuman dari pengendalian  dan pengelolaan. Kevakuman tersebut adalah mustahil  sehingga menyebabkan reinkarnasi pun mustahil.</w:t>
      </w:r>
    </w:p>
    <w:p>
      <w:pPr>
        <w:pStyle w:val="BookText"/>
        <w:bidi w:val="0"/>
        <w:jc w:val="both"/>
        <w:rPr/>
      </w:pPr>
      <w:r>
        <w:rPr>
          <w:rFonts w:eastAsia="Times New Roman" w:cs="Times New Roman" w:ascii="Times New Roman" w:hAnsi="Times New Roman"/>
          <w:color w:val="111111"/>
          <w:sz w:val="28"/>
          <w:szCs w:val="28"/>
          <w:lang w:val="en-US"/>
        </w:rPr>
        <w:t>e. Argumentasi kelima adalah argumentasi yang paling kuat  yang dikemukakan Mulla Sadra, tetapi argumentasi ini  membutuhkan beberapa premis, antara lain, pertama,  ikatan jiwa dengan raga adalah ikatan esensial (Zātī).</w:t>
      </w:r>
      <w:r>
        <w:rPr>
          <w:rStyle w:val="FootnoteAnchor"/>
        </w:rPr>
        <w:footnoteReference w:id="126"/>
      </w:r>
      <w:r>
        <w:rPr>
          <w:rFonts w:eastAsia="Times New Roman" w:cs="Times New Roman" w:ascii="Times New Roman" w:hAnsi="Times New Roman"/>
          <w:color w:val="111111"/>
          <w:sz w:val="28"/>
          <w:szCs w:val="28"/>
          <w:lang w:val="en-US"/>
        </w:rPr>
        <w:t xml:space="preserve"> Kedua, komposisi jiwa dan raga adalah komposisi  alami.</w:t>
      </w:r>
      <w:r>
        <w:rPr>
          <w:rStyle w:val="FootnoteAnchor"/>
        </w:rPr>
        <w:footnoteReference w:id="127"/>
      </w:r>
      <w:r>
        <w:rPr>
          <w:rFonts w:eastAsia="Times New Roman" w:cs="Times New Roman" w:ascii="Times New Roman" w:hAnsi="Times New Roman"/>
          <w:color w:val="111111"/>
          <w:sz w:val="28"/>
          <w:szCs w:val="28"/>
          <w:lang w:val="en-US"/>
        </w:rPr>
        <w:t>Ketiga, komposisi jiwa dan raga adalah komposisi  kesatuan.</w:t>
      </w:r>
      <w:r>
        <w:rPr>
          <w:rStyle w:val="FootnoteAnchor"/>
        </w:rPr>
        <w:footnoteReference w:id="128"/>
      </w:r>
      <w:r>
        <w:rPr>
          <w:rFonts w:eastAsia="Times New Roman" w:cs="Times New Roman" w:ascii="Times New Roman" w:hAnsi="Times New Roman"/>
          <w:color w:val="111111"/>
          <w:sz w:val="28"/>
          <w:szCs w:val="28"/>
          <w:lang w:val="en-US"/>
        </w:rPr>
        <w:t>Keempat, pada saat melakukan persepsi, jiwa  dalam identitasnya sebagai yang nonmateri melakukan  aktivitas tersebut, tetapi hubungan jiwa dengan raga tetap  terpelihara. Kelima, dalam fase-fase perkembangannya,  jiwa, bersamaan dengan keluarnya raga dari potensi  menjadi aktual, tetap melakukan aktivitas spesifiknya dan  ketika terjadi kematian-raga tidak lagi dapat melakukan  aktivitasnya-jiwa berkembang pada tingkat kesempurnaan  aktualitasnya dan ini menyebabkan putusnya hubungan  antara jiwa dengan raga.</w:t>
      </w:r>
      <w:r>
        <w:rPr>
          <w:rStyle w:val="FootnoteAnchor"/>
        </w:rPr>
        <w:footnoteReference w:id="12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Ketika buah tersebut terlepas dari ikatannya dengan pohon  yang selama ini menjadi tempat tumbuh dan bergantung, ia  memulai aktivitasnya sendiri dan pohon pun demikian. Jiwa  pun demikian; ia membutuhkan raga untuk tumbuh dan  berkembang dan ketika jiwa dalam perkembangannya tidak        lagi membutuhkan raga, maka ia akan melepaskan diri dari  raga dan memulai aktivitasnya.</w:t>
      </w:r>
    </w:p>
    <w:p>
      <w:pPr>
        <w:pStyle w:val="BookText"/>
        <w:bidi w:val="0"/>
        <w:rPr/>
      </w:pPr>
      <w:r>
        <w:rPr>
          <w:rFonts w:eastAsia="Times New Roman" w:cs="Times New Roman" w:ascii="Times New Roman" w:hAnsi="Times New Roman"/>
          <w:color w:val="111111"/>
          <w:sz w:val="28"/>
          <w:szCs w:val="28"/>
          <w:lang w:val="en-US"/>
        </w:rPr>
        <w:t>Dengan lima pendahuluan ini, Mulla Sadra menolak  konsep reinkarnasi. Menurutnya, jika jiwa pascakematian  berpindah pada raga lain yang terpisah dan berbeda dengan  raga sebelumnya. Perpindahan ini, baik tanpa membawa  aktualitas raga sebelumnya dan sesuai dengan aktualitas raga  kedua maupun jiwa dengan tetap menjaga aktualitasnya dalam  kehidupan sebelumnya, mengalami perpindahan padaragakedua.</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menurut Mulla Sadra, kedua pengandaian kaidah  bersyarat yang berkesinambungan di atas keliru. Kekeliruan  tersebut dipicu oleh dasar pijakan utama yang menyatakan jika  jiwa terlepas dari beragam aktualitas sebelumnya yang pernah  ada, kemudian kembali lagi pada tingkat potensial, maka  pertama, perubahan ini adalah perubahan kemunduran dan  seluruh pengetahuan, baik filsafat maupun sains, menolak hal  ini; kedua, tidak bisa dikatakan bahwa personalitas berikutnya,  setelah berpindahnya jiwa dari raga pertama pada raga kedua  adalah personalitas diri sebelumnya. </w:t>
      </w:r>
      <w:r>
        <w:rPr>
          <w:rStyle w:val="FootnoteAnchor"/>
        </w:rPr>
        <w:footnoteReference w:id="130"/>
      </w:r>
      <w:r>
        <w:rPr>
          <w:rFonts w:eastAsia="Times New Roman" w:cs="Times New Roman" w:ascii="Times New Roman" w:hAnsi="Times New Roman"/>
          <w:color w:val="111111"/>
          <w:sz w:val="28"/>
          <w:szCs w:val="28"/>
          <w:lang w:val="en-US"/>
        </w:rPr>
        <w:t xml:space="preserve"> Apa yang dimaksudkan Mulla Sadra di atas dapat  dijelaskan sebagai berikut: jiwa, selama kehidupannya  pertama dengan raga yang pertama telah mengalami proses  pengembangan diri dengan dan menghasilkan aktualitas hingga  tingkat tertentu ketika terjadi kematian, selanjutnya, jika  reinkarnasi dapat dibenarkan akan terjadi dua kemungkinan  berikut, yaitu jiwa tersebut berpindah kepada raga berikutnya  tanpa aktualitas yang dimiliki sehingga masuk ke dalam raga  dan menyebabkan jiwa tersebut kembali lagi pada tingkat  potensi yang sebelumnya telah aktual. Hal ini berdasarkan  prinsip pengetahuan maupun filsafat tidak mungkin terjadi atau </w:t>
      </w:r>
    </w:p>
    <w:p>
      <w:pPr>
        <w:pStyle w:val="BookText"/>
        <w:bidi w:val="0"/>
        <w:rPr/>
      </w:pPr>
      <w:r>
        <w:rPr>
          <w:rFonts w:eastAsia="Times New Roman" w:cs="Times New Roman" w:ascii="Times New Roman" w:hAnsi="Times New Roman"/>
          <w:color w:val="111111"/>
          <w:sz w:val="28"/>
          <w:szCs w:val="28"/>
          <w:lang w:val="en-US"/>
        </w:rPr>
        <w:t>kemungkinan kedua, jiwa tersebut tetap dengan aktualitas yang  dimilikinya masuk pada raga yang sesuai dan ini tetap akan  menghilangkan identitas jiwa sebelumnya karena kebaruan raga  tersebut menyebabkan jiwa menjadi baru pula, sedangkan raga  kedua yang berkesesuaian tersebut untuk dapat sampai pada  tingkat aktualitas, sebagaiamana yang dimiliki jiwa pertama,  haruslah mengalami proses dan untuk itu, dia membutuhkan  jiwa yang membawanya pada tingkat tersebut. Kemungkinan  kedua ini menyebabkan dua hal: pertama, hilangnya identitas  jiwa pertama dan menyebabkannya menjadi baru; dan kedua,  terkumpulnya dua jiwa pada raga yang satu. Karenanya,  dasar pengandaian ini keliru dan kekeliruan ini menghasilkan  kesimpulan yang juga keliru.</w:t>
      </w:r>
    </w:p>
    <w:p>
      <w:pPr>
        <w:pStyle w:val="BookText"/>
        <w:bidi w:val="0"/>
        <w:jc w:val="both"/>
        <w:rPr/>
      </w:pPr>
      <w:r>
        <w:rPr>
          <w:rFonts w:eastAsia="Times New Roman" w:cs="Times New Roman" w:ascii="Times New Roman" w:hAnsi="Times New Roman"/>
          <w:color w:val="111111"/>
          <w:sz w:val="28"/>
          <w:szCs w:val="28"/>
          <w:lang w:val="en-US"/>
        </w:rPr>
        <w:t>Semangat Mulla Sadra dalam menolak reinkarnasi jelas  berangkat dari prinsip-prinsip filsafat yang dikembangkannya,  terutama gerakan transubstansial sebagai gerakan progresif,  di samping, tentu saja, tidak bisa dilepaskan dari pengaruh  Ibn Sina. Hal ini terlihat dari pembelaan Mulla Sadra terhadap  argumentasi penolakan reinkarnasi yang digunakan Ibn Sina.</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Jika demikian (terjadinya reinkarnasi), maka tidaklah  mungkin terjadi jiwa yang telah terpisah dari raga kembali  dan masuk kedalam raga manusia yang lain. Karena raga  yang baru memunculkan jiwa yang baru bersamanya, maka  (jika terjadi reinkarnasi) akan terjadi pada raga yang baru  jiwa yang lain sehingga menyebabkan seorang manusia  memiliki dua jiwa sekaligus. Akan tetapi, seluruh manusia,  sesungguhnya, hanya memiliki satu jiwa, tidak dapat  terpikirkan, kecuali jiwa yang satu semata. Sekalipun ada  jiwa yang lain pada sebuah raga, maka tidaklah berfungsi  bersamanya dan tidak juga memunculkan manfaat bagi  raga, maka pastilah jiwa tersebut bukanlah jiwa dirinya  karena jiwa di dalam raga tidaklah menempati hanya satu  bagian tertentu atau menempel sebagai zat bagi bagian  tertentu dari raga, melainkan jiwa merupakan pengendali  dan difungsikan melalui raga. Maka jelas dan benderanglah  bahwa jiwa-jiwa manusia adalah sesuatu yang baru dan  tetap setelah (kehancuran) materi dan tidak tinggal di  dalam raga-raga tersebut dan tidak juga terjadi reinkarnasi.</w:t>
      </w:r>
    </w:p>
    <w:p>
      <w:pPr>
        <w:pStyle w:val="BookText"/>
        <w:bidi w:val="0"/>
        <w:jc w:val="both"/>
        <w:rPr/>
      </w:pPr>
      <w:r>
        <w:rPr>
          <w:rFonts w:eastAsia="Times New Roman" w:cs="Times New Roman" w:ascii="Times New Roman" w:hAnsi="Times New Roman"/>
          <w:color w:val="111111"/>
          <w:sz w:val="28"/>
          <w:szCs w:val="28"/>
          <w:lang w:val="en-US"/>
        </w:rPr>
        <w:t>Lihat: Ibn Sina, Al-Mabda, hal. 108-109. Teks aslinya  sebagai berikut:</w:t>
      </w:r>
    </w:p>
    <w:p>
      <w:pPr>
        <w:pStyle w:val="BookText"/>
        <w:bidi w:val="0"/>
        <w:jc w:val="both"/>
        <w:rPr/>
      </w:pPr>
      <w:r>
        <w:rPr>
          <w:rFonts w:ascii="IRNazanin" w:hAnsi="IRNazanin" w:eastAsia="IRNazanin"/>
          <w:color w:val="111111"/>
          <w:sz w:val="28"/>
          <w:sz w:val="28"/>
          <w:szCs w:val="28"/>
          <w:rtl w:val="true"/>
          <w:lang w:bidi="fa-IR"/>
        </w:rPr>
        <w:t>وإذا کان هکذا فلا یجوز أن تکون النفس التی تفارق تعود فتدخل بدنا آخر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البدن الحادث یحدث له معه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صارله نفس أخری صار  ذلک الانسان ذانفسین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انسان انما هو ذو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 إلا بنفس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له نفس اخری لا یشعر بها ولا یحدث له منها فا ئدة فلیست  تلک نفسا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النفس فی البدن لیس أنها تودع زاویة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اویکون  عرضا فی جزء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أنها مدبرة للبدن مستعملة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فقدبان  ووضح أن الانفس الإنسانیة حادثة وباقیة بعد المادة بلا کرور فی الأبدان ولا  تناسخ</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Kita dapat melihat argumen yang sama digunakan Mulla  Sadra untuk menolak reinkarnasi. Hanya pada tangan Mulla  Sadra argumentasi Ibn Sina ini mendapatkan perluasan  makna.</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Selain itu, dalam upayanya untuk memberikan landasan bagi  pandangan Eskatologi yang dikembangkannya karena sekiranya  masih ada kemungkinan terjadinya reinkarnasi, hal itu merupakan  kesulitan besar bagi Mulla Sadra untuk dapat menetapkan  kebenaran pandangan Eskatologinya, mengingat bahwa kritik  Mulla Sadra terhadap pandangan Eskatologi pemikir muslim  sebelum dirinya, sebagaimana yang akan dijelaskan kemudian  bertumpu pada persoalan reinkarnasi sehingga adalah hal  yang wajar Mulla Sadra dengan semangatnya yang luar biasa  melakukan penolakan terhadap konsep reinkarnasi.</w:t>
      </w:r>
    </w:p>
    <w:p>
      <w:pPr>
        <w:pStyle w:val="BookText"/>
        <w:bidi w:val="0"/>
        <w:rPr/>
      </w:pPr>
      <w:r>
        <w:rPr>
          <w:rFonts w:eastAsia="Times New Roman" w:cs="Times New Roman" w:ascii="Times New Roman" w:hAnsi="Times New Roman"/>
          <w:color w:val="111111"/>
          <w:sz w:val="28"/>
          <w:szCs w:val="28"/>
          <w:lang w:val="en-US"/>
        </w:rPr>
        <w:t>Akan tetapi, persoalan yang  patut di cermati dan menuntut    penjelasan Mulla Sadra, berkaitan    dengan penolakannya terhadap    reinkarnasi, ada dua hal, yaitu  pertama, berkaitan dengan konsep    Ruj'ah dan kedua, berkaitan dengan  peritiwa kembalinya Uzair dari  kematian setelah seratus tahun.</w:t>
      </w:r>
      <w:r>
        <w:rPr>
          <w:rStyle w:val="FootnoteAnchor"/>
        </w:rPr>
        <w:footnoteReference w:id="13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Atau apakah (kamu tidak memperhatikan) orang yang  melalui suatu negeri yang (temboknya) telah roboh menutupi  atapnya. Dia berkata: “Bagaimana Allah menghidupkan  kembali negeri ini setelah hancur ?" Maka Allah mematikan  orang itu seratus tahun, kemudian menghidupkannya  kembali. Allah bertanya: “Berapa lama kamu tinggal disini?"  la menjawab: "Saya telah tinggal di sini sehari atau setengah  hari", Allah berfirman: "Sebenarnya kamu telah tinggal di  sini seratus tahun lamanya; lihatlah kepada makanan dan  minumanmu yang belum berubah; dan lihatlah kepada  keledai kamu (yang telah menjadi tulang belulang); Kami  akan menjadikan kamu tanda kekuasaan Kami bagi manusia;  dan lihatlah kepada tulang belulang keledai itu, kemudian  Kami menyusunnya kembali, kemudian kami membalutnya  dengan daging". Maka tatkala telah nyata kepadanya  (bagaimana Allah menghidupkan yang telah mati) diapun  berkata: “Saya yakin bahwa Allah Maha Kuasa atas segala  sesuatu."</w:t>
      </w:r>
    </w:p>
    <w:p>
      <w:pPr>
        <w:pStyle w:val="BookText"/>
        <w:bidi w:val="0"/>
        <w:jc w:val="both"/>
        <w:rPr/>
      </w:pPr>
      <w:r>
        <w:rPr>
          <w:rFonts w:eastAsia="Times New Roman" w:cs="Times New Roman" w:ascii="Times New Roman" w:hAnsi="Times New Roman"/>
          <w:color w:val="111111"/>
          <w:sz w:val="28"/>
          <w:szCs w:val="28"/>
          <w:lang w:val="en-US"/>
        </w:rPr>
        <w:t>Seperti yang telah diketahui, Mulla  Sadra adalah penganut mazhab    Syi'ah Imāmiyyah Itsna Asyariyyah  (Syiah 12 Imam). Diantara doktrin teologis mazhab Syi'ah  adalah keyakinan akan al-Ruj'ah. Yang dimaksud dengan al-  Ruj’ah, sebagaimana yang dijelaskan Syaikh Mufid, adalah  “Sesungguhnya, Allah Ta'ala akan menghidupkan sekelompok  orang dari umat Muhammad Saw. setelah kematian mereka  sebelum hari kiamat. Mazhab ini khusus mazhab keluarga  Muhammad Saw..... Sesungguhnya, ruj'ah terjadi bagi mereka  yang memiliki puncak keimanan dan puncak kemunafikan dari  umat ini."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IRNazanin" w:hAnsi="IRNazanin" w:eastAsia="IRNazanin"/>
          <w:color w:val="111111"/>
          <w:sz w:val="28"/>
          <w:sz w:val="28"/>
          <w:szCs w:val="28"/>
          <w:rtl w:val="true"/>
          <w:lang w:bidi="fa-IR"/>
        </w:rPr>
        <w:t xml:space="preserve">ان الله تعالی یحیی قوما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والرجعة انما هی لممحضی الإ  وهذا مذهب یختص به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یمان من اهل الملة و ممحضی النفاق منهم دون من سلف من الأمم الخالیة</w:t>
      </w:r>
    </w:p>
    <w:p>
      <w:pPr>
        <w:pStyle w:val="BookText"/>
        <w:bidi w:val="0"/>
        <w:jc w:val="both"/>
        <w:rPr/>
      </w:pPr>
      <w:r>
        <w:rPr>
          <w:rFonts w:eastAsia="Times New Roman" w:cs="Times New Roman" w:ascii="Times New Roman" w:hAnsi="Times New Roman"/>
          <w:color w:val="111111"/>
          <w:sz w:val="28"/>
          <w:szCs w:val="28"/>
          <w:lang w:val="en-US"/>
        </w:rPr>
        <w:t>Bahwa sebelum hari Kiamat tiba dan setelah revolusi  yang dilakukan Imam Al-Mahdi,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akan dibangkitkan sebagian  manusia dari umat Nabi Muhammad Saw. Mereka yang  dibangkitkan adalah sekelompok dari mereka yang memiliki  keimanan dan kesalehan yang luar biasa, tetapi diperlakukan  dengan zalim, bahkan terbunuh melalui tangan-tangan zalim.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Sekelompok lainnya adalah mereka yang kufur dan melakukan  kezaliman. Tujuan utama mereka dibangkitkan agar masing- </w:t>
      </w:r>
    </w:p>
    <w:p>
      <w:pPr>
        <w:pStyle w:val="BookText"/>
        <w:bidi w:val="0"/>
        <w:rPr/>
      </w:pPr>
      <w:r>
        <w:rPr>
          <w:rFonts w:eastAsia="Times New Roman" w:cs="Times New Roman" w:ascii="Times New Roman" w:hAnsi="Times New Roman"/>
          <w:color w:val="111111"/>
          <w:sz w:val="28"/>
          <w:szCs w:val="28"/>
          <w:lang w:val="en-US"/>
        </w:rPr>
        <w:t>masing mendapatkan haknya dan keadilan ditegakkan.</w:t>
      </w:r>
      <w:r>
        <w:rPr>
          <w:rStyle w:val="FootnoteAnchor"/>
        </w:rPr>
        <w:footnoteReference w:id="133"/>
      </w:r>
      <w:r>
        <w:rPr>
          <w:rFonts w:eastAsia="Times New Roman" w:cs="Times New Roman" w:ascii="Times New Roman" w:hAnsi="Times New Roman"/>
          <w:color w:val="111111"/>
          <w:sz w:val="28"/>
          <w:szCs w:val="28"/>
          <w:lang w:val="en-US"/>
        </w:rPr>
        <w:t xml:space="preserve"> Pandangan al-Ruj'ah ini didasarkan pada ayat Alquran :</w:t>
      </w:r>
    </w:p>
    <w:p>
      <w:pPr>
        <w:pStyle w:val="BookText"/>
        <w:bidi w:val="0"/>
        <w:jc w:val="both"/>
        <w:rPr/>
      </w:pPr>
      <w:r>
        <w:rPr>
          <w:rFonts w:eastAsia="Times New Roman" w:cs="Times New Roman" w:ascii="Times New Roman" w:hAnsi="Times New Roman"/>
          <w:color w:val="111111"/>
          <w:sz w:val="28"/>
          <w:szCs w:val="28"/>
          <w:lang w:val="en-US"/>
        </w:rPr>
        <w:t>"Pada hari Kami kumpulkan dari setiap umat segolongan  orang-orang yang mendustakan ayat-ayat Kami, lalu mereka  Kami bagi-bagi."</w:t>
      </w:r>
      <w:r>
        <w:rPr>
          <w:rStyle w:val="FootnoteAnchor"/>
        </w:rPr>
        <w:footnoteReference w:id="13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Menurut Ja'far Subhani, ayat tersebut menunjukkan  pengumpulan sekelompok orang, padahal jika yang dimaksud  pengumpulan pada hari kiamat, maka seluruh manusia akan  dikumpulkan secara bersama, tidak sebagiannya saja. Karenanya,  peristiwa tersebut terjadi sebelum hari Kiamat tiba.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persoalan ini, sayangnya, sama sekali tidak  disinggung oleh Mulla Sadra ketika membicarakan eskatologi,  padahal sudah merupakan tradisi dalam teologi Syi'ah, ketika  berbicara tentang eskatologi, maka termasuk tema yang dibahas  di dalamnya adalah persoalan al-Ruj'ah. Hal ini dapat dipahami  pada Mulla Sadra, mengingat penolakannya terhadap reinkarnasi  dalam keseluruhan jenisnya, sedangkan pandangan al-Ruj'ah  dan kembalinya Uzair a.s. dari kematian, jika Mulla Sadra  menerima konsepsi tersebut, maka akan menjadi kontradiksi  dengan konsepsinya tentang reinkarnasi karena tidak bisa tidak  bahwa peristiwa tersebut harus juga digolongkan sebagai bagian  reinkarnasi. Sekiranya Mulla Sadra menolak kedua persoalan  tersebut, maka untuk persoalan kedua, Mulla Sadra haruslah  menjelaskan secara lebih rinci, mengingat penerimaan apa yang  digambarkan ayat tersebut secara zahir dapat menggugurkan  penolakan Mulla Sadra terhadap reinkarnasi. Namun sampai  saat ini, penulis belum menemukan penjelasan Mulla Sadra</w:t>
      </w:r>
      <w:bookmarkStart w:id="98" w:name="pg6434_60655"/>
    </w:p>
    <w:p>
      <w:pPr>
        <w:pStyle w:val="BookText"/>
        <w:bidi w:val="0"/>
        <w:rPr/>
      </w:pPr>
      <w:bookmarkEnd w:id="98"/>
      <w:r>
        <w:rPr>
          <w:rFonts w:eastAsia="Times New Roman" w:cs="Times New Roman" w:ascii="Times New Roman" w:hAnsi="Times New Roman"/>
          <w:color w:val="111111"/>
          <w:sz w:val="28"/>
          <w:szCs w:val="28"/>
          <w:lang w:val="en-US"/>
        </w:rPr>
        <w:t>berkaitan persoalan tersebut.</w:t>
      </w:r>
    </w:p>
    <w:p>
      <w:pPr>
        <w:pStyle w:val="Heading3"/>
        <w:numPr>
          <w:ilvl w:val="2"/>
          <w:numId w:val="1"/>
        </w:numPr>
        <w:bidi w:val="0"/>
        <w:jc w:val="left"/>
        <w:rPr/>
      </w:pPr>
      <w:bookmarkStart w:id="99" w:name="__RefHeading___Toc808206_653776707"/>
      <w:bookmarkStart w:id="100" w:name="_Toc32"/>
      <w:bookmarkEnd w:id="99"/>
      <w:r>
        <w:rPr/>
        <w:t>4. Sebelas Prinsip Dasar Eskatologi</w:t>
      </w:r>
      <w:bookmarkEnd w:id="100"/>
    </w:p>
    <w:p>
      <w:pPr>
        <w:pStyle w:val="BookText"/>
        <w:bidi w:val="0"/>
        <w:jc w:val="both"/>
        <w:rPr/>
      </w:pPr>
      <w:r>
        <w:rPr>
          <w:rFonts w:eastAsia="Times New Roman" w:cs="Times New Roman" w:ascii="Times New Roman" w:hAnsi="Times New Roman"/>
          <w:color w:val="111111"/>
          <w:sz w:val="28"/>
          <w:szCs w:val="28"/>
          <w:lang w:val="en-US"/>
        </w:rPr>
        <w:t>Mulla Sadra, dalam upayanya membangun pandangan  Eskatologinya, mengemukakan sebelas prinsip sebagaimana  yang dikemukakannya, baik dalam al-Asfār al-Arba'āh maupun  dalam al-Syawāhid al-Rububiyyāh. Kesebelas prinsip ini menjadi  fondasi bagi teori-teori Eskatologi yang kemudian dikemukakan  Mulla Sadra. Kesebelas prinsip tersebut, antara lain,  Prinsip pertama, pada hakikatnya, setiap Pengada  merupakan dasar bagi keberadaan (mawjudiyyāh), sedangkan  kuiditas mengikutinya: bahwa hakikat setiap sesuatu itu adalah  menyangkut orientasi kewujudan khasnya, tanpa kuiditasnya.</w:t>
      </w:r>
    </w:p>
    <w:p>
      <w:pPr>
        <w:pStyle w:val="BookText"/>
        <w:bidi w:val="0"/>
        <w:jc w:val="both"/>
        <w:rPr/>
      </w:pPr>
      <w:r>
        <w:rPr>
          <w:rFonts w:eastAsia="Times New Roman" w:cs="Times New Roman" w:ascii="Times New Roman" w:hAnsi="Times New Roman"/>
          <w:color w:val="111111"/>
          <w:sz w:val="28"/>
          <w:szCs w:val="28"/>
          <w:lang w:val="en-US"/>
        </w:rPr>
        <w:t>Hal ini didasari oleh pandangan Mulla Sadra tentang Prinsipalitas  Wujud (ASālat al-Wujūd) dan prinsip ini berbeda dengan  pandangan para filsuf sebelumnya yang beranggapan bahwa  wujud masuk dalam kategori kedua (Ma'qūlat al-Tsāniyyah) dan  bersifat sekunder. Baginya, wujud merupakan esensi murni  (Huwiyyāt 'ayniyyāt) yang tidak tergapai oleh mental dan juga  tidak dapat diisyaratkan, kecuali melalui pengetahuan makrifat  kesaksian (Irfān Syuhūdi).</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kedua, personalitas sesuatu dan karakternya  adalah wujud khasnya itu sendiri; wujud dan personalitas  bersatu secara esensial (Zātī) dan berbeda secara konseptual  (mafhūm) dan identitas (ism). Apa yang dinamakan aksiden  personal, sesungguhnya, hanya merupakan kelaziman-  kelaziman kuiditas personal wujud, bukan sebagai jati diri dan  personalitasnya, tetapi hanya sebagai pengganti dalam aksiden  sehingga dapat terjadi perubahan dari satu bentuk (Hād) pada  bentuk (Hād) yang lain pada sebagian besar bagiannya atau </w:t>
      </w:r>
    </w:p>
    <w:p>
      <w:pPr>
        <w:pStyle w:val="BookText"/>
        <w:bidi w:val="0"/>
        <w:rPr/>
      </w:pPr>
      <w:r>
        <w:rPr>
          <w:rFonts w:eastAsia="Times New Roman" w:cs="Times New Roman" w:ascii="Times New Roman" w:hAnsi="Times New Roman"/>
          <w:color w:val="111111"/>
          <w:sz w:val="28"/>
          <w:szCs w:val="28"/>
          <w:lang w:val="en-US"/>
        </w:rPr>
        <w:t>secara keseluruhan. Akan tetapi identitas personalitasnya  tetaplah dirinya.</w:t>
      </w:r>
    </w:p>
    <w:p>
      <w:pPr>
        <w:pStyle w:val="BookText"/>
        <w:bidi w:val="0"/>
        <w:jc w:val="both"/>
        <w:rPr/>
      </w:pPr>
      <w:r>
        <w:rPr>
          <w:rFonts w:eastAsia="Times New Roman" w:cs="Times New Roman" w:ascii="Times New Roman" w:hAnsi="Times New Roman"/>
          <w:color w:val="111111"/>
          <w:sz w:val="28"/>
          <w:szCs w:val="28"/>
          <w:lang w:val="en-US"/>
        </w:rPr>
        <w:t>Prinsip ketiga, sesungguhnya, tabiat wujud itu menerima  intensitas (syiddat) dan keredupan (du'f) pada dirinya yang  sederhana (basitat); diri yang tidak terkomposisi, baik secara  eksternal maupun secara mental. Oleh karena itu, Sadra  menyatakan, "Wujud itu berbeda jenis-jenisnya dan bahwa  martabat-martabat yang paling intens dan paling tidak intens  itu merupakan jenis-jenis yang berbeda-beda".</w:t>
      </w:r>
    </w:p>
    <w:p>
      <w:pPr>
        <w:pStyle w:val="BookText"/>
        <w:bidi w:val="0"/>
        <w:jc w:val="both"/>
        <w:rPr/>
      </w:pPr>
      <w:r>
        <w:rPr>
          <w:rFonts w:eastAsia="Times New Roman" w:cs="Times New Roman" w:ascii="Times New Roman" w:hAnsi="Times New Roman"/>
          <w:color w:val="111111"/>
          <w:sz w:val="28"/>
          <w:szCs w:val="28"/>
          <w:lang w:val="en-US"/>
        </w:rPr>
        <w:t>Prinsip keempat, sesungguhnya, wujud itu menerima  intensifikasi (isytidad) dan ekstensifikasi (tada'uf); artinya  wujud itu menerima gerak memadat; bahwa substansi dalam  kesubstantifannya atau wujud substantifnya menerima  perubahan esensial (istihālat al-Zātiyyāh). Telah dibuktikan  bahwa bagian-bagian dari satu gerak kontinu dan batas-batasnya  itu tidaklah ada secara aktual dalam sifat keberbedaan, tetapi  wujud keseluruhan itu, pada prinsipnya, mewujud dalam wujud  yang satu. Oleh karena itu, kuiditas-kuiditas yang menjadi lawan  dari martabat-martabat wujud tersebut tidaklah kemaujudannya  itu secara aktual dan spesifik, melainkan kemaujudannya  bersifat global, seperti pada bagian-bagian batasan.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kelima, sesungguhnya, setiap (wujud) komposisi  itu, identitasnya terletak pada formanya, bukan pada materinya;  sebuah ranjang disebut ranjang pada formanya, bukan pada  materinya; sebuah pedang disebut pedang karena ketajamannya,  bukan karena bajanya; hewan disebut hewan karena jiwanya,  bukan karena raganya. Materi merupakan pembawa potensi  sesuatu dan kontingensinya; ia merupakan tempat terjadinya  gerak, seperti jika kita bayangkan satu bentuk tanpa mengikutkan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materinya, akan tergambar secara keseluruhan bentuk sesuatu  tersebut. Dengan kata lain, menurut Sadra, nisbah materi kepada  forma adalah laksana nisbah kekurangan pada kesempurnaan;  kekurangan membutuhkan kesempurnaan, tetapi kesempurnaan  tidak memerlukan kekurangan. Demikian pula pada diferensiasi  akhir pada kuiditas yang terdiri dari genus (Jins) dan pembeda  (Fasl), seperti berbicara/berpikir (Nātiq) sebagai ciri manusia  merupakan prinsip esensial genus. Seperti juga pendefinisian  batasan karena dikategorikan sebagai batas karena memang  dirinya terbatas. Bagi Mulla Sadra kuiditas memiliki komposisi  yang disatukan oleh kesatuan alami (Thabi'iyyah) yang genus  (Jins) dan Pembeda (Fall) dibentuk oleh unsur-unsurnya yang  terdiri dari materi dan forma. Menurut Mulla Sadra, kuiditas  memiliki dua sisi: sisi pertama didasarkan pada pluralitas  dan spesifikasinya; sisi kedua didasarkan pada generalitas  dan kesatuannya. Sementara menurut Mulla Sadra, jika kita  ingin menyaksikan aspek wujudnya yang spesifik dan kita  ingin melakukan pembatasan terhadapnya, maka menjadi  keharusan bagi kita untuk menghadirkan seluruh makna yang  mencakup keseluruhan bagiannya dan jika kita menyaksikan  dari sisi wujudnya yang satu-hal tersebut merupakan forma  kesempurnaannya-dan kita ingin melakukan pembatasan  terhadapnya, padahal pembatasan hanya dapat terjadi pada  sesuatu yang memiliki bagian-bagian sedangkan forma yang  sederhana tidak memiliki bagian, baik di luar maupun di alam  mental. Pembatasan tersebut hanya dapat dilakukan melalui  karakternya (lawăzim), sekalipun karakter tersebut tidak  seperti umumnya karakter yang mewujud tanpa adanya wujud  yang menjadi gambaran karakter tersebut (Malzūm). Akan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tetapi, dirinya secara keseluruhan dapat dilihat sebagai forma  sederhana dan sempurna yang dipahami langsung dari zatnya  tanpa adanya sesuatu yang meliputinya. Wujud, menurut Mulla  Sadra, tidaklah berada di dalam kuiditas karena dirinya tidak  memiliki kuiditas, kecuali jati dirinya, sebagaimana sebelumnya  bahwa forma sempurna bagi sesuatu merupakan wujud murni  yang berbeda dalam rangkaian kewujudan-telah dijelaskan  sebelumnya bahwa wujud tidaklah memiliki batasan-tetapi  definisi yang didasarkan pada pemisalan karakter tersebut tidak  berarti lebih rendah atau kurang dari definisi yang dibangun  oleh genus dan pembeda karena genus dan pembeda bersatu  di dalamnya dan diambil dari fundamen tersebut. Mulla  Sadra, setelah menjelaskan pendefinisian dalam pola yang  digambarkannya, bersandar pada pernyataan Ibn Sina dalam  Hikmah al-Masyriqiyyāh, “Sesungguhnya, sesuatu yang sederhana  dibatasi melalui karakter-karakter yang menyampaikan mental  pada kesadaran tentang sumber munculnya karakter-karakter  tersebut (Malzāmat) dan definisi melaluinya tidaklah lebih  lemah dari definisi melalui pembatasan.</w:t>
      </w:r>
      <w:r>
        <w:rPr>
          <w:rStyle w:val="FootnoteAnchor"/>
        </w:rPr>
        <w:footnoteReference w:id="135"/>
      </w:r>
      <w:r>
        <w:rPr>
          <w:rFonts w:eastAsia="Times New Roman" w:cs="Times New Roman" w:ascii="Times New Roman" w:hAnsi="Times New Roman"/>
          <w:color w:val="111111"/>
          <w:sz w:val="28"/>
          <w:szCs w:val="28"/>
          <w:lang w:val="en-US"/>
        </w:rPr>
        <w:t xml:space="preserve"> Menurut Mulla Sadra, manusia memiliki dua wujud, yaitu  wujud spesifik dan wujud general. Wujud spesifik sesungguhnya  terealisasi melalui materi substantif dan forma kontinu  kuantitatif (Miqdāri). Forma merupakan sumber perkembangan  dan pertumbuhan merupakan sumber indriawi dan gerakan yang  bebas (Ikhtiyāri), selain itu juga merupakan sumber berpikir/  berbicara (Nātiqah) sehingga dapat dikatakan dalam batasannya  bahwa dirinya merupakan substansi yang reseptif terhadap  sisi-sisi, pertumbuhan, pengindraan, dan gerakan yang bebas  dan ini merupakan bagian-bagian yang tersusun dalam wujud </w:t>
      </w:r>
    </w:p>
    <w:p>
      <w:pPr>
        <w:pStyle w:val="BookText"/>
        <w:bidi w:val="0"/>
        <w:rPr/>
      </w:pPr>
      <w:r>
        <w:rPr>
          <w:rFonts w:eastAsia="Times New Roman" w:cs="Times New Roman" w:ascii="Times New Roman" w:hAnsi="Times New Roman"/>
          <w:color w:val="111111"/>
          <w:sz w:val="28"/>
          <w:szCs w:val="28"/>
          <w:lang w:val="en-US"/>
        </w:rPr>
        <w:t>terunggulkan dalam keutamaan dan kesempurnaan. Setiap kali  tersusun atas keutamaan yang khusus (Aqdam al-Akhas), maka  menjadi keharusan tercapainya tingkat akhir keutamaan dalam  bentuk yang lebih halus dan sederhana, sedangkan wujud  generalnya terealisasi melalui jiwa inteleknya (Nātiqah) yang  terdapat di dalamnya seluruh makna ini dalam bentuk yang  lebih sederhana dan lebih tinggi.</w:t>
      </w:r>
    </w:p>
    <w:p>
      <w:pPr>
        <w:pStyle w:val="BookText"/>
        <w:bidi w:val="0"/>
        <w:jc w:val="both"/>
        <w:rPr/>
      </w:pPr>
      <w:r>
        <w:rPr>
          <w:rFonts w:eastAsia="Times New Roman" w:cs="Times New Roman" w:ascii="Times New Roman" w:hAnsi="Times New Roman"/>
          <w:color w:val="111111"/>
          <w:sz w:val="28"/>
          <w:szCs w:val="28"/>
          <w:lang w:val="en-US"/>
        </w:rPr>
        <w:t>Prinsip keenam, sesungguhnya, kesatuan personal  pada setiap sesuatu itu adalah wujudnya, dan tidaklah dalam  satu derajat dan kualitas seperti halnya wujud tidak dalam  tingkat yang satu. Oleh karena itu, kesatuan personal pada  tingkat ukuran-ukuran kontinunya merupakan kontinuitas dan  intensitasnya; pada tingkat temporalitas dan tahapnya adalah  kebaruannnya dan keaktualisasiannya; pada tingkat kuantitas  adalah multiplikasi aktualnya; dan pada fisik alami adalah  kepluralannya secara potensial. Oleh karena itu, satu raga  mustahil akan menjadi korpus bagi banyak sifat yang saling  berbeda, seperti pada saat yang sama, ia adalah hitam, ia juga  adalah putih; pada saat ia manis, pada saat itu juga ia pahit;  atau pada saat yang sama, ia mengalami kenikmatan tapi pada  saat yang sama ia mengalami kesakitan. Hal demikian itu terjadi  karena kekurangan wujudnya dan sempitnya ruang untuk  banyak persoalan yang berbeda-beda. Korpus penglihatan pada  tubuh manusia bukanlah korpus bagi pendengaran, begitu  pun seperti korpus penciuman, bukanlah korpus bagi rasa.</w:t>
      </w:r>
    </w:p>
    <w:p>
      <w:pPr>
        <w:pStyle w:val="BookText"/>
        <w:bidi w:val="0"/>
        <w:jc w:val="both"/>
        <w:rPr/>
      </w:pPr>
      <w:r>
        <w:rPr>
          <w:rFonts w:eastAsia="Times New Roman" w:cs="Times New Roman" w:ascii="Times New Roman" w:hAnsi="Times New Roman"/>
          <w:color w:val="111111"/>
          <w:sz w:val="28"/>
          <w:szCs w:val="28"/>
          <w:lang w:val="en-US"/>
        </w:rPr>
        <w:t>Adapun substansi jiwa, bersama keunikannya itu, di dalamnya  terkandung gambar hitam dan putih dan kontradiksi-kontradiksi  yang lainnya.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Karenanya bagi Mulla Sadra, setiap kali seseorang </w:t>
      </w:r>
    </w:p>
    <w:p>
      <w:pPr>
        <w:pStyle w:val="BookText"/>
        <w:bidi w:val="0"/>
        <w:rPr/>
      </w:pPr>
      <w:r>
        <w:rPr>
          <w:rFonts w:eastAsia="Times New Roman" w:cs="Times New Roman" w:ascii="Times New Roman" w:hAnsi="Times New Roman"/>
          <w:color w:val="111111"/>
          <w:sz w:val="28"/>
          <w:szCs w:val="28"/>
          <w:lang w:val="en-US"/>
        </w:rPr>
        <w:t>meningkat abstraksi dan substansinya, dan memadat potensi  dan kesempurnaannya, maka pengetahuannya tentang sesuatu  akan menjadi lebih komprehensif dan rekonsiliasinya bagi  kontradiksi-kontradiksi menjadi lebih sempurna; ia mengalami  gradasi kesempurnaan sehingga dirinya memadai untuk gerak  wujud keseluruhannya.</w:t>
      </w:r>
    </w:p>
    <w:p>
      <w:pPr>
        <w:pStyle w:val="BookText"/>
        <w:bidi w:val="0"/>
        <w:jc w:val="both"/>
        <w:rPr/>
      </w:pPr>
      <w:r>
        <w:rPr>
          <w:rFonts w:eastAsia="Times New Roman" w:cs="Times New Roman" w:ascii="Times New Roman" w:hAnsi="Times New Roman"/>
          <w:color w:val="111111"/>
          <w:sz w:val="28"/>
          <w:szCs w:val="28"/>
          <w:lang w:val="en-US"/>
        </w:rPr>
        <w:t>Dengan menyandarkan  diri pada pendapat Ibn  Sina, bahwa orang tersebut    dapat berubah menjadi    seorang manusia yang    berpengetahuan rasional    ('aliman ma'qūlan), dapat  orang itu sendirilah yang  menerima pengetahuan  indriawi dan dapat memberi    kesaksian atas kebaikan    mutlak (al-hasan al-muthlaq  dan al-khayr al-muthlaq)    dan keindahan mutlak;  ia menyatu dengannya  dan menjadi manifestasinya, tercermin dalam perilakunya  dan menjadi substansinya</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Mulla Sadra, Al-Asfar, J.9, hlm. 187 – 188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sehingga menurut Mulla Sadra,  seseorang yang melakukan persepsi terhadap objek-objek  pengetahuan indriawi, imajinatif dan rasional, atau orang-orang  yang melakukan objek-objek tindak alami, hewani, dan insani,  pada dasarnya, jiwa orang itu sendirilah yang mengaturnya. Jiwa  memiliki kemampuan untuk turun ke tingkat indra dan alat-alat  alamiah, sebagaimana juga pada pada saat yang sama, ia memiliki</w:t>
      </w:r>
    </w:p>
    <w:p>
      <w:pPr>
        <w:pStyle w:val="BookText"/>
        <w:bidi w:val="0"/>
        <w:rPr/>
      </w:pPr>
      <w:r>
        <w:rPr>
          <w:rFonts w:eastAsia="Times New Roman" w:cs="Times New Roman" w:ascii="Times New Roman" w:hAnsi="Times New Roman"/>
          <w:color w:val="111111"/>
          <w:sz w:val="28"/>
          <w:szCs w:val="28"/>
          <w:lang w:val="en-US"/>
        </w:rPr>
        <w:t xml:space="preserve">kemampuan untuk naik ke tingkat akal aktif dan akal yang lebih  tinggi. Hal demikian dapat terjadi, menurut Mulla Sadra, karena  keluasan wujudnya dan keterangbenderangan cahayanya yang  menebar ke sekeliling dan sekitarnya sehingga zatnya terbentuk  dalam berbagai ragam fase kehidupan (Nasy'ah) dan ukuran  serta turun dengan perintah Allah pada tingkat potensi dan  bagian fisik, serta sekiranya turun pada materi yang halus atau  fisik, maka hukumnya adalah potensi dan jika ia kembali pada  fundamen dan substansi pada saat kesempurnaanya, maka  keseluruhannya dalam kesatuannya. </w:t>
      </w:r>
      <w:r>
        <w:rPr>
          <w:rStyle w:val="FootnoteAnchor"/>
        </w:rPr>
        <w:footnoteReference w:id="137"/>
      </w:r>
      <w:r>
        <w:rPr>
          <w:rFonts w:eastAsia="Times New Roman" w:cs="Times New Roman" w:ascii="Times New Roman" w:hAnsi="Times New Roman"/>
          <w:color w:val="111111"/>
          <w:sz w:val="28"/>
          <w:szCs w:val="28"/>
          <w:lang w:val="en-US"/>
        </w:rPr>
        <w:t xml:space="preserve"> Melalui prinsip ini, menurut Mulla Sadra, jelas bahwa  sesuatu yang terkait pada materi pada satu masa dapat menjadi  nonmateri pada masa yang lain. Namun, kesimpulan demikian  berbeda dengan kesimpulan yang terkenal dari kaum Peripatetik  yang berpendapat bahwa modus wujud korelatif dan merdeka  itu tidak dapat berkumpul pada sesuatu yang satu. Kritik Mulla  Sadra atas pendapat Peripatetik tersebut, bahwa pendapat  demikian tidak didasarkan pada argumentasi, kecuali jika yang  dimaksud pada saat dan dimensi yang bersamaan.</w:t>
      </w:r>
    </w:p>
    <w:p>
      <w:pPr>
        <w:pStyle w:val="BookText"/>
        <w:bidi w:val="0"/>
        <w:jc w:val="both"/>
        <w:rPr/>
      </w:pPr>
      <w:r>
        <w:rPr>
          <w:rFonts w:eastAsia="Times New Roman" w:cs="Times New Roman" w:ascii="Times New Roman" w:hAnsi="Times New Roman"/>
          <w:color w:val="111111"/>
          <w:sz w:val="28"/>
          <w:szCs w:val="28"/>
          <w:lang w:val="en-US"/>
        </w:rPr>
        <w:t>Prinsip ketujuh, kuiditas raga dan personalitasnya adalah  karena jiwanya bukan karena raga fisiknya. Zaid misalnya,  merupakan Zaid karena jiwanya bukan karena fisiknya.</w:t>
      </w:r>
    </w:p>
    <w:p>
      <w:pPr>
        <w:pStyle w:val="BookText"/>
        <w:bidi w:val="0"/>
        <w:jc w:val="both"/>
        <w:rPr/>
      </w:pPr>
      <w:r>
        <w:rPr>
          <w:rFonts w:eastAsia="Times New Roman" w:cs="Times New Roman" w:ascii="Times New Roman" w:hAnsi="Times New Roman"/>
          <w:color w:val="111111"/>
          <w:sz w:val="28"/>
          <w:szCs w:val="28"/>
          <w:lang w:val="en-US"/>
        </w:rPr>
        <w:t>Untuk itu, raga seseorang itu bertahan sejauh bertahannya  jiwa, sekalipun bagian-bagian fisiknya, atau berubah pula  kebiasaannya baik menyangkut posisional, kuantitatif, kualitatif,  dan kapannya, seperti yang terjadi pada sepanjang umurnya.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juga analoginya, jika forma alamiahnya berubah  menjadi forma imajinal, seperti terjadi di alam mimpi, alam  kubur, alam barzakh hingga hari kebangkitan manusia tersebut, </w:t>
      </w:r>
    </w:p>
    <w:p>
      <w:pPr>
        <w:pStyle w:val="BookText"/>
        <w:bidi w:val="0"/>
        <w:rPr/>
      </w:pPr>
      <w:r>
        <w:rPr>
          <w:rFonts w:eastAsia="Times New Roman" w:cs="Times New Roman" w:ascii="Times New Roman" w:hAnsi="Times New Roman"/>
          <w:color w:val="111111"/>
          <w:sz w:val="28"/>
          <w:szCs w:val="28"/>
          <w:lang w:val="en-US"/>
        </w:rPr>
        <w:t>identitas diri manusia tersebut dengan beragam perubahan  dan transformasi tetap saja satu, yaitu dirinya. Hal itu terjadi  karena gerak kontinu yang unik dan gradatif (ʻala sabil al-ittisāl  al-wahdāniy al-tadriji). Pembicaraannya bukan pada substansi  secara spesifik dan batas-batas substansi yang aktual pada  gerakan transubstansial, melainkan sesuatu yang berlangsung  dan tetap, dan itu tidak lain adalah jiwa karena jiwa merupakan  forma sempurna pada diri manusia dan jiwalah yang menjadi  kuiditas dan zatnya yang sesungguhnya, sebagai korpus  berkumpulnya zat dan hakikatnya, sumber bagi potensi dan  alat-alatnya, dasar kemunculan sisi-sisi dan bagian-bagiannya  serta penjaga baginya sepanjang alam fisik dan kemudian  merubahnya secara gradatif menjadi bagian-bagian ruhani dan  demikian seterusnya hingga menjadi akal yang sederhana.</w:t>
      </w:r>
      <w:r>
        <w:rPr>
          <w:rStyle w:val="FootnoteAnchor"/>
        </w:rPr>
        <w:footnoteReference w:id="138"/>
      </w:r>
      <w:r>
        <w:rPr>
          <w:rFonts w:eastAsia="Times New Roman" w:cs="Times New Roman" w:ascii="Times New Roman" w:hAnsi="Times New Roman"/>
          <w:color w:val="111111"/>
          <w:sz w:val="28"/>
          <w:szCs w:val="28"/>
          <w:lang w:val="en-US"/>
        </w:rPr>
        <w:t xml:space="preserve"> Jika sampai pada kesempurnaan alam akal dengan ketetapan  takdir dan tarikan Ilahiah, jika tidak, maka pada batas putus  pada dirinya karena sebab-sebab putusnya yang terjadi padanya  karena telah sampai pada tingkat kesempurnaan akhir dan hal  ini membutuhkan penjelasan yang cukup panjang; jika kita  bertanya tentang Zaid ketika anak-anak, muda, dan tuanya,  maka jawaban yang akan muncul positif dan negatif karena  didasarkan pada dua hal, pertama fisik dalam makna dirinya dan  jiwanya merupakan persoalan yang telah dihasilkan (Muhassāl).</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fisik dalam makna genusnya adalah persoalan yang  tidak jelas. Fisik dalam makna yang pertama merupakan bagian  dari diri Zaid, bukan merupakan predikat baginya, sedangkan  pada makna fisik yang kedua merupakan predikat bagi Zaid  dan bersatu bersamanya, sedangkan jika ditanya pada Zaid  muda apakah Zaid kanak-kanak adalah dirinya dan kelak akan </w:t>
      </w:r>
    </w:p>
    <w:p>
      <w:pPr>
        <w:pStyle w:val="BookText"/>
        <w:bidi w:val="0"/>
        <w:rPr/>
      </w:pPr>
      <w:r>
        <w:rPr>
          <w:rFonts w:eastAsia="Times New Roman" w:cs="Times New Roman" w:ascii="Times New Roman" w:hAnsi="Times New Roman"/>
          <w:color w:val="111111"/>
          <w:sz w:val="28"/>
          <w:szCs w:val="28"/>
          <w:lang w:val="en-US"/>
        </w:rPr>
        <w:t>menjadi tua, maka jawabnya pastilah positif bahwa kesemuanya  adalah dirinya karena perubahan materi tidaklah merusak  terhadap tetapnya komposisi secara keseluruhan; karena materi  diketahui tidak dalam modus spesifik dan penetapan, melainkan  dalam modus genus dan ketidakjelasan (ibhām), sebagaimana  penjelasan lalu58 tentang pembahasan kuiditas mutlak dan  kuiditas yang diambil melalui pensyaratan transendensi (al-  Ma’khūzbi syarti al-tajrid) dan perbandingan perbedaan di antara  keduanya adalah perbedaan di antara pembeda dengan forma  dan antara aksiden dengan aksiden serta pada setiap bentuk  tersebut merupakan predikat atas sesuatu yang didasarkan pada  yang pertama, bukan predikat atasnya atas dasar yang kedua.</w:t>
      </w:r>
    </w:p>
    <w:p>
      <w:pPr>
        <w:pStyle w:val="BookText"/>
        <w:bidi w:val="0"/>
        <w:jc w:val="both"/>
        <w:rPr/>
      </w:pPr>
      <w:r>
        <w:rPr>
          <w:rFonts w:eastAsia="Times New Roman" w:cs="Times New Roman" w:ascii="Times New Roman" w:hAnsi="Times New Roman"/>
          <w:color w:val="111111"/>
          <w:sz w:val="28"/>
          <w:szCs w:val="28"/>
          <w:lang w:val="en-US"/>
        </w:rPr>
        <w:t>Prinsip kedelapan, daya imajinatif merupakan substansi  yang tidak berdiri pada korpus raga atau pada anggota raganya.</w:t>
      </w:r>
    </w:p>
    <w:p>
      <w:pPr>
        <w:pStyle w:val="BookText"/>
        <w:bidi w:val="0"/>
        <w:jc w:val="both"/>
        <w:rPr/>
      </w:pPr>
      <w:r>
        <w:rPr>
          <w:rFonts w:eastAsia="Times New Roman" w:cs="Times New Roman" w:ascii="Times New Roman" w:hAnsi="Times New Roman"/>
          <w:color w:val="111111"/>
          <w:sz w:val="28"/>
          <w:szCs w:val="28"/>
          <w:lang w:val="en-US"/>
        </w:rPr>
        <w:t>la juga tidak mewujud pada orientasi alam fisik. la transenden,  terlepas dari alam ini dan berada di alam substansi, yaitu alam  antara alam akal pembeda (al-mufraqāt al-aqliyyāh) dan alam  fisik material (‘alam al-tab'iyyāt al-mādiyyāt).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Prinsip kesembilan, sesungguhnya forma-forma imajinatif  itu, bahkan gambar-gambar intelek, bukanlah kondisi terletak  pada korpus jiwa, juga bukan di tempat lain, melainkan terjadi  melalui jiwa secara aktual pada subjek (bi al-fa'il), bukan secara  pasif (Maqbul) pada objek (bi al-qābil). Demikian penglihatan  menurut kita, bukanlah seperti halnya pantulan bayangan cermin  dan selainnya. Hal ini seperti pandangan para saintis; tidak pula  seperti cahaya pada pandangan matematikawan serta tidak pula  tambahan pengetahuan yang berada dalam korpus jiwa yang  kemudian muncul pada forma eksternal ketika terpenuhinya  seluruh persyaratan yang dibutuhkan, sebagaimana yang </w:t>
      </w:r>
    </w:p>
    <w:p>
      <w:pPr>
        <w:pStyle w:val="BookText"/>
        <w:bidi w:val="0"/>
        <w:rPr/>
      </w:pPr>
      <w:r>
        <w:rPr>
          <w:rFonts w:eastAsia="Times New Roman" w:cs="Times New Roman" w:ascii="Times New Roman" w:hAnsi="Times New Roman"/>
          <w:color w:val="111111"/>
          <w:sz w:val="28"/>
          <w:szCs w:val="28"/>
          <w:lang w:val="en-US"/>
        </w:rPr>
        <w:t>diduga para Iluminasi (Isyraqiyyūn). Bagi Mulla Sadra, seluruh  pandangan ini keliru, temasuk pandangan Al-Farabi yang  dikemukakannya pada kitab Al-Jam' bayna Al-ra'yayn.</w:t>
      </w:r>
      <w:r>
        <w:rPr>
          <w:rStyle w:val="FootnoteAnchor"/>
        </w:rPr>
        <w:footnoteReference w:id="139"/>
      </w:r>
      <w:r>
        <w:rPr>
          <w:rFonts w:eastAsia="Times New Roman" w:cs="Times New Roman" w:ascii="Times New Roman" w:hAnsi="Times New Roman"/>
          <w:color w:val="111111"/>
          <w:sz w:val="28"/>
          <w:szCs w:val="28"/>
          <w:lang w:val="en-US"/>
        </w:rPr>
        <w:t>Mulla  Sadra mengembangkan argumentasi untuk membantah hal  tersebut, bahwa menurutunya, selama jiwa itu melekat pada  badan, maka penglihatannya-bahkan pengindraannya, bersifat  mutlak, bukan imajinasi, sebab yang pertama (pengindraan)  jiwa itu memerlukan materi eksternal dan syarat-syarat  khusus, sedangkan pada yang kedua (imajinasi), jiwa tidak  membutuhkannya. Ketika jiwa telah berpisah dari raga, maka  tidak lagi tinggal perbedaan antara imajinasi dan pengindraan  karena daya imajinasi sebagai khazanah indra telah menguat  dan keluar dari kelemahan raga sehingga kelemahan dan  keterbatasan raga telah menghilang, bahkan menurut Mulla  Sadra, daya-daya imajinatif itu selanjutnya menyatu dan kembali  kepada sumber bersamanya, sehingga jiwa beraktivitas melalui  daya imajinasinya seperti aktivitasnya dengan daya-daya lainnya.</w:t>
      </w:r>
    </w:p>
    <w:p>
      <w:pPr>
        <w:pStyle w:val="BookText"/>
        <w:bidi w:val="0"/>
        <w:jc w:val="both"/>
        <w:rPr/>
      </w:pPr>
      <w:r>
        <w:rPr>
          <w:rFonts w:eastAsia="Times New Roman" w:cs="Times New Roman" w:ascii="Times New Roman" w:hAnsi="Times New Roman"/>
          <w:color w:val="111111"/>
          <w:sz w:val="28"/>
          <w:szCs w:val="28"/>
          <w:lang w:val="en-US"/>
        </w:rPr>
        <w:t>Karenanya, apa yang disaksikan mata imajinatifnya adalah  apa yang disaksikannya melalui mata indrawinya; kekuatan,  pengetahuan, dan syahwatnya menjadi satu. Oleh karena  itu, kemampuan, pengetahuan, dan syahwatnya merupakan  sesuatu yang satu. Pengetahuannya terhadap objek-objek  yang menjadi kehendaknya adalah kekuasaanya itu sendiri  dan penghadirannya padanya dapat dilakukan olehnya, bahkan  menurut Mulla Sadra, apa yang ada di surga nantinya, tidak  lain, adalah apa yang dikehendaki jiwa (Syahwat al-nafs) dan  berdasarkan keinginannya. Untuk hal ini, Mulla Sadra mengutip  firman Allah Swt., “Di dalamnya kamu memperoleh apa yang  kamu inginkan";</w:t>
      </w:r>
      <w:r>
        <w:rPr>
          <w:rStyle w:val="FootnoteAnchor"/>
        </w:rPr>
        <w:footnoteReference w:id="14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وَلَکُمْ فِیهَا مَا تَشْتَهِی أَنْفُسُکُمْ وَلَکُمْ فِیهَا مَا تَدَّعُونَ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 dalam surga itu terdapat segala apa yang</w:t>
      </w:r>
    </w:p>
    <w:p>
      <w:pPr>
        <w:pStyle w:val="BookText"/>
        <w:bidi w:val="0"/>
        <w:jc w:val="both"/>
        <w:rPr/>
      </w:pPr>
      <w:r>
        <w:rPr>
          <w:rFonts w:eastAsia="Times New Roman" w:cs="Times New Roman" w:ascii="Times New Roman" w:hAnsi="Times New Roman"/>
          <w:color w:val="111111"/>
          <w:sz w:val="28"/>
          <w:szCs w:val="28"/>
          <w:lang w:val="en-US"/>
        </w:rPr>
        <w:t>diingini oleh hati dan sedap dipandang mata. "</w:t>
      </w:r>
      <w:r>
        <w:rPr>
          <w:rStyle w:val="FootnoteAnchor"/>
        </w:rPr>
        <w:footnoteReference w:id="141"/>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وَفِیهَا مَا تَشْتَهِیهِ الْأَنْفُسُ وَتَلَذُّ الْأَعْیُنُ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Juga, lihat: Mulla Sadra, Al-Asfar, J. 9, hlm. 192.</w:t>
      </w:r>
    </w:p>
    <w:p>
      <w:pPr>
        <w:pStyle w:val="BookText"/>
        <w:bidi w:val="0"/>
        <w:jc w:val="both"/>
        <w:rPr/>
      </w:pPr>
      <w:r>
        <w:rPr>
          <w:rFonts w:eastAsia="Times New Roman" w:cs="Times New Roman" w:ascii="Times New Roman" w:hAnsi="Times New Roman"/>
          <w:color w:val="111111"/>
          <w:sz w:val="28"/>
          <w:szCs w:val="28"/>
          <w:lang w:val="en-US"/>
        </w:rPr>
        <w:t>Prinsip kesepuluh, sesungguhnya, forma-forma yang  memiliki ukuran, bentuk, dan gerak kosmik, sebagaimana  yang dihasilkan oleh subjek melalui kesertaan materi yang  bersifat reseptif, sesuai dengan potensialitas-potensialitas  yang dimilikinya, demikian juga dapat dihasilkan dari dimensi  subjek dan daya inteleknya tanpa penyertaan materi. Yang  termasuk dalam konteks seperti ini adalah planet-planet dan  bintang-bintang dari bahan utama akal melalui jalan penciptaan  yang hanya dengan membayangkan forma-forma (TaSawurāt).</w:t>
      </w:r>
    </w:p>
    <w:p>
      <w:pPr>
        <w:pStyle w:val="BookText"/>
        <w:bidi w:val="0"/>
        <w:jc w:val="both"/>
        <w:rPr/>
      </w:pPr>
      <w:r>
        <w:rPr>
          <w:rFonts w:eastAsia="Times New Roman" w:cs="Times New Roman" w:ascii="Times New Roman" w:hAnsi="Times New Roman"/>
          <w:color w:val="111111"/>
          <w:sz w:val="28"/>
          <w:szCs w:val="28"/>
          <w:lang w:val="en-US"/>
        </w:rPr>
        <w:t>Alasannya karena sebelum fisik pertama (al-Ajsām awwaliyyāh),  tidak ada materi-materi yang mendahuluinya. Dalam hal ini,  seperti forma-forma imajiner yang muncul dari jiwa melalui  daya penggambaran (al-MuSawirrah) dari materi-materi atau  bentuk-bentuk yang sangat besar melampaui planet-planet  eksternal secara general demikian pula penggambaran sahara  atau gurun yang sangat luas, gunung yang sangat tinggi,  negeri, perkebunan, pepohonan yang belum pernah diciptakan  sebelumnya, sesungguhnya, hal yang seperti ini tidaklah  bergantung pada materi otak dan tidak juga pada keadaan daya  imajinasi, sebagaimana sebagian berargumentasi dengannya,  tidak pula pada alam imajinal general, seperti yang telah kami  jelaskan sebelumnya, melainkan pada korpus jiwa, alam dan  wilayahnya yang berada di luar alam materi (“Alam al-Hayūlāni)  ini. Sebagaimana yang pernah disinggung sebelumnya, forma-  forma yang digambarkan oleh jiwa melalui daya penggambaran  dan disaksikan melalui penyaksian imajinasinya memiliki wujud  yang jelas bukan pada alam ini, jika tidak, maka pastilah dapat  disaksikan oleh setiap pemilik indra yang sehat. Jadi, forma-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124 </w:t>
      </w:r>
    </w:p>
    <w:p>
      <w:pPr>
        <w:pStyle w:val="BookText"/>
        <w:bidi w:val="0"/>
        <w:rPr/>
      </w:pPr>
      <w:r>
        <w:rPr>
          <w:rFonts w:eastAsia="Times New Roman" w:cs="Times New Roman" w:ascii="Times New Roman" w:hAnsi="Times New Roman"/>
          <w:color w:val="111111"/>
          <w:sz w:val="28"/>
          <w:szCs w:val="28"/>
          <w:lang w:val="en-US"/>
        </w:rPr>
        <w:t>forma tersebut berada pada alam yang lain, yang tersembunyi  dari alam ini, dan tidak berbeda dengan apa yang disaksikan  jiwa melalui daya indriawinya, kecuali hanya ketiadaan  konsistensinya dan kelemahan substansinya karena sibuknya  jiwa</w:t>
      </w:r>
      <w:r>
        <w:rPr>
          <w:rStyle w:val="FootnoteAnchor"/>
        </w:rPr>
        <w:footnoteReference w:id="142"/>
      </w:r>
      <w:r>
        <w:rPr>
          <w:rFonts w:eastAsia="Times New Roman" w:cs="Times New Roman" w:ascii="Times New Roman" w:hAnsi="Times New Roman"/>
          <w:color w:val="111111"/>
          <w:sz w:val="28"/>
          <w:szCs w:val="28"/>
          <w:lang w:val="en-US"/>
        </w:rPr>
        <w:t>pada selainnya. Pengaruh yang seringkali melingkupi  kesadaran intelek manusia, pada umumnya, berasal dari  aktivitas eksternal, sekiranya pengaruh eksternal tersebut  hilang, kemudian terjadi upaya pengerahan daya hewani dan  fisikal dalam aktivitas imajinasi sehingga tergambar beragam  forma fisik dalam rangkaian wujud, maka efeknya akan lebih kuat  dibandingkan efek yang dihasilkan indra material, sebagaimana  yang dikisahkan para ahli karimah dan keajaiban di luar hal yang  alami dan jika keadaan jiwa dalam penggambaran sesuatu dalam  bentuk yang seperti ini dan hal tersebut terjadi di dunia ini  yang masih terikat dengan raga fisik, maka dapat dibayangkan  kemampuan daya imajinatif setelah putus hubungan dengan  dunia ini secara keseluruhan, disertai menguatnya seluruh  daya dan aktivitasnya, seluruh jiwa manusia yang terpisah dari  dunia dan termasuk dari kelompok yang selamat dari berbagai  penyakit ruhaniah, keburukan akhlak dan karakter yang hina,  yang menghalangi dirinya untuk kembali pada sumber asalanya,  maka dirinya akan berada pada alam yang khusus dengan segala  apa yang diinginkannya dan diharapkannya. Yang demikian  masih berada pada tingkat yang rendah dari tingkatan-tingkatan  kebahagiaan. Menurut Mulla Sadra, yang berada pada tingkat  ini memiliki surga yang datarannya sebagaimana dataran langit-  langit, sedangkan kedudukan para Abrār dan Muqarrabin berada  jauh di atas tingkat dan kualitas ini hingga tak terbayangkan.</w:t>
      </w:r>
    </w:p>
    <w:p>
      <w:pPr>
        <w:pStyle w:val="BookText"/>
        <w:bidi w:val="0"/>
        <w:jc w:val="both"/>
        <w:rPr/>
      </w:pPr>
      <w:r>
        <w:rPr>
          <w:rFonts w:eastAsia="Times New Roman" w:cs="Times New Roman" w:ascii="Times New Roman" w:hAnsi="Times New Roman"/>
          <w:color w:val="111111"/>
          <w:sz w:val="28"/>
          <w:szCs w:val="28"/>
          <w:lang w:val="en-US"/>
        </w:rPr>
        <w:t>Prinsip kesebelas, sesungguhnya, jenis-jenis alam</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125 </w:t>
      </w:r>
    </w:p>
    <w:p>
      <w:pPr>
        <w:pStyle w:val="BookText"/>
        <w:bidi w:val="0"/>
        <w:rPr/>
      </w:pPr>
      <w:r>
        <w:rPr>
          <w:rFonts w:eastAsia="Times New Roman" w:cs="Times New Roman" w:ascii="Times New Roman" w:hAnsi="Times New Roman"/>
          <w:color w:val="111111"/>
          <w:sz w:val="28"/>
          <w:szCs w:val="28"/>
          <w:lang w:val="en-US"/>
        </w:rPr>
        <w:t>dan fase kehidupan (Nasy'ah) dengan kuantitasnya yang tak  terbatas dapat dibagi ke dalam tiga bagian: pertama, alam yang  paling rendah, yaitu alam forma fisikal yang merupakan alam  kehancuran. Di tengahnya berada alam forma intelek indriawi  yang terlepas dari materi dan mengandung kemungkinan-  kemungkinan dan potensi-potensi serta reseptif terhadap  berbagai kontradiksi, dan yang paling tinggi adalah alam forma  rasional dan ideal-ilahiah. Jiwa manusia memiliki kekhususan  dalam rangkaian keberadaan, yaitu memiliki ketiga alam  tersebut bersama kontinuitas identitasnya. Seorang manusia,  dari awal masa kanak-kanaknya, berada dalam alam material  dan dia merupakan manusia biologis (Insan Basyari). Kemudian,  dia mengalami perubahan dalam wujud: semakin murni dan  semakin halus secara gradual dalam transformasi substansialnya  hingga sampai pada tingkat akhir jiwa dan dia merupakan  manusia ruhaniah ukhrawi (Insan Nafsāni Ukhrawi) sehingga  memadai untuk bangkit dan muncul kembali dalam raga ruhani.</w:t>
      </w:r>
    </w:p>
    <w:p>
      <w:pPr>
        <w:pStyle w:val="BookText"/>
        <w:bidi w:val="0"/>
        <w:jc w:val="both"/>
        <w:rPr/>
      </w:pPr>
      <w:r>
        <w:rPr>
          <w:rFonts w:eastAsia="Times New Roman" w:cs="Times New Roman" w:ascii="Times New Roman" w:hAnsi="Times New Roman"/>
          <w:color w:val="111111"/>
          <w:sz w:val="28"/>
          <w:szCs w:val="28"/>
          <w:lang w:val="en-US"/>
        </w:rPr>
        <w:t>Inilah manusia kedua. Kemudian, ia bertransorfmasi dari  semesta ini secara gradual hingga sampai pada alam intelek atau  akal dan masuk kategori manusia intelektual (Insan “Akli) dan  dia memiliki raga intelektual. Sekarang, dia memasuki bentuk  manusia ketiga sebagaimana yang telah dijelaskan Mu'ālim al-  Falsafah al-Ilahiyyah</w:t>
      </w:r>
      <w:r>
        <w:rPr>
          <w:rStyle w:val="FootnoteAnchor"/>
        </w:rPr>
        <w:footnoteReference w:id="143"/>
      </w:r>
      <w:r>
        <w:rPr>
          <w:rFonts w:eastAsia="Times New Roman" w:cs="Times New Roman" w:ascii="Times New Roman" w:hAnsi="Times New Roman"/>
          <w:color w:val="111111"/>
          <w:sz w:val="28"/>
          <w:szCs w:val="28"/>
          <w:lang w:val="en-US"/>
        </w:rPr>
        <w:t>dalam kitabnya, Utsūlujiya</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Ada juga yang menisbahkannya pada Al-Farabi dengan judul  Risalah fi Al-Ilmi Al-llahi li Al-Farabi. Abu Sulayman Al-Sajistani  dalam kitabnya, Suwan Al-Hikmah, menisbahkan karya ini  pada Syaikh Al-Yunani, yang dimaksud adalah Plato. Namun  Syaikh Isyraq, Mulla Sadra, dan para peneliti belakangan  menyebutkan karya ini sebagai karya Plotinus dan merupakan  ringkasan dari karyanya, Enneads, yang di ambil dari bab IV,  V dan VI.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Transformasi dan perubahan ini, yang terjadi pada diri  seseorang dalam perjalanannya menuju Al-Haqq melalui tujuan  yang jauh, hanya terjadi pada diri manusia; sekalipun segala  sesuatu berorientasi kepada keagungan Ilahiah, tetapi yang  melalui Sirat al-Mustaqim hingga berakhir pada batas akhir akhirat  tidak akan terjadi, kecuali pada manusia dari keseluruhan apa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126 </w:t>
      </w:r>
    </w:p>
    <w:p>
      <w:pPr>
        <w:pStyle w:val="BookText"/>
        <w:bidi w:val="0"/>
        <w:rPr/>
      </w:pPr>
      <w:r>
        <w:rPr>
          <w:rFonts w:eastAsia="Times New Roman" w:cs="Times New Roman" w:ascii="Times New Roman" w:hAnsi="Times New Roman"/>
          <w:color w:val="111111"/>
          <w:sz w:val="28"/>
          <w:szCs w:val="28"/>
          <w:lang w:val="en-US"/>
        </w:rPr>
        <w:t>yang ada dalam alam semesta ini; kemudian menjadi kemestian  bagi selainnya. Jika kita gambarkan perjalanannya menuju  alam kesucian (Hadrat al-Qudsiyyāh), terjadi transformasi  dari genusnya menjadi genus yang lain melalui kejadian dan  kehancuran (Kawn wa al-Fasād).</w:t>
      </w:r>
    </w:p>
    <w:p>
      <w:pPr>
        <w:pStyle w:val="BookText"/>
        <w:bidi w:val="0"/>
        <w:jc w:val="both"/>
        <w:rPr/>
      </w:pPr>
      <w:r>
        <w:rPr>
          <w:rFonts w:eastAsia="Times New Roman" w:cs="Times New Roman" w:ascii="Times New Roman" w:hAnsi="Times New Roman"/>
          <w:color w:val="111111"/>
          <w:sz w:val="28"/>
          <w:szCs w:val="28"/>
          <w:lang w:val="en-US"/>
        </w:rPr>
        <w:t>Pertama, yang dicapai adalah menjadi manusia kemudian  darinya menuju alam kesucian dan melewati ketiga tingkat  kehidupan tersebut secara sistemis untuk dapat kembali naik  menuju Allah Swt.. Menurut Mulla Sadra, hal ini merupakan  kebalikan dari perjalanan awal turun dari Allah Swt.. Akan  tetapi, dalam dimensi yang lain, rangkaian kebermulaan diawali  melalui fase tanpa waktu dan gerak; dan rangkaian kembali  adalah rangkaian yang melalui fase waktu dan gerak. Hal ini  seperti yang telah digambarkan sebelumnya tentang kurva naik  dan kurva turun.</w:t>
      </w:r>
    </w:p>
    <w:p>
      <w:pPr>
        <w:pStyle w:val="BookText"/>
        <w:bidi w:val="0"/>
        <w:jc w:val="both"/>
        <w:rPr/>
      </w:pPr>
      <w:r>
        <w:rPr>
          <w:rFonts w:eastAsia="Times New Roman" w:cs="Times New Roman" w:ascii="Times New Roman" w:hAnsi="Times New Roman"/>
          <w:color w:val="111111"/>
          <w:sz w:val="28"/>
          <w:szCs w:val="28"/>
          <w:lang w:val="en-US"/>
        </w:rPr>
        <w:t>Bagi Mulla Sadra, ada alam yang mendahului kemunculan  manusia dalam kebaruan sebagai identitas materi dan  argumen ini menguatkan    apa yang diungkapkan Plato,  “Jiwa manusia merupakan    bentuk akal yang sudah ada    sebelum kemunculan fisik yang  baru”.</w:t>
      </w:r>
      <w:r>
        <w:rPr>
          <w:rStyle w:val="FootnoteAnchor"/>
        </w:rPr>
        <w:footnoteReference w:id="145"/>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النفس الإنسانیة کونا عقلیا قبل حدوت البدن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Mulla Sadra, setelah    memberikan bukti argumentasi    rasionalnya, merujukkan  pandangannya ini dengan    prinsip nash, “Dan ingatlah    ketika Tuhanmu mengeluarkan    keturunan anak-anak Adam</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127 </w:t>
      </w:r>
    </w:p>
    <w:p>
      <w:pPr>
        <w:pStyle w:val="BookText"/>
        <w:bidi w:val="0"/>
        <w:rPr/>
      </w:pPr>
      <w:r>
        <w:rPr>
          <w:rFonts w:eastAsia="Times New Roman" w:cs="Times New Roman" w:ascii="Times New Roman" w:hAnsi="Times New Roman"/>
          <w:color w:val="111111"/>
          <w:sz w:val="28"/>
          <w:szCs w:val="28"/>
          <w:lang w:val="en-US"/>
        </w:rPr>
        <w:t>dari sulbi mereka”,</w:t>
      </w:r>
      <w:r>
        <w:rPr>
          <w:rStyle w:val="FootnoteAnchor"/>
        </w:rPr>
        <w:footnoteReference w:id="14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أَخَذَ رَبُّکَ مِنْ بَنِی آدَمَ مِنْ ظُهُورِهِمْ ذُرِّیَّتَهُمْ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serta pernyataan para Imam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yang  mengindikasikan bahwa ruh para Nabi dan Kekasih Allah telah  diciptakan terlebih dahulu sebagai tanah dari tempat yang tinggi  (Illiyyin) sebelum diciptakan langit dan bumi, sekalipun fisik  mereka diciptakan bukan dari tanah tersebut, seperti halnya  para pengikut mereka. Hati dan fisik para munafik merupakan  makhluk yang diciptakan dari tanah yang buruk (Sijjin). Demikian  pula manusia telah ada pada alam sebelum alam (dunia) ini.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Bagi Mulla Sadra setiap manusia memiliki fitrah yang  selalu berorientasi kepada akhirat secara gradatif dan kembali  pada tujuan yang diharapkannya dimulai dengan wujud duniawi  materinya menuju wujud forma ukhrawi. Perbandingan antara  dunia dengan akhirat adalah seperti perbandingan antara  kekurangan dengan kesempurnaan seperti juga antara anak-  anak dan dewasa. Dari sini wujud ini membutuhkan perjalanan  menuju liang lahat</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sebagai tempat dan proses pengembangan  fisik hingga ketika ia sampai pada puncak substansinya keluarlah  dari wujud duniawi ini menuju wujud ukhrawi dan bersiap-  siap untuk keluar dari alam ini menuju alam yang dijanjikan  (Min hadza dar ila dar al-Qarār), sampai batas ini bahwa dari  keberadaan jiwa dan lepasnya forma substansial yang dikenal  dengan "peniupan forma" (Nafakh al-Sūri), menyebabkan  kematian fisik dan keluar dari bentuk kehidupan ini yang di  dalamnya berkumpul mukmin dan kafir, muwahid, musyrik  dan atheis, yaitu tidak ada keselarasan di antara kesempurnaan  wujud yang sama sekali tidak membutuhkan materi fisik dengan  penderitaan dan penghukuman melalui neraka jahanam dan  penanggungan azab yang pedih, bahkan justru menguatkannya,  hal ini terjadi, menurut Mulla Sadra, karena kuatnya intensitas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128 </w:t>
      </w:r>
    </w:p>
    <w:p>
      <w:pPr>
        <w:pStyle w:val="BookText"/>
        <w:bidi w:val="0"/>
        <w:rPr/>
      </w:pPr>
      <w:r>
        <w:rPr>
          <w:rFonts w:eastAsia="Times New Roman" w:cs="Times New Roman" w:ascii="Times New Roman" w:hAnsi="Times New Roman"/>
          <w:color w:val="111111"/>
          <w:sz w:val="28"/>
          <w:szCs w:val="28"/>
          <w:lang w:val="en-US"/>
        </w:rPr>
        <w:t>wujud yang menyebabkan keluarnya jiwa dari lilitan dan pakaian  materi dan hal itu akan menyebabkan persepsi maksimal bagi  para pesakitan dan penderita karena beragam keburukan dan  kejelekan ruhaniah yang dibiarkan, bahkan dipelihara ketika  kehidupannya di dunia sebagi efek dari kelemahan jiwa dan  tertutupnya mata batin; Ketika tersingkapnya hijab munculah  azab. Jiwa, sebelum seluruh batasan-batasan fisik hancur, tidak  akan sampai ke sisi Allah dan tidak berhak atas maqam disisi  Allah (Indiyyāh). Menurut Mulla Sadra, kematian merupakan  tingkat pertama dari tingkatan akhirat dan akhir dari tingkatan  dunia, manusia setelah keluar dari dunia akan terpenjara  pada sebagian Barzakh yang merupakan antara di antara dua  alam, yaitu dunia dan akhirat dan berada di dalamnya dalam  waktu yang panjang maupun sebentar, adakalanya naik secara  cepat, baik melalui cahaya ma'rifah, kekuatan ketaatan, tarikan  ruhaniah atau melalui syafa'at oleh para pemberi syafa'at, dan  pemberi syafa'at yang utama adalah Dia Yang Maha Pengasih  dan Maha Penyayang.</w:t>
      </w:r>
    </w:p>
    <w:p>
      <w:pPr>
        <w:pStyle w:val="BookText"/>
        <w:bidi w:val="0"/>
        <w:jc w:val="both"/>
        <w:rPr/>
      </w:pPr>
      <w:r>
        <w:rPr>
          <w:rFonts w:eastAsia="Times New Roman" w:cs="Times New Roman" w:ascii="Times New Roman" w:hAnsi="Times New Roman"/>
          <w:color w:val="111111"/>
          <w:sz w:val="28"/>
          <w:szCs w:val="28"/>
          <w:lang w:val="en-US"/>
        </w:rPr>
        <w:t>Mulla Sadra, dengan sebelas prinsip ini, menegaskan  bahwa kebangkitan akan terjadi dan manusia akan dibangkitkan  kembali dengan jiwa dan raganya yang raga tersebut bukanlah  sesuatu bentuk fisik eksternal, melainkan terbentuk dan  berasal dari jiwanya. Bagi Mulla Sadra, kekeliruan pemikiran  tentang eskatologi yang dikemukakan para pemikir Islam  sebelumnya terletak pada prinsip ini. Setiap daya, pada intinya,  menuntut kesempurnaan dan manusia dengan seluruh daya  yang dimilikinya haruslah melakukan usaha penyempurnaan  tersebut. Penyempurnaan setiap daya tidak lain adalah upaya  manusia untuk kembali pada asal sumber dirinya, dan melalui</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129 </w:t>
      </w:r>
    </w:p>
    <w:p>
      <w:pPr>
        <w:pStyle w:val="BookText"/>
        <w:bidi w:val="0"/>
        <w:rPr/>
      </w:pPr>
      <w:r>
        <w:rPr>
          <w:rFonts w:eastAsia="Times New Roman" w:cs="Times New Roman" w:ascii="Times New Roman" w:hAnsi="Times New Roman"/>
          <w:color w:val="111111"/>
          <w:sz w:val="28"/>
          <w:szCs w:val="28"/>
          <w:lang w:val="en-US"/>
        </w:rPr>
        <w:t>gerakan transubtsansial telah dibuktikan bahwa apa pun bentuk  wujud melakukan gerakan transubstansial sebagai upaya  penyempurnaan tersebut. Sekiranya manusia mengarahkan  dirinya untuk wujud yang lebih tinggi dan berusaha melepaskan  beragam ikatan materi pada dirinya, maka hal tersebut  menghasilkan efek bagi jiwanya untuk naik pada kualitas yang  lebih utama, tetapi jika tidak, maka manusia tersebut akan turun,  bahkan pada tingkat yang paling buruk. Menurut Mulla Sadra,  orang yang merenungkan dengan seksama sepuluh prinsip</w:t>
      </w:r>
      <w:r>
        <w:rPr>
          <w:rStyle w:val="FootnoteAnchor"/>
        </w:rPr>
        <w:footnoteReference w:id="147"/>
      </w:r>
      <w:r>
        <w:rPr>
          <w:rFonts w:eastAsia="Times New Roman" w:cs="Times New Roman" w:ascii="Times New Roman" w:hAnsi="Times New Roman"/>
          <w:color w:val="111111"/>
          <w:sz w:val="28"/>
          <w:szCs w:val="28"/>
          <w:lang w:val="en-US"/>
        </w:rPr>
        <w:t xml:space="preserve"> tidak akan memiliki keraguan dalam persoalan eskatologi dan  kebangkitan jiwa dan raga. Dan Mulla Sadra menyatakan bahwa  raga, dengan kediriannya, akan dibangkitkan kembali pada  hari Kiamat melalui forma fisik; tersingkap baginya rahasia  kebangkitan yang meliputi seluruh jiwa dan raga dengan  kedirian dan identitasnya. Mulla Sadra menggambarkan bahwa  sesungguhnya yang dibangkitkan pada hari Kiamat, tidak lain,  adalah raga dengan kediriannya, bukan raga lain yang tersusun  dari unsur yang berbeda, sebagaimana pandangan pemikir  Muslim atau raga imajinal, sebagaimana yang diyakini oleh  pengikut Ilmunasi. Bagi Mulla Sadra, setiap daya dari daya-  daya jiwa dan selainnya memiliki kesempurnaan khusus dan  kenikmatan serta penderitaan yang berkaitan dengannya. Atas  dasar tindakan atau perbuatan yang dilakukannya, merupakan  keharusan baginya mendapatkan ganjaran material dan balasan  sebagaimana yang seringkali diungkapkan oleh para filsuf  (Hukamā') dalam penetapan tujuan materi terhadap seluruh  sumber dan potensi, baik yang tinggi maupun rendah. Aktualisasi  ini memunculkan keyakinan terhadap keharusan kembalinya  segala sesuatu (kepada-Nya) dan tidak akan ada kekeliruan pada</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130 </w:t>
      </w:r>
      <w:bookmarkStart w:id="101" w:name="pg6434_60671"/>
    </w:p>
    <w:p>
      <w:pPr>
        <w:pStyle w:val="BookText"/>
        <w:bidi w:val="0"/>
        <w:rPr/>
      </w:pPr>
      <w:bookmarkEnd w:id="101"/>
      <w:r>
        <w:rPr>
          <w:rFonts w:eastAsia="Times New Roman" w:cs="Times New Roman" w:ascii="Times New Roman" w:hAnsi="Times New Roman"/>
          <w:color w:val="111111"/>
          <w:sz w:val="28"/>
          <w:szCs w:val="28"/>
          <w:lang w:val="en-US"/>
        </w:rPr>
        <w:t>tindakan-Nya. Menurut Mulla Sadra, inilah yang diinginkan  filsafat dalam pembuktian terhadap kebenaran janji-janji Allah  dan seluruh bentuk ciptaan akan selalu berorientasi pada tujuan  yang dituntutnya serta kebangkitan setiap segala sesuatu pada  apa yang sesuai dengan diri dan jenisnya.</w:t>
      </w:r>
      <w:r>
        <w:rPr>
          <w:rStyle w:val="FootnoteAnchor"/>
        </w:rPr>
        <w:footnoteReference w:id="148"/>
      </w:r>
      <w:r>
        <w:rPr>
          <w:rFonts w:eastAsia="Times New Roman" w:cs="Times New Roman" w:ascii="Times New Roman" w:hAnsi="Times New Roman"/>
          <w:color w:val="111111"/>
          <w:sz w:val="28"/>
          <w:szCs w:val="28"/>
          <w:lang w:val="en-US"/>
        </w:rPr>
        <w:t xml:space="preserve"> Mulla Sadra dalam hal ini, secara khusus, mengerahkan  perhatiannya untuk membuktikan pandangan utamanya. Hal  ini merupakan sebuah keunggulan Mulla Sadra yang patut  dipuji dibandingkan para pemikir Muslim sebelumnya. Dalam  upayanya ini, Mulla Sadra mengerahkan hampir seluruh  prinsip filsafatnya. Terlihat keseriusan Mulla Sadra untuk  menyelesaikan persoalan utama eskatologi yang terjadi dalam  diskursus pemikiran Islam, bahkan terkesan bahwa pemikiran  filsafat Mulla Sadra sepertinya ditujukan untuk menyelesaikan  persoalan ini, mengingat mulai dari jilid delapan dan sembilan,  Mulla Sadra telah mencurahkan kajian terhadap persoalan  eskatologi.</w:t>
      </w:r>
    </w:p>
    <w:p>
      <w:pPr>
        <w:pStyle w:val="Heading3"/>
        <w:numPr>
          <w:ilvl w:val="2"/>
          <w:numId w:val="1"/>
        </w:numPr>
        <w:bidi w:val="0"/>
        <w:jc w:val="left"/>
        <w:rPr/>
      </w:pPr>
      <w:bookmarkStart w:id="102" w:name="__RefHeading___Toc808208_653776707"/>
      <w:bookmarkStart w:id="103" w:name="_Toc33"/>
      <w:bookmarkEnd w:id="102"/>
      <w:r>
        <w:rPr/>
        <w:t>5. Kritik terhadap Pandangan Eskatologi Pemikir Muslim</w:t>
      </w:r>
      <w:bookmarkEnd w:id="103"/>
    </w:p>
    <w:p>
      <w:pPr>
        <w:pStyle w:val="BookText"/>
        <w:bidi w:val="0"/>
        <w:jc w:val="both"/>
        <w:rPr/>
      </w:pPr>
      <w:r>
        <w:rPr>
          <w:rFonts w:eastAsia="Times New Roman" w:cs="Times New Roman" w:ascii="Times New Roman" w:hAnsi="Times New Roman"/>
          <w:color w:val="111111"/>
          <w:sz w:val="28"/>
          <w:szCs w:val="28"/>
          <w:lang w:val="en-US"/>
        </w:rPr>
        <w:t>a. Kritik Mulla Sadra terhadap Ibn Sina  Ibn Sina merupakan tokoh utama dalam Filsafat  Peripatetik. Dalam persoalan eskatologi, Ibn Sina menulis karya  khusus yang berjudul Al-Mabda' wa Al-Ma'ad. Selain itu, pada  karya-karyanya yang lain, Ibn Sina juga kerap membicarakan  persoalan eskatologi. Di antara pandangan umum Ibn Sina  dalam persoalan eskatologi, antara lain, Ibn Sina membagi dua  pandangan Eskatologi. Menurutnya, ada pandangan Eskatologi  yang berasal dari syari'at dan wahyu yang menggambarkan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131 </w:t>
      </w:r>
    </w:p>
    <w:p>
      <w:pPr>
        <w:pStyle w:val="BookText"/>
        <w:bidi w:val="0"/>
        <w:rPr/>
      </w:pPr>
      <w:r>
        <w:rPr>
          <w:rFonts w:eastAsia="Times New Roman" w:cs="Times New Roman" w:ascii="Times New Roman" w:hAnsi="Times New Roman"/>
          <w:color w:val="111111"/>
          <w:sz w:val="28"/>
          <w:szCs w:val="28"/>
          <w:lang w:val="en-US"/>
        </w:rPr>
        <w:t>kebangkitan dalam makna fisik. Bagi Ibn Sina, eskatologi dalam  makna ini sama sekali tidak mungkin dipahami rasio. Rasio  memberikan makna lain, yaitu kebangkitan ruhaniah.</w:t>
      </w:r>
      <w:r>
        <w:rPr>
          <w:rStyle w:val="FootnoteAnchor"/>
        </w:rPr>
        <w:footnoteReference w:id="149"/>
      </w:r>
      <w:r>
        <w:rPr>
          <w:rFonts w:eastAsia="Times New Roman" w:cs="Times New Roman" w:ascii="Times New Roman" w:hAnsi="Times New Roman"/>
          <w:color w:val="111111"/>
          <w:sz w:val="28"/>
          <w:szCs w:val="28"/>
          <w:lang w:val="en-US"/>
        </w:rPr>
        <w:t xml:space="preserve"> Kebahagiaan dan penderitaan manusia bagi Ibn Sina  sangat ditentukan oleh kualitas jiwa dalam proses pencapaian  kualitas intelektual dan aktualitasnya. Baginya ada jiwa yang  sampai pada tingkat kesempurnaan dalam potensi berpikir  dan ada jiwa yang tidak sampai pada tingkat tersebut. Jiwa  yang sampai pada tingkat kesempurnaan terbagi lagi atas jiwa  yang mampu mengaktual secara sempurna dan jiwa yang  tidak mampu mengaktual secara sempurna. Bagi jiwa yang  mencapai kesempurnaan, baik dalam potensi berpikir maupun  dalam aktualisasinya, akan dibangkitkan dalam kebangkitan  ruhaniah dan kebahagiaan intelektual. Namun, bagi jiwa  yang tidak mencapai kesempurnaan dalam aktualitasnya,  padahal kesempurnaan ini menjadi harapan baginya (bagi  mereka yang memiliki pengetahuan tentang hal tersebut dan  memiliki kerinduan untuk mencapainya karena pengetahuannya  tersebut), maka jiwa tersebut akan mengalami azab ruhani dan  penderitaan intelektual.</w:t>
      </w:r>
      <w:r>
        <w:rPr>
          <w:rStyle w:val="FootnoteAnchor"/>
        </w:rPr>
        <w:footnoteReference w:id="150"/>
      </w:r>
      <w:r>
        <w:rPr>
          <w:rFonts w:eastAsia="Times New Roman" w:cs="Times New Roman" w:ascii="Times New Roman" w:hAnsi="Times New Roman"/>
          <w:color w:val="111111"/>
          <w:sz w:val="28"/>
          <w:szCs w:val="28"/>
          <w:lang w:val="en-US"/>
        </w:rPr>
        <w:t xml:space="preserve"> Bagi Ibn Sina, kebangkitan merupakan proses aktualisasi  kesempurnaan bagi jiwa dan kesempurnaan jiwa tersebut  hanya terjadi pada tingkat intelektual atau ruhaniah sehingga  kebangkitan hanya terjadi pada tingkat ini. Ibn Sina menyatakan:</w:t>
      </w:r>
    </w:p>
    <w:p>
      <w:pPr>
        <w:pStyle w:val="BookText"/>
        <w:bidi w:val="0"/>
        <w:jc w:val="both"/>
        <w:rPr/>
      </w:pPr>
      <w:r>
        <w:rPr>
          <w:rFonts w:eastAsia="Times New Roman" w:cs="Times New Roman" w:ascii="Times New Roman" w:hAnsi="Times New Roman"/>
          <w:color w:val="111111"/>
          <w:sz w:val="28"/>
          <w:szCs w:val="28"/>
          <w:lang w:val="en-US"/>
        </w:rPr>
        <w:t>Dan yang tersisa bagi kita adalah upaya menjelaskan  keadaan jiwa setelah berpisah (dari raga), dan haruslah  terlebih dahulu dipaparkan pendahuluan, maka kami  katakan: sesungguhnya bagi setiap potensi menuntut  aktualisasi kesempurnaan baginya, dan tercapainya  kesempurnaan adalah kebahagiaan baginya, kesempurnaan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132 </w:t>
      </w:r>
    </w:p>
    <w:p>
      <w:pPr>
        <w:pStyle w:val="BookText"/>
        <w:bidi w:val="0"/>
        <w:rPr/>
      </w:pPr>
      <w:r>
        <w:rPr>
          <w:rFonts w:eastAsia="Times New Roman" w:cs="Times New Roman" w:ascii="Times New Roman" w:hAnsi="Times New Roman"/>
          <w:color w:val="111111"/>
          <w:sz w:val="28"/>
          <w:szCs w:val="28"/>
          <w:lang w:val="en-US"/>
        </w:rPr>
        <w:t xml:space="preserve">dan kebahagiaan bagi syahwat adalah kenikmatan,  kesempurnaan dan kebahagiaan bagi amarah adalah  penguasaan, demikian pula pada ilusi, harapan, dan  keinginan, sedangkan imajinasi adalah tergambarnya  imajinasi-imajinasi yang indah. Demikian pula,  kesempurnaan jiwa manusia bahwa sesungguhnya bersifat  intelektual yang terlepas dari keterikatan dan kaitan dengan  materi. </w:t>
      </w:r>
      <w:r>
        <w:rPr>
          <w:rStyle w:val="FootnoteAnchor"/>
        </w:rPr>
        <w:footnoteReference w:id="151"/>
      </w:r>
    </w:p>
    <w:p>
      <w:pPr>
        <w:pStyle w:val="BookText"/>
        <w:bidi w:val="0"/>
        <w:jc w:val="both"/>
        <w:rPr/>
      </w:pPr>
      <w:r>
        <w:rPr>
          <w:rFonts w:ascii="IRNazanin" w:hAnsi="IRNazanin" w:eastAsia="IRNazanin"/>
          <w:color w:val="111111"/>
          <w:sz w:val="28"/>
          <w:sz w:val="28"/>
          <w:szCs w:val="28"/>
          <w:rtl w:val="true"/>
          <w:lang w:bidi="fa-IR"/>
        </w:rPr>
        <w:t>والذی بقی علینا أن نوضحه أحوال الآ نفس بعد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نقدم لذلک  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قوة فعلا هو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کما لهاسعادتها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الشهوة وسعادتها هواللذة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الغضب وسعادته هو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والوهم الرجاء  والتمنی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والخیال تخیل المستحسنان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کمال الا نفس الإنسانیة أن یکون  عقللا مجدا عن المادة</w:t>
      </w:r>
    </w:p>
    <w:p>
      <w:pPr>
        <w:pStyle w:val="BookText"/>
        <w:bidi w:val="0"/>
        <w:jc w:val="both"/>
        <w:rPr/>
      </w:pPr>
      <w:r>
        <w:rPr>
          <w:rFonts w:eastAsia="Times New Roman" w:cs="Times New Roman" w:ascii="Times New Roman" w:hAnsi="Times New Roman"/>
          <w:color w:val="111111"/>
          <w:sz w:val="28"/>
          <w:szCs w:val="28"/>
          <w:lang w:val="en-US"/>
        </w:rPr>
        <w:t>Dengan pernyataan di atas, Ibn Sina menggambarkan  bahwa di hadapan pandangan Eskatologi berdasarkan wahyu,  rasio membuktikan eskatologi dalam bentuk yang berbeda.</w:t>
      </w:r>
    </w:p>
    <w:p>
      <w:pPr>
        <w:pStyle w:val="BookText"/>
        <w:bidi w:val="0"/>
        <w:jc w:val="both"/>
        <w:rPr/>
      </w:pPr>
      <w:r>
        <w:rPr>
          <w:rFonts w:eastAsia="Times New Roman" w:cs="Times New Roman" w:ascii="Times New Roman" w:hAnsi="Times New Roman"/>
          <w:color w:val="111111"/>
          <w:sz w:val="28"/>
          <w:szCs w:val="28"/>
          <w:lang w:val="en-US"/>
        </w:rPr>
        <w:t>Argumentasi rasional menyatakan bahwa kebangkitan tidak lagi  mungkin bersifat fisik, melainkan bersifat ruhaniah intelektual  dan terlepas dari berbagai ikatan material. Pandangan ini jelas  mirip dengan pandangan pendahulunya, Al-Farābi. Akan tetapi  Ibn Sina menolak pandangan Al-Farabi yang menyatakan bahwa  kebangkitan hanya terjadi pada jiwa yang sempurna.</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jika perbuatan-perbuatan penduduk negeri tidak  berkesesuaian dalam pencapaian kebahagiaan, maka  sesungguhnya, dia tengah menghasilkan bentuk-bentuk  yang buruk dari bentuk-bentuk jiwa.... Maka jiwa-jiwa        mereka akan tetap sebagai jiwa pertama (Hayūla) yang  tidak mengalami proses penyempurnaan dan tidak pula  terlepas dari materi sehingga jika materi tersebut hancur,  maka hancur pulalah jiwanya."  Teks aslinya sebagai berikut:</w:t>
      </w:r>
    </w:p>
    <w:p>
      <w:pPr>
        <w:pStyle w:val="BookText"/>
        <w:bidi w:val="0"/>
        <w:jc w:val="both"/>
        <w:rPr/>
      </w:pPr>
      <w:r>
        <w:rPr>
          <w:rFonts w:ascii="IRNazanin" w:hAnsi="IRNazanin" w:eastAsia="IRNazanin"/>
          <w:color w:val="111111"/>
          <w:sz w:val="28"/>
          <w:sz w:val="28"/>
          <w:szCs w:val="28"/>
          <w:rtl w:val="true"/>
          <w:lang w:bidi="fa-IR"/>
        </w:rPr>
        <w:t xml:space="preserve">فإذا کانت أهل مدینة ما غیر مسددة نحو السعادة فإنها تکسبهم هیئات ردیئة  من هیئة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فهولاء تبقی أنفسهم هیولانیة عیلر مستکملة استکمالا تفارق  به الما دة حتی إذا بطلت المادة بطلت هی أیضا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Abu Nashr Al-farabi, al-Siyasat al-Madaniah (India;  Da'irah al-Ma'arif al-Utsmaniyah, 1345 H) hal. 53.</w:t>
      </w:r>
    </w:p>
    <w:p>
      <w:pPr>
        <w:pStyle w:val="BookText"/>
        <w:bidi w:val="0"/>
        <w:jc w:val="both"/>
        <w:rPr/>
      </w:pPr>
      <w:r>
        <w:rPr>
          <w:rFonts w:eastAsia="Times New Roman" w:cs="Times New Roman" w:ascii="Times New Roman" w:hAnsi="Times New Roman"/>
          <w:color w:val="111111"/>
          <w:sz w:val="28"/>
          <w:szCs w:val="28"/>
          <w:lang w:val="en-US"/>
        </w:rPr>
        <w:t>Dalam  pandangan Ibn Sina, seluruh jiwa akan dibangkitkan, sekalipun  jiwa tersebut tidak mencapai kesempurnaan dan jiwa tidak  hilang dengan hancurnya raga.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"Ketahuilah bahwa sebagian pendahulu (Qudama')  berpandangan bahwa jiwa yang tidak mencapai  kesempurnaan akan hancur, karena jiwa dapat tetap  ada melalui forma yang melingkupinya. Maka hilangnya  forma menyebabkan kematian jiwa, padahal tidaklah  ada kematian pada wujud; akan tetapi argumentasi yang  membuktikan tetapnya jiwa rasional (al-Nātiqah) menjadi  bukti yang bertentangan dengan mazhab ini."  Teks aslinya sebagai berikut:</w:t>
      </w:r>
    </w:p>
    <w:p>
      <w:pPr>
        <w:pStyle w:val="BookText"/>
        <w:bidi w:val="0"/>
        <w:jc w:val="both"/>
        <w:rPr/>
      </w:pPr>
      <w:r>
        <w:rPr>
          <w:rFonts w:ascii="IRNazanin" w:hAnsi="IRNazanin" w:eastAsia="IRNazanin"/>
          <w:color w:val="111111"/>
          <w:sz w:val="28"/>
          <w:sz w:val="28"/>
          <w:szCs w:val="28"/>
          <w:rtl w:val="true"/>
          <w:lang w:bidi="fa-IR"/>
        </w:rPr>
        <w:t>واعلم أن من القدماء من زعم أنها تفنی لأن النفس إتماتبقی بالصور المرتسمة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لخالیة عنها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معطل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الدلائل الدالة علی  هذا المذهب  بقاء النفوس الناطقة تقتضی نقض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Khwaja Nashir Al-Din Al-Tusi, Syarh Al-Isyarat wa Al-  Tanbiha, (Qom: Nashr Al-Balaghah, 1375) J. III, hlm. 355.</w:t>
      </w:r>
    </w:p>
    <w:p>
      <w:pPr>
        <w:pStyle w:val="BookText"/>
        <w:bidi w:val="0"/>
        <w:jc w:val="both"/>
        <w:rPr/>
      </w:pPr>
      <w:r>
        <w:rPr>
          <w:rFonts w:eastAsia="Times New Roman" w:cs="Times New Roman" w:ascii="Times New Roman" w:hAnsi="Times New Roman"/>
          <w:color w:val="111111"/>
          <w:sz w:val="28"/>
          <w:szCs w:val="28"/>
          <w:lang w:val="en-US"/>
        </w:rPr>
        <w:t>Jiwa yang tidak sempurna akan tetap ada setelah  hancurnya raga maupun forma dan jiwa tersebut akan  mengalami penderitaan ruhaniah karena tidak berhasil mencapai  kesempurnaan.</w:t>
      </w:r>
    </w:p>
    <w:p>
      <w:pPr>
        <w:pStyle w:val="BookText"/>
        <w:bidi w:val="0"/>
        <w:jc w:val="both"/>
        <w:rPr/>
      </w:pPr>
      <w:r>
        <w:rPr>
          <w:rFonts w:eastAsia="Times New Roman" w:cs="Times New Roman" w:ascii="Times New Roman" w:hAnsi="Times New Roman"/>
          <w:color w:val="111111"/>
          <w:sz w:val="28"/>
          <w:szCs w:val="28"/>
          <w:lang w:val="en-US"/>
        </w:rPr>
        <w:t>Selain hal tersebut di atas, Ibn Sina menolak adanya  kesadaran barzakhi pascakematian karena berpisahnya jiwa  dari raga akibat kematian menghancurkan potensi imajinal pada  diri manusia dan mengantarkan jiwa pada tingkat kemurnian  intelektual atau immaterial murni sehingga tidak terjadi barzakh  di antara kedua fase tersebut. Hal ini berangkat dari keyakinan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133 </w:t>
      </w:r>
    </w:p>
    <w:p>
      <w:pPr>
        <w:pStyle w:val="BookText"/>
        <w:bidi w:val="0"/>
        <w:rPr/>
      </w:pPr>
      <w:r>
        <w:rPr>
          <w:rFonts w:eastAsia="Times New Roman" w:cs="Times New Roman" w:ascii="Times New Roman" w:hAnsi="Times New Roman"/>
          <w:color w:val="111111"/>
          <w:sz w:val="28"/>
          <w:szCs w:val="28"/>
          <w:lang w:val="en-US"/>
        </w:rPr>
        <w:t>Ibn Sina bahwa potensi imajinal berada pada materi dan sama  sekali tidak bersifat nonmateri. Penolakannya ini dapat kita  ketahui:</w:t>
      </w:r>
    </w:p>
    <w:p>
      <w:pPr>
        <w:pStyle w:val="BookText"/>
        <w:bidi w:val="0"/>
        <w:jc w:val="both"/>
        <w:rPr/>
      </w:pPr>
      <w:r>
        <w:rPr>
          <w:rFonts w:eastAsia="Times New Roman" w:cs="Times New Roman" w:ascii="Times New Roman" w:hAnsi="Times New Roman"/>
          <w:color w:val="111111"/>
          <w:sz w:val="28"/>
          <w:szCs w:val="28"/>
          <w:lang w:val="en-US"/>
        </w:rPr>
        <w:t>Forma fisik an sich tidaklah menerima perbedaan  dan tidak mungkin sebagian darinya eksis pada materi  sedangkan sebagian lainnya eksis pada nonmateri. Adalah  sesuatu yang tidak mungkin terjadi bahwa sebuah bentuk  alami yang satu memiliki perbedaan dimensi dan terjadi  pluralitas dalam keberadaan dirinya, karena wujud dari  bentuk alami tersebut satu dalam makna kesatuan. Jika  korpus wujudnya tidak hancur karena ketiadaan dirinya,  pastilah dirinya adalah kuiditas dari tempat wujudnya  tersebut dan jika tempat tersebut hancur karena kehancuran  dirinya, pastilah dia merupakan substansi -yang wujudnya  tidak bergantung pada sesuatu dari korpus wujudnya  tersebut. Demikian juga, wujudnya yang satu pastilah  (berada diantara beberapa kemungkinan) baik dia wujud  pada materi atau wujud pada nonmateri atau sebagian  wujud pada materi dan sebagian lain wujud pada nonmateri.</w:t>
      </w:r>
    </w:p>
    <w:p>
      <w:pPr>
        <w:pStyle w:val="BookText"/>
        <w:bidi w:val="0"/>
        <w:jc w:val="both"/>
        <w:rPr/>
      </w:pPr>
      <w:r>
        <w:rPr>
          <w:rFonts w:eastAsia="Times New Roman" w:cs="Times New Roman" w:ascii="Times New Roman" w:hAnsi="Times New Roman"/>
          <w:color w:val="111111"/>
          <w:sz w:val="28"/>
          <w:szCs w:val="28"/>
          <w:lang w:val="en-US"/>
        </w:rPr>
        <w:t>Adalah sesuatu yang tidak mungkin terjadi sebagian wujud  pada materi dan sebagian lain wujud pada nonmateri  karena berubahnya status wujud tersebut sebagai sesuatu  yang satu dan tidak terdapat padanya perbedaan. Maka  tinggallah kemungkinan bahwa wujud yang satu tersebut  baik seluruhnya wujud pada nonmateri atau seluruhnya  wujud pada materi, tetapi tidaklah seluruhnya wujud pada  nonmateri, maka tinggalah kemungkinan terakhir bahwa  seluruhnya wujud pada materi.</w:t>
      </w:r>
      <w:r>
        <w:rPr>
          <w:rStyle w:val="FootnoteAnchor"/>
        </w:rPr>
        <w:footnoteReference w:id="153"/>
      </w:r>
    </w:p>
    <w:p>
      <w:pPr>
        <w:pStyle w:val="BookText"/>
        <w:bidi w:val="0"/>
        <w:jc w:val="both"/>
        <w:rPr/>
      </w:pPr>
      <w:r>
        <w:rPr>
          <w:rFonts w:ascii="IRNazanin" w:hAnsi="IRNazanin" w:eastAsia="IRNazanin"/>
          <w:color w:val="111111"/>
          <w:sz w:val="28"/>
          <w:sz w:val="28"/>
          <w:szCs w:val="28"/>
          <w:rtl w:val="true"/>
          <w:lang w:bidi="fa-IR"/>
        </w:rPr>
        <w:t>فاذا الصورة الجسمیة بماهی الصورة الجسمیة لامختلف فلایجوز أن یکون  بعضهاقاعمافی المادة وبعضها غیرقا عما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فانة من المحال أن تکون  طبیعة لا اختلاف فیها من جهة ماهی تلک الطبیعة ویعرض لها إختلاف فی نفس  وجودها لان کونهاذلک الواحد متفق و ایضا فان وجودها ذلک الواحدلا یخلو إما  أن یکون قاعمافی مادة أو غیر قائم فی مادة أو بعضه قائما فیها و بعضه غیر  قائم ومحال أن یکون بعضه قا ئما فیها وبعضه لیس لأن الاعتبارإئما تناول        ذلک الوجود من حیث هوواحد غیر مختلف فبقی أن یکون ذلک الواحد إما کله  کله غیر قائم فیها فبقی أن یکون کله  غیر قائم فیها أو کله قائم فیها ولکم لیس  فائما فیها</w:t>
      </w:r>
    </w:p>
    <w:p>
      <w:pPr>
        <w:pStyle w:val="BookText"/>
        <w:bidi w:val="0"/>
        <w:jc w:val="both"/>
        <w:rPr/>
      </w:pPr>
      <w:r>
        <w:rPr>
          <w:rFonts w:eastAsia="Times New Roman" w:cs="Times New Roman" w:ascii="Times New Roman" w:hAnsi="Times New Roman"/>
          <w:color w:val="111111"/>
          <w:sz w:val="28"/>
          <w:szCs w:val="28"/>
          <w:lang w:val="en-US"/>
        </w:rPr>
        <w:t>Dengan dasar ini, Ibn Sina meyakini tidak ada kehidupan  Barzakhi pascakematian karena kehidupan Barzakhi merupakan  gambaran dari terwujudnya potensi imajinal manusia.</w:t>
      </w:r>
    </w:p>
    <w:p>
      <w:pPr>
        <w:pStyle w:val="BookText"/>
        <w:bidi w:val="0"/>
        <w:jc w:val="both"/>
        <w:rPr/>
      </w:pPr>
      <w:r>
        <w:rPr>
          <w:rFonts w:eastAsia="Times New Roman" w:cs="Times New Roman" w:ascii="Times New Roman" w:hAnsi="Times New Roman"/>
          <w:color w:val="111111"/>
          <w:sz w:val="28"/>
          <w:szCs w:val="28"/>
          <w:lang w:val="en-US"/>
        </w:rPr>
        <w:t>Namun, pandangan Ibn Sina yang mendudukkan daya  imajinasi berada pada korpus materi menimbulkan persoalan,  yaitu dengan daya apa jiwa melakukan persepsi ketiga raga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134 </w:t>
      </w:r>
    </w:p>
    <w:p>
      <w:pPr>
        <w:pStyle w:val="BookText"/>
        <w:bidi w:val="0"/>
        <w:rPr/>
      </w:pPr>
      <w:r>
        <w:rPr>
          <w:rFonts w:eastAsia="Times New Roman" w:cs="Times New Roman" w:ascii="Times New Roman" w:hAnsi="Times New Roman"/>
          <w:color w:val="111111"/>
          <w:sz w:val="28"/>
          <w:szCs w:val="28"/>
          <w:lang w:val="en-US"/>
        </w:rPr>
        <w:t>materinya hancur? Ibn Sina, dalam  hal ini, mengemukakan pandangan    bahwa pascaberpisahnya jiwa dan    raga, jiwa akan menggunakan forma  materi halus yang terbentuk dari    udara dan asap yang di dalamnya  tersimpan daya-daya material (al-  Mizāj</w:t>
      </w:r>
      <w:r>
        <w:rPr>
          <w:rStyle w:val="FootnoteAnchor"/>
        </w:rPr>
        <w:footnoteReference w:id="154"/>
      </w:r>
      <w:r>
        <w:rPr>
          <w:rFonts w:eastAsia="Times New Roman" w:cs="Times New Roman" w:ascii="Times New Roman" w:hAnsi="Times New Roman"/>
          <w:color w:val="111111"/>
          <w:sz w:val="28"/>
          <w:szCs w:val="28"/>
          <w:lang w:val="en-US"/>
        </w:rPr>
        <w:t>). Jiwa bertindak sebagai    pengendali bagi forma tersebut  ketika melakukan persepsi, tetapi  tidak menyatu dengan forma tersebut karena bagi Ibn Sina, hal  tersebut akan menyebabkan terjadinya reinkarnasi.</w:t>
      </w:r>
      <w:r>
        <w:rPr>
          <w:rStyle w:val="FootnoteAnchor"/>
        </w:rPr>
        <w:footnoteReference w:id="155"/>
      </w:r>
      <w:r>
        <w:rPr>
          <w:rFonts w:eastAsia="Times New Roman" w:cs="Times New Roman" w:ascii="Times New Roman" w:hAnsi="Times New Roman"/>
          <w:color w:val="111111"/>
          <w:sz w:val="28"/>
          <w:szCs w:val="28"/>
          <w:lang w:val="en-US"/>
        </w:rPr>
        <w:t xml:space="preserve"> Mulla Sadra mengkritik pandangan Ibn Sina yang seperti  ini. Menurutnya, bagaimana mungkin Ibn Sina berpandangan  bahwa korpus imajinal jiwa pascalepasnya dari fisik materi  berasal dari udara dan uap, apalagi mengingat Ibn Sina  merupakan filsuf Fisika dan Ilahiah. Menurut Mulla Sadra,  sangat jelas bahwa fisik uap terlahir dari sebagian unsur-unsur  yang terpisah melalui sebab yang rendah. Sekiranya tidak ada  substansi yang menjaga keutuhannya sehingga dirinya tetap  berada dalam pengendalian jiwa, maka dirinya tetap dalam  substansinya sebagai bagian tumbuh-tumbuhan atau binatang  karena dirinya merupakan korpus bagi persepsi imajinasi. Oleh  karena itu, menurut Mulla Sadra, hal ini akan menyebabkan  reinkarnasi karena materi uap tersebut akan menjadi binatang  yang tidak ada hubungannya sama sekali dengan manusia yang  terikat pada jiwa kemanusiaan sehingga hal tersebut akan  menyebabkan manusia ini berubah menjadi binatang. Menurut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135 </w:t>
      </w:r>
    </w:p>
    <w:p>
      <w:pPr>
        <w:pStyle w:val="BookText"/>
        <w:bidi w:val="0"/>
        <w:rPr/>
      </w:pPr>
      <w:r>
        <w:rPr>
          <w:rFonts w:eastAsia="Times New Roman" w:cs="Times New Roman" w:ascii="Times New Roman" w:hAnsi="Times New Roman"/>
          <w:color w:val="111111"/>
          <w:sz w:val="28"/>
          <w:szCs w:val="28"/>
          <w:lang w:val="en-US"/>
        </w:rPr>
        <w:t>Mulla Sadra, hal tersebut karena syarat kemanusiaan adalah  memiliki daya persepsi terhadap berbagai objek-objek intelek,  baik secara aktual maupun potensial, dan baik yang dekat  maupun jauh. Kedua hal tersebut tidak mungkin, mengingat  potensi akan hancur karena kematian tanpa menjadi intelek  secara aktual, kemudian jika diandaikan bahwa dirinya memiliki  daya mengetahui objek-objek intelek, maka akan menjadi  manusia yang lain dalam segala bentuknya. Hal ini jelas akan  menyebabkan reinkarnasi. Argumentasi ini menurut Mulla  Sadra tidak dapat disangkal hanya melalui pernyataan Ibn Sina,  "Raga tersebut digunakan tanpa harus menjadi jiwa baginya.</w:t>
      </w:r>
    </w:p>
    <w:p>
      <w:pPr>
        <w:pStyle w:val="BookText"/>
        <w:bidi w:val="0"/>
        <w:jc w:val="both"/>
        <w:rPr/>
      </w:pPr>
      <w:r>
        <w:rPr>
          <w:rFonts w:eastAsia="Times New Roman" w:cs="Times New Roman" w:ascii="Times New Roman" w:hAnsi="Times New Roman"/>
          <w:color w:val="111111"/>
          <w:sz w:val="28"/>
          <w:szCs w:val="28"/>
          <w:lang w:val="en-US"/>
        </w:rPr>
        <w:t>Tidak ada makna bagi jiwa kecuali sebatas substansi intelek  yang menggunakan materi hewan yang hidup secara potensial  sebagai korpus bagi hasil inteleknya. "</w:t>
      </w:r>
      <w:r>
        <w:rPr>
          <w:rStyle w:val="FootnoteAnchor"/>
        </w:rPr>
        <w:footnoteReference w:id="156"/>
      </w:r>
    </w:p>
    <w:p>
      <w:pPr>
        <w:pStyle w:val="BookText"/>
        <w:bidi w:val="0"/>
        <w:jc w:val="both"/>
        <w:rPr/>
      </w:pPr>
      <w:r>
        <w:rPr>
          <w:rFonts w:ascii="IRNazanin" w:hAnsi="IRNazanin" w:eastAsia="IRNazanin"/>
          <w:color w:val="111111"/>
          <w:sz w:val="28"/>
          <w:sz w:val="28"/>
          <w:szCs w:val="28"/>
          <w:rtl w:val="true"/>
          <w:lang w:bidi="fa-IR"/>
        </w:rPr>
        <w:t>تستعمله من غیر أن تصیر نفسا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لامعنی للنفس إلأ الجوهر الإدراکی  المستعمل لجرم حیوانی ذی حیاة بالقوة موضوع الإدراکاته</w:t>
      </w:r>
    </w:p>
    <w:p>
      <w:pPr>
        <w:pStyle w:val="BookText"/>
        <w:bidi w:val="0"/>
        <w:jc w:val="both"/>
        <w:rPr/>
      </w:pPr>
      <w:r>
        <w:rPr>
          <w:rFonts w:eastAsia="Times New Roman" w:cs="Times New Roman" w:ascii="Times New Roman" w:hAnsi="Times New Roman"/>
          <w:color w:val="111111"/>
          <w:sz w:val="28"/>
          <w:szCs w:val="28"/>
          <w:lang w:val="en-US"/>
        </w:rPr>
        <w:t>Secara keseluruhan,  Mulla Sadra menolak mazhab ini dan menurutnya, pernyataan  tersebut keliru dan muncul dari tidak adanya ilmu terhadap  lepasnya jiwa imajinal dan objek-objek inteleknya dari materi  fisik.</w:t>
      </w:r>
    </w:p>
    <w:p>
      <w:pPr>
        <w:pStyle w:val="BookText"/>
        <w:bidi w:val="0"/>
        <w:jc w:val="both"/>
        <w:rPr/>
      </w:pPr>
      <w:r>
        <w:rPr>
          <w:rFonts w:eastAsia="Times New Roman" w:cs="Times New Roman" w:ascii="Times New Roman" w:hAnsi="Times New Roman"/>
          <w:color w:val="111111"/>
          <w:sz w:val="28"/>
          <w:szCs w:val="28"/>
          <w:lang w:val="en-US"/>
        </w:rPr>
        <w:t>Mulla Sadra juga menolak dengan sangat keras, bahkan  menggunakan kata-kata yang cukup pedas terhadap Syaikh  Ra'is:</w:t>
      </w:r>
    </w:p>
    <w:p>
      <w:pPr>
        <w:pStyle w:val="BookText"/>
        <w:bidi w:val="0"/>
        <w:jc w:val="both"/>
        <w:rPr/>
      </w:pPr>
      <w:r>
        <w:rPr>
          <w:rFonts w:eastAsia="Times New Roman" w:cs="Times New Roman" w:ascii="Times New Roman" w:hAnsi="Times New Roman"/>
          <w:color w:val="111111"/>
          <w:sz w:val="28"/>
          <w:szCs w:val="28"/>
          <w:lang w:val="en-US"/>
        </w:rPr>
        <w:t>Yang lebih aneh lagi dari pandangan Syaikh Abi Ali  adalah bahwa kebahagiaan hakiki dirasakan melalui  hubungan dirinya sebagian dengan sebagian yang lain  dalam huubungan intelektual, sebagaimana hubungan  antara subjek intelek dengan objek intelek. Padahal, belum  dibuktikan makna hubungan intelek dan kesatuan esensial  (zāti) di antara subjek intelek dengan objek intelek</w:t>
      </w:r>
      <w:r>
        <w:rPr>
          <w:rStyle w:val="FootnoteAnchor"/>
        </w:rPr>
        <w:footnoteReference w:id="157"/>
      </w:r>
      <w:r>
        <w:rPr>
          <w:rFonts w:eastAsia="Times New Roman" w:cs="Times New Roman" w:ascii="Times New Roman" w:hAnsi="Times New Roman"/>
          <w:color w:val="111111"/>
          <w:sz w:val="28"/>
          <w:szCs w:val="28"/>
          <w:lang w:val="en-US"/>
        </w:rPr>
        <w:t>Syaikh  tidak dapat memberikan argumentasi, bahkan menolak  pandangan tersebut dalam banyak kitabnya dalam puncak  penolakan.</w:t>
      </w:r>
      <w:r>
        <w:rPr>
          <w:rStyle w:val="FootnoteAnchor"/>
        </w:rPr>
        <w:footnoteReference w:id="158"/>
      </w:r>
    </w:p>
    <w:p>
      <w:pPr>
        <w:pStyle w:val="BookText"/>
        <w:bidi w:val="0"/>
        <w:jc w:val="both"/>
        <w:rPr/>
      </w:pPr>
      <w:r>
        <w:rPr>
          <w:rFonts w:ascii="IRNazanin" w:hAnsi="IRNazanin" w:eastAsia="IRNazanin"/>
          <w:color w:val="111111"/>
          <w:sz w:val="28"/>
          <w:sz w:val="28"/>
          <w:szCs w:val="28"/>
          <w:rtl w:val="true"/>
          <w:lang w:bidi="fa-IR"/>
        </w:rPr>
        <w:t>والعجب من الشیخ أبی علی أیضا إنه ذکر فی هذا الکلام المنقول إن السعداء  اتصالا عقلیا کا تصال  الحقیقیین یتلذذون باتصال ذواتهم بعضهم ببعض  معقول بمعقول مع أنه لم یحصل معنی الاتصال العقلی والاتحاد الذاتی بین        العاقل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یقدر علی اثباته بل أنکره فی أکثر کتبه غایة الانکار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136 </w:t>
      </w:r>
    </w:p>
    <w:p>
      <w:pPr>
        <w:pStyle w:val="BookText"/>
        <w:bidi w:val="0"/>
        <w:rPr/>
      </w:pPr>
      <w:r>
        <w:rPr>
          <w:rFonts w:eastAsia="Times New Roman" w:cs="Times New Roman" w:ascii="Times New Roman" w:hAnsi="Times New Roman"/>
          <w:color w:val="111111"/>
          <w:sz w:val="28"/>
          <w:szCs w:val="28"/>
          <w:lang w:val="en-US"/>
        </w:rPr>
        <w:t>Penolakan Mulla Sadra terhadap pandangan kebahagian  yang dikemukakan Ibn Sina seperti yang telah dijelaskan di  atas. Persoalan utama bagi Mulla Sadra di sini adalah puncak  kebahagiaan berada pada tingkat intelektual, sedangkan hal  tersebut hanya terjadi ketika jiwa melakukan pencerapan  terhadap objek intelektual dan pandangan ini hanya bisa  diterima jika didasarkan pada prinsip Ittihād al-'Aqil wa al-  Maʼqūl, sementara Ibn Sina menolak prinsip tersebut.</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"Sesungguhnya kelompok yang mengeluarkan  pernyataan bahwa substansi subjek ketika melakukan  persepsi terhadap forma pengetahuan maka forma tersebut  menjadi dirinya. Jika diandaikan bahwa substansi subjek  mempersepsi objek dan berdasarkan pernyataan mereka,  maka apakah dirinya tidak berubah seperti sebelum  mempersepsi (objek tersebut)? Ataukah seluruh objek  tersebut menjadi dirinya. Jika tidak terjadi perbedaan apa  pun, maka sama saja keadaannya sebelum dan sesudah  terjadinya persepsi. Jika tidak demikian mana yang akan  hilang di antara dua hal ini; identitasnya atau esensi dirinya?  Jika identitasnya yang lenyap dan esensi dirinya tetap maka  ini seperti halnya kemustahilan yang lain bahwa diri (subjek)  bukanlah sebagaimana yang diketahui; dan jika yang lenyap  adalah esensinya dan menjadi sesuatu yang lain maka yang  terjadi adalah hilangnya esensinya (terdahulu) dan menjadi  sesuatu yang lain padahal kenyataannya tidaklah subjek  menjadi sesuatu yang lain tersebut."  Teks aslinya sebagai berikut:</w:t>
      </w:r>
    </w:p>
    <w:p>
      <w:pPr>
        <w:pStyle w:val="BookText"/>
        <w:bidi w:val="0"/>
        <w:jc w:val="both"/>
        <w:rPr/>
      </w:pPr>
      <w:r>
        <w:rPr>
          <w:rFonts w:ascii="IRNazanin" w:hAnsi="IRNazanin" w:eastAsia="IRNazanin"/>
          <w:color w:val="111111"/>
          <w:sz w:val="28"/>
          <w:sz w:val="28"/>
          <w:szCs w:val="28"/>
          <w:rtl w:val="true"/>
          <w:lang w:bidi="fa-IR"/>
        </w:rPr>
        <w:t>إن قوما من المتصدرین یقع عندهم أن الجوهم العاقل إذا عقل صورة عقلیة  و کان هو علی قولهم بیعنه  صار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فلنفرض الجوهر العا قل عقل  المعقول من فهل هو حینئذ کما کان عند ما لم یعقل ؟ أو بطل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کما کان فسواء عقل أو لم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بطل منه ذلک أبطل علی أنه  حال له أو علی أنه ذاته ؟ فإن کان علی أنه حال له والذات با قیة فهو کسائر  الاستحالات لیس هو علی مایقولون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 أنه ذاته وحدث شیء آخر  لیس أنه صار شیئا آخر</w:t>
      </w:r>
    </w:p>
    <w:p>
      <w:pPr>
        <w:pStyle w:val="BookText"/>
        <w:bidi w:val="0"/>
        <w:jc w:val="both"/>
        <w:rPr/>
      </w:pPr>
      <w:r>
        <w:rPr>
          <w:rFonts w:eastAsia="Times New Roman" w:cs="Times New Roman" w:ascii="Times New Roman" w:hAnsi="Times New Roman"/>
          <w:color w:val="111111"/>
          <w:sz w:val="28"/>
          <w:szCs w:val="28"/>
          <w:lang w:val="en-US"/>
        </w:rPr>
        <w:t>b. Kritik Mulla Sadra terhadap Al-Ghazāli  Dalam persoalan eskatologi, Al-Ghazāli banyak menulis,  bahkan secara khusus dalam kitabnya Tahāfut al-Falāsifah,  menyerang pandangan para filsuf tentang pandangan ini, yaitu  keyakinan para filsuf bahwa kebangkitan yang akan terjadi pada  manusia tidak lagi dalam bentuk fisik, tetapi hanya jiwa dan  hal ini mengacu pada pandangan Eskatologi Ibn Sina. Bagi Al-  Ghazāli, keyakinan yang seperti ini sangat bertentangan dengan  prinsip Alquran yang secara khusus menyebutkan bahwa  kebangkitan manusia tidak hanya jiwa, tetapi juga meliputi fisik.</w:t>
      </w:r>
    </w:p>
    <w:p>
      <w:pPr>
        <w:pStyle w:val="BookText"/>
        <w:bidi w:val="0"/>
        <w:jc w:val="both"/>
        <w:rPr/>
      </w:pPr>
      <w:r>
        <w:rPr>
          <w:rFonts w:eastAsia="Times New Roman" w:cs="Times New Roman" w:ascii="Times New Roman" w:hAnsi="Times New Roman"/>
          <w:color w:val="111111"/>
          <w:sz w:val="28"/>
          <w:szCs w:val="28"/>
          <w:lang w:val="en-US"/>
        </w:rPr>
        <w:t>Pandangan Eskatologi para filsuf ini menegasikan kekuasaan  Tuhan: bukankah Tuhan itu Mahakuasa atas segala sesuatu,  termasuk sekedar menampilkan kembali fisik yang telah hancur  ataupun mewujudkan yang baru? Al-Ghazāli juga mengajukan  argumentasi bahwa kesempurnaan pada manusia hanya terjadi  melalui perpaduan antara jiwa dan raga. Karenanya, menjadi  wajib untuk diterima.</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Tahafut).</w:t>
      </w:r>
    </w:p>
    <w:p>
      <w:pPr>
        <w:pStyle w:val="BookText"/>
        <w:bidi w:val="0"/>
        <w:jc w:val="both"/>
        <w:rPr/>
      </w:pPr>
      <w:r>
        <w:rPr>
          <w:rFonts w:eastAsia="Times New Roman" w:cs="Times New Roman" w:ascii="Times New Roman" w:hAnsi="Times New Roman"/>
          <w:color w:val="111111"/>
          <w:sz w:val="28"/>
          <w:szCs w:val="28"/>
          <w:lang w:val="en-US"/>
        </w:rPr>
        <w:t>Menurut Al-Ghazāli, ketika kehidupan dan raga telah  hancur, penciptaan kembalinya akan merupakan penciptaan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137 </w:t>
      </w:r>
    </w:p>
    <w:p>
      <w:pPr>
        <w:pStyle w:val="BookText"/>
        <w:bidi w:val="0"/>
        <w:rPr/>
      </w:pPr>
      <w:r>
        <w:rPr>
          <w:rFonts w:eastAsia="Times New Roman" w:cs="Times New Roman" w:ascii="Times New Roman" w:hAnsi="Times New Roman"/>
          <w:color w:val="111111"/>
          <w:sz w:val="28"/>
          <w:szCs w:val="28"/>
          <w:lang w:val="en-US"/>
        </w:rPr>
        <w:t>yang semisal dengan apa yang ada sebelumnya, bukan raga yang  dahulu digunakan ketika dalam kehidupan duniawi.</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Abi Hamid Al-Ghazāli, Tahāfut Al-Falāsifah (Beirut: Dar Al-  Maktabah Al-Hilal), hlm. 289–290.</w:t>
      </w:r>
    </w:p>
    <w:p>
      <w:pPr>
        <w:pStyle w:val="BookText"/>
        <w:bidi w:val="0"/>
        <w:jc w:val="both"/>
        <w:rPr/>
      </w:pPr>
      <w:r>
        <w:rPr>
          <w:rFonts w:eastAsia="Times New Roman" w:cs="Times New Roman" w:ascii="Times New Roman" w:hAnsi="Times New Roman"/>
          <w:color w:val="111111"/>
          <w:sz w:val="28"/>
          <w:szCs w:val="28"/>
          <w:lang w:val="en-US"/>
        </w:rPr>
        <w:t>Namun  bagi Al-Ghazali, makna “kembali” (Ma'ad) mengimplikasikan  pengandaiaan keabadian sesuatu dan barunya sesuatu yang  lain. Sebagaimana jika dikatakan bahwa seseorang kembali  pada kenikmatan, yang dimaksud tidak lain, bahwa orang yang  mendapatkan kenikmatan tersebut bersifat tetap dan abadi; dia  telah meninggalkan kenikmatan tersebut, kemudian kembali  merasakannya, yaitu dia kembali pada apa yang secara generik  sama dengan apa yang dia rasakan sebelumnya, tetapi berbeda  dalam kuantitasnya. Maka tidak lain, makna kembali adalah  kembali kepada yang semisalnya.</w:t>
      </w:r>
    </w:p>
    <w:p>
      <w:pPr>
        <w:pStyle w:val="BookText"/>
        <w:bidi w:val="0"/>
        <w:jc w:val="both"/>
        <w:rPr/>
      </w:pPr>
      <w:r>
        <w:rPr>
          <w:rFonts w:eastAsia="Times New Roman" w:cs="Times New Roman" w:ascii="Times New Roman" w:hAnsi="Times New Roman"/>
          <w:color w:val="111111"/>
          <w:sz w:val="28"/>
          <w:szCs w:val="28"/>
          <w:lang w:val="en-US"/>
        </w:rPr>
        <w:t>Argumentasi dasar pandangan Al-Ghazāli ini adalah  bahwa personalitas diri manusia bukanlah terletak pada  raganya, melainkan jiwanya sehingga dibangkitkan dalam raga  manapun, personalitas dirinya akan tetap.</w:t>
      </w:r>
      <w:r>
        <w:rPr>
          <w:rStyle w:val="FootnoteAnchor"/>
        </w:rPr>
        <w:footnoteReference w:id="162"/>
      </w:r>
      <w:r>
        <w:rPr>
          <w:rFonts w:eastAsia="Times New Roman" w:cs="Times New Roman" w:ascii="Times New Roman" w:hAnsi="Times New Roman"/>
          <w:color w:val="111111"/>
          <w:sz w:val="28"/>
          <w:szCs w:val="28"/>
          <w:lang w:val="en-US"/>
        </w:rPr>
        <w:t>Al-Ghazāli dengan  pandangannya ini mempertanyakan; Apakah perpindahan  seperti ini dari satu raga pada raga yang lain dalam dimensi yang  berbeda dianggap reinkarnasi? Al-Ghazāli membantah anggapan  bahwa hal yang seperti ini dianggap sebagai reinkarnasi. Baginya,  reinkarnasi hanya terjadi jika berpindahnya ruh atau jiwa dari  satu raga pada raga yang lain dalam kehidupan duniawi.</w:t>
      </w:r>
      <w:r>
        <w:rPr>
          <w:rStyle w:val="FootnoteAnchor"/>
        </w:rPr>
        <w:footnoteReference w:id="163"/>
      </w:r>
      <w:r>
        <w:rPr>
          <w:rFonts w:eastAsia="Times New Roman" w:cs="Times New Roman" w:ascii="Times New Roman" w:hAnsi="Times New Roman"/>
          <w:color w:val="111111"/>
          <w:sz w:val="28"/>
          <w:szCs w:val="28"/>
          <w:lang w:val="en-US"/>
        </w:rPr>
        <w:t xml:space="preserve"> Jadi, menurut pandangan Al-Ghazāli, reinkarnasi tidak  mungkin ada jika peristiwa tersebut terjadi dalam kehidupan  duniawi. Namun, jika peristiwa tersebut adalah bangkitnya  kembali jiwa dari alam kematiannya pada proses kehidupan  akhirat, maka hal tersebut tidaklah tergolong sebagai reinkarnasi,  tetapi masuk dalam kategori kebangkitan atau Ma'ād.</w:t>
      </w:r>
      <w:r>
        <w:rPr>
          <w:rStyle w:val="FootnoteAnchor"/>
        </w:rPr>
        <w:footnoteReference w:id="164"/>
      </w:r>
      <w:r>
        <w:rPr>
          <w:rFonts w:eastAsia="Times New Roman" w:cs="Times New Roman" w:ascii="Times New Roman" w:hAnsi="Times New Roman"/>
          <w:color w:val="111111"/>
          <w:sz w:val="28"/>
          <w:szCs w:val="28"/>
          <w:lang w:val="en-US"/>
        </w:rPr>
        <w:t xml:space="preserve"> Untuk mendukung pandangannya ini, Al-Ghazāli, pertama,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138 </w:t>
      </w:r>
    </w:p>
    <w:p>
      <w:pPr>
        <w:pStyle w:val="BookText"/>
        <w:bidi w:val="0"/>
        <w:rPr/>
      </w:pPr>
      <w:r>
        <w:rPr>
          <w:rFonts w:eastAsia="Times New Roman" w:cs="Times New Roman" w:ascii="Times New Roman" w:hAnsi="Times New Roman"/>
          <w:color w:val="111111"/>
          <w:sz w:val="28"/>
          <w:szCs w:val="28"/>
          <w:lang w:val="en-US"/>
        </w:rPr>
        <w:t>menyandarkan diri pada pandangan Ibn Sina yang menyatakan  bahwajiwa pascakematian terikat pada fisik astrologis. Hal ini bagi  Al-Ghazāli menunjukkan bahwa mungkinnya sebuah jiwa dapat  terikat pada bentuk raga yang lain dalam dimensi yang berbeda.</w:t>
      </w:r>
    </w:p>
    <w:p>
      <w:pPr>
        <w:pStyle w:val="BookText"/>
        <w:bidi w:val="0"/>
        <w:jc w:val="both"/>
        <w:rPr/>
      </w:pPr>
      <w:r>
        <w:rPr>
          <w:rFonts w:eastAsia="Times New Roman" w:cs="Times New Roman" w:ascii="Times New Roman" w:hAnsi="Times New Roman"/>
          <w:color w:val="111111"/>
          <w:sz w:val="28"/>
          <w:szCs w:val="28"/>
          <w:lang w:val="en-US"/>
        </w:rPr>
        <w:t>Baginya, ayat-ayat Alquran, riwayat, dan argumen rasional yang  menolak reinkarnasi hanya terbatas pada kehidupan di dunia  dan tidak ada argumentasi yang memadai dalam penolakan  terhadap masuknya jiwa dalam raga pada tingkat kehidupan  berikutnya. Kedua, Al-Ghazāli pada saat yang sama melakukan  kritik terhadap argumentasi ketidakmungkinan reinkarnasi yang  dikemukakan Ibn Sina, yang menyatakan bahwa reinkarnasi  akan menyebabkan bersatunya dua jiwa dalam raga yang satu  dan mengakibatkan    berkumpulnya    potensi-potensi yang  berbeda, bahkan    bertolak belakang      antara satu jiwa dengan  jiwa yang lain dalam    satu raga. Bagi Al-    Ghazāli, argumentasi  Ibn Sina ini memiliki    kelemahan karena jika    raga yang kemudian  diciptakan Allah pada    tingkat kehidupan    berikutnya memiliki  kesamaan potensial,    bahkan sesuai dengan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139 </w:t>
      </w:r>
    </w:p>
    <w:p>
      <w:pPr>
        <w:pStyle w:val="BookText"/>
        <w:bidi w:val="0"/>
        <w:rPr/>
      </w:pPr>
      <w:r>
        <w:rPr>
          <w:rFonts w:eastAsia="Times New Roman" w:cs="Times New Roman" w:ascii="Times New Roman" w:hAnsi="Times New Roman"/>
          <w:color w:val="111111"/>
          <w:sz w:val="28"/>
          <w:szCs w:val="28"/>
          <w:lang w:val="en-US"/>
        </w:rPr>
        <w:t>spesifikasi jiwa yang akan menempatinya sehingga tidak  mungkin jiwa yang lain akan masuk ke dalamnya yang akan  menyebabkan dua jiwa dalam satu raga, maka hal ini jelas  bukanlah suatu hal yang tidak mungkin terjadi.</w:t>
      </w:r>
      <w:r>
        <w:rPr>
          <w:rStyle w:val="FootnoteAnchor"/>
        </w:rPr>
        <w:footnoteReference w:id="165"/>
      </w:r>
      <w:r>
        <w:rPr>
          <w:rFonts w:eastAsia="Times New Roman" w:cs="Times New Roman" w:ascii="Times New Roman" w:hAnsi="Times New Roman"/>
          <w:color w:val="111111"/>
          <w:sz w:val="28"/>
          <w:szCs w:val="28"/>
          <w:lang w:val="en-US"/>
        </w:rPr>
        <w:t xml:space="preserve"> Mulla Sadra mengkritik pandangan Al-Ghazāli dengan  menyatakan bahwa pertama, argumentasi tentang kekeliruan  reinkarnasi tidak semata didasarkan kepada ayat maupun riwayat,  tetapi argumentasi rasional ikut mendukung kekeliruan tersebut.</w:t>
      </w:r>
    </w:p>
    <w:p>
      <w:pPr>
        <w:pStyle w:val="BookText"/>
        <w:bidi w:val="0"/>
        <w:jc w:val="both"/>
        <w:rPr/>
      </w:pPr>
      <w:r>
        <w:rPr>
          <w:rFonts w:eastAsia="Times New Roman" w:cs="Times New Roman" w:ascii="Times New Roman" w:hAnsi="Times New Roman"/>
          <w:color w:val="111111"/>
          <w:sz w:val="28"/>
          <w:szCs w:val="28"/>
          <w:lang w:val="en-US"/>
        </w:rPr>
        <w:t>Kedua, argumentasi penolakan reinkarnasi yang dikemukakan  Ibn Sina bahwa akan berkumpulnya dua jiwa dalam satu raga,  menurut Mulla Sadra adalah argumentasi yang sempurna.</w:t>
      </w:r>
    </w:p>
    <w:p>
      <w:pPr>
        <w:pStyle w:val="BookText"/>
        <w:bidi w:val="0"/>
        <w:jc w:val="both"/>
        <w:rPr/>
      </w:pPr>
      <w:r>
        <w:rPr>
          <w:rFonts w:eastAsia="Times New Roman" w:cs="Times New Roman" w:ascii="Times New Roman" w:hAnsi="Times New Roman"/>
          <w:color w:val="111111"/>
          <w:sz w:val="28"/>
          <w:szCs w:val="28"/>
          <w:lang w:val="en-US"/>
        </w:rPr>
        <w:t>Ketiga, pandangan Ibn Sina bahwa jiwa dalam melakukan  persepsi menggunakan fisik astrologis. Bagi Mulla Sadra, hal ini  adalah sebuah kemungkinan dan bukan reinkarnasi, mengingat  Ibn Sina mengemukakan bahwa fisik astrologis tersebut berasal  dari pemanfaatan daya imajinasi yang menghasilkan persepsi-  persepsi parsial sehingga mewujudkan forma fisik astrologis  dan ini jelas tidak akan menyebabkan reinkarnasi. Keempat,  kritik Al-Ghazāli terhadap argumentasi Ibn Sina bagi Mulla  Sadra menimbulkan persoalan lain yang justru melemahkan  pandangan Al-Ghazāli, mengingat Al-Ghazāli menyatakan bahwa  terwujudnya raga yang baru di akhirat tidak akan mengakibatkan  reinkarnasi karena dapat terwujud raga yang memiliki potensi  yang hanya sesuai dengan jiwa yang akan menempatinya. Bagi  Mulla Sadra, raga baru yang terwujud tersebut, untuk dapat  bereksesuaian dengan jiwa, pastilah ia berada dalam kualitas  yang setara dengan jiwa yang akan memasukinya. Raga yang  seperti ini jelas memiliki jiwa tersendiri sehingga mencapai  tingkat tersebut, yang pada akhirnya, ketika jiwa pertama</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140 </w:t>
      </w:r>
    </w:p>
    <w:p>
      <w:pPr>
        <w:pStyle w:val="BookText"/>
        <w:bidi w:val="0"/>
        <w:rPr/>
      </w:pPr>
      <w:r>
        <w:rPr>
          <w:rFonts w:eastAsia="Times New Roman" w:cs="Times New Roman" w:ascii="Times New Roman" w:hAnsi="Times New Roman"/>
          <w:color w:val="111111"/>
          <w:sz w:val="28"/>
          <w:szCs w:val="28"/>
          <w:lang w:val="en-US"/>
        </w:rPr>
        <w:t>memasuki raga tersebut, berkumpullah dua jiwa dalam satu  raga dan ini tidak lain adalah reinkarnasi.</w:t>
      </w:r>
    </w:p>
    <w:p>
      <w:pPr>
        <w:pStyle w:val="BookText"/>
        <w:bidi w:val="0"/>
        <w:jc w:val="both"/>
        <w:rPr/>
      </w:pPr>
      <w:r>
        <w:rPr>
          <w:rFonts w:eastAsia="Times New Roman" w:cs="Times New Roman" w:ascii="Times New Roman" w:hAnsi="Times New Roman"/>
          <w:color w:val="111111"/>
          <w:sz w:val="28"/>
          <w:szCs w:val="28"/>
          <w:lang w:val="en-US"/>
        </w:rPr>
        <w:t>Bahkan, Mulla Sadra mendudukkan pandangan Al-  Ghazāli ini sebagaimana pandangan mereka yang tidak percaya  kehidupan akhirat, seperti yang dinyatakannya:</w:t>
      </w:r>
    </w:p>
    <w:p>
      <w:pPr>
        <w:pStyle w:val="BookText"/>
        <w:bidi w:val="0"/>
        <w:jc w:val="both"/>
        <w:rPr/>
      </w:pPr>
      <w:r>
        <w:rPr>
          <w:rFonts w:eastAsia="Times New Roman" w:cs="Times New Roman" w:ascii="Times New Roman" w:hAnsi="Times New Roman"/>
          <w:color w:val="111111"/>
          <w:sz w:val="28"/>
          <w:szCs w:val="28"/>
          <w:lang w:val="en-US"/>
        </w:rPr>
        <w:t xml:space="preserve">Pernyataannya (Al-Ghazāli) serupa dengan pernyataan  mereka yang mengingkari akhirat dibandingkan keyakinan  terhadapnya; karena kebanyakan kaum materialistis  (Thaba'iyyāh wa Dahriyyāh) menyatakan hal yang sama,  bahwa unsur-unsur materi-materi berkumpul melalui  perantaraan gerakan angin, turunnya hujan ke bumi  dan pancaran cahaya matahari dan bulan dan selainnya  sehingga dari materi tersebut dihasilkan manusia, binatang,  dan tumbuh-tumbuhan, kemudian mati dan hancurlah  formanya, kemudian berkumpul kembali bagian-bagiannya,  baik dalam bentuk yang sama atau bentuk lainnya yang dekat  dengannya, sehingga dihasilkan bentuk yang semisal sekali  lagi, baik dengan tetapnya jiwa maupun ruh, sebagaimana  pandangan mereka yang meyakini reinkarnasi atau dengan  kebaruan diri dan hilangnya diri sebelumnya. Malang sekali  mereka yang mengambil pandangan pertama hanya untuk  membuktikan kesesuaian dengan kekuasaan Allah dalam  hal tersebut. </w:t>
      </w:r>
      <w:r>
        <w:rPr>
          <w:rStyle w:val="FootnoteAnchor"/>
        </w:rPr>
        <w:footnoteReference w:id="166"/>
      </w:r>
    </w:p>
    <w:p>
      <w:pPr>
        <w:pStyle w:val="BookText"/>
        <w:bidi w:val="0"/>
        <w:jc w:val="both"/>
        <w:rPr/>
      </w:pPr>
      <w:r>
        <w:rPr>
          <w:rFonts w:ascii="IRNazanin" w:hAnsi="IRNazanin" w:eastAsia="IRNazanin"/>
          <w:color w:val="111111"/>
          <w:sz w:val="28"/>
          <w:sz w:val="28"/>
          <w:szCs w:val="28"/>
          <w:rtl w:val="true"/>
          <w:lang w:bidi="fa-IR"/>
        </w:rPr>
        <w:t>وبالجملة کلامه أشبه بکلام المنکرین للآخرة منه بکلام المقرین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الطباعیة والدهریة هکذا کانوا یقولون یعنی إن المواد العنصریة تجتمع بو  اسطة هبوب الریاح ونزول الأمطار علی الأرض و وقوع الأشعة الشمسیة  والقمریة وغیرهما علیها فیحصل من تلک المواد إنسان و حیوان ونبات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نموت وتنفسخ صورها ثم تجتمع تلک الأجزاء مرة أخری علی هذه الهیأة أو  علی هیأة آخری قریبة منها فیحصل منها أمثال هذه موالید تارة أخری امامع  بقاء النفوس و الأرواح کما یقوله التنسخیة أو مع حدوث طائفة منها و بطلان  طائفة سابقة و لیت شعری من الذی أنکر أن یحدث من ماءو تراب ومادة بعینها  تارة بعد أخری صورة شبیهة با لصورة الأولی حتی یکون المطلوب أثبت  قدرة الله فی ذلک</w:t>
      </w:r>
    </w:p>
    <w:p>
      <w:pPr>
        <w:pStyle w:val="BookText"/>
        <w:bidi w:val="0"/>
        <w:jc w:val="both"/>
        <w:rPr/>
      </w:pPr>
      <w:r>
        <w:rPr>
          <w:rFonts w:eastAsia="Times New Roman" w:cs="Times New Roman" w:ascii="Times New Roman" w:hAnsi="Times New Roman"/>
          <w:color w:val="111111"/>
          <w:sz w:val="28"/>
          <w:szCs w:val="28"/>
          <w:lang w:val="en-US"/>
        </w:rPr>
        <w:t>Namun, sikap kritis yang berlebihan Mulla Sadra terhadap  Al-Ghazali, bahkan cenderung pada kata-kata yang cukup  pedas, jika tidak disebut sebagai kecaman, patut dipertanyakan,  mengingat pandangan Mulla Sadra sebelum menggagas al-  Hikmah al-Muta'aliyyah tidak jauh berbeda, bahkan mirip  dengan pandangan Al-Ghazali. Sebagai bukti untuk hal ini, kita  bisa melihat Mulla Sadra menulis pada kitabnya, Hidāyah Al-  Atsiriyyāh, antara lain:</w:t>
      </w:r>
    </w:p>
    <w:p>
      <w:pPr>
        <w:pStyle w:val="BookText"/>
        <w:bidi w:val="0"/>
        <w:jc w:val="both"/>
        <w:rPr/>
      </w:pPr>
      <w:r>
        <w:rPr>
          <w:rFonts w:eastAsia="Times New Roman" w:cs="Times New Roman" w:ascii="Times New Roman" w:hAnsi="Times New Roman"/>
          <w:color w:val="111111"/>
          <w:sz w:val="28"/>
          <w:szCs w:val="28"/>
          <w:lang w:val="en-US"/>
        </w:rPr>
        <w:t>Kemudian, ketahuilah bahwa kembalinya jiwa pada</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141 </w:t>
      </w:r>
    </w:p>
    <w:p>
      <w:pPr>
        <w:pStyle w:val="BookText"/>
        <w:bidi w:val="0"/>
        <w:rPr/>
      </w:pPr>
      <w:r>
        <w:rPr>
          <w:rFonts w:eastAsia="Times New Roman" w:cs="Times New Roman" w:ascii="Times New Roman" w:hAnsi="Times New Roman"/>
          <w:color w:val="111111"/>
          <w:sz w:val="28"/>
          <w:szCs w:val="28"/>
          <w:lang w:val="en-US"/>
        </w:rPr>
        <w:t>raga, sebagaimana raga yang dahulu digunakan di dunia,  merupakan ciptaan pada hari Kiamat yang sejenis dengan  raga ini setelah berpisahnya jiwa darinya, sebagaimana  yang diungkapkan syariat... ini bukanlah sesuatu yang dapat  ditakwil... dan tidak pula dapat mengambil makna yang  jauh baginya... serta tidak juga mengalami proses kebaruan  yang evolutif, baik dalam kesesuaian maupun potensialnya,  karena terikatnya pada sesuatu yang dihasilkan secara  evolutif (sebagaimana di dunia). Hal tersebut memiliki  spesifikasi kebaruan tersendiri dan kebaruan yang seperti  ini tidak berlaku pada manusia. Tidak akan menyebabkan  bentuk keterikatan kesatuan yang nyata atau pengembalian,  melainkan dapat terjadi ikatan akhirat dengan raga dalam  bentuk tidak adanya penghalang dari sampainya aktivitas  yang jauh dan efek yang luar biasa serta tampaknya  persoalan-persoalan yang gaib, yang belum pernah jiwa  menyaksikannya dalam kehidupan di dunia, demikian  pula kemampuannya untuk menciptakan forma-forma  luar biasa yang baik ataupun buruk, sesuai dengan sifat-  sifat dan akhlaknya, dan tidak pula menjadi persoalan kita  bahwa raga yang dibangkitkan bukan raga yang pertama  berdasarkan identitas karena ketidakmungkinan sesuatu  yang telah tiada mewujud kembali.</w:t>
      </w:r>
      <w:r>
        <w:rPr>
          <w:rStyle w:val="FootnoteAnchor"/>
        </w:rPr>
        <w:footnoteReference w:id="167"/>
      </w:r>
    </w:p>
    <w:p>
      <w:pPr>
        <w:pStyle w:val="BookText"/>
        <w:bidi w:val="0"/>
        <w:jc w:val="both"/>
        <w:rPr/>
      </w:pPr>
      <w:r>
        <w:rPr>
          <w:rFonts w:ascii="IRNazanin" w:hAnsi="IRNazanin" w:eastAsia="IRNazanin"/>
          <w:color w:val="111111"/>
          <w:sz w:val="28"/>
          <w:sz w:val="28"/>
          <w:szCs w:val="28"/>
          <w:rtl w:val="true"/>
          <w:lang w:bidi="fa-IR"/>
        </w:rPr>
        <w:t>ثقا إعلم أن إعادة النفس إلی بدن مثل بدنها الذی کان لها فی الدنیا مخلوق  من سنخ هذا البدن بعد مفارقتها عنه فی القیامة کما نطقت به الشریعة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غیر قابلة 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استبعاد ایضا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أن یکون حدوث لیاقته  واستعداده لتعلقها مما یحصل له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ذالک نحو  خاص من الحدوث والحدوث لا ینحصر للإنسان فی 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یکون نحو التعلق واحدا فی البد ووالإعادة بل یجوز أن یکون التعلق الأ  خروی إلی البدن علی وجه لا یکون ما نعا من حصول الأفعال الغریبة و الآ        ثار العجیبة و مشاهدة أمور غیبیة لم یکن من شأن النفس مشاهدتها إیاها فی  النشأة الدنیاویة و کذا أقتدارها علی إیجاد صور عجیبة غیریبة حسنة مناسبة  الأوصافها و أخلاقها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یضرنا ایضا کون البدن المعاد غیر البدن الأول  بحسب الشخص لاستحالة کون المعد وم بعینه معاد</w:t>
      </w:r>
    </w:p>
    <w:p>
      <w:pPr>
        <w:pStyle w:val="BookText"/>
        <w:bidi w:val="0"/>
        <w:jc w:val="both"/>
        <w:rPr/>
      </w:pPr>
      <w:r>
        <w:rPr>
          <w:rFonts w:eastAsia="Times New Roman" w:cs="Times New Roman" w:ascii="Times New Roman" w:hAnsi="Times New Roman"/>
          <w:color w:val="111111"/>
          <w:sz w:val="28"/>
          <w:szCs w:val="28"/>
          <w:lang w:val="en-US"/>
        </w:rPr>
        <w:t>Bahkan, Mulla Sadra juga pernah berpandangan yang  lebih ekstrem dari Al-Ghazali bahwa kebangkitan akan terjadi  dalam raga duniawi, seperti yang dinyatakannya berikut ini:</w:t>
      </w:r>
    </w:p>
    <w:p>
      <w:pPr>
        <w:pStyle w:val="BookText"/>
        <w:bidi w:val="0"/>
        <w:jc w:val="both"/>
        <w:rPr/>
      </w:pPr>
      <w:r>
        <w:rPr>
          <w:rFonts w:eastAsia="Times New Roman" w:cs="Times New Roman" w:ascii="Times New Roman" w:hAnsi="Times New Roman"/>
          <w:color w:val="111111"/>
          <w:sz w:val="28"/>
          <w:szCs w:val="28"/>
          <w:lang w:val="en-US"/>
        </w:rPr>
        <w:t>Sesungguhnya, keyakinan dalam kebangkitan raga  pada hari pembalasan, bahwa seorang manusia itu akan  dibangkitkan dengan raga yang berasal dari kuburnya  tersebut, jika seseorang menyaksikannya-bahwa setiap  personal akan tetap dalam personalitasannya dengan  atribut-atributnya dan berkata, “Ini adalah fulan yang  sesungguhnya dan itu adalah fulan yang sesungguhnya  tanpa keraguan dan kekeliruan." Keyakinan bahwa fulan  tersebut adalah fulan yang sesungguhnya merupakan  keyakinan yang benar sesuai dengan faktanya dan tidak  merupakan raga imajinal atau bayang-bayang tanpa</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142 </w:t>
      </w:r>
    </w:p>
    <w:p>
      <w:pPr>
        <w:pStyle w:val="BookText"/>
        <w:bidi w:val="0"/>
        <w:rPr/>
      </w:pPr>
      <w:r>
        <w:rPr>
          <w:rFonts w:eastAsia="Times New Roman" w:cs="Times New Roman" w:ascii="Times New Roman" w:hAnsi="Times New Roman"/>
          <w:color w:val="111111"/>
          <w:sz w:val="28"/>
          <w:szCs w:val="28"/>
          <w:lang w:val="en-US"/>
        </w:rPr>
        <w:t xml:space="preserve">identitas, tetapi raga manusia yang dapat dibenarkan dalam  esensinya sebagai manusia dengan seluruh hakikatnya,  bukan imajinal atau bayang-bayangnya. </w:t>
      </w:r>
      <w:r>
        <w:rPr>
          <w:rStyle w:val="FootnoteAnchor"/>
        </w:rPr>
        <w:footnoteReference w:id="168"/>
      </w:r>
    </w:p>
    <w:p>
      <w:pPr>
        <w:pStyle w:val="BookText"/>
        <w:bidi w:val="0"/>
        <w:jc w:val="both"/>
        <w:rPr/>
      </w:pPr>
      <w:r>
        <w:rPr>
          <w:rFonts w:ascii="IRNazanin" w:hAnsi="IRNazanin" w:eastAsia="IRNazanin"/>
          <w:color w:val="111111"/>
          <w:sz w:val="28"/>
          <w:sz w:val="28"/>
          <w:szCs w:val="28"/>
          <w:rtl w:val="true"/>
          <w:lang w:bidi="fa-IR"/>
        </w:rPr>
        <w:t>إنما الاعتقاد فی حشر الأبدان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یبعث أبدا من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کل واحد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فلان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راه أحد  غیر شک 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اعتقاده بأن هذا فلان بعینه اعتقادا صحیحا مطابقا  أن یکون الأبدان مثلا وأشباها بلاأشخاص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الأبدان الا  ما هو الواقع  نسانیة یجب أن یکون مما یصدق علیها ذوات الأ ناسی و 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أمثا  لها و أظلالها</w:t>
      </w:r>
    </w:p>
    <w:p>
      <w:pPr>
        <w:pStyle w:val="BookText"/>
        <w:bidi w:val="0"/>
        <w:jc w:val="both"/>
        <w:rPr/>
      </w:pPr>
      <w:r>
        <w:rPr>
          <w:rFonts w:eastAsia="Times New Roman" w:cs="Times New Roman" w:ascii="Times New Roman" w:hAnsi="Times New Roman"/>
          <w:color w:val="111111"/>
          <w:sz w:val="28"/>
          <w:szCs w:val="28"/>
          <w:lang w:val="en-US"/>
        </w:rPr>
        <w:t>Jika melihat bukti-bukti ini, tidak seharusnya Mulla Sadra  mengkritik Al-Ghazali sedemikian pedasnya. Sudah seharusnya  juga Mulla Sadra mengakui kekeliruan pandangannya terdahulu.</w:t>
      </w:r>
    </w:p>
    <w:p>
      <w:pPr>
        <w:pStyle w:val="BookText"/>
        <w:bidi w:val="0"/>
        <w:jc w:val="both"/>
        <w:rPr/>
      </w:pPr>
      <w:r>
        <w:rPr>
          <w:rFonts w:eastAsia="Times New Roman" w:cs="Times New Roman" w:ascii="Times New Roman" w:hAnsi="Times New Roman"/>
          <w:color w:val="111111"/>
          <w:sz w:val="28"/>
          <w:szCs w:val="28"/>
          <w:lang w:val="en-US"/>
        </w:rPr>
        <w:t>Namun sayangnya, hal tersebut sama sekali tidak penulis  temukan dalam karya-karya Mulla Sadra.</w:t>
      </w:r>
    </w:p>
    <w:p>
      <w:pPr>
        <w:pStyle w:val="BookText"/>
        <w:bidi w:val="0"/>
        <w:jc w:val="both"/>
        <w:rPr/>
      </w:pPr>
      <w:r>
        <w:rPr>
          <w:rFonts w:eastAsia="Times New Roman" w:cs="Times New Roman" w:ascii="Times New Roman" w:hAnsi="Times New Roman"/>
          <w:color w:val="111111"/>
          <w:sz w:val="28"/>
          <w:szCs w:val="28"/>
          <w:lang w:val="en-US"/>
        </w:rPr>
        <w:t xml:space="preserve">C. Kritik Mulla Sadra terhadap Syaikh Isyraq  Syaikh Isyraq atau Syihabuddin Suhrawardi yang  merupakan pendiri filsafat Illuminasi (Isyraqiyyah) memiliki  pandangan tersendiri dalam eskatologi. Syaikh Isyraq  memandang akan adanya forma-forma imajinal yang akan eksis  pascaberpisahnya jiwa dan raga melalui proses kematian dan  forma-forma tersebut sebagai manifestasi dari perilaku manusia  pada kehidupan dunianya. Dalam karyanya, Al-Talwihat,  Syaikh Isyraq menjelaskan bahwa orang-orang yang mencapai  kebahagiaan setelah kematiannya akan muncul imajinasi-  imajinasi dan forma yang luar biasa indahnya dan merasakan  kenikmatan dengannya, sedangkan orang-orang yang menderita  tidak akan memiliki hubungan dengan materi-materi yang  mulia, yang merupakan substansi jiwa-jiwa bercahaya, maka  terimajinasikan melaluinya perbuatan-perbuatan buruk mereka  dalam imajinasi yang berasal dari api dan ular yang berbisa. </w:t>
      </w:r>
      <w:r>
        <w:rPr>
          <w:rStyle w:val="FootnoteAnchor"/>
        </w:rPr>
        <w:footnoteReference w:id="169"/>
      </w:r>
      <w:r>
        <w:rPr>
          <w:rFonts w:eastAsia="Times New Roman" w:cs="Times New Roman" w:ascii="Times New Roman" w:hAnsi="Times New Roman"/>
          <w:color w:val="111111"/>
          <w:sz w:val="28"/>
          <w:szCs w:val="28"/>
          <w:lang w:val="en-US"/>
        </w:rPr>
        <w:t xml:space="preserve"> Pandangan ini, dalam dunia tasawuf, disebut sebagai Tajassud  al-A'mal, bahwa forma pascakematian akan sangat ditentukan  oleh amal perbuatan manusia selama kehidupannya di dunia dan  sangat wajar diyakini oleh Syaikh Isyraq, mengingat penekanan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143 </w:t>
      </w:r>
    </w:p>
    <w:p>
      <w:pPr>
        <w:pStyle w:val="BookText"/>
        <w:bidi w:val="0"/>
        <w:rPr/>
      </w:pPr>
      <w:r>
        <w:rPr>
          <w:rFonts w:eastAsia="Times New Roman" w:cs="Times New Roman" w:ascii="Times New Roman" w:hAnsi="Times New Roman"/>
          <w:color w:val="111111"/>
          <w:sz w:val="28"/>
          <w:szCs w:val="28"/>
          <w:lang w:val="en-US"/>
        </w:rPr>
        <w:t>pada riyadah ruhani dalam ajaran filsafatnya.</w:t>
      </w:r>
    </w:p>
    <w:p>
      <w:pPr>
        <w:pStyle w:val="BookText"/>
        <w:bidi w:val="0"/>
        <w:jc w:val="both"/>
        <w:rPr/>
      </w:pPr>
      <w:r>
        <w:rPr>
          <w:rFonts w:eastAsia="Times New Roman" w:cs="Times New Roman" w:ascii="Times New Roman" w:hAnsi="Times New Roman"/>
          <w:color w:val="111111"/>
          <w:sz w:val="28"/>
          <w:szCs w:val="28"/>
          <w:lang w:val="en-US"/>
        </w:rPr>
        <w:t>Dalam bagian lain, Syaikh Isyraq menggambarkan, “Dan  orang-orang yang berbahagia dari kelompok menengah dan  para zahid dari kelompok yang bersih termurnikan menuju  alam imajinal terikat (Mualaqqah) yang manifestasinya adalah  barzakh-barzakh keagungan."</w:t>
      </w:r>
      <w:r>
        <w:rPr>
          <w:rStyle w:val="FootnoteAnchor"/>
        </w:rPr>
        <w:footnoteReference w:id="170"/>
      </w:r>
      <w:r>
        <w:rPr>
          <w:rFonts w:eastAsia="Times New Roman" w:cs="Times New Roman" w:ascii="Times New Roman" w:hAnsi="Times New Roman"/>
          <w:color w:val="111111"/>
          <w:sz w:val="28"/>
          <w:szCs w:val="28"/>
          <w:lang w:val="en-US"/>
        </w:rPr>
        <w:t xml:space="preserve"> Forma imajinal atau Surah al-Mitsāliyah merupakan  forma yang membungkus jiwa setelah terpisah jiwa dari raga  materinya karena bagaimanapun, menurut Syaikh Isyraq,  jiwa tetaplah memiliki kuiditas pribadi dan hal itu hanya  dimungkinkan melalui forma imajinal tersebut. 96 Pandangan  forma imajinal ini menunjukkan usaha Syaikh Isyraq dalam  membuktikan kebangkitan jasmaniah sehingga antara bukti-  bukti rasional tentang kebangkitan dengan doktrin-doktrin  wahyu dapat diselaraskan. Namun sayangnya, usaha Syaikh  Isyraq ini tidak tuntas, mengingat argumentasi-argumentasi  yang dikemukakannya, berkaitan dengan konsep eskatologinya  ini, sangat sedikit sehingga memberikan kesan bahwa konsep  tersebut lebih sebagai hasil intuisi yang ia dapatkan dibanding  hasil berpikir filosofis.</w:t>
      </w:r>
    </w:p>
    <w:p>
      <w:pPr>
        <w:pStyle w:val="BookText"/>
        <w:bidi w:val="0"/>
        <w:jc w:val="both"/>
        <w:rPr/>
      </w:pPr>
      <w:r>
        <w:rPr>
          <w:rFonts w:eastAsia="Times New Roman" w:cs="Times New Roman" w:ascii="Times New Roman" w:hAnsi="Times New Roman"/>
          <w:color w:val="111111"/>
          <w:sz w:val="28"/>
          <w:szCs w:val="28"/>
          <w:lang w:val="en-US"/>
        </w:rPr>
        <w:t>Syaikh Isyraq menganggap jiwa yang telah terpisah dari  raganya membutuhkan daya sebagai alat mempersepsi hasil  perbuatan yang telah dilakukan selama hidupnya di dunia  dan hal ini tidak mungkin terjadi jika jiwa bersifat transenden  intelektual karena persepsi yang terjadi pada tingkat tersebut  bersifat universal sehingga jiwa membutuhkan raga imajinal  untuk dapat mempersepsi. Pandangan Syaikh Isyraq yang  seperti ini jelas sangat dipengaruhi oleh pandangan Ibn Sina  yang berangkat dari pemikiran bahwa daya imajinal berada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144 </w:t>
      </w:r>
    </w:p>
    <w:p>
      <w:pPr>
        <w:pStyle w:val="BookText"/>
        <w:bidi w:val="0"/>
        <w:rPr/>
      </w:pPr>
      <w:r>
        <w:rPr>
          <w:rFonts w:eastAsia="Times New Roman" w:cs="Times New Roman" w:ascii="Times New Roman" w:hAnsi="Times New Roman"/>
          <w:color w:val="111111"/>
          <w:sz w:val="28"/>
          <w:szCs w:val="28"/>
          <w:lang w:val="en-US"/>
        </w:rPr>
        <w:t>Mulla Sadra  mengungkapkan ketakjubannya  dengan pandangan Syaikh Isyraq  yang seperti ini. Menurutnya,  bagaimana mungkin pandangan  ini muncul dari seorang filsuf  dan ahli riyadah ruhaniah dengan  kaliber Syaikh Isyraq. Untuk itu,  Mulla Sadra mengungkapkan  kritiknya</w:t>
      </w:r>
      <w:r>
        <w:rPr>
          <w:rStyle w:val="FootnoteAnchor"/>
        </w:rPr>
        <w:footnoteReference w:id="171"/>
      </w:r>
      <w:r>
        <w:rPr>
          <w:rFonts w:eastAsia="Times New Roman" w:cs="Times New Roman" w:ascii="Times New Roman" w:hAnsi="Times New Roman"/>
          <w:color w:val="111111"/>
          <w:sz w:val="28"/>
          <w:szCs w:val="28"/>
          <w:lang w:val="en-US"/>
        </w:rPr>
        <w:t>dalam beberapa dasar:</w:t>
      </w:r>
    </w:p>
    <w:p>
      <w:pPr>
        <w:pStyle w:val="BookText"/>
        <w:bidi w:val="0"/>
        <w:jc w:val="both"/>
        <w:rPr/>
      </w:pPr>
      <w:r>
        <w:rPr>
          <w:rFonts w:eastAsia="Times New Roman" w:cs="Times New Roman" w:ascii="Times New Roman" w:hAnsi="Times New Roman"/>
          <w:color w:val="111111"/>
          <w:sz w:val="28"/>
          <w:szCs w:val="28"/>
          <w:lang w:val="en-US"/>
        </w:rPr>
        <w:t>Kritik pertama: jika raga yang berasal dari raga astrologis  atau bukan astrologis hendak dijadikan sebagai korpus imajinal  jiwa, hal tersebut mengharuskan antara raga tersebut dan jiwa  yang telah ada terjadi relasi kausalitas secara esensial atau  teraktualisasinya kausalitas tersebut melalui sesuatu yang  lain, yang memiliki relasi kausalitas secara esensial, sehingga  jiwa tersebut memiliki forma sempurna melalui sebagian daya  yang ada padanya, baik substantif maupun aksiden, dan secara  mutlak bahwa raga tersebut berada di bawah kendali jiwa dalam  berbagai bentuknya. Paling tidak, relasi yang seharusnya ada  antara raga astrologis dengan jiwa adalah seperti cermin atau  benda-benda yang berkilap yang memancarkan sebagian dari  hasil persepsi berdasarkan relasi yang terjadi dengan benda  tersebut terhadap materi raga yang merupakan korpus bagi  aktivitas jiwa dan materi bagi daya-dayanya. Raga astrologis,  atau sesuatu seperti raga astrologis tersebut, tidak dapat  memberikan efek pada sesuatu yang berhadapan dengan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145 </w:t>
      </w:r>
    </w:p>
    <w:p>
      <w:pPr>
        <w:pStyle w:val="BookText"/>
        <w:bidi w:val="0"/>
        <w:rPr/>
      </w:pPr>
      <w:r>
        <w:rPr>
          <w:rFonts w:eastAsia="Times New Roman" w:cs="Times New Roman" w:ascii="Times New Roman" w:hAnsi="Times New Roman"/>
          <w:color w:val="111111"/>
          <w:sz w:val="28"/>
          <w:szCs w:val="28"/>
          <w:lang w:val="en-US"/>
        </w:rPr>
        <w:t>jiwanya yang berasal dari sumbernya. Dalam pandangan Mulla  Sadra, fisik-fisik yang agung bukanlah sesuatu yang dipengaruhi  selain dari sumber kebermulaannya yang bersifat intelektual,  bukan reseptif bagi efek-efek asing yang berasal dari sebab-  sebab yang dipaksakan atau disepakati. Sebagaimana tidak  adanya raga pada jiwa yang telah terpisah menurut pandangan  para pengikut iluminasi, raga langit merupakan korpus bagi  imajinasi-imajinasi hingga terjadi relasi yang langsung antara  raga-raga tersebut dengan raga langit sehingga menyebabkan  raga tersebut seperti cermin bagi jiwa. Disaksikan padanya  berbagai forma yang disebabkan dua relasi yang terjadi, yaitu  material dan relasi posisional (Wad'iyāh) yang sesuai dengan  materi; pada saat terangkatnya relasi material antara jiwa dan  raga duniawinya melalui peristiwa kematian, terangkat pula  relasi posisional padanya dalam kaitan dengan raga tersebut,  bahwa yang kedua tersebut bersumber dari yang pertama dan  jika yang pertama keliru, kelirulah yang menjadi pandangannya  (Syaikh Isyraq).</w:t>
      </w:r>
    </w:p>
    <w:p>
      <w:pPr>
        <w:pStyle w:val="BookText"/>
        <w:bidi w:val="0"/>
        <w:jc w:val="both"/>
        <w:rPr/>
      </w:pPr>
      <w:r>
        <w:rPr>
          <w:rFonts w:eastAsia="Times New Roman" w:cs="Times New Roman" w:ascii="Times New Roman" w:hAnsi="Times New Roman"/>
          <w:color w:val="111111"/>
          <w:sz w:val="28"/>
          <w:szCs w:val="28"/>
          <w:lang w:val="en-US"/>
        </w:rPr>
        <w:t>Kritik kedua: jika relasi yang terjadi antara jiwa dan raga  astrologis sebagaimana refleksi cermin, hal tersebut merupakan  tempat terjadinya persepsi jiwa, imajinasi, dan penggambaran  merupakan jiwa astrologis tersebut, bukan jiwa manusia yang  bereinkarnasi. Pada saat yang sama, dasar pandangan ini untuk  menggambarkan yang terjadi dari hasil perbuatan dan perilaku  yang merupakan sumber dari imajinasi jiwa manusia dalam arti  raga material (Basyari). Dalam ibarat yang lain, gambaran yang  terwujud dalam jiwa astrologis berasal dari forma imajinal dan  yang terletak di antara rangkaian silsilah sebab-sebab keberadaan  selain daripada astrologis dan wujud pada rangkaian kurva turun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146 </w:t>
      </w:r>
      <w:bookmarkStart w:id="104" w:name="pg6434_60687"/>
    </w:p>
    <w:p>
      <w:pPr>
        <w:pStyle w:val="BookText"/>
        <w:bidi w:val="0"/>
        <w:rPr/>
      </w:pPr>
      <w:bookmarkEnd w:id="104"/>
      <w:r>
        <w:rPr>
          <w:rFonts w:eastAsia="Times New Roman" w:cs="Times New Roman" w:ascii="Times New Roman" w:hAnsi="Times New Roman"/>
          <w:color w:val="111111"/>
          <w:sz w:val="28"/>
          <w:szCs w:val="28"/>
          <w:lang w:val="en-US"/>
        </w:rPr>
        <w:t>(Qawsi al- Nuzūl). Padahal, persepsi ukhrawi dihasilkan melalui  karakter dan perilaku jiwa manusia dalam makna fisik material  yang berada dalam kurva naik (Qawsi al-Su'ūd).</w:t>
      </w:r>
    </w:p>
    <w:p>
      <w:pPr>
        <w:pStyle w:val="BookText"/>
        <w:bidi w:val="0"/>
        <w:jc w:val="both"/>
        <w:rPr/>
      </w:pPr>
      <w:r>
        <w:rPr>
          <w:rFonts w:eastAsia="Times New Roman" w:cs="Times New Roman" w:ascii="Times New Roman" w:hAnsi="Times New Roman"/>
          <w:color w:val="111111"/>
          <w:sz w:val="28"/>
          <w:szCs w:val="28"/>
          <w:lang w:val="en-US"/>
        </w:rPr>
        <w:t>Kritik ketiga: menurut Mulla Sadra, bagaimana mungkin  raga yang satu dapat menjadi korpus imajinasi yang tanpa batas  bagi seluruh jiwa manusia? Padahal, daya fisik memiliki efek  yang sangat terbatas.</w:t>
      </w:r>
    </w:p>
    <w:p>
      <w:pPr>
        <w:pStyle w:val="BookText"/>
        <w:bidi w:val="0"/>
        <w:jc w:val="both"/>
        <w:rPr/>
      </w:pPr>
      <w:r>
        <w:rPr>
          <w:rFonts w:eastAsia="Times New Roman" w:cs="Times New Roman" w:ascii="Times New Roman" w:hAnsi="Times New Roman"/>
          <w:color w:val="111111"/>
          <w:sz w:val="28"/>
          <w:szCs w:val="28"/>
          <w:lang w:val="en-US"/>
        </w:rPr>
        <w:t>Sekalipun Mulla Sadra mengkritisi pandangan Syaikh  Isyraq, tetapi menurut penulis, gagasan eskatologi Syaikh Isyraq  ikut berpengaruh besar terhadap pandangan Eskatologi Mulla  Sadra. Hal ini dapat kita lihat dari gagasan yang ditawarkan  Mulla Sadra yang berkaitan tentang kebangkitan raga imajinal,  sekalipun dalam jenis yang berbeda, tetapi gagasan tersebut  menggunakan gagasan Syaikh Isyraq sebagai model solutif bagi  persoalan eskatologi yang dihadapi filsuf.</w:t>
      </w:r>
    </w:p>
    <w:p>
      <w:pPr>
        <w:pStyle w:val="Heading3"/>
        <w:numPr>
          <w:ilvl w:val="2"/>
          <w:numId w:val="1"/>
        </w:numPr>
        <w:bidi w:val="0"/>
        <w:jc w:val="left"/>
        <w:rPr/>
      </w:pPr>
      <w:bookmarkStart w:id="105" w:name="__RefHeading___Toc808210_653776707"/>
      <w:bookmarkStart w:id="106" w:name="_Toc34"/>
      <w:bookmarkEnd w:id="105"/>
      <w:r>
        <w:rPr/>
        <w:t>6. Mulla Sadra dan Persoalan Kebangkitan Jasmani</w:t>
      </w:r>
      <w:bookmarkEnd w:id="106"/>
    </w:p>
    <w:p>
      <w:pPr>
        <w:pStyle w:val="BookText"/>
        <w:bidi w:val="0"/>
        <w:jc w:val="both"/>
        <w:rPr/>
      </w:pPr>
      <w:r>
        <w:rPr>
          <w:rFonts w:eastAsia="Times New Roman" w:cs="Times New Roman" w:ascii="Times New Roman" w:hAnsi="Times New Roman"/>
          <w:color w:val="111111"/>
          <w:sz w:val="28"/>
          <w:szCs w:val="28"/>
          <w:lang w:val="en-US"/>
        </w:rPr>
        <w:t xml:space="preserve">Selain berbagai ragam pandangan Eskatologi yang  dikemukakan oleh para filsuf Muslim pra-Mulla Sadra, ada pula  berbagai keraguan (Syubhah) yang menjadi persoalan dalam  eskatologi. Para filsuf dan teolog telah banyak memberikan  kontribusi untuk menyelesaikan persoalan tersebut sesuai  dengan dasar bangunan pemikiran yang dianutnya. Mulla Sadra,  sebagai penggagas aliran filsafat yang baru, ikut memberikan  jawaban terhadap persoalan tersebut dalam upayanya untuk  menegaskan pandangan Eskatologisnya. Persoalan dan jawaban  yang dikemukakan Mulla Sadra </w:t>
      </w:r>
      <w:r>
        <w:rPr>
          <w:rStyle w:val="FootnoteAnchor"/>
        </w:rPr>
        <w:footnoteReference w:id="172"/>
      </w:r>
      <w:r>
        <w:rPr>
          <w:rFonts w:eastAsia="Times New Roman" w:cs="Times New Roman" w:ascii="Times New Roman" w:hAnsi="Times New Roman"/>
          <w:color w:val="111111"/>
          <w:sz w:val="28"/>
          <w:szCs w:val="28"/>
          <w:lang w:val="en-US"/>
        </w:rPr>
        <w:t>sebagai berikut:</w:t>
      </w:r>
    </w:p>
    <w:p>
      <w:pPr>
        <w:pStyle w:val="BookText"/>
        <w:bidi w:val="0"/>
        <w:jc w:val="both"/>
        <w:rPr/>
      </w:pPr>
      <w:r>
        <w:rPr>
          <w:rFonts w:eastAsia="Times New Roman" w:cs="Times New Roman" w:ascii="Times New Roman" w:hAnsi="Times New Roman"/>
          <w:color w:val="111111"/>
          <w:sz w:val="28"/>
          <w:szCs w:val="28"/>
          <w:lang w:val="en-US"/>
        </w:rPr>
        <w:t>a. Persoalan Pemakan (Ākil) dan yang Dimakan  (Ma'kūl)</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147 </w:t>
      </w:r>
    </w:p>
    <w:p>
      <w:pPr>
        <w:pStyle w:val="BookText"/>
        <w:bidi w:val="0"/>
        <w:rPr/>
      </w:pPr>
      <w:r>
        <w:rPr>
          <w:rFonts w:eastAsia="Times New Roman" w:cs="Times New Roman" w:ascii="Times New Roman" w:hAnsi="Times New Roman"/>
          <w:color w:val="111111"/>
          <w:sz w:val="28"/>
          <w:szCs w:val="28"/>
          <w:lang w:val="en-US"/>
        </w:rPr>
        <w:t>Persoalan ini adalah persoalan yang dikemukakan para  filsuf Peripatetik berkaitan ketidakmungkinan kebangkitan  jasmani. Inti persoalan tersebut, antara lain, jika seorang  manusia menjadi santapan bagi manusia yang lain, maka  apakah nantinya raga yang telah dimakan tersebut dibangkitkan  sebagai raga bagi pemakan atau tetap sebagai raga bagi orang  yang dimakan? Pada diri siapa pun, di antara keduanya,  yang dibangkitkan akan menyebabkan ketidaksempurnaan,  apalagi jika yang dimakan adalah raga seorang Mukmin dan  yang memakan seorang kafir, sekiranya dibangkitkan kelak  menjadi satu raga, maka pada saat yang sama, orang tersebut  mendapatkan azab karena kekafirannya dan mendapatkan  kenikmatan karena kemukminannya.</w:t>
      </w:r>
    </w:p>
    <w:p>
      <w:pPr>
        <w:pStyle w:val="BookText"/>
        <w:bidi w:val="0"/>
        <w:jc w:val="both"/>
        <w:rPr/>
      </w:pPr>
      <w:r>
        <w:rPr>
          <w:rFonts w:eastAsia="Times New Roman" w:cs="Times New Roman" w:ascii="Times New Roman" w:hAnsi="Times New Roman"/>
          <w:color w:val="111111"/>
          <w:sz w:val="28"/>
          <w:szCs w:val="28"/>
          <w:lang w:val="en-US"/>
        </w:rPr>
        <w:t>Menurut Sadra, personalitas setiap manusia bukan  terletak pada raga fisiknya, melainkan pada jiwanya. Raga tidak  akan bermakna apa pun tanpa adanya jiwa tidak sebagai sebuah  identitas ataupun zat yang tetap. Tidak berarti bahwa ketika  raga Zaid dibangkitkan, maka seluruh apa yang pernah dimakan  oleh Zaid, baik binatang ataupun manusia akan dibangkitkan  bersamanya, tetapi yang akan dibangkitkan adalah apa yang  terikat dengan jiwanya dan itu tidak lain adalah raga Zaid yang  dahulu juga. Keyakinan kebangkitan jasmani pada hari Kiamat  adalah bangkitnya raga dari kubur. Jika seseorang menyaksikan  dirinya, dia akan berkata ini adalah diri fulan.</w:t>
      </w:r>
    </w:p>
    <w:p>
      <w:pPr>
        <w:pStyle w:val="BookText"/>
        <w:bidi w:val="0"/>
        <w:jc w:val="both"/>
        <w:rPr/>
      </w:pPr>
      <w:r>
        <w:rPr>
          <w:rFonts w:eastAsia="Times New Roman" w:cs="Times New Roman" w:ascii="Times New Roman" w:hAnsi="Times New Roman"/>
          <w:color w:val="111111"/>
          <w:sz w:val="28"/>
          <w:szCs w:val="28"/>
          <w:lang w:val="en-US"/>
        </w:rPr>
        <w:t>b. Keterbatasan Materi Bumi  Materi bumi memiliki ukuran yang sempit, terbatas, dan  dapat diukur dengan ukuran panjang, yaitu meter, kilometer  dan mil, sedangkan kuantitas jiwa tidak terbatas, maka materi</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148 </w:t>
      </w:r>
    </w:p>
    <w:p>
      <w:pPr>
        <w:pStyle w:val="BookText"/>
        <w:bidi w:val="0"/>
        <w:rPr/>
      </w:pPr>
      <w:r>
        <w:rPr>
          <w:rFonts w:eastAsia="Times New Roman" w:cs="Times New Roman" w:ascii="Times New Roman" w:hAnsi="Times New Roman"/>
          <w:color w:val="111111"/>
          <w:sz w:val="28"/>
          <w:szCs w:val="28"/>
          <w:lang w:val="en-US"/>
        </w:rPr>
        <w:t>duniawi tidak akan memadai untuk menjadi raga bagi semua  jiwa yang dibangkitkan tersebut.</w:t>
      </w:r>
    </w:p>
    <w:p>
      <w:pPr>
        <w:pStyle w:val="BookText"/>
        <w:bidi w:val="0"/>
        <w:jc w:val="both"/>
        <w:rPr/>
      </w:pPr>
      <w:r>
        <w:rPr>
          <w:rFonts w:eastAsia="Times New Roman" w:cs="Times New Roman" w:ascii="Times New Roman" w:hAnsi="Times New Roman"/>
          <w:color w:val="111111"/>
          <w:sz w:val="28"/>
          <w:szCs w:val="28"/>
          <w:lang w:val="en-US"/>
        </w:rPr>
        <w:t>Mulla Sadra mengemukakan jawaban untuk persoalan  ini dengan menggunakan dasar bahwa personalitas sangat  bergantung kepada jiwa, bukan materi. Raga di akhirat berkembang  dari jiwa berdasarkan karakternya, bukan jiwa muncul dari  materi berdasarkan bentuk dan kualitasnya, sebagaimana  dalam kehidupan duniawi. Perlu ditegaskan pula bahwa ukuran  berkembang, baik ketebalan maupun kuantitasnya, dari satu  bentuk materi, bahwa materi dasar (Hayūla) merupakan potensi  murni yang sama sekali tidak memiliki ukuran pada dirinya dan  juga tidak dibatasi oleh batasan ataupun kuantitas tertentu,  tetapi muncul padanya secara aksidental ukuran dan pembagian  yang berasal dari luar, dia pada dasarnya memiliki potensi untuk  dibagi menjadi bagian-bagian yang tidak terhingga. Tidak ada  ketentuan yang menunjukkan keharusan forma dunia akan tetap  dalam kebangkitan, tetapi dapat terjadi perubahan menjadi  materi berdasarkan kemauan Allah Swt..</w:t>
      </w:r>
    </w:p>
    <w:p>
      <w:pPr>
        <w:pStyle w:val="BookText"/>
        <w:bidi w:val="0"/>
        <w:jc w:val="both"/>
        <w:rPr/>
      </w:pPr>
      <w:r>
        <w:rPr>
          <w:rFonts w:eastAsia="Times New Roman" w:cs="Times New Roman" w:ascii="Times New Roman" w:hAnsi="Times New Roman"/>
          <w:color w:val="111111"/>
          <w:sz w:val="28"/>
          <w:szCs w:val="28"/>
          <w:lang w:val="en-US"/>
        </w:rPr>
        <w:t>c. Tidak Mungkinnya Surga dan Neraka Memiliki Fisik  Surga dan neraka, jika keduanya merupakan wujud yang  memiliki fisik, maka dimanakah tempat keberadaannya? Pada  dimensi yang mana dari keseluruhan dimensi alam semesta  keduanya akan muncul? Sekiranya kehadiran salah satu atau  keduanya di atas semua dimensi, maka akan terjadi pada  sesuatu yang tidak memiliki ruang terdapat ruang atau pada  sesuatu yang tidak memiliki dimensi terjadi dimensi. Sekiranya  berada di antara tingkatan langit dan bumi, maka akan terjadi  tumpang tindih (tadakhul) atau pemisahan antara langit dengan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149 </w:t>
      </w:r>
    </w:p>
    <w:p>
      <w:pPr>
        <w:pStyle w:val="BookText"/>
        <w:bidi w:val="0"/>
        <w:rPr/>
      </w:pPr>
      <w:r>
        <w:rPr>
          <w:rFonts w:eastAsia="Times New Roman" w:cs="Times New Roman" w:ascii="Times New Roman" w:hAnsi="Times New Roman"/>
          <w:color w:val="111111"/>
          <w:sz w:val="28"/>
          <w:szCs w:val="28"/>
          <w:lang w:val="en-US"/>
        </w:rPr>
        <w:t>langit dan semuanya keliru. Hal ini jelas bertentangan dengan  firman Allah Swt., “Dan Surga yang luasnya seluas langit dan  bumi.</w:t>
      </w:r>
      <w:r>
        <w:rPr>
          <w:rStyle w:val="FootnoteAnchor"/>
        </w:rPr>
        <w:footnoteReference w:id="17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وَجَنَّةٍ عَرْضُهَا السَّمَاوَاتُ وَالْأَرْضُ</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Mulla Sadra memberikan jawaban untuk persoalan  ini sebagai berikut: bahwa persoalan ini didasarkan pada  pandangan bahwa surga-neraka memiliki ruang sebagaimana  di dunia, tetapi dasar pijakan utama pandangan bahwa surga  memiliki ruang adalah kesalahan. Karenanya, jelas persoalan ini  tertolak. Selanjutnya, Mulla Sadra memberikan argumentasi atas  tidak mungkinnya surga-neraka memiliki ruang seperti halnya  di dunia. Menurutnya, alam akhirat adalah alam kesempurnaan  dan tidak ada apa pun yang melampaui substansinya. Dimensi  ini jelas tidak menunjukkan ruang seperti halnya keseluruhan  alam ini tidak memiliki ruang. Bukankah ruang dihasilkan  melalui penisbahan atas apa yang meliputi dirinya dan berada  di luar dari dirinya, sedangkan surga-neraka tidak ada sesuatu  yang meliputi dan di luar dirinya? Karena jika tidak, maka  tidaklah sempurna keberadaannya. Tidak mungkin juga indriawi  manusia dapat memberikan isyarat terhadap surga-neraka ini  sebagai alam yang sempurna, baik isyarat eksternal maupun  internal, dan tidak pula dapat ditetapkan kategori di mana  maupun ruang baginya. Inilah makna dari diktum filsafat “alam  dalam kesempurnaannya tidaklah diliputi ruang".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العا لم بتها مه لا مکن 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 Tujuan Kebangkitan  Kebangkitan bukanlah untuk satu tujuan yang sia-sia  karena tentu tidak sesuai dengan sifat Hakim. Tujuan ini, jika  berasal dari Zat Hakim, akan menunjukkan ketidaksempurnaan,  maka wajib melepaskan diri-Nya dari memiliki tujuan. Jika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150 </w:t>
      </w:r>
    </w:p>
    <w:p>
      <w:pPr>
        <w:pStyle w:val="BookText"/>
        <w:bidi w:val="0"/>
        <w:rPr/>
      </w:pPr>
      <w:r>
        <w:rPr>
          <w:rFonts w:eastAsia="Times New Roman" w:cs="Times New Roman" w:ascii="Times New Roman" w:hAnsi="Times New Roman"/>
          <w:color w:val="111111"/>
          <w:sz w:val="28"/>
          <w:szCs w:val="28"/>
          <w:lang w:val="en-US"/>
        </w:rPr>
        <w:t>tujuan dalam kebangkitan adalah upaya meliputi diri seorang  hamba dengan penderitaan adalah tujuan yang tidak pantas  bagi Hakim yang Adil, bagaimana mungkin tujuan seperti itu  muncul dari pencipta Hikmah dan Keadilan, jika tujuan dari  kebangkitan tersebut adalah menyampaikan kenikmatan.</w:t>
      </w:r>
    </w:p>
    <w:p>
      <w:pPr>
        <w:pStyle w:val="BookText"/>
        <w:bidi w:val="0"/>
        <w:jc w:val="both"/>
        <w:rPr/>
      </w:pPr>
      <w:r>
        <w:rPr>
          <w:rFonts w:eastAsia="Times New Roman" w:cs="Times New Roman" w:ascii="Times New Roman" w:hAnsi="Times New Roman"/>
          <w:color w:val="111111"/>
          <w:sz w:val="28"/>
          <w:szCs w:val="28"/>
          <w:lang w:val="en-US"/>
        </w:rPr>
        <w:t>Namun patut diingat bahwa kenikmatan tidak lain adalah hasil  dari penghilangan penderitaan, seperti halnya seseorang yang  makan hidangan yang lezat, dia tidak akan merasakan kelezatan  hidangan tersebut jika dirinya telah merasakan kenyang.</w:t>
      </w:r>
    </w:p>
    <w:p>
      <w:pPr>
        <w:pStyle w:val="BookText"/>
        <w:bidi w:val="0"/>
        <w:jc w:val="both"/>
        <w:rPr/>
      </w:pPr>
      <w:r>
        <w:rPr>
          <w:rFonts w:eastAsia="Times New Roman" w:cs="Times New Roman" w:ascii="Times New Roman" w:hAnsi="Times New Roman"/>
          <w:color w:val="111111"/>
          <w:sz w:val="28"/>
          <w:szCs w:val="28"/>
          <w:lang w:val="en-US"/>
        </w:rPr>
        <w:t>Kelezatan tersebut akan terasa hanya bagi orang yang lapar.</w:t>
      </w:r>
    </w:p>
    <w:p>
      <w:pPr>
        <w:pStyle w:val="BookText"/>
        <w:bidi w:val="0"/>
        <w:jc w:val="both"/>
        <w:rPr/>
      </w:pPr>
      <w:r>
        <w:rPr>
          <w:rFonts w:eastAsia="Times New Roman" w:cs="Times New Roman" w:ascii="Times New Roman" w:hAnsi="Times New Roman"/>
          <w:color w:val="111111"/>
          <w:sz w:val="28"/>
          <w:szCs w:val="28"/>
          <w:lang w:val="en-US"/>
        </w:rPr>
        <w:t>Demikian karakter pada kenikmatan indriawi. Oleh karena  itu, sebuah keharusan bagi Tuhan untuk membuat hamba-  Nya menderita terlebih dahulu hingga dia akan merasakan  kenikmatan dan yang demikian jelas bertentangan dengan sifat  hakim yang adil. Bagaimana mungkin dapat disebut hakim adil  jika dia harus memotong tangan seseorang agar orang tersebut  merasakan kenikmatan memiliki tangan?  Persoalan ini berasal dari Muhammad bin Zakariya (925  H)</w:t>
      </w:r>
      <w:r>
        <w:rPr>
          <w:rStyle w:val="FootnoteAnchor"/>
        </w:rPr>
        <w:footnoteReference w:id="174"/>
      </w:r>
      <w:r>
        <w:rPr>
          <w:rFonts w:eastAsia="Times New Roman" w:cs="Times New Roman" w:ascii="Times New Roman" w:hAnsi="Times New Roman"/>
          <w:color w:val="111111"/>
          <w:sz w:val="28"/>
          <w:szCs w:val="28"/>
          <w:lang w:val="en-US"/>
        </w:rPr>
        <w:t>dan Mulla Sadra memberikan jawaban sebagai berikut:</w:t>
      </w:r>
    </w:p>
    <w:p>
      <w:pPr>
        <w:pStyle w:val="BookText"/>
        <w:bidi w:val="0"/>
        <w:jc w:val="both"/>
        <w:rPr/>
      </w:pPr>
      <w:r>
        <w:rPr>
          <w:rFonts w:eastAsia="Times New Roman" w:cs="Times New Roman" w:ascii="Times New Roman" w:hAnsi="Times New Roman"/>
          <w:color w:val="111111"/>
          <w:sz w:val="28"/>
          <w:szCs w:val="28"/>
          <w:lang w:val="en-US"/>
        </w:rPr>
        <w:t>ada perbedaan mendasar antara tujuan dan keharusan. Bahwa  pada setiap perbuatan terdapat tujuan material dan keharusan.</w:t>
      </w:r>
    </w:p>
    <w:p>
      <w:pPr>
        <w:pStyle w:val="BookText"/>
        <w:bidi w:val="0"/>
        <w:jc w:val="both"/>
        <w:rPr/>
      </w:pPr>
      <w:r>
        <w:rPr>
          <w:rFonts w:eastAsia="Times New Roman" w:cs="Times New Roman" w:ascii="Times New Roman" w:hAnsi="Times New Roman"/>
          <w:color w:val="111111"/>
          <w:sz w:val="28"/>
          <w:szCs w:val="28"/>
          <w:lang w:val="en-US"/>
        </w:rPr>
        <w:t>Kematian merupakan perpindahan dari dimensi kehidupan  ini pada dimensi kehidupan yang lain diatasnya. Kenikmatan  akhirat, begitu pun dengan penderitaan, merupakan hasil dari  perbuatan jiwa sehingga berimplikasi pada keharusan dan  karakter Allah Ta'ala, terlepas dari efek kebaikan seseorang yang  taat kepada-Nya atau efek kejelekan dari seseorang yang tidak  mentaati-Nya. Tidaklah perbuatan Allah Swt. terhadap hamba-  Nya dalam upaya untuk mendapatkan kemuliaan sebagaimana</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151 </w:t>
      </w:r>
    </w:p>
    <w:p>
      <w:pPr>
        <w:pStyle w:val="BookText"/>
        <w:bidi w:val="0"/>
        <w:rPr/>
      </w:pPr>
      <w:r>
        <w:rPr>
          <w:rFonts w:eastAsia="Times New Roman" w:cs="Times New Roman" w:ascii="Times New Roman" w:hAnsi="Times New Roman"/>
          <w:color w:val="111111"/>
          <w:sz w:val="28"/>
          <w:szCs w:val="28"/>
          <w:lang w:val="en-US"/>
        </w:rPr>
        <w:t>halnya seorang raja yang memuliakan para sahabatnya untuk  mendapatkan penghormatan dan memerangi musuh-musuhnya  untuk menimpakan kemarahannya. Akan tetapi, perbuatan  Allah layaknya seperti seorang dokter terhadap pasien yang  memberikan resep obat dan larangan-larangan tertentu. Jika  pasien tersebut mengikuti aturan dan meminum obat sesuai  dengan yang disarankan, ia akan sembuh dan selamat dan jika  tidak, ia akan mengalami penderitaan. Semuanya berasal dari  sikap pasien itu sendiri. Demikian pula kedudukan jiwa di dalam  alam ini. Seperti layaknya pasien, dunia merupakan rumah sakit,  sedangkan para nabi merupakan dokter-dokter yang diutus dari  sisi Allah Ta'ala. Di antara pasien tersebut ada yang taat dan  ada yang tidak taat. Karenanya, Allah berlepas tangan dari para  musyrikin sebagaimana firman-Nya “Katakanlah Kebenaran  berasal dari Tuhanmu, siapa menginginkan, dia dapat beriman  dan siapa menginginkan, dia dapat kafir."</w:t>
      </w:r>
      <w:r>
        <w:rPr>
          <w:rStyle w:val="FootnoteAnchor"/>
        </w:rPr>
        <w:footnoteReference w:id="17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شَاءَ فَلْیُؤْمِنْ وَمَنْ شَاءَ فَلْیَکْفُرْ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Kenikmatan  dan penderitaan di akhirat bukanlah masuk dalam kategori  kenikmatan dan penderitaan duniawi hingga kenikmatannya  merupakan hasil penghilangan penderitaan, seperti halnya di  dunia. Kenikmatan duniawi seluruhnya merupakan efek dari  aktivitas yang datang dari luar dan kemudian mempengaruhi  jiwa berbeda halnya dengan kenikmatan akhirat yang terpancar  pada jiwa dan bersumber dari dirinya dan merupakan tindakan  atau akitivitas jiwa itu sendiri. Kategori aktif dan pasif adalah dua  kategori yang berbeda dan tidak tergabung dalam satu dimensi;  demikian kenikmatan aktif berbeda dengan kenikmatan pasif,  baik dalam jenis maupun batasannya. Tidak dapat dibandingkan  satu dengan lainnya. Di akhirat, seluruh kenikmatan jiwa berada  pada puncak kesempurnaan. Seluruh bentuk kenikmatan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152 </w:t>
      </w:r>
    </w:p>
    <w:p>
      <w:pPr>
        <w:pStyle w:val="BookText"/>
        <w:bidi w:val="0"/>
        <w:rPr/>
      </w:pPr>
      <w:r>
        <w:rPr>
          <w:rFonts w:eastAsia="Times New Roman" w:cs="Times New Roman" w:ascii="Times New Roman" w:hAnsi="Times New Roman"/>
          <w:color w:val="111111"/>
          <w:sz w:val="28"/>
          <w:szCs w:val="28"/>
          <w:lang w:val="en-US"/>
        </w:rPr>
        <w:t>tersebut berada pada puncak kesempurnaan dan kemuliaan di  atas seluruh kenikmatan duniawi yang segera sirna. Karenanya,  hendaklah manusia melakukan upaya penyucian bagi jiwanya  sehingga menghasilkan potensi untuk mempersepsi kebaikan  dan kebahagian yang abadi sehingga ketika potensi berpindah  menjadi aksi dan berpindah dari kekurangan menjadi  kesempurnaan, maka akan terpancarkan apa yang selama ini  menjadi niat dan harapannya. Jika yang niat dan harapannya  adalah kebenaran, maka dia akan mendapatkan kemenangan,  sedangkan jika yang menjadi niat dan harapannya selama ini  adalah sesuatu yang rendah dari kehidupan duniawi yang terdiri  atas pemenuhan syahwat, emosi, dan keyakinan yang sesat dan  keliru, maka rusaklah forma dan raganya sehingga menimbulkan  penyesalan dan penderitaan yang pedih.</w:t>
      </w:r>
    </w:p>
    <w:p>
      <w:pPr>
        <w:pStyle w:val="BookText"/>
        <w:bidi w:val="0"/>
        <w:jc w:val="both"/>
        <w:rPr/>
      </w:pPr>
      <w:r>
        <w:rPr>
          <w:rFonts w:eastAsia="Times New Roman" w:cs="Times New Roman" w:ascii="Times New Roman" w:hAnsi="Times New Roman"/>
          <w:color w:val="111111"/>
          <w:sz w:val="28"/>
          <w:szCs w:val="28"/>
          <w:lang w:val="en-US"/>
        </w:rPr>
        <w:t>e. Kemustahilan Rasio untuk Memahami Hakikat  Kebangkitan  Kebangkitan kembali raga akan terjadi apakah pada  sebagian ataukah pada keseluruhan manusia; jika yang pertama  yang akan terjadi, maka hal tersebut adalah pernyataan tanpa  sandaran (Tarjih bila murājīb), sedangkan yang kedua akan  menyebabkan pergesekan (tazahum) ruang mengingat raga  manusia yang luar biasa kuantitasnya. Hal ini juga menjadi isyarat  Allah Swt., “Apakah kami yang akan dibangkitkan ataukah bapak-  bapak kami yang terdahulu",</w:t>
      </w:r>
      <w:r>
        <w:rPr>
          <w:rStyle w:val="FootnoteAnchor"/>
        </w:rPr>
        <w:footnoteReference w:id="17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أَوَآبَاؤُنَا الْأَوَّلُونَ</w:t>
      </w:r>
    </w:p>
    <w:p>
      <w:pPr>
        <w:pStyle w:val="BookText"/>
        <w:bidi w:val="0"/>
        <w:jc w:val="both"/>
        <w:rPr/>
      </w:pPr>
      <w:r>
        <w:rPr>
          <w:rFonts w:eastAsia="Times New Roman" w:cs="Times New Roman" w:ascii="Times New Roman" w:hAnsi="Times New Roman"/>
          <w:color w:val="111111"/>
          <w:sz w:val="28"/>
          <w:szCs w:val="28"/>
          <w:lang w:val="en-US"/>
        </w:rPr>
        <w:t>kemudian Allah memberikan  jawaban melalui nabi-Nya, “Katakanlah sesungguhnya yang  terdahulu maupun yang akan datang akan dikumpulkan pada  tempat dihari yang ditetapkan."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IRNazanin" w:hAnsi="IRNazanin" w:eastAsia="IRNazanin"/>
          <w:color w:val="111111"/>
          <w:sz w:val="28"/>
          <w:sz w:val="28"/>
          <w:szCs w:val="28"/>
          <w:rtl w:val="true"/>
          <w:lang w:bidi="fa-IR"/>
        </w:rPr>
        <w:t>قال إن الأولین والآخرین لمجموعون إلی میقت یوم معلوم</w:t>
      </w:r>
    </w:p>
    <w:p>
      <w:pPr>
        <w:pStyle w:val="BookText"/>
        <w:bidi w:val="0"/>
        <w:jc w:val="both"/>
        <w:rPr/>
      </w:pPr>
      <w:r>
        <w:rPr>
          <w:rFonts w:eastAsia="Times New Roman" w:cs="Times New Roman" w:ascii="Times New Roman" w:hAnsi="Times New Roman"/>
          <w:color w:val="111111"/>
          <w:sz w:val="28"/>
          <w:szCs w:val="28"/>
          <w:lang w:val="en-US"/>
        </w:rPr>
        <w:t>Allah menunjukkan tidak  adanya pergesekan di antara raga pada wujud akhirat. Oleh</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153 </w:t>
      </w:r>
    </w:p>
    <w:p>
      <w:pPr>
        <w:pStyle w:val="BookText"/>
        <w:bidi w:val="0"/>
        <w:rPr/>
      </w:pPr>
      <w:r>
        <w:rPr>
          <w:rFonts w:eastAsia="Times New Roman" w:cs="Times New Roman" w:ascii="Times New Roman" w:hAnsi="Times New Roman"/>
          <w:color w:val="111111"/>
          <w:sz w:val="28"/>
          <w:szCs w:val="28"/>
          <w:lang w:val="en-US"/>
        </w:rPr>
        <w:t>karena itu, forma yang akan  muncul pastilah tidak berasal  dari materi yang memiliki      ruang, tetapi dari imajinasi  jiwa, sebagaimana tidak    adanya pergesakan yang  terjadi pada forma yang ada  dalam alam mental manusia    karena memiliki dimensi    lain dari alam ini. Demikian  pula ruang pada hari Kiamat  tersingkaplah seluruh rahasia    adalah yang jelas bagi Allah,  tetapi tidak terjangkau oleh  pikiran, apalagi indra material manusia. Karenanya, seluruh  persoalan Kiamat adalah rahasia yang tersembunyi dari  kehidupan manusia dan mustahil untuk memberikan jawaban  atas berbagai persoalan yang terjadi pada Kiamat. Manusia  hanya akan mampu memahaminya setelah dibangkitkan dari  kubur-kubur mereka tentang rahasia tersebut.</w:t>
      </w:r>
    </w:p>
    <w:p>
      <w:pPr>
        <w:pStyle w:val="BookText"/>
        <w:bidi w:val="0"/>
        <w:jc w:val="both"/>
        <w:rPr/>
      </w:pPr>
      <w:r>
        <w:rPr>
          <w:rFonts w:eastAsia="Times New Roman" w:cs="Times New Roman" w:ascii="Times New Roman" w:hAnsi="Times New Roman"/>
          <w:color w:val="111111"/>
          <w:sz w:val="28"/>
          <w:szCs w:val="28"/>
          <w:lang w:val="en-US"/>
        </w:rPr>
        <w:t>Menurut Mulla Sadra, rahasia tersebut hanya untuk mereka  yang terbungkus oleh tirai kegelapan dan kekafiran, tetapi bagi  mereka yang mampu menyingkapkan tabir kegelapan tersebut  dan kembali kepada Allah serta bangkit secara sukarela dan tidak  terpaksa, seperti layaknya kebanyakan manusia, bagi mereka  terpancar jelas pengetahuan tentang hakikat kebangkitan.</w:t>
      </w:r>
    </w:p>
    <w:p>
      <w:pPr>
        <w:pStyle w:val="BookText"/>
        <w:bidi w:val="0"/>
        <w:jc w:val="both"/>
        <w:rPr/>
      </w:pPr>
      <w:r>
        <w:rPr>
          <w:rFonts w:eastAsia="Times New Roman" w:cs="Times New Roman" w:ascii="Times New Roman" w:hAnsi="Times New Roman"/>
          <w:color w:val="111111"/>
          <w:sz w:val="28"/>
          <w:szCs w:val="28"/>
          <w:lang w:val="en-US"/>
        </w:rPr>
        <w:t>Dunia ini seperti halnya janin di dalam rahim ibu. Jiwa manusia  sebelum kelahirannya yang kedua tidak akan keluar dari  rahim dunia. Untuk pernyataannya ini, Mulla Sadra mengutip</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154 </w:t>
      </w:r>
    </w:p>
    <w:p>
      <w:pPr>
        <w:pStyle w:val="BookText"/>
        <w:bidi w:val="0"/>
        <w:rPr/>
      </w:pPr>
      <w:r>
        <w:rPr>
          <w:rFonts w:eastAsia="Times New Roman" w:cs="Times New Roman" w:ascii="Times New Roman" w:hAnsi="Times New Roman"/>
          <w:color w:val="111111"/>
          <w:sz w:val="28"/>
          <w:szCs w:val="28"/>
          <w:lang w:val="en-US"/>
        </w:rPr>
        <w:t xml:space="preserve">pernyataan Nabi Isa a.s., “Tidak akan memahami rahasia langit  bagi mereka yang belum terlahir dua kali". </w:t>
      </w:r>
      <w:r>
        <w:rPr>
          <w:rStyle w:val="FootnoteAnchor"/>
        </w:rPr>
        <w:footnoteReference w:id="177"/>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لن یلج ملکوت السموات من لم یولد مر تیذ</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Kelahiran kedua  ini terjadi pada para urafa yang sempurna melalui kematian  yang diinginkan (Tradi), sedangkan manusia umumnya, mati  secara alami. Jika salik dalam perjalanan ruhaninya mampu  menyingkap tirai-tirai kegelapan tersebut, tersingkaplah seluruh  rahasia Kiamat baginya secara jelas dan “Ayn al-Yaqin.</w:t>
      </w:r>
    </w:p>
    <w:p>
      <w:pPr>
        <w:pStyle w:val="BookText"/>
        <w:bidi w:val="0"/>
        <w:jc w:val="both"/>
        <w:rPr/>
      </w:pPr>
      <w:r>
        <w:rPr>
          <w:rFonts w:eastAsia="Times New Roman" w:cs="Times New Roman" w:ascii="Times New Roman" w:hAnsi="Times New Roman"/>
          <w:color w:val="111111"/>
          <w:sz w:val="28"/>
          <w:szCs w:val="28"/>
          <w:lang w:val="en-US"/>
        </w:rPr>
        <w:t>Demikian beberapa jawaban persoalan-persoalan yang,  pada umumnya, muncul dalam pembahasan eskatologi. Ada  beberapa persoalan lain yang diungkapkan Mulla Sadra dalam  Al-Asfār, tetapi persoalan tersebut tidak terlalu perlu untuk  dikemukakan di sini karena apa yang dikemukakan di atas,  secara umum, telah meliputi persoalan-persoalan lainnya.</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155 </w:t>
      </w:r>
      <w:bookmarkStart w:id="107" w:name="pg6434_60696"/>
    </w:p>
    <w:p>
      <w:pPr>
        <w:pStyle w:val="Heading3"/>
        <w:numPr>
          <w:ilvl w:val="2"/>
          <w:numId w:val="1"/>
        </w:numPr>
        <w:bidi w:val="0"/>
        <w:jc w:val="left"/>
        <w:rPr/>
      </w:pPr>
      <w:bookmarkStart w:id="108" w:name="__RefHeading___Toc808212_653776707"/>
      <w:bookmarkStart w:id="109" w:name="_Toc35"/>
      <w:bookmarkEnd w:id="107"/>
      <w:bookmarkEnd w:id="108"/>
      <w:r>
        <w:rPr/>
        <w:t>Catatan 4:</w:t>
      </w:r>
      <w:bookmarkEnd w:id="1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Jawadi Amuli merupakan seorang ulama Syi'ah yang digelari  Ayatullah yang sangat disegani di Kota Qom. Dilahirkan di  Kota Amul (utara Iran) 1325 HQ (thn Iran). Saat ini, ia dianggap  sebagai perwakilan utama dari aliran filsafat Sadrian di Iran.</w:t>
      </w:r>
    </w:p>
    <w:p>
      <w:pPr>
        <w:pStyle w:val="BookText"/>
        <w:bidi w:val="0"/>
        <w:jc w:val="both"/>
        <w:rPr/>
      </w:pPr>
      <w:r>
        <w:rPr>
          <w:rFonts w:eastAsia="Times New Roman" w:cs="Times New Roman" w:ascii="Times New Roman" w:hAnsi="Times New Roman"/>
          <w:color w:val="111111"/>
          <w:sz w:val="28"/>
          <w:szCs w:val="28"/>
          <w:lang w:val="en-US"/>
        </w:rPr>
        <w:t>Merupakan pengajar utama kitab al-Hikmah al-Muta’aliyyah  dan telah melahirkan filsuf-filsuf besar. Di antara muridnya  yang cukup terkenal adalah Muhammad Taqi Misbah Yazdi.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Jawadi Amuli, Dah Maqolehye piromune Mabda va Ma'ad  (Tehran: Intisyarat Al-Zahra', 1372), hlm. 281.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Thabathaba'i, Bidayah, hlm. 69. Teks aslinya sebagai berikut:</w:t>
      </w:r>
    </w:p>
    <w:p>
      <w:pPr>
        <w:pStyle w:val="BookText"/>
        <w:bidi w:val="0"/>
        <w:jc w:val="both"/>
        <w:rPr/>
      </w:pPr>
      <w:r>
        <w:rPr>
          <w:rFonts w:ascii="Amiri" w:hAnsi="Amiri" w:eastAsia="Amiri" w:cs="Amiri"/>
          <w:color w:val="111111"/>
          <w:sz w:val="28"/>
          <w:sz w:val="28"/>
          <w:szCs w:val="28"/>
          <w:rtl w:val="true"/>
          <w:lang w:bidi="ar-SA"/>
        </w:rPr>
        <w:t xml:space="preserve">الجوهر المجرد عن المادة ذات المتعلق بها فعلا    </w:t>
      </w:r>
      <w:r>
        <w:rPr>
          <w:rFonts w:eastAsia="Amiri" w:cs="Amiri" w:ascii="Amiri" w:hAnsi="Amiri"/>
          <w:color w:val="111111"/>
          <w:sz w:val="28"/>
          <w:szCs w:val="28"/>
          <w:lang w:bidi="ar-SA"/>
        </w:rPr>
        <w:t>4</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Lihat: Mulla Sadra, Al-Asfar, j.9, hlm. 6–10.</w:t>
      </w:r>
    </w:p>
    <w:p>
      <w:pPr>
        <w:pStyle w:val="BookText"/>
        <w:bidi w:val="0"/>
        <w:jc w:val="both"/>
        <w:rPr/>
      </w:pPr>
      <w:r>
        <w:rPr>
          <w:rFonts w:eastAsia="Times New Roman" w:cs="Times New Roman" w:ascii="Times New Roman" w:hAnsi="Times New Roman"/>
          <w:color w:val="111111"/>
          <w:sz w:val="28"/>
          <w:szCs w:val="28"/>
          <w:lang w:val="en-US"/>
        </w:rPr>
        <w:t>5.Lihat: Mulla Sadra, Al-Asfar, J 8, hlm. 20–21.</w:t>
      </w:r>
    </w:p>
    <w:p>
      <w:pPr>
        <w:pStyle w:val="BookText"/>
        <w:bidi w:val="0"/>
        <w:jc w:val="both"/>
        <w:rPr/>
      </w:pPr>
      <w:r>
        <w:rPr>
          <w:rFonts w:eastAsia="Times New Roman" w:cs="Times New Roman" w:ascii="Times New Roman" w:hAnsi="Times New Roman"/>
          <w:color w:val="111111"/>
          <w:sz w:val="28"/>
          <w:szCs w:val="28"/>
          <w:lang w:val="en-US"/>
        </w:rPr>
        <w:t>6.Thabathaba'l, Bidayah, hlm. 68. Teks aslinya sebagai berikut:</w:t>
      </w:r>
    </w:p>
    <w:p>
      <w:pPr>
        <w:pStyle w:val="BookText"/>
        <w:bidi w:val="0"/>
        <w:jc w:val="both"/>
        <w:rPr/>
      </w:pPr>
      <w:r>
        <w:rPr>
          <w:rFonts w:ascii="IRNazanin" w:hAnsi="IRNazanin" w:eastAsia="IRNazanin"/>
          <w:color w:val="111111"/>
          <w:sz w:val="28"/>
          <w:sz w:val="28"/>
          <w:szCs w:val="28"/>
          <w:rtl w:val="true"/>
          <w:lang w:bidi="fa-IR"/>
        </w:rPr>
        <w:t xml:space="preserve">إذا وجدت فی الخارج وجدت لا فی موضوع مستغن عنها فی وجوده  </w:t>
      </w:r>
      <w:r>
        <w:rPr>
          <w:rFonts w:eastAsia="IRNazanin" w:cs="IRNazanin"/>
          <w:color w:val="111111"/>
          <w:sz w:val="28"/>
          <w:szCs w:val="28"/>
          <w:lang w:bidi="fa-IR"/>
        </w:rPr>
        <w:t>7</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Thabathaba'i, Bidayah, hlm.68. Teks aslinya sebagai berikut:</w:t>
      </w:r>
    </w:p>
    <w:p>
      <w:pPr>
        <w:pStyle w:val="BookText"/>
        <w:bidi w:val="0"/>
        <w:jc w:val="both"/>
        <w:rPr/>
      </w:pPr>
      <w:r>
        <w:rPr>
          <w:rFonts w:ascii="IRNazanin" w:hAnsi="IRNazanin" w:eastAsia="IRNazanin"/>
          <w:color w:val="111111"/>
          <w:sz w:val="28"/>
          <w:sz w:val="28"/>
          <w:szCs w:val="28"/>
          <w:rtl w:val="true"/>
          <w:lang w:bidi="fa-IR"/>
        </w:rPr>
        <w:t xml:space="preserve">إذا وجدت فی الخارج وجدت فی موضوع مستغن عنها  </w:t>
      </w:r>
      <w:r>
        <w:rPr>
          <w:rFonts w:eastAsia="IRNazanin" w:cs="IRNazanin"/>
          <w:color w:val="111111"/>
          <w:sz w:val="28"/>
          <w:szCs w:val="28"/>
          <w:lang w:bidi="fa-IR"/>
        </w:rPr>
        <w:t>8</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Muhammad Taqi Misbah Yazdi, Syarh jilid hasytum Asfar  Arba'eh, (Qom: Intisyarat Omuzisyi wa Pezuhesyi Imam  Khomeini, 1378), hlm. 114-115.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Ada beberapa pandangan sebelum Mulla Sadra yang  berkaitan dengan cara hadirnya jiwa pada raga. Pertama, jiwa  merupakat hakikat yang real, sedangkan raga adalah hakikat  relative, seperti wujud dan kuiditas; keberadaan jiwa, dengan  sendirinya, menghadirkan forma materi. Kedua, dua bentuk</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156 </w:t>
      </w:r>
    </w:p>
    <w:p>
      <w:pPr>
        <w:pStyle w:val="BookText"/>
        <w:bidi w:val="0"/>
        <w:rPr/>
      </w:pPr>
      <w:r>
        <w:rPr>
          <w:rFonts w:eastAsia="Times New Roman" w:cs="Times New Roman" w:ascii="Times New Roman" w:hAnsi="Times New Roman"/>
          <w:color w:val="111111"/>
          <w:sz w:val="28"/>
          <w:szCs w:val="28"/>
          <w:lang w:val="en-US"/>
        </w:rPr>
        <w:t>substansi, tetapi yang pertama merupakan penyebab dan  kedua adalah akibat, atau seperti wujud Mumkin dengan  wujud niscaya; bahwa jiwa sebagai sebab bagi raga. Ketiga,  jiwa terlebih dahulu ada dan posisinya sebagai substansi,  sedangkan raga datang kemudian dengan posisi sebagai  aksiden bagi jiwa. Keempat, raga sebagai substansi dan jiwa  sebagai aksiden, raga hadir terelebih dahulu, baru kemudian  jiwa dan akan hancur bersama hancurnya raga. Untuk lebih  jelas, lihat: Hadi Rastegori "Ma'ad az Didgohe Hukamo' va  Sadra Muta'alihin Syirozi" dalam Kherad Nomeh Sadro, Vol.</w:t>
      </w:r>
    </w:p>
    <w:p>
      <w:pPr>
        <w:pStyle w:val="BookText"/>
        <w:bidi w:val="0"/>
        <w:jc w:val="both"/>
        <w:rPr/>
      </w:pPr>
      <w:r>
        <w:rPr>
          <w:rFonts w:eastAsia="Times New Roman" w:cs="Times New Roman" w:ascii="Times New Roman" w:hAnsi="Times New Roman"/>
          <w:color w:val="111111"/>
          <w:sz w:val="28"/>
          <w:szCs w:val="28"/>
          <w:lang w:val="en-US"/>
        </w:rPr>
        <w:t>15 th. 1420, hlm. 68.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Prinsip ini jelas mengacu pada akar filsafatnya yang dibangun  di atas dasar gerakan transubstansial, bahwa segala elemen  wujud mengalami proses gerakan. Jiwa yang berawal sebagai  materi, sebagai elemen terendah dalam wujud, berkembang ke  arah yang lebih tinggi, yaitu tingkat ruhaniah. Karenanya bagi  Mulla Sadra, semua jiwa, sekalipun jiwa tumbuh-tumbuhan,  akan bergerak menuju tingkat ruhaniah. Baca: Fazlur Rahman,  The Philosophy of Mulla Sadra, hlm. 267.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Mulla Sadra, Al-Syawahid Al-Rububiyyah fi Al-Manāhij Al-  Sulūkiyyah (Masyhad: Markaze Nasyr Donesgohi, 1360), hlm.</w:t>
      </w:r>
    </w:p>
    <w:p>
      <w:pPr>
        <w:pStyle w:val="BookText"/>
        <w:bidi w:val="0"/>
        <w:jc w:val="both"/>
        <w:rPr/>
      </w:pPr>
      <w:r>
        <w:rPr>
          <w:rFonts w:eastAsia="Times New Roman" w:cs="Times New Roman" w:ascii="Times New Roman" w:hAnsi="Times New Roman"/>
          <w:color w:val="111111"/>
          <w:sz w:val="28"/>
          <w:szCs w:val="28"/>
          <w:lang w:val="en-US"/>
        </w:rPr>
        <w:t>223 (selanjutnya disebut: Al-Syawahid).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Lihat Mulla Sadra, Al-Syawahid, halm. 220–228.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Pandangan tentang kekeliruan reinkarnasi akan dijelaskan  kemudian.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Lihat: Majid Fachry, Tarikh Falsafe dar Jihone Islom, hlm. 421.</w:t>
      </w:r>
    </w:p>
    <w:p>
      <w:pPr>
        <w:pStyle w:val="BookText"/>
        <w:bidi w:val="0"/>
        <w:jc w:val="both"/>
        <w:rPr/>
      </w:pPr>
      <w:r>
        <w:rPr>
          <w:rFonts w:eastAsia="Times New Roman" w:cs="Times New Roman" w:ascii="Times New Roman" w:hAnsi="Times New Roman"/>
          <w:color w:val="111111"/>
          <w:sz w:val="28"/>
          <w:szCs w:val="28"/>
          <w:lang w:val="en-US"/>
        </w:rPr>
        <w:t>Pandangan Al-Ghazali tersebut mendapatkan kritik dari Mulla  Sadra karena bagi Mulla Sadra, hal tersebut menyebabkan  terjadinya reinkarnasi.</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157 </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Lihat: Mulla Sadra, Al-Asfar, J.Iv, hlm. 12.</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Mulla Sadra, Al-Asfar, J.8, hlm. 270.</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Kritik Fazlur Rahman tersebut dapat kita lihat pada Fazlur  Rahman, The Philosophy of Mulla Sadra (Shadr al- Din al-  Syirazi) hal. 263.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Hadi Rastgori, Ma'ad az didgohe Hukamo' va Shadro al-  Muta’lihin Syirozi dalam jurnal Kherad nomeh Shadro (Tehran:</w:t>
      </w:r>
    </w:p>
    <w:p>
      <w:pPr>
        <w:pStyle w:val="BookText"/>
        <w:bidi w:val="0"/>
        <w:jc w:val="both"/>
        <w:rPr/>
      </w:pPr>
      <w:r>
        <w:rPr>
          <w:rFonts w:eastAsia="Times New Roman" w:cs="Times New Roman" w:ascii="Times New Roman" w:hAnsi="Times New Roman"/>
          <w:color w:val="111111"/>
          <w:sz w:val="28"/>
          <w:szCs w:val="28"/>
          <w:lang w:val="en-US"/>
        </w:rPr>
        <w:t>Wezarat Farhangge va Omuzes, 1421) Vol. 15 hal. 69. Teks  aslinya sebagai berikut:</w:t>
      </w:r>
    </w:p>
    <w:p>
      <w:pPr>
        <w:pStyle w:val="BookText"/>
        <w:bidi w:val="0"/>
        <w:jc w:val="both"/>
        <w:rPr/>
      </w:pPr>
      <w:r>
        <w:rPr>
          <w:rFonts w:ascii="IRNazanin" w:hAnsi="IRNazanin" w:eastAsia="IRNazanin"/>
          <w:color w:val="111111"/>
          <w:sz w:val="28"/>
          <w:sz w:val="28"/>
          <w:szCs w:val="28"/>
          <w:rtl w:val="true"/>
          <w:lang w:bidi="fa-IR"/>
        </w:rPr>
        <w:t xml:space="preserve">إن النفس لا تموت بموت البدن ولا تقبل الفساد أصلا  </w:t>
      </w:r>
      <w:r>
        <w:rPr>
          <w:rFonts w:eastAsia="IRNazanin" w:cs="IRNazanin"/>
          <w:color w:val="111111"/>
          <w:sz w:val="28"/>
          <w:szCs w:val="28"/>
          <w:lang w:bidi="fa-IR"/>
        </w:rPr>
        <w:t>19</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Mulla Sadra, Al-Asfar, J. 8, hlm. 382.</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Lihat: Mulla Sadra, Al-Asfar, J. 8, hlm. 388.</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Pandangan Al-Farabi yang seperti ini dapat kita lihat dalam  pernyataannya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Sedang para penduduk negeri Jahiliyyah,  sesungguhnya, jiwa mereka akan tetap dan tidak mengalami  penyempurnaan dan untuk tetap ada membutuhkan materi  sebagai keharusan, yaitu tidak tergambarkan padanya  (penduduk Jahiliyyah) gambaran dari objek-objek intelek  pertama sama sekali. Jika materinya hancur, yang selama ini  menjadi dasar fundamen keberadaan mereka, maka hancur  pulalah daya-daya yang selama ini merupakan personalitas  dirinya, yang menjadikan dirinya sebagai sebuah identitas.</w:t>
      </w:r>
    </w:p>
    <w:p>
      <w:pPr>
        <w:pStyle w:val="BookText"/>
        <w:bidi w:val="0"/>
        <w:jc w:val="both"/>
        <w:rPr/>
      </w:pPr>
      <w:r>
        <w:rPr>
          <w:rFonts w:eastAsia="Times New Roman" w:cs="Times New Roman" w:ascii="Times New Roman" w:hAnsi="Times New Roman"/>
          <w:color w:val="111111"/>
          <w:sz w:val="28"/>
          <w:szCs w:val="28"/>
          <w:lang w:val="en-US"/>
        </w:rPr>
        <w:t>Tinggallah padanya daya-daya yang tersisa dan jika materi  ini hancur, maka berubahlah dirinya menjadi sesuatu  yang lain dengan forma materi tersebut dan berubah dari  forma sebelumnya... hingga berubah menjadi materi padat  dan tetap sebagai materi padat tersebut sebagai forma  akhirnya." Lihat: Al-Farabi, Kitab Ara' Ahl Al-Madinah Al-  Fadilah (Beirut: Dar Al-Masyriq, 2002), hlm. 142.</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Khwaja NaSiruddin Al-Tusi, Tahsil Al-Muhasal (Qom: Intisyarat  Bidor, 1373), hlm. 524. Teks aslinya sebagai berikut:</w:t>
      </w:r>
    </w:p>
    <w:p>
      <w:pPr>
        <w:pStyle w:val="BookText"/>
        <w:bidi w:val="0"/>
        <w:jc w:val="both"/>
        <w:rPr/>
      </w:pPr>
      <w:r>
        <w:rPr>
          <w:rFonts w:ascii="IRNazanin" w:hAnsi="IRNazanin" w:eastAsia="IRNazanin"/>
          <w:color w:val="111111"/>
          <w:sz w:val="28"/>
          <w:sz w:val="28"/>
          <w:szCs w:val="28"/>
          <w:rtl w:val="true"/>
          <w:lang w:bidi="fa-IR"/>
        </w:rPr>
        <w:t>والنفس  حیة بذاتها و یحیی بها غیرها وکل ما کان حیاته لذاته یستحیل علیه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158 </w:t>
      </w:r>
    </w:p>
    <w:p>
      <w:pPr>
        <w:pStyle w:val="BookText"/>
        <w:bidi w:val="0"/>
        <w:rPr/>
      </w:pPr>
      <w:r>
        <w:rPr>
          <w:rFonts w:ascii="IRNazanin" w:hAnsi="IRNazanin" w:eastAsia="IRNazanin"/>
          <w:color w:val="111111"/>
          <w:sz w:val="28"/>
          <w:sz w:val="28"/>
          <w:szCs w:val="28"/>
          <w:rtl w:val="true"/>
          <w:lang w:bidi="fa-IR"/>
        </w:rPr>
        <w:t>الموت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Al-Asfar , J. 8, him. 53 56.</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Sebab terdiri atas sebab sempurna dan sebab tidak sempurna.</w:t>
      </w:r>
    </w:p>
    <w:p>
      <w:pPr>
        <w:pStyle w:val="BookText"/>
        <w:bidi w:val="0"/>
        <w:jc w:val="both"/>
        <w:rPr/>
      </w:pPr>
      <w:r>
        <w:rPr>
          <w:rFonts w:eastAsia="Times New Roman" w:cs="Times New Roman" w:ascii="Times New Roman" w:hAnsi="Times New Roman"/>
          <w:color w:val="111111"/>
          <w:sz w:val="28"/>
          <w:szCs w:val="28"/>
          <w:lang w:val="en-US"/>
        </w:rPr>
        <w:t>Di antara pembagian sebab tidak sempurna sebagai berikut:</w:t>
      </w:r>
    </w:p>
    <w:p>
      <w:pPr>
        <w:pStyle w:val="BookText"/>
        <w:bidi w:val="0"/>
        <w:jc w:val="both"/>
        <w:rPr/>
      </w:pPr>
      <w:r>
        <w:rPr>
          <w:rFonts w:eastAsia="Times New Roman" w:cs="Times New Roman" w:ascii="Times New Roman" w:hAnsi="Times New Roman"/>
          <w:color w:val="111111"/>
          <w:sz w:val="28"/>
          <w:szCs w:val="28"/>
          <w:lang w:val="en-US"/>
        </w:rPr>
        <w:t>sebab internal, sebab eksternal, sebab subjek dan sebab  tujuan. Lihat: Thabataba'i, Bidayah, hlm. 86.</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Lihat: Mulla Sadra, Al-Asfar, J. 8, hlm. 260, pada pembahasan  “Jiwa Berpikir bukanlah Fisik dan bukan pula Bentuk Berukuran  dan tidak dapat Dilakukan Pembagian Atasnya".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Mulla Sadra, Al-Asfar, J. 9, hlm. 93. Teks aslinya sebagai  berikut:</w:t>
      </w:r>
    </w:p>
    <w:p>
      <w:pPr>
        <w:pStyle w:val="BookText"/>
        <w:bidi w:val="0"/>
        <w:jc w:val="both"/>
        <w:rPr/>
      </w:pPr>
      <w:r>
        <w:rPr>
          <w:rFonts w:ascii="IRNazanin" w:hAnsi="IRNazanin" w:eastAsia="IRNazanin"/>
          <w:color w:val="111111"/>
          <w:sz w:val="28"/>
          <w:sz w:val="28"/>
          <w:szCs w:val="28"/>
          <w:rtl w:val="true"/>
          <w:lang w:bidi="fa-IR"/>
        </w:rPr>
        <w:t>إن کل إنسان بشری باطنه کأنه معجون من صفات قوی بعضها بهیمیة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سبعیة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ملکیة حتی یصدر من البهمیة  الشهوة والشره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والحرص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السبعیة الحسد و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الشیطانیة المکر والخدیعة و الحیلة و التکبر 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الجاه و  الافتخار و 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الملکیة العلم و 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واصول جمیع  الأخلاق هذه الأربعة وقد عجنت فی باطنه عجنا محکما لا یکاد یتخلص 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Sebagaimana yang telah dijelaskan sebelumnya, prinsip al-Labs  ba’da al-Labsyang dikembangkan Mulla Sadra bertentangan  dengan prinsip al-Kawn wa al-Fasad yang dikembangkan filsuf  Peripatetik. Bagi Mulla Sadra, dalam proses gerakan tidak ada  satu bagianpun secara substansial yang hilang, tetapi akan  terus berkembang bersama menuju tingkat kesempurnaan  wujud.</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Lihat: Ibn Sina, Al-Najah, hlm. 460.</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Lihat: Fazlur Rahman, The Philosophy of Mulla Sadra (Shadr  al-Din al-Syirazi), hlm. 271.</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Konsep reinkarnasi juga diistilahkan dengan metempsichosis,  metensomatis atau juga palingenesis. Konsep ini, pada</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159 </w:t>
      </w:r>
    </w:p>
    <w:p>
      <w:pPr>
        <w:pStyle w:val="BookText"/>
        <w:bidi w:val="0"/>
        <w:rPr/>
      </w:pPr>
      <w:r>
        <w:rPr>
          <w:rFonts w:eastAsia="Times New Roman" w:cs="Times New Roman" w:ascii="Times New Roman" w:hAnsi="Times New Roman"/>
          <w:color w:val="111111"/>
          <w:sz w:val="28"/>
          <w:szCs w:val="28"/>
          <w:lang w:val="en-US"/>
        </w:rPr>
        <w:t>umumnya, dianut oleh agama-agama India, a.I, Hindu, Budha,  Jainis, dan Sikh. Konsep ini telah ada sejak Mesir Kuno pada  zaman Fir'aun, bahkan di Yunani, konsep ini sudah dikenal  sejak Pherecydes, guru dari Pythagoras (582-507 S.M). Lihat:</w:t>
      </w:r>
    </w:p>
    <w:p>
      <w:pPr>
        <w:pStyle w:val="BookText"/>
        <w:bidi w:val="0"/>
        <w:jc w:val="both"/>
        <w:rPr/>
      </w:pPr>
      <w:r>
        <w:rPr>
          <w:rFonts w:eastAsia="Times New Roman" w:cs="Times New Roman" w:ascii="Times New Roman" w:hAnsi="Times New Roman"/>
          <w:color w:val="111111"/>
          <w:sz w:val="28"/>
          <w:szCs w:val="28"/>
          <w:lang w:val="en-US"/>
        </w:rPr>
        <w:t>Mercia Eliade, Encyclopedia of Religion (USA: MacMilan  Library Refrence), Vol. 11-12, hlm. 265–269.</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Abdul Rahim Guwahi, Rahnamoye Adyone Zendeh (Qom:</w:t>
      </w:r>
    </w:p>
    <w:p>
      <w:pPr>
        <w:pStyle w:val="BookText"/>
        <w:bidi w:val="0"/>
        <w:jc w:val="both"/>
        <w:rPr/>
      </w:pPr>
      <w:r>
        <w:rPr>
          <w:rFonts w:eastAsia="Times New Roman" w:cs="Times New Roman" w:ascii="Times New Roman" w:hAnsi="Times New Roman"/>
          <w:color w:val="111111"/>
          <w:sz w:val="28"/>
          <w:szCs w:val="28"/>
          <w:lang w:val="en-US"/>
        </w:rPr>
        <w:t>Bustane Kitob, 1385), hlm. 779.</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Kecuali Al-Farabi, karena menurut Majid Fachry, Al-Farabi  mempercayai terjadinya reinkarnasi sebagaimana yang ia  tulis dalam Sir Falsafeh hlm. 144. Ia mengutip pernyataan  Al-Farabi dari Al-Madinah Al-Fadilah sebagai berikut: “Para  penduduk kota yang terlepas dari keutamaan, dari sana  kebahagiaan mereka dalam kehidupan duniawi terbatas  pada pemenuhan kecenderungan-kecenderungan dorongan  jasmaniah semata, tidak sekalipun mereka akan terlepas dari  kungkungan penjara material, bahkan bukan hanya itu, jiwa-  jiwa mereka, bersamaan dengan perubahan materi dari satu  bentuk pada bentuk lainnya, atau secara kontinu-jika memiliki  kemampuan-dalam raga manusia lainnya ber-reinkarnasi atau  secara bertahap turun pada tingkat binatang dan terus berada  dalam tingkat ini”. Teks aslinya sebagai berikut:</w:t>
      </w:r>
    </w:p>
    <w:p>
      <w:pPr>
        <w:pStyle w:val="BookText"/>
        <w:bidi w:val="0"/>
        <w:jc w:val="both"/>
        <w:rPr/>
      </w:pPr>
      <w:r>
        <w:rPr>
          <w:rFonts w:ascii="IRNazanin" w:hAnsi="IRNazanin" w:eastAsia="IRNazanin"/>
          <w:color w:val="111111"/>
          <w:sz w:val="28"/>
          <w:sz w:val="28"/>
          <w:szCs w:val="28"/>
          <w:rtl w:val="true"/>
          <w:lang w:bidi="fa-IR"/>
        </w:rPr>
        <w:t>شهر وندان مدینه های عاری از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سعادت آنان درحیات  دنیوی منحصر در ارضای امیال غر یزی جسمانی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کز از  زندان جسم رهایی نمی یا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آنان همواره ازیکصورت  مادی به صورتی دیگر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إلی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 مقدر با شد – در  جسد انسان تنا سخ می یا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تدریجا به مرتبه حیوانی انحطاط پیدا می  کنند و به تما می از میان می روند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Namun demikian, penulis tidak menemukan padanan</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160 </w:t>
      </w:r>
    </w:p>
    <w:p>
      <w:pPr>
        <w:pStyle w:val="BookText"/>
        <w:bidi w:val="0"/>
        <w:rPr/>
      </w:pPr>
      <w:r>
        <w:rPr>
          <w:rFonts w:eastAsia="Times New Roman" w:cs="Times New Roman" w:ascii="Times New Roman" w:hAnsi="Times New Roman"/>
          <w:color w:val="111111"/>
          <w:sz w:val="28"/>
          <w:szCs w:val="28"/>
          <w:lang w:val="en-US"/>
        </w:rPr>
        <w:t>kata-kata Al-Farabi, sebagaimana yang disebutkan Majid  Fachry di atas.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Mercia Eliade, Encyclopedia of Religion, Vol. 11–12, hlm.</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Kyosamsaki, Rozee, hlm. 232. Teks aslinya sebagai berikut:</w:t>
      </w:r>
    </w:p>
    <w:p>
      <w:pPr>
        <w:pStyle w:val="BookText"/>
        <w:bidi w:val="0"/>
        <w:jc w:val="both"/>
        <w:rPr/>
      </w:pPr>
      <w:r>
        <w:rPr>
          <w:rFonts w:ascii="IRNazanin" w:hAnsi="IRNazanin" w:eastAsia="IRNazanin"/>
          <w:color w:val="111111"/>
          <w:sz w:val="28"/>
          <w:sz w:val="28"/>
          <w:szCs w:val="28"/>
          <w:rtl w:val="true"/>
          <w:lang w:bidi="fa-IR"/>
        </w:rPr>
        <w:t xml:space="preserve">انتقال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نفس انسان یا حیوان ویا نفس نباتی – از بدن فعلی خویش  به بدنی دیکر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Mulla Hadi Sabziwari, Asrar Al-Hikam (Qom: Intisyarat Bidor,  1374), hlm. 291.</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Mulla Sadra, al-Asfar, J. 9, hlm. 4.</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Qutbuddin Syirazi, Hikmah al-Isyraq (Tp. Penerbit dan tth.),  hlm. 476–481.</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Qutbuddin Al-Razi, Syarh Hikmah Al-Isyraq, hlm. 479.</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Lihat: Mulla Sadra, Al-Asfar, J. 9, hlm. 1– 12.</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Dengan dasar prinsip Tasykik al-Wujud.</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Sebagai contoh, ketika kita mendefinisikan singa adalah  hewan yang buas, maka singa merupakan satu genus dengan  diferensial sebagai spefikasi dirinya adalah kebuasan, di mana  sekiranya singa menjadi hilang, maka hilang pulalah kebuasan,  begitupun sebaliknya.</w:t>
      </w:r>
    </w:p>
    <w:p>
      <w:pPr>
        <w:pStyle w:val="BookText"/>
        <w:bidi w:val="0"/>
        <w:jc w:val="both"/>
        <w:rPr/>
      </w:pPr>
      <w:r>
        <w:rPr>
          <w:rFonts w:eastAsia="Times New Roman" w:cs="Times New Roman" w:ascii="Times New Roman" w:hAnsi="Times New Roman"/>
          <w:color w:val="111111"/>
          <w:sz w:val="28"/>
          <w:szCs w:val="28"/>
          <w:lang w:val="en-US"/>
        </w:rPr>
        <w:t>Selain ikatan esensial (Zātī), ada lagi ikatan aksidensial (´Arādi).</w:t>
      </w:r>
    </w:p>
    <w:p>
      <w:pPr>
        <w:pStyle w:val="BookText"/>
        <w:bidi w:val="0"/>
        <w:jc w:val="both"/>
        <w:rPr/>
      </w:pPr>
      <w:r>
        <w:rPr>
          <w:rFonts w:eastAsia="Times New Roman" w:cs="Times New Roman" w:ascii="Times New Roman" w:hAnsi="Times New Roman"/>
          <w:color w:val="111111"/>
          <w:sz w:val="28"/>
          <w:szCs w:val="28"/>
          <w:lang w:val="en-US"/>
        </w:rPr>
        <w:t>Perbedaan keduanya, jika pada ikatan esensial kita tidak dapat  memisahkan antara keduanya, artinya menghilangkan yang  satu berarti juga menghilangkan yang lain. Sedangkan pada  ikatan aksidensial, tidak berarti menghilangkan yang satu  akan menghilangkan yang lain, seperti halnya warna yang  menempel pada satu materi. Jika warnanya kita hilangkan  dari materi tersebut, maka materi tetap sebagai mana adanya.</w:t>
      </w:r>
    </w:p>
    <w:p>
      <w:pPr>
        <w:pStyle w:val="BookText"/>
        <w:bidi w:val="0"/>
        <w:jc w:val="both"/>
        <w:rPr/>
      </w:pPr>
      <w:r>
        <w:rPr>
          <w:rFonts w:eastAsia="Times New Roman" w:cs="Times New Roman" w:ascii="Times New Roman" w:hAnsi="Times New Roman"/>
          <w:color w:val="111111"/>
          <w:sz w:val="28"/>
          <w:szCs w:val="28"/>
          <w:lang w:val="en-US"/>
        </w:rPr>
        <w:t>Prinsip ini didasarkan pada jiwa merupakan hasil dari kebaruan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161 </w:t>
      </w:r>
    </w:p>
    <w:p>
      <w:pPr>
        <w:pStyle w:val="BookText"/>
        <w:bidi w:val="0"/>
        <w:rPr/>
      </w:pPr>
      <w:r>
        <w:rPr>
          <w:rFonts w:eastAsia="Times New Roman" w:cs="Times New Roman" w:ascii="Times New Roman" w:hAnsi="Times New Roman"/>
          <w:color w:val="111111"/>
          <w:sz w:val="28"/>
          <w:szCs w:val="28"/>
          <w:lang w:val="en-US"/>
        </w:rPr>
        <w:t>fisik, yaitu pada awalnya, jiwa tidak lain raga, yang kemudian,  setelah terjadi gerakan transubstansial, berkembang menjadi  jiwa.</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Komposisi alami adalah komposisi yang terjadi secara alami,  mulai dari awal keberadaannya dalam sebuah komposisi yang  satu dan tanpa adanya intervensi yang menyebabkan terjadinya  komposisi tersebut. Perkembangan keduanya berasal dari  sesuatu yang satu dan membentuk satu identitas. Berbeda  halnya pada komposisi buatan (Sanaſi); pada komposisi ini  terjadi intervensi dari luar yang menyatukan unsur-unsur  menjadi satu komposisi.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Komposisi kesatuan adalah komposisi yang keduanya, pada  hakikatnya, adalah satu dan tidak dibentuk dari dua unsur  yang berbeda satu sama lain dan membentuk satu kesatuan  seperti halnya komposisi H20 yang terkomposisi dari dua  unsur independen membentuk kesatuan', tetapi seperti  komposisi yang terjadi antara forma dan materi. Ini merupakan  komposisi hakiki dan kesatuan yang didasarkan pada prinsip  kesatuan wujud. Namun' perbedaan utama dengan kesatuan  antara forma dan materi adalah kedua-duanya materi,  sedangkan raga dan jiwa adalah yang satu materi sedangkan  yang lain, setelah terjadi gerakan transubstansial mengalami  perkembangan menjadi nonmateri.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Dapat dianalogikan seperti halnya buah dengan pohonnya.</w:t>
      </w:r>
    </w:p>
    <w:p>
      <w:pPr>
        <w:pStyle w:val="BookText"/>
        <w:bidi w:val="0"/>
        <w:jc w:val="both"/>
        <w:rPr/>
      </w:pPr>
      <w:r>
        <w:rPr>
          <w:rFonts w:eastAsia="Times New Roman" w:cs="Times New Roman" w:ascii="Times New Roman" w:hAnsi="Times New Roman"/>
          <w:color w:val="111111"/>
          <w:sz w:val="28"/>
          <w:szCs w:val="28"/>
          <w:lang w:val="en-US"/>
        </w:rPr>
        <w:t>Ketika buah tersebut terlepas dari ikatannya dengan pohon  yang selama ini menjadi tempat tumbuh dan bergantung, ia  memulai aktivitasnya sendiri dan pohon pun demikian. Jiwa  pun demikian; ia membutuhkan raga untuk tumbuh dan  berkembang dan ketika jiwa dalam perkembangannya tidak</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162 </w:t>
      </w:r>
    </w:p>
    <w:p>
      <w:pPr>
        <w:pStyle w:val="BookText"/>
        <w:bidi w:val="0"/>
        <w:rPr/>
      </w:pPr>
      <w:r>
        <w:rPr>
          <w:rFonts w:eastAsia="Times New Roman" w:cs="Times New Roman" w:ascii="Times New Roman" w:hAnsi="Times New Roman"/>
          <w:color w:val="111111"/>
          <w:sz w:val="28"/>
          <w:szCs w:val="28"/>
          <w:lang w:val="en-US"/>
        </w:rPr>
        <w:t>lagi membutuhkan raga, maka ia akan melepaskan diri dari  raga dan memulai aktivitasnya.</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Lihat: Kyosamsaki, Rozee, hlm. 241 – 242.</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Lihat: Mulla Sadra, Al-Asfar, J. 9, hlm. 11. Argumentasi yang di  kemukakan Ibn Sina dalam penolakannya terhadap reinkarnasi  adalah:</w:t>
      </w:r>
    </w:p>
    <w:p>
      <w:pPr>
        <w:pStyle w:val="BookText"/>
        <w:bidi w:val="0"/>
        <w:jc w:val="both"/>
        <w:rPr/>
      </w:pPr>
      <w:r>
        <w:rPr>
          <w:rFonts w:eastAsia="Times New Roman" w:cs="Times New Roman" w:ascii="Times New Roman" w:hAnsi="Times New Roman"/>
          <w:color w:val="111111"/>
          <w:sz w:val="28"/>
          <w:szCs w:val="28"/>
          <w:lang w:val="en-US"/>
        </w:rPr>
        <w:t>Jika demikian (terjadinya reinkarnasi), maka tidaklah  mungkin terjadi jiwa yang telah terpisah dari raga kembali  dan masuk kedalam raga manusia yang lain. Karena raga  yang baru memunculkan jiwa yang baru bersamanya, maka  (jika terjadi reinkarnasi) akan terjadi pada raga yang baru  jiwa yang lain sehingga menyebabkan seorang manusia  memiliki dua jiwa sekaligus. Akan tetapi, seluruh manusia,  sesungguhnya, hanya memiliki satu jiwa, tidak dapat  terpikirkan, kecuali jiwa yang satu semata. Sekalipun ada  jiwa yang lain pada sebuah raga, maka tidaklah berfungsi  bersamanya dan tidak juga memunculkan manfaat bagi  raga, maka pastilah jiwa tersebut bukanlah jiwa dirinya  karena jiwa di dalam raga tidaklah menempati hanya satu  bagian tertentu atau menempel sebagai zat bagi bagian  tertentu dari raga, melainkan jiwa merupakan pengendali  dan difungsikan melalui raga. Maka jelas dan benderanglah  bahwa jiwa-jiwa manusia adalah sesuatu yang baru dan  tetap setelah (kehancuran) materi dan tidak tinggal di  dalam raga-raga tersebut dan tidak juga terjadi reinkarnasi.</w:t>
      </w:r>
    </w:p>
    <w:p>
      <w:pPr>
        <w:pStyle w:val="BookText"/>
        <w:bidi w:val="0"/>
        <w:jc w:val="both"/>
        <w:rPr/>
      </w:pPr>
      <w:r>
        <w:rPr>
          <w:rFonts w:eastAsia="Times New Roman" w:cs="Times New Roman" w:ascii="Times New Roman" w:hAnsi="Times New Roman"/>
          <w:color w:val="111111"/>
          <w:sz w:val="28"/>
          <w:szCs w:val="28"/>
          <w:lang w:val="en-US"/>
        </w:rPr>
        <w:t>Lihat: Ibn Sina, Al-Mabda, hal. 108-109. Teks aslinya  sebagai berikut:</w:t>
      </w:r>
    </w:p>
    <w:p>
      <w:pPr>
        <w:pStyle w:val="BookText"/>
        <w:bidi w:val="0"/>
        <w:jc w:val="both"/>
        <w:rPr/>
      </w:pPr>
      <w:r>
        <w:rPr>
          <w:rFonts w:ascii="IRNazanin" w:hAnsi="IRNazanin" w:eastAsia="IRNazanin"/>
          <w:color w:val="111111"/>
          <w:sz w:val="28"/>
          <w:sz w:val="28"/>
          <w:szCs w:val="28"/>
          <w:rtl w:val="true"/>
          <w:lang w:bidi="fa-IR"/>
        </w:rPr>
        <w:t>وإذا کان هکذا فلا یجوز أن تکون النفس التی تفارق تعود فتدخل بدنا آخر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البدن الحادث یحدث له معه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صارله نفس أخری صار  ذلک الانسان ذانفسین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انسان انما هو ذو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 إلا بنفس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له نفس اخری لا یشعر بها ولا یحدث له منها فا ئدة فلیست  تلک نفسا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 النفس فی البدن لیس أنها تودع زاویة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اویکون  عرضا فی جزء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أنها مدبرة للبدن مستعملة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فقدبان  ووضح أن الانفس الإنسانیة حادثة وباقیة بعد المادة بلا کرور فی الأبدان ولا  تناسخ</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163 </w:t>
      </w:r>
    </w:p>
    <w:p>
      <w:pPr>
        <w:pStyle w:val="BookText"/>
        <w:bidi w:val="0"/>
        <w:rPr/>
      </w:pPr>
      <w:r>
        <w:rPr>
          <w:rFonts w:eastAsia="Times New Roman" w:cs="Times New Roman" w:ascii="Times New Roman" w:hAnsi="Times New Roman"/>
          <w:color w:val="111111"/>
          <w:sz w:val="28"/>
          <w:szCs w:val="28"/>
          <w:lang w:val="en-US"/>
        </w:rPr>
        <w:t>Kita dapat melihat argumen yang sama digunakan Mulla  Sadra untuk menolak reinkarnasi. Hanya pada tangan Mulla  Sadra argumentasi Ibn Sina ini mendapatkan perluasan  makna.</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Lihat QS 2:259. Dalam ayat ini, Allah Swt. menjelaskan tentang  kembalinya Uzair a.s. dari kematian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Atau apakah (kamu tidak memperhatikan) orang yang  melalui suatu negeri yang (temboknya) telah roboh menutupi  atapnya. Dia berkata: “Bagaimana Allah menghidupkan  kembali negeri ini setelah hancur ?" Maka Allah mematikan  orang itu seratus tahun, kemudian menghidupkannya  kembali. Allah bertanya: “Berapa lama kamu tinggal disini?"  la menjawab: "Saya telah tinggal di sini sehari atau setengah  hari", Allah berfirman: "Sebenarnya kamu telah tinggal di  sini seratus tahun lamanya; lihatlah kepada makanan dan  minumanmu yang belum berubah; dan lihatlah kepada  keledai kamu (yang telah menjadi tulang belulang); Kami  akan menjadikan kamu tanda kekuasaan Kami bagi manusia;  dan lihatlah kepada tulang belulang keledai itu, kemudian  Kami menyusunnya kembali, kemudian kami membalutnya  dengan daging". Maka tatkala telah nyata kepadanya  (bagaimana Allah menghidupkan yang telah mati) diapun  berkata: “Saya yakin bahwa Allah Maha Kuasa atas segala  sesuatu."  49. Syaikh Mufid dalam Ja'far Subhani, Al-llahiyat (Qom: Muasasa  Nasr Al-Islami, 1416), hlm. 613. Teks aslinya sebagai berikut:</w:t>
      </w:r>
    </w:p>
    <w:p>
      <w:pPr>
        <w:pStyle w:val="BookText"/>
        <w:bidi w:val="0"/>
        <w:jc w:val="both"/>
        <w:rPr/>
      </w:pPr>
      <w:r>
        <w:rPr>
          <w:rFonts w:ascii="IRNazanin" w:hAnsi="IRNazanin" w:eastAsia="IRNazanin"/>
          <w:color w:val="111111"/>
          <w:sz w:val="28"/>
          <w:sz w:val="28"/>
          <w:szCs w:val="28"/>
          <w:rtl w:val="true"/>
          <w:lang w:bidi="fa-IR"/>
        </w:rPr>
        <w:t xml:space="preserve">ان الله تعالی یحیی قوما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والرجعة انما هی لممحضی الإ  وهذا مذهب یختص به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یمان من اهل الملة و ممحضی النفاق منهم دون من سلف من الأمم الخالیة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164 </w:t>
      </w:r>
    </w:p>
    <w:p>
      <w:pPr>
        <w:pStyle w:val="BookText"/>
        <w:bidi w:val="0"/>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Imam ke-12.</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Ja'far Subhani, Al-Ilahiyat, hal. 613-616.</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QS 27: 83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Ja'far Subhani, Al-llahiyat hal. 614.</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Lihat: Mulla Sadra, Al-Asfar, J. 9, hlm. 187 – 188.</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Lihat: Ibn Sina, Al-Syifa, Al-llahiyat, J. I, hlm. 65. Lihat juga:</w:t>
      </w:r>
    </w:p>
    <w:p>
      <w:pPr>
        <w:pStyle w:val="BookText"/>
        <w:bidi w:val="0"/>
        <w:jc w:val="both"/>
        <w:rPr/>
      </w:pPr>
      <w:r>
        <w:rPr>
          <w:rFonts w:eastAsia="Times New Roman" w:cs="Times New Roman" w:ascii="Times New Roman" w:hAnsi="Times New Roman"/>
          <w:color w:val="111111"/>
          <w:sz w:val="28"/>
          <w:szCs w:val="28"/>
          <w:lang w:val="en-US"/>
        </w:rPr>
        <w:t>Mulla Sadra, Al-Asfar, J.9, hlm. 187 – 188  56. Mulla Sadra, Al-Asfar, J.9, hal. 187 – 188.</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Sederhana yang dimaksud adalah tidak adanya komposisi  unsur-unsur yang menjadi penunjang terbentuknya dirinya,  karena puncak ruhani adalah hilangnya seluruh batasan.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Penjelasan tentang ini ada pada Al-Ahkam Al-Māhiyah pada  Al-Asfar, J. IV, hlm. 229.</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Kekeliruan-kekeliruan pandangan tersebut dikemukakan  Mulla Sadra ketika membicarakan teori Ittihad al-´Aqil wa Al-  Ma'qul. Lihat Mulla Sadra, Al-Asfar, J. III, hlm. 313.</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QS 41:31. Teks ayat tersebut sebagai berikut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وَلَکُمْ فِیهَا مَا تَشْتَهِی أَنْفُسُکُمْ وَلَکُمْ فِیهَا مَا تَدَّعُونَ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QS 43:71.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وَفِیهَا مَا تَشْتَهِیهِ الْأَنْفُسُ وَتَلَذُّ الْأَعْیُنُ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Juga, lihat: Mulla Sadra, Al-Asfar, J. 9, hlm. 192.</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Mulla Sadra, Al-Asfar, J. 8, hlm. 270.</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Yang dimaksud Mulla Sadra dengan Muallim al-Falsafah al-  Ilahiyyah disini adalah Plotinus. Mulla Sadra dalam kitabnya,  Al-Asfar, menyebutkan dua tokoh yang berbeda, pertama</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165 </w:t>
      </w:r>
    </w:p>
    <w:p>
      <w:pPr>
        <w:pStyle w:val="BookText"/>
        <w:bidi w:val="0"/>
        <w:rPr/>
      </w:pPr>
      <w:r>
        <w:rPr>
          <w:rFonts w:eastAsia="Times New Roman" w:cs="Times New Roman" w:ascii="Times New Roman" w:hAnsi="Times New Roman"/>
          <w:color w:val="111111"/>
          <w:sz w:val="28"/>
          <w:szCs w:val="28"/>
          <w:lang w:val="en-US"/>
        </w:rPr>
        <w:t>Muallim Al-Falsafah, maka yang dimaksud adalah Aristoteles  dan Muallim Al-Falsafah Al-llahiyyah, yaitu Plotinus. Sayangnya,  Sayyid Radi yang memberikan catatan kaki pada kitab Al-Asfar  tidak menyadari hal ini.</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Kitab Utsulujiyya merupakan karya yang membahas persoalan  jiwa dan proses emanasi yang terjadi (Teodesi). Awalnya,  karya ini diduga sebagai karya Aristoteles, mengingat judul  yang pertama kali dikemukakan adalah Utsulujiyya Aristoteles.</w:t>
      </w:r>
    </w:p>
    <w:p>
      <w:pPr>
        <w:pStyle w:val="BookText"/>
        <w:bidi w:val="0"/>
        <w:jc w:val="both"/>
        <w:rPr/>
      </w:pPr>
      <w:r>
        <w:rPr>
          <w:rFonts w:eastAsia="Times New Roman" w:cs="Times New Roman" w:ascii="Times New Roman" w:hAnsi="Times New Roman"/>
          <w:color w:val="111111"/>
          <w:sz w:val="28"/>
          <w:szCs w:val="28"/>
          <w:lang w:val="en-US"/>
        </w:rPr>
        <w:t>Ada juga yang menisbahkannya pada Al-Farabi dengan judul  Risalah fi Al-Ilmi Al-llahi li Al-Farabi. Abu Sulayman Al-Sajistani  dalam kitabnya, Suwan Al-Hikmah, menisbahkan karya ini  pada Syaikh Al-Yunani, yang dimaksud adalah Plato. Namun  Syaikh Isyraq, Mulla Sadra, dan para peneliti belakangan  menyebutkan karya ini sebagai karya Plotinus dan merupakan  ringkasan dari karyanya, Enneads, yang di ambil dari bab IV,  V dan VI.</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Mulla Sadra, Al-Asfar, J. 9, hlm. 195. Teks aslinya sebagai  berikut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النفس الإنسانیة کونا عقلیا قبل حدوت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7:172.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 أَخَذَ رَبُّکَ مِنْ بَنِی آدَمَ مِنْ ظُهُورِهِمْ ذُرِّیَّتَهُمْ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 sini, yang dimaksud dengan para Imam oleh Mulla Sadra,  tidak lain, adalah 12 Imam Syi'ah.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Lihat: Mulla Sadra, Al-Asfar, J. 9, hlm. 195. Sekilas, pernyataan  Mulla Sadra di sini seakan kontradiktif dengan pandangannya  tentang awal kepermulaan jiwa, tetapi patut disadari bahwa  Mulla Sadra di sini menjelaskan proses emanasi intelek-intelek,</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166 </w:t>
      </w:r>
    </w:p>
    <w:p>
      <w:pPr>
        <w:pStyle w:val="BookText"/>
        <w:bidi w:val="0"/>
        <w:rPr/>
      </w:pPr>
      <w:r>
        <w:rPr>
          <w:rFonts w:eastAsia="Times New Roman" w:cs="Times New Roman" w:ascii="Times New Roman" w:hAnsi="Times New Roman"/>
          <w:color w:val="111111"/>
          <w:sz w:val="28"/>
          <w:szCs w:val="28"/>
          <w:lang w:val="en-US"/>
        </w:rPr>
        <w:t>bahwa menurutnya, seperti halnya juga para Sufi, ruh para  Nabi dan Kekasih Allah sebenarnya merupakan manifestasi  dari intelek pertama yang diciptakan Allah Swt., yang dalam  bahasa tasawuf dikenal dengan istilah Nur Muhammad.</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Sebagai tempat akhir perjalanan kesempurnaan duniawi.</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Sebagian menyebutkan kekeliruan Mulla Sadra, tapi sebagian  lainnya menyebutkan kesalahan dalam pencetakan naskah.</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Mulla Sadra, Al-Asfar, J. 9, hlm.197.</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Lihat: Ibn Sina, Al-llahiyat (Tehran: Nashir Khosrouw, 1363),  hlm. 423 dan Al-Najah (Tehran: Nasir Khorouw, 1364), hlm.</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Lihat: Ibn Sina, Al-Najah, hlm. 297; Al-Syifa (Al-Ilahiyyat), hlm.</w:t>
      </w:r>
    </w:p>
    <w:p>
      <w:pPr>
        <w:pStyle w:val="BookText"/>
        <w:bidi w:val="0"/>
        <w:jc w:val="both"/>
        <w:rPr/>
      </w:pPr>
      <w:r>
        <w:rPr>
          <w:rFonts w:eastAsia="Times New Roman" w:cs="Times New Roman" w:ascii="Times New Roman" w:hAnsi="Times New Roman"/>
          <w:color w:val="111111"/>
          <w:sz w:val="28"/>
          <w:szCs w:val="28"/>
          <w:lang w:val="en-US"/>
        </w:rPr>
        <w:t>431; Al-Isyarat, J.3, hlm. 355 dan Al-Mabda' wa Al-Ma'ad, hlm.</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Ibn Sina, Al-Mabda' wa Al-Ma'ād (Tehran: Donesgoh Tehran,  1363), hlm. 109 (selanjutnya disebut Al-Mabda'). Teks aslinya  sebagai berikut:</w:t>
      </w:r>
    </w:p>
    <w:p>
      <w:pPr>
        <w:pStyle w:val="BookText"/>
        <w:bidi w:val="0"/>
        <w:jc w:val="both"/>
        <w:rPr/>
      </w:pPr>
      <w:r>
        <w:rPr>
          <w:rFonts w:ascii="IRNazanin" w:hAnsi="IRNazanin" w:eastAsia="IRNazanin"/>
          <w:color w:val="111111"/>
          <w:sz w:val="28"/>
          <w:sz w:val="28"/>
          <w:szCs w:val="28"/>
          <w:rtl w:val="true"/>
          <w:lang w:bidi="fa-IR"/>
        </w:rPr>
        <w:t>والذی بقی علینا أن نوضحه أحوال الآ نفس بعد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نقدم لذلک  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قوة فعلا هو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کما لهاسعادتها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الشهوة وسعادتها هواللذة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الغضب وسعادته هو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والوهم الرجاء  والتمنی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والخیال تخیل المستحسنان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کمال الا نفس الإنسانیة أن یکون  عقللا مجدا عن المادة  </w:t>
      </w:r>
      <w:r>
        <w:rPr>
          <w:rFonts w:eastAsia="IRNazanin" w:cs="IRNazanin"/>
          <w:color w:val="111111"/>
          <w:sz w:val="28"/>
          <w:szCs w:val="28"/>
          <w:lang w:bidi="fa-IR"/>
        </w:rPr>
        <w:t>75</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Al-Farabi berpandangan bahwa yang akan dibangkitkan  hanyalah jiwa yang sempurna, sedangkan jiwa yang tidak  sempurna akan tetap bersama materi, berikut pernyataan Al-  Farabi: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jika perbuatan-perbuatan penduduk negeri tidak  berkesesuaian dalam pencapaian kebahagiaan, maka  sesungguhnya, dia tengah menghasilkan bentuk-bentuk  yang buruk dari bentuk-bentuk jiwa.... Maka jiwa-jiwa</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167 </w:t>
      </w:r>
    </w:p>
    <w:p>
      <w:pPr>
        <w:pStyle w:val="BookText"/>
        <w:bidi w:val="0"/>
        <w:rPr/>
      </w:pPr>
      <w:r>
        <w:rPr>
          <w:rFonts w:eastAsia="Times New Roman" w:cs="Times New Roman" w:ascii="Times New Roman" w:hAnsi="Times New Roman"/>
          <w:color w:val="111111"/>
          <w:sz w:val="28"/>
          <w:szCs w:val="28"/>
          <w:lang w:val="en-US"/>
        </w:rPr>
        <w:t>mereka akan tetap sebagai jiwa pertama (Hayūla) yang  tidak mengalami proses penyempurnaan dan tidak pula  terlepas dari materi sehingga jika materi tersebut hancur,  maka hancur pulalah jiwanya."  Teks aslinya sebagai berikut:</w:t>
      </w:r>
    </w:p>
    <w:p>
      <w:pPr>
        <w:pStyle w:val="BookText"/>
        <w:bidi w:val="0"/>
        <w:jc w:val="both"/>
        <w:rPr/>
      </w:pPr>
      <w:r>
        <w:rPr>
          <w:rFonts w:ascii="IRNazanin" w:hAnsi="IRNazanin" w:eastAsia="IRNazanin"/>
          <w:color w:val="111111"/>
          <w:sz w:val="28"/>
          <w:sz w:val="28"/>
          <w:szCs w:val="28"/>
          <w:rtl w:val="true"/>
          <w:lang w:bidi="fa-IR"/>
        </w:rPr>
        <w:t xml:space="preserve">فإذا کانت أهل مدینة ما غیر مسددة نحو السعادة فإنها تکسبهم هیئات ردیئة  من هیئة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فهولاء تبقی أنفسهم هیولانیة عیلر مستکملة استکمالا تفارق  به الما دة حتی إذا بطلت المادة بطلت هی أیضا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Abu Nashr Al-farabi, al-Siyasat al-Madaniah (India;  Da'irah al-Ma'arif al-Utsmaniyah, 1345 H) hal. 53.</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Khwaja Nasiruddin Tusi, komentator Ibn Sina, dalam hal ini  menyatakan sebagai berikut:</w:t>
      </w:r>
    </w:p>
    <w:p>
      <w:pPr>
        <w:pStyle w:val="BookText"/>
        <w:bidi w:val="0"/>
        <w:jc w:val="both"/>
        <w:rPr/>
      </w:pPr>
      <w:r>
        <w:rPr>
          <w:rFonts w:eastAsia="Times New Roman" w:cs="Times New Roman" w:ascii="Times New Roman" w:hAnsi="Times New Roman"/>
          <w:color w:val="111111"/>
          <w:sz w:val="28"/>
          <w:szCs w:val="28"/>
          <w:lang w:val="en-US"/>
        </w:rPr>
        <w:t>"Ketahuilah bahwa sebagian pendahulu (Qudama')  berpandangan bahwa jiwa yang tidak mencapai  kesempurnaan akan hancur, karena jiwa dapat tetap  ada melalui forma yang melingkupinya. Maka hilangnya  forma menyebabkan kematian jiwa, padahal tidaklah  ada kematian pada wujud; akan tetapi argumentasi yang  membuktikan tetapnya jiwa rasional (al-Nātiqah) menjadi  bukti yang bertentangan dengan mazhab ini."  Teks aslinya sebagai berikut:</w:t>
      </w:r>
    </w:p>
    <w:p>
      <w:pPr>
        <w:pStyle w:val="BookText"/>
        <w:bidi w:val="0"/>
        <w:jc w:val="both"/>
        <w:rPr/>
      </w:pPr>
      <w:r>
        <w:rPr>
          <w:rFonts w:ascii="IRNazanin" w:hAnsi="IRNazanin" w:eastAsia="IRNazanin"/>
          <w:color w:val="111111"/>
          <w:sz w:val="28"/>
          <w:sz w:val="28"/>
          <w:szCs w:val="28"/>
          <w:rtl w:val="true"/>
          <w:lang w:bidi="fa-IR"/>
        </w:rPr>
        <w:t>واعلم أن من القدماء من زعم أنها تفنی لأن النفس إتماتبقی بالصور المرتسمة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لخالیة عنها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معطل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الدلائل الدالة علی  هذا المذهب  بقاء النفوس الناطقة تقتضی نقض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Khwaja Nashir Al-Din Al-Tusi, Syarh Al-Isyarat wa Al-  Tanbiha, (Qom: Nashr Al-Balaghah, 1375) J. III, hlm. 355.</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Ibn Sina, Al-Najah, hlm. 203. Teks aslinya sebagai berikut:</w:t>
      </w:r>
    </w:p>
    <w:p>
      <w:pPr>
        <w:pStyle w:val="BookText"/>
        <w:bidi w:val="0"/>
        <w:jc w:val="both"/>
        <w:rPr/>
      </w:pPr>
      <w:r>
        <w:rPr>
          <w:rFonts w:ascii="IRNazanin" w:hAnsi="IRNazanin" w:eastAsia="IRNazanin"/>
          <w:color w:val="111111"/>
          <w:sz w:val="28"/>
          <w:sz w:val="28"/>
          <w:szCs w:val="28"/>
          <w:rtl w:val="true"/>
          <w:lang w:bidi="fa-IR"/>
        </w:rPr>
        <w:t>فاذا الصورة الجسمیة بماهی الصورة الجسمیة لامختلف فلایجوز أن یکون  بعضهاقاعمافی المادة وبعضها غیرقا عما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فانة من المحال أن تکون  طبیعة لا اختلاف فیها من جهة ماهی تلک الطبیعة ویعرض لها إختلاف فی نفس  وجودها لان کونهاذلک الواحد متفق و ایضا فان وجودها ذلک الواحدلا یخلو إما  أن یکون قاعمافی مادة أو غیر قائم فی مادة أو بعضه قائما فیها و بعضه غیر  قائم ومحال أن یکون بعضه قا ئما فیها وبعضه لیس لأن الاعتبارإئما تناول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168 </w:t>
      </w:r>
    </w:p>
    <w:p>
      <w:pPr>
        <w:pStyle w:val="BookText"/>
        <w:bidi w:val="0"/>
        <w:rPr/>
      </w:pPr>
      <w:r>
        <w:rPr>
          <w:rFonts w:ascii="IRNazanin" w:hAnsi="IRNazanin" w:eastAsia="IRNazanin"/>
          <w:color w:val="111111"/>
          <w:sz w:val="28"/>
          <w:sz w:val="28"/>
          <w:szCs w:val="28"/>
          <w:rtl w:val="true"/>
          <w:lang w:bidi="fa-IR"/>
        </w:rPr>
        <w:t xml:space="preserve">ذلک الوجود من حیث هوواحد غیر مختلف فبقی أن یکون ذلک الواحد إما کله  کله غیر قائم فیها فبقی أن یکون کله  غیر قائم فیها أو کله قائم فیها ولکم لیس  فائما فیها  </w:t>
      </w:r>
      <w:r>
        <w:rPr>
          <w:rFonts w:eastAsia="IRNazanin" w:cs="IRNazanin"/>
          <w:color w:val="111111"/>
          <w:sz w:val="28"/>
          <w:szCs w:val="28"/>
          <w:lang w:bidi="fa-IR"/>
        </w:rPr>
        <w:t>78</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Menurut Syarif Al-Radi, yang dimaksud Mulla Sadra dengan  Mizāj di sini adalah jiwa dalam tingkat pertama yang berkaitan  dengan uap (Bukhar) dan asap dari Ruh Al-Bukhari. Lihat  catatan kaki pada Mulla Sadra, Al-Asfar, J.9, hlm. 149.</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Lihat: Ibn Sina, Al-Mabda' hal.</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Mulla Sadra, Al-Asfar, J. 9, hlm. 150. Teks aslinya sebagai  berikut:</w:t>
      </w:r>
    </w:p>
    <w:p>
      <w:pPr>
        <w:pStyle w:val="BookText"/>
        <w:bidi w:val="0"/>
        <w:jc w:val="both"/>
        <w:rPr/>
      </w:pPr>
      <w:r>
        <w:rPr>
          <w:rFonts w:ascii="IRNazanin" w:hAnsi="IRNazanin" w:eastAsia="IRNazanin"/>
          <w:color w:val="111111"/>
          <w:sz w:val="28"/>
          <w:sz w:val="28"/>
          <w:szCs w:val="28"/>
          <w:rtl w:val="true"/>
          <w:lang w:bidi="fa-IR"/>
        </w:rPr>
        <w:t>تستعمله من غیر أن تصیر نفسا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لامعنی للنفس إلأ الجوهر الإدراکی  المستعمل لجرم حیوانی ذی حیاة بالقوة موضوع الإدراکاته  </w:t>
      </w:r>
      <w:r>
        <w:rPr>
          <w:rFonts w:eastAsia="IRNazanin" w:cs="IRNazanin"/>
          <w:color w:val="111111"/>
          <w:sz w:val="28"/>
          <w:szCs w:val="28"/>
          <w:lang w:bidi="fa-IR"/>
        </w:rPr>
        <w:t>81</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Postulat Ittihad al-'Aqil wa al-Ma'qūl dikemukakan oleh  Mulla Sadra dalam bidang epistemologi. Pandangan ini  telah dijelaskan pada Bab IV. Mulla Sadra mengemukakan  pandangan ini di sini sebagai kritik terhadap inkonsistensi yang  dikemukakan Ibn Sina yang menyatakan bahwa kenikmatan  hakiki terletak pada pencerapan subjek intelek terhadap objek-  objek intelek. Peristiwa ini terjadi dalam korpus jiwa yang  tentu tidak lepas dari identitas personal dan menunjukkan  terjadinya Ittihad al-'Aqil wa al-Ma'qul dan Ibn Sina, ketika  berbicara epistemology, menolak postulat Ittihad al-'Aqil wa  al-Ma'qūl tersebut.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Mulla Sadra, Al-Asfar, J. 9, hlm. 150. Teks aslinya sebagai  berikut:</w:t>
      </w:r>
    </w:p>
    <w:p>
      <w:pPr>
        <w:pStyle w:val="BookText"/>
        <w:bidi w:val="0"/>
        <w:jc w:val="both"/>
        <w:rPr/>
      </w:pPr>
      <w:r>
        <w:rPr>
          <w:rFonts w:ascii="IRNazanin" w:hAnsi="IRNazanin" w:eastAsia="IRNazanin"/>
          <w:color w:val="111111"/>
          <w:sz w:val="28"/>
          <w:sz w:val="28"/>
          <w:szCs w:val="28"/>
          <w:rtl w:val="true"/>
          <w:lang w:bidi="fa-IR"/>
        </w:rPr>
        <w:t>والعجب من الشیخ أبی علی أیضا إنه ذکر فی هذا الکلام المنقول إن السعداء  اتصالا عقلیا کا تصال  الحقیقیین یتلذذون باتصال ذواتهم بعضهم ببعض  معقول بمعقول مع أنه لم یحصل معنی الاتصال العقلی والاتحاد الذاتی بین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169 </w:t>
      </w:r>
    </w:p>
    <w:p>
      <w:pPr>
        <w:pStyle w:val="BookText"/>
        <w:bidi w:val="0"/>
        <w:rPr/>
      </w:pPr>
      <w:r>
        <w:rPr>
          <w:rFonts w:ascii="IRNazanin" w:hAnsi="IRNazanin" w:eastAsia="IRNazanin"/>
          <w:color w:val="111111"/>
          <w:sz w:val="28"/>
          <w:sz w:val="28"/>
          <w:szCs w:val="28"/>
          <w:rtl w:val="true"/>
          <w:lang w:bidi="fa-IR"/>
        </w:rPr>
        <w:t>العاقل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یقدر علی اثباته بل أنکره فی أکثر کتبه غایة الانکار  </w:t>
      </w:r>
      <w:r>
        <w:rPr>
          <w:rFonts w:eastAsia="IRNazanin" w:cs="IRNazanin"/>
          <w:color w:val="111111"/>
          <w:sz w:val="28"/>
          <w:szCs w:val="28"/>
          <w:lang w:bidi="fa-IR"/>
        </w:rPr>
        <w:t>83</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Ibn Sina, Al-Isyarat, J. 3, hlm. 292, 293. Secara khusus, dia  menyebutkan penolakannya pada prinsip ini sebagai berikut:</w:t>
      </w:r>
    </w:p>
    <w:p>
      <w:pPr>
        <w:pStyle w:val="BookText"/>
        <w:bidi w:val="0"/>
        <w:jc w:val="both"/>
        <w:rPr/>
      </w:pPr>
      <w:r>
        <w:rPr>
          <w:rFonts w:eastAsia="Times New Roman" w:cs="Times New Roman" w:ascii="Times New Roman" w:hAnsi="Times New Roman"/>
          <w:color w:val="111111"/>
          <w:sz w:val="28"/>
          <w:szCs w:val="28"/>
          <w:lang w:val="en-US"/>
        </w:rPr>
        <w:t>"Sesungguhnya kelompok yang mengeluarkan  pernyataan bahwa substansi subjek ketika melakukan  persepsi terhadap forma pengetahuan maka forma tersebut  menjadi dirinya. Jika diandaikan bahwa substansi subjek  mempersepsi objek dan berdasarkan pernyataan mereka,  maka apakah dirinya tidak berubah seperti sebelum  mempersepsi (objek tersebut)? Ataukah seluruh objek  tersebut menjadi dirinya. Jika tidak terjadi perbedaan apa  pun, maka sama saja keadaannya sebelum dan sesudah  terjadinya persepsi. Jika tidak demikian mana yang akan  hilang di antara dua hal ini; identitasnya atau esensi dirinya?  Jika identitasnya yang lenyap dan esensi dirinya tetap maka  ini seperti halnya kemustahilan yang lain bahwa diri (subjek)  bukanlah sebagaimana yang diketahui; dan jika yang lenyap  adalah esensinya dan menjadi sesuatu yang lain maka yang  terjadi adalah hilangnya esensinya (terdahulu) dan menjadi  sesuatu yang lain padahal kenyataannya tidaklah subjek  menjadi sesuatu yang lain tersebut."  Teks aslinya sebagai berikut:</w:t>
      </w:r>
    </w:p>
    <w:p>
      <w:pPr>
        <w:pStyle w:val="BookText"/>
        <w:bidi w:val="0"/>
        <w:jc w:val="both"/>
        <w:rPr/>
      </w:pPr>
      <w:r>
        <w:rPr>
          <w:rFonts w:ascii="IRNazanin" w:hAnsi="IRNazanin" w:eastAsia="IRNazanin"/>
          <w:color w:val="111111"/>
          <w:sz w:val="28"/>
          <w:sz w:val="28"/>
          <w:szCs w:val="28"/>
          <w:rtl w:val="true"/>
          <w:lang w:bidi="fa-IR"/>
        </w:rPr>
        <w:t>إن قوما من المتصدرین یقع عندهم أن الجوهم العاقل إذا عقل صورة عقلیة  و کان هو علی قولهم بیعنه  صار هو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فلنفرض الجوهر العا قل عقل  المعقول من فهل هو حینئذ کما کان عند ما لم یعقل ؟ أو بطل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کما کان فسواء عقل أو لم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بطل منه ذلک أبطل علی أنه  حال له أو علی أنه ذاته ؟ فإن کان علی أنه حال له والذات با قیة فهو کسائر  الاستحالات لیس هو علی مایقولون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علی أنه ذاته وحدث شیء آخر  لیس أنه صار شیئا آخر  </w:t>
      </w:r>
      <w:r>
        <w:rPr>
          <w:rFonts w:eastAsia="IRNazanin" w:cs="IRNazanin"/>
          <w:color w:val="111111"/>
          <w:sz w:val="28"/>
          <w:szCs w:val="28"/>
          <w:lang w:bidi="fa-IR"/>
        </w:rPr>
        <w:t>84</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Abi Hamid Al-Ghazāli, Tahāfut Al-Falāsifah (Beirut: Dar Al-  Maktabah Al-Hilal), hlm. 289, 290 (selanjutnya disebut:</w:t>
      </w:r>
    </w:p>
    <w:p>
      <w:pPr>
        <w:pStyle w:val="BookText"/>
        <w:bidi w:val="0"/>
        <w:jc w:val="both"/>
        <w:rPr/>
      </w:pPr>
      <w:r>
        <w:rPr>
          <w:rFonts w:eastAsia="Times New Roman" w:cs="Times New Roman" w:ascii="Times New Roman" w:hAnsi="Times New Roman"/>
          <w:color w:val="111111"/>
          <w:sz w:val="28"/>
          <w:szCs w:val="28"/>
          <w:lang w:val="en-US"/>
        </w:rPr>
        <w:t>Tahafut).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Dalam Tahafut Al-Falasifah, Al-Ghazali juga memberikan  kemungkinan kembalinya raga duniawi. Menurutnya, jika  Allah berkehendak, maka apa pun dapat terjadi, termasuk</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170 </w:t>
      </w:r>
    </w:p>
    <w:p>
      <w:pPr>
        <w:pStyle w:val="BookText"/>
        <w:bidi w:val="0"/>
        <w:rPr/>
      </w:pPr>
      <w:r>
        <w:rPr>
          <w:rFonts w:eastAsia="Times New Roman" w:cs="Times New Roman" w:ascii="Times New Roman" w:hAnsi="Times New Roman"/>
          <w:color w:val="111111"/>
          <w:sz w:val="28"/>
          <w:szCs w:val="28"/>
          <w:lang w:val="en-US"/>
        </w:rPr>
        <w:t>sekedar menampilkan kembali raga yang telah hancur. Lihat:</w:t>
      </w:r>
    </w:p>
    <w:p>
      <w:pPr>
        <w:pStyle w:val="BookText"/>
        <w:bidi w:val="0"/>
        <w:jc w:val="both"/>
        <w:rPr/>
      </w:pPr>
      <w:r>
        <w:rPr>
          <w:rFonts w:eastAsia="Times New Roman" w:cs="Times New Roman" w:ascii="Times New Roman" w:hAnsi="Times New Roman"/>
          <w:color w:val="111111"/>
          <w:sz w:val="28"/>
          <w:szCs w:val="28"/>
          <w:lang w:val="en-US"/>
        </w:rPr>
        <w:t>Abi Hamid Al-Ghazāli, Tahāfut Al-Falāsifah (Beirut: Dar Al-  Maktabah Al-Hilal), hlm. 289–290.</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Mulla Sadra, Al-Asfar, J. 9, hlm. 207.</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Kyosyamsaki, Rozee, hlm. 250.</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Untuk lebih jelas dapat kita lihat pada Mulla Sadra, Syarh  Hidayah Al-Atsiriyah, hlm. 381.</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Mulla Sadra, Al-Asfar, J. 9, hlm. 156.</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Mulla Sadra, Al-Asfar, J. 9, hal. 156, 157. Teks aslinya sebagai  berikut:</w:t>
      </w:r>
    </w:p>
    <w:p>
      <w:pPr>
        <w:pStyle w:val="BookText"/>
        <w:bidi w:val="0"/>
        <w:jc w:val="both"/>
        <w:rPr/>
      </w:pPr>
      <w:r>
        <w:rPr>
          <w:rFonts w:ascii="IRNazanin" w:hAnsi="IRNazanin" w:eastAsia="IRNazanin"/>
          <w:color w:val="111111"/>
          <w:sz w:val="28"/>
          <w:sz w:val="28"/>
          <w:szCs w:val="28"/>
          <w:rtl w:val="true"/>
          <w:lang w:bidi="fa-IR"/>
        </w:rPr>
        <w:t>وبالجملة کلامه أشبه بکلام المنکرین للآخرة منه بکلام المقرین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الطباعیة والدهریة هکذا کانوا یقولون یعنی إن المواد العنصریة تجتمع بو  اسطة هبوب الریاح ونزول الأمطار علی الأرض و وقوع الأشعة الشمسیة  والقمریة وغیرهما علیها فیحصل من تلک المواد إنسان و حیوان ونبات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نموت وتنفسخ صورها ثم تجتمع تلک الأجزاء مرة أخری علی هذه الهیأة أو  علی هیأة آخری قریبة منها فیحصل منها أمثال هذه موالید تارة أخری امامع  بقاء النفوس و الأرواح کما یقوله التنسخیة أو مع حدوث طائفة منها و بطلان  طائفة سابقة و لیت شعری من الذی أنکر أن یحدث من ماءو تراب ومادة بعینها  تارة بعد أخری صورة شبیهة با لصورة الأولی حتی یکون المطلوب أثبت  قدرة الله فی ذلک  </w:t>
      </w:r>
      <w:r>
        <w:rPr>
          <w:rFonts w:eastAsia="IRNazanin" w:cs="IRNazanin"/>
          <w:color w:val="111111"/>
          <w:sz w:val="28"/>
          <w:szCs w:val="28"/>
          <w:lang w:bidi="fa-IR"/>
        </w:rPr>
        <w:t>91</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Syarh Hidayah Al-Atsiriyah, hlm. 381. Teks aslinya  sebagai berikut:</w:t>
      </w:r>
    </w:p>
    <w:p>
      <w:pPr>
        <w:pStyle w:val="BookText"/>
        <w:bidi w:val="0"/>
        <w:jc w:val="both"/>
        <w:rPr/>
      </w:pPr>
      <w:r>
        <w:rPr>
          <w:rFonts w:ascii="IRNazanin" w:hAnsi="IRNazanin" w:eastAsia="IRNazanin"/>
          <w:color w:val="111111"/>
          <w:sz w:val="28"/>
          <w:sz w:val="28"/>
          <w:szCs w:val="28"/>
          <w:rtl w:val="true"/>
          <w:lang w:bidi="fa-IR"/>
        </w:rPr>
        <w:t>ثقا إعلم أن إعادة النفس إلی بدن مثل بدنها الذی کان لها فی الدنیا مخلوق  من سنخ هذا البدن بعد مفارقتها عنه فی القیامة کما نطقت به الشریعة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غیر قابلة 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استبعاد ایضا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یلزم أن یکون حدوث لیاقته  واستعداده لتعلقها مما یحصل له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ذالک نحو  خاص من الحدوث والحدوث لا ینحصر للإنسان فی 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یکون نحو التعلق واحدا فی البد ووالإعادة بل یجوز أن یکون التعلق الأ  خروی إلی البدن علی وجه لا یکون ما نعا من حصول الأفعال الغریبة و الآ</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171 </w:t>
      </w:r>
    </w:p>
    <w:p>
      <w:pPr>
        <w:pStyle w:val="BookText"/>
        <w:bidi w:val="0"/>
        <w:rPr/>
      </w:pPr>
      <w:r>
        <w:rPr>
          <w:rFonts w:ascii="IRNazanin" w:hAnsi="IRNazanin" w:eastAsia="IRNazanin"/>
          <w:color w:val="111111"/>
          <w:sz w:val="28"/>
          <w:sz w:val="28"/>
          <w:szCs w:val="28"/>
          <w:rtl w:val="true"/>
          <w:lang w:bidi="fa-IR"/>
        </w:rPr>
        <w:t>ثار العجیبة و مشاهدة أمور غیبیة لم یکن من شأن النفس مشاهدتها إیاها فی  النشأة الدنیاویة و کذا أقتدارها علی إیجاد صور عجیبة غیریبة حسنة مناسبة  الأوصافها و أخلاقها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یضرنا ایضا کون البدن المعاد غیر البدن الأول  بحسب الشخص لاستحالة کون المعد وم بعینه معاد  </w:t>
      </w:r>
      <w:r>
        <w:rPr>
          <w:rFonts w:eastAsia="IRNazanin" w:cs="IRNazanin"/>
          <w:color w:val="111111"/>
          <w:sz w:val="28"/>
          <w:szCs w:val="28"/>
          <w:lang w:bidi="fa-IR"/>
        </w:rPr>
        <w:t>92</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Al-Mabda' wa Al-Ma'ad, hlm. 395— 396. Teks  aslinya sebagai berikut:</w:t>
      </w:r>
    </w:p>
    <w:p>
      <w:pPr>
        <w:pStyle w:val="BookText"/>
        <w:bidi w:val="0"/>
        <w:jc w:val="both"/>
        <w:rPr/>
      </w:pPr>
      <w:r>
        <w:rPr>
          <w:rFonts w:ascii="IRNazanin" w:hAnsi="IRNazanin" w:eastAsia="IRNazanin"/>
          <w:color w:val="111111"/>
          <w:sz w:val="28"/>
          <w:sz w:val="28"/>
          <w:szCs w:val="28"/>
          <w:rtl w:val="true"/>
          <w:lang w:bidi="fa-IR"/>
        </w:rPr>
        <w:t>إنما الاعتقاد فی حشر الأبدان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یبعث أبدا من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کل واحد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فلان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راه أحد  غیر شک 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اعتقاده بأن هذا فلان بعینه اعتقادا صحیحا مطابقا  أن یکون الأبدان مثلا وأشباها بلاأشخاص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الأبدان الا  ما هو الواقع  نسانیة یجب أن یکون مما یصدق علیها ذوات الأ ناسی و 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أمثا  لها و أظلالها  </w:t>
      </w:r>
      <w:r>
        <w:rPr>
          <w:rFonts w:eastAsia="IRNazanin" w:cs="IRNazanin"/>
          <w:color w:val="111111"/>
          <w:sz w:val="28"/>
          <w:szCs w:val="28"/>
          <w:lang w:bidi="fa-IR"/>
        </w:rPr>
        <w:t>93</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Suhrawardi, “Al-Talwihat" dalam Majmu'ah, J. 1, hlm. 90.</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Suhrawardi, Hikmah Al-Isyraq , dalam Majmu'ah, J.2, hlm.</w:t>
      </w:r>
    </w:p>
    <w:p>
      <w:pPr>
        <w:pStyle w:val="BookText"/>
        <w:bidi w:val="0"/>
        <w:jc w:val="both"/>
        <w:rPr/>
      </w:pPr>
      <w:r>
        <w:rPr>
          <w:rFonts w:eastAsia="Times New Roman" w:cs="Times New Roman" w:ascii="Times New Roman" w:hAnsi="Times New Roman"/>
          <w:color w:val="111111"/>
          <w:sz w:val="28"/>
          <w:szCs w:val="28"/>
          <w:lang w:val="en-US"/>
        </w:rPr>
        <w:t>229-230. Teks aslinya sebagai berikut: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Perlu diingat bahwa Syaikh Isyraq mendasari pandangan  filsafatnya dengan Keutamaan Kuditas (Asalat al-Mahiyyah).</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Suhrawardi, Hikmah Al-Isyraq ,dalam Majmu'ah, J.2, hlm.</w:t>
      </w:r>
    </w:p>
    <w:p>
      <w:pPr>
        <w:pStyle w:val="BookText"/>
        <w:bidi w:val="0"/>
        <w:jc w:val="both"/>
        <w:rPr/>
      </w:pPr>
      <w:r>
        <w:rPr>
          <w:rFonts w:eastAsia="Times New Roman" w:cs="Times New Roman" w:ascii="Times New Roman" w:hAnsi="Times New Roman"/>
          <w:color w:val="111111"/>
          <w:sz w:val="28"/>
          <w:szCs w:val="28"/>
          <w:lang w:val="en-US"/>
        </w:rPr>
        <w:t>229 230.</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Mulla Sadra, Al-Asfar, J. 9, him. 40- 47.</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Mulla Sadra, Al-Asfar, J. 9, hlm.199.</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QS 3: 133.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وَجَنَّةٍ عَرْضُهَا السَّمَاوَاتُ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Mulla Sadra, Al-Asfar, J.9, hlm. 203. Teks aslinya sebagai  berikut: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172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العا لم بتها مه لا مکن لها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Muhammad bin Zakaria, nama lengkapnya adalah Abu Bakar  Muhammad Ibn Zakariyya Al-Razi, merupakan seorang  filsuf yang menguasai dan menulis dalam banyak bidang  pengetahuan, a.l., Filsafat, Teologi, Fisika, Kedokteran dan  Kimia. Di antara karya-karyanya Al-Tibb Al-Ruhani, Al-Sirr  Al-Falsafiya, dsb. Al-Razi dikenal juga sebagai Syaikh Al-  Musyakkikin karena kritik-kritiknya yang cukup luar biasa  terhadap pandangan-pandangan filsafat. Al-Razi Meninggal  dunia di Kota Rayy, Iran, pada 925 H.</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QS 18:28.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فَمَنْ شَاءَ فَلْیُؤْمِنْ وَمَنْ شَاءَ فَلْیَکْفُرْ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QS 56:47-48.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lang w:bidi="ar-SA"/>
        </w:rPr>
        <w:t>104</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QS 56:49-50. Teks ayat tersebut sebagai berikut:</w:t>
      </w:r>
    </w:p>
    <w:p>
      <w:pPr>
        <w:pStyle w:val="BookText"/>
        <w:bidi w:val="0"/>
        <w:jc w:val="both"/>
        <w:rPr/>
      </w:pPr>
      <w:r>
        <w:rPr>
          <w:rFonts w:ascii="IRNazanin" w:hAnsi="IRNazanin" w:eastAsia="IRNazanin"/>
          <w:color w:val="111111"/>
          <w:sz w:val="28"/>
          <w:sz w:val="28"/>
          <w:szCs w:val="28"/>
          <w:rtl w:val="true"/>
          <w:lang w:bidi="fa-IR"/>
        </w:rPr>
        <w:t xml:space="preserve">قال إن الأولین والآخرین لمجموعون إلی میقت یوم معلوم  </w:t>
      </w:r>
      <w:r>
        <w:rPr>
          <w:rFonts w:eastAsia="IRNazanin" w:cs="IRNazanin"/>
          <w:color w:val="111111"/>
          <w:sz w:val="28"/>
          <w:szCs w:val="28"/>
          <w:lang w:bidi="fa-IR"/>
        </w:rPr>
        <w:t>105</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al-Asfar, J. 9 hlm. 218. Teks aslinya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لن یلج ملکوت السموات من لم یولد مر تیذ</w:t>
      </w:r>
      <w:r>
        <w:rPr>
          <w:rFonts w:eastAsia="IRNazanin" w:cs="IRNazanin"/>
          <w:color w:val="111111"/>
          <w:sz w:val="28"/>
          <w:szCs w:val="28"/>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173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174 </w:t>
      </w:r>
      <w:bookmarkStart w:id="110" w:name="pg6434_60715"/>
    </w:p>
    <w:p>
      <w:pPr>
        <w:pStyle w:val="Heading2"/>
        <w:numPr>
          <w:ilvl w:val="1"/>
          <w:numId w:val="1"/>
        </w:numPr>
        <w:bidi w:val="0"/>
        <w:jc w:val="left"/>
        <w:rPr/>
      </w:pPr>
      <w:bookmarkStart w:id="111" w:name="__RefHeading___Toc808214_653776707"/>
      <w:bookmarkStart w:id="112" w:name="_Toc36"/>
      <w:bookmarkEnd w:id="110"/>
      <w:bookmarkEnd w:id="111"/>
      <w:r>
        <w:rPr/>
        <w:t>BAGIAN KEEMPAT MAKNA PERISTIWA-PERISTIWA ESKATOLOGI</w:t>
      </w:r>
      <w:bookmarkEnd w:id="112"/>
    </w:p>
    <w:p>
      <w:pPr>
        <w:pStyle w:val="Heading3"/>
        <w:numPr>
          <w:ilvl w:val="2"/>
          <w:numId w:val="1"/>
        </w:numPr>
        <w:bidi w:val="0"/>
        <w:jc w:val="left"/>
        <w:rPr/>
      </w:pPr>
      <w:bookmarkStart w:id="113" w:name="__RefHeading___Toc808216_653776707"/>
      <w:bookmarkStart w:id="114" w:name="_Toc37"/>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setelah mendasari pandangannya dengan prinsip-prinsip  filsafat, Mulla Sadra menjelaskan pandangan-pandangannya  yang berkaitan dengan peristiwa eskatologi, yaitu beragam  peristiwa pascaterpisahnya jiwa dari raga. Peristiwa-peristiwa  penting yang dikemukakan Mulla Sadra, antara lain, Hakikat  Kematian dan Alam kubur, Azab Kubur, Keberlangsungan Daya  Fisik Pascakematian, Hakikat Kiamat, Makna Kebangkitan dan  Pengumpulan, Materi Akhirat, Kebangkitan Jasmani dan Fisikalisasi  Perbuatan, Sirāt, Lembaran dan Kitab, Perhitungan dan Timbangan,  Tingkatan dan Keadaan Manusia pada Hari Kiamat, Hakikat Surga  dan Neraka, Kebahagiaan dan Penderitaan, serta Makna Keabadian  dan pembaharuan Penghuni Surga dan Neraka.</w:t>
      </w:r>
    </w:p>
    <w:p>
      <w:pPr>
        <w:pStyle w:val="BookText"/>
        <w:bidi w:val="0"/>
        <w:jc w:val="both"/>
        <w:rPr/>
      </w:pPr>
      <w:r>
        <w:rPr>
          <w:rFonts w:eastAsia="Times New Roman" w:cs="Times New Roman" w:ascii="Times New Roman" w:hAnsi="Times New Roman"/>
          <w:color w:val="111111"/>
          <w:sz w:val="28"/>
          <w:szCs w:val="28"/>
          <w:lang w:val="en-US"/>
        </w:rPr>
        <w:t>Uraian tentang peristiwa-peristiwa tersebut sebagai  berikut:</w:t>
      </w:r>
    </w:p>
    <w:p>
      <w:pPr>
        <w:pStyle w:val="Heading3"/>
        <w:numPr>
          <w:ilvl w:val="2"/>
          <w:numId w:val="1"/>
        </w:numPr>
        <w:bidi w:val="0"/>
        <w:jc w:val="left"/>
        <w:rPr/>
      </w:pPr>
      <w:bookmarkStart w:id="115" w:name="__RefHeading___Toc808218_653776707"/>
      <w:bookmarkStart w:id="116" w:name="_Toc38"/>
      <w:bookmarkEnd w:id="115"/>
      <w:r>
        <w:rPr/>
        <w:t>1. Hakikat Kematian dan Alam Kubur</w:t>
      </w:r>
      <w:bookmarkEnd w:id="116"/>
    </w:p>
    <w:p>
      <w:pPr>
        <w:pStyle w:val="BookText"/>
        <w:bidi w:val="0"/>
        <w:jc w:val="both"/>
        <w:rPr/>
      </w:pPr>
      <w:r>
        <w:rPr>
          <w:rFonts w:eastAsia="Times New Roman" w:cs="Times New Roman" w:ascii="Times New Roman" w:hAnsi="Times New Roman"/>
          <w:color w:val="111111"/>
          <w:sz w:val="28"/>
          <w:szCs w:val="28"/>
          <w:lang w:val="en-US"/>
        </w:rPr>
        <w:t>Kematian adalah peristiwa yang selalu terjadi dalam  kehidupan manusia karena memang menjadi sifat alami dalam  kehidupan duniawi bahwa segala bentuk yang memiliki jiwa  akan mengalami kematian. Pencitraan tentang kematian  terjadi dalam agama apa pun dan oleh siapa pun, ada yang  menakutkan ada juga yang membahagiakan, serta ada juga yang  beranggapan bahwa kematian sebagai akhir kehidupan.</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Lihat H.P. Owen, “Eschatology", Encyclopedia of Philosophy,  (New York: Macmillan Publishing Co.Inc and The Free Press, 1972), J. III, hlm. 48.</w:t>
      </w:r>
    </w:p>
    <w:p>
      <w:pPr>
        <w:pStyle w:val="BookText"/>
        <w:bidi w:val="0"/>
        <w:jc w:val="both"/>
        <w:rPr/>
      </w:pPr>
      <w:r>
        <w:rPr>
          <w:rFonts w:eastAsia="Times New Roman" w:cs="Times New Roman" w:ascii="Times New Roman" w:hAnsi="Times New Roman"/>
          <w:color w:val="111111"/>
          <w:sz w:val="28"/>
          <w:szCs w:val="28"/>
          <w:lang w:val="en-US"/>
        </w:rPr>
        <w:t>Agama  Islam, seperti juga agama-agama yang lain, secara khusus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175 </w:t>
      </w:r>
    </w:p>
    <w:p>
      <w:pPr>
        <w:pStyle w:val="BookText"/>
        <w:bidi w:val="0"/>
        <w:rPr/>
      </w:pPr>
      <w:r>
        <w:rPr>
          <w:rFonts w:eastAsia="Times New Roman" w:cs="Times New Roman" w:ascii="Times New Roman" w:hAnsi="Times New Roman"/>
          <w:color w:val="111111"/>
          <w:sz w:val="28"/>
          <w:szCs w:val="28"/>
          <w:lang w:val="en-US"/>
        </w:rPr>
        <w:t>memberikan gambaran tertentu tentang peristiwa kematian.</w:t>
      </w:r>
    </w:p>
    <w:p>
      <w:pPr>
        <w:pStyle w:val="BookText"/>
        <w:bidi w:val="0"/>
        <w:jc w:val="both"/>
        <w:rPr/>
      </w:pPr>
      <w:r>
        <w:rPr>
          <w:rFonts w:eastAsia="Times New Roman" w:cs="Times New Roman" w:ascii="Times New Roman" w:hAnsi="Times New Roman"/>
          <w:color w:val="111111"/>
          <w:sz w:val="28"/>
          <w:szCs w:val="28"/>
          <w:lang w:val="en-US"/>
        </w:rPr>
        <w:t>Beberapa petunjuk Alquran seringkali dirujuk ketika berbicara  tentang kematian, antara lain, bahwa Allah telah mengetahui  kematian setiap manusia dan bahwa manusia memiliki batasan  umur sampai saat tertentu (“Ajal al-Musamma).</w:t>
      </w:r>
      <w:r>
        <w:rPr>
          <w:rStyle w:val="FootnoteAnchor"/>
        </w:rPr>
        <w:footnoteReference w:id="17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کَیْفَ تَکْفُرُونَ بِاللَّهِ وَکُنْتُمْ أَمْوَاتًا فَأَحْیَاکُمْ ثُمَّ یُمِیتُکُمْ ثُمَّ یُحْیِیکُمْ ثُمَّ إِلَیْهِ تُرْجَعُونَ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Dalam bagian  lain, Allah mengisyaratkan manusia mengalami kematian dua  kali dan hidup dua kali.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Para pemikir Muslim pun memberikan  banyak sekali sumbangan penggambaran tentang kematian.</w:t>
      </w:r>
    </w:p>
    <w:p>
      <w:pPr>
        <w:pStyle w:val="BookText"/>
        <w:bidi w:val="0"/>
        <w:jc w:val="both"/>
        <w:rPr/>
      </w:pPr>
      <w:r>
        <w:rPr>
          <w:rFonts w:eastAsia="Times New Roman" w:cs="Times New Roman" w:ascii="Times New Roman" w:hAnsi="Times New Roman"/>
          <w:color w:val="111111"/>
          <w:sz w:val="28"/>
          <w:szCs w:val="28"/>
          <w:lang w:val="en-US"/>
        </w:rPr>
        <w:t>Al-Farabi menggambarkan kematian sebagai kehancuran raga  materi. Jiwa sempurna akan mengalami perjalanan kehidupan  selanjutnya, sedangkan jiwa yang tidak sempurna akan  mengalami kehancuran bersamaan dengan hancurnya materi.</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Da'irah Al-Ma'arif Al-Utsmaniyah, 1345 H), hlm. 53.</w:t>
      </w:r>
    </w:p>
    <w:p>
      <w:pPr>
        <w:pStyle w:val="BookText"/>
        <w:bidi w:val="0"/>
        <w:jc w:val="both"/>
        <w:rPr/>
      </w:pPr>
      <w:r>
        <w:rPr>
          <w:rFonts w:eastAsia="Times New Roman" w:cs="Times New Roman" w:ascii="Times New Roman" w:hAnsi="Times New Roman"/>
          <w:color w:val="111111"/>
          <w:sz w:val="28"/>
          <w:szCs w:val="28"/>
          <w:lang w:val="en-US"/>
        </w:rPr>
        <w:t>Ibn Sina menyebut kematian sebagai “perpisahan antara jiwa  dan raga”.</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Al-Ghazali melukiskan kematian sebagai “Kiamat  kecil" (al-Qiyamah al-Sughra) dan makna ini berasal dari hadis  yang dikutip Al-Ghazali, “Siapa yang meninggal dunia, maka  Kiamatnya telah bangkit".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Bahkan di antara para pemikir ini  melukiskan kematian dengan sangat mendetail. Sebagai contoh,  apa yang ditulis oleh Abu Layth Al-Samarkandi dalam kitabnya,  Ahwal al-Qiyāmah. Dia menggolongkan kematian itu sebagai  makhluk yang diciptakan Allah. Ketika kematian terjadi, jerit  kematian berkata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Akulah kematian yang memisahkan segala yang  dicintai! Akulah kematian yang memisahkan lelaki dan  perempuan, suami dan istri! Akulah kematian yang  memisahkan anak-anak perempuan dan ibunya! Akulah  kematian yang memisahkan anak-anak lelaki dari  bapaknya! Akulah kematian yang memisahkan antara  saudara lelaki yang satu dan yang lainnya! Akulah kematian  yang menundukkan kekuatan anak-anak Adam. Akulah  kematian yang menghuni kubur.... Tidak satu pun makhluk</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176 </w:t>
      </w:r>
    </w:p>
    <w:p>
      <w:pPr>
        <w:pStyle w:val="BookText"/>
        <w:bidi w:val="0"/>
        <w:rPr/>
      </w:pPr>
      <w:r>
        <w:rPr>
          <w:rFonts w:eastAsia="Times New Roman" w:cs="Times New Roman" w:ascii="Times New Roman" w:hAnsi="Times New Roman"/>
          <w:color w:val="111111"/>
          <w:sz w:val="28"/>
          <w:szCs w:val="28"/>
          <w:lang w:val="en-US"/>
        </w:rPr>
        <w:t>yang bisa bertahan untuk tidak merasakanku...."</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Silsilah Al-Saqafah Al-Islamiyyah, 1964), hlm. 11 – 13.</w:t>
      </w:r>
    </w:p>
    <w:p>
      <w:pPr>
        <w:pStyle w:val="BookText"/>
        <w:bidi w:val="0"/>
        <w:jc w:val="both"/>
        <w:rPr/>
      </w:pPr>
      <w:r>
        <w:rPr>
          <w:rFonts w:eastAsia="Times New Roman" w:cs="Times New Roman" w:ascii="Times New Roman" w:hAnsi="Times New Roman"/>
          <w:color w:val="111111"/>
          <w:sz w:val="28"/>
          <w:szCs w:val="28"/>
          <w:lang w:val="en-US"/>
        </w:rPr>
        <w:t>Mulla Sadra, seperti para pemikir sebelumnya, dalam  persitiwa kematian ini memberikan makna khusus. Baginya,  “Kematian merupakan kebenaran sebagai peristiwa alami  kembalinya jiwa dari kehidupan duniawi dan awal, dan  perjalanan kembali menuju Allah Swt..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IRNazanin" w:hAnsi="IRNazanin" w:eastAsia="IRNazanin"/>
          <w:color w:val="111111"/>
          <w:sz w:val="28"/>
          <w:sz w:val="28"/>
          <w:szCs w:val="28"/>
          <w:rtl w:val="true"/>
          <w:lang w:bidi="fa-IR"/>
        </w:rPr>
        <w:t>أأن الموت حق وأن الطبیعی منه نهایة الرجوع عن الدنیا وابتداء الر جوع  الر الله</w:t>
      </w:r>
    </w:p>
    <w:p>
      <w:pPr>
        <w:pStyle w:val="BookText"/>
        <w:bidi w:val="0"/>
        <w:jc w:val="both"/>
        <w:rPr/>
      </w:pPr>
      <w:r>
        <w:rPr>
          <w:rFonts w:eastAsia="Times New Roman" w:cs="Times New Roman" w:ascii="Times New Roman" w:hAnsi="Times New Roman"/>
          <w:color w:val="111111"/>
          <w:sz w:val="28"/>
          <w:szCs w:val="28"/>
          <w:lang w:val="en-US"/>
        </w:rPr>
        <w:t>Bagi Mulla Sadra, jiwa,  setelah berpisah dari raga materi, tetap memiliki keterikatan  tertentu dengan raga, tetapi bukan dengan bagian materinya  karena setelah terpisah, jiwa tetap membawa daya estimasi  (wahmiyah) yang melakukan persepsi terhadap beragam makna  parsial secara substansial dan forma fisik melalui daya imajinasi.</w:t>
      </w:r>
    </w:p>
    <w:p>
      <w:pPr>
        <w:pStyle w:val="BookText"/>
        <w:bidi w:val="0"/>
        <w:jc w:val="both"/>
        <w:rPr/>
      </w:pPr>
      <w:r>
        <w:rPr>
          <w:rFonts w:eastAsia="Times New Roman" w:cs="Times New Roman" w:ascii="Times New Roman" w:hAnsi="Times New Roman"/>
          <w:color w:val="111111"/>
          <w:sz w:val="28"/>
          <w:szCs w:val="28"/>
          <w:lang w:val="en-US"/>
        </w:rPr>
        <w:t>Karenanya, sekalipun raga seseorang hancur karena terbakar  atau dimakan binatang buas, seperti yang telah digambarkan  sebelumnya, tidak akan berpengaruh pada jiwa. Hal ini sangat  berbeda dengan pandangan Al-Gazhali yang beranggapan  bahwa jiwa tetap memiliki keterikatan dengan raga tersebut  dan merasakan perlakuan kasar atau lembut ketika raganya  dimandikan dan dikuburkan.</w:t>
      </w:r>
      <w:r>
        <w:rPr>
          <w:rStyle w:val="FootnoteAnchor"/>
        </w:rPr>
        <w:footnoteReference w:id="182"/>
      </w:r>
      <w:r>
        <w:rPr>
          <w:rFonts w:eastAsia="Times New Roman" w:cs="Times New Roman" w:ascii="Times New Roman" w:hAnsi="Times New Roman"/>
          <w:color w:val="111111"/>
          <w:sz w:val="28"/>
          <w:szCs w:val="28"/>
          <w:lang w:val="en-US"/>
        </w:rPr>
        <w:t xml:space="preserve"> Posisi kematian, bagi Mulla Sadra, merupakan proses  gradasi wujud dari level wujud yang  rendah, melalui proses kematian,    menuju level wujud yang lebih tinggi,    sebagaimana gambaran ambiguitas    wujud yang diutarakan Mulla Sadra.</w:t>
      </w:r>
    </w:p>
    <w:p>
      <w:pPr>
        <w:pStyle w:val="BookText"/>
        <w:bidi w:val="0"/>
        <w:jc w:val="both"/>
        <w:rPr/>
      </w:pPr>
      <w:r>
        <w:rPr>
          <w:rFonts w:eastAsia="Times New Roman" w:cs="Times New Roman" w:ascii="Times New Roman" w:hAnsi="Times New Roman"/>
          <w:color w:val="111111"/>
          <w:sz w:val="28"/>
          <w:szCs w:val="28"/>
          <w:lang w:val="en-US"/>
        </w:rPr>
        <w:t>Kematian tidak berarti lenyapnya    kehidupan. Kehidupan akan terus    berlangsung karena kematian  hanyalah proses alami pemisah antara</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177 </w:t>
      </w:r>
    </w:p>
    <w:p>
      <w:pPr>
        <w:pStyle w:val="BookText"/>
        <w:bidi w:val="0"/>
        <w:rPr/>
      </w:pPr>
      <w:r>
        <w:rPr>
          <w:rFonts w:eastAsia="Times New Roman" w:cs="Times New Roman" w:ascii="Times New Roman" w:hAnsi="Times New Roman"/>
          <w:color w:val="111111"/>
          <w:sz w:val="28"/>
          <w:szCs w:val="28"/>
          <w:lang w:val="en-US"/>
        </w:rPr>
        <w:t>kehidupan pada tingkat duniawi dengan kehidupan pada tingkat  berikutnya. Sayangnya, Mulla Sadra tidak banyak menjelaskan  peristiwa kematian yang terjadi, seperti yang dijelaskan Al-  Gazhali. Terutama yang cukup mendasar, dibutuhkan penjelasan  berkaitan proses keluarnya jiwa dari raga berdasarkan prinsip  filsafat yang dikembangkan Mulla Sadra, mengingat beragam  kisah yang mungkin sangat sulit untuk dicerna akal.</w:t>
      </w:r>
      <w:r>
        <w:rPr>
          <w:rStyle w:val="FootnoteAnchor"/>
        </w:rPr>
        <w:footnoteReference w:id="183"/>
      </w:r>
      <w:r>
        <w:rPr>
          <w:rFonts w:eastAsia="Times New Roman" w:cs="Times New Roman" w:ascii="Times New Roman" w:hAnsi="Times New Roman"/>
          <w:color w:val="111111"/>
          <w:sz w:val="28"/>
          <w:szCs w:val="28"/>
          <w:lang w:val="en-US"/>
        </w:rPr>
        <w:t>Hal  ini sepertinya karena dasar filsafat yang digunakan Mulla  Sadra, seperti juga para filsuf sebelumnya yang menyinggung  pemaknaan kematian hanya sebatas penjelasan umum.</w:t>
      </w:r>
    </w:p>
    <w:p>
      <w:pPr>
        <w:pStyle w:val="BookText"/>
        <w:bidi w:val="0"/>
        <w:jc w:val="both"/>
        <w:rPr/>
      </w:pPr>
      <w:r>
        <w:rPr>
          <w:rFonts w:eastAsia="Times New Roman" w:cs="Times New Roman" w:ascii="Times New Roman" w:hAnsi="Times New Roman"/>
          <w:color w:val="111111"/>
          <w:sz w:val="28"/>
          <w:szCs w:val="28"/>
          <w:lang w:val="en-US"/>
        </w:rPr>
        <w:t>Pascakematian, menurut Mulla Sadra, jiwa tetap memiliki  daya imajinasi, mengingat daya ini memiliki independensi  dalam wujud.</w:t>
      </w:r>
    </w:p>
    <w:p>
      <w:pPr>
        <w:pStyle w:val="BookText"/>
        <w:bidi w:val="0"/>
        <w:jc w:val="both"/>
        <w:rPr/>
      </w:pPr>
      <w:r>
        <w:rPr>
          <w:rFonts w:eastAsia="Times New Roman" w:cs="Times New Roman" w:ascii="Times New Roman" w:hAnsi="Times New Roman"/>
          <w:color w:val="111111"/>
          <w:sz w:val="28"/>
          <w:szCs w:val="28"/>
          <w:lang w:val="en-US"/>
        </w:rPr>
        <w:t>Kebutuhan daya ini    pada raga sebagai    sumber pembentukan    awal dan tidak dalam    keabadiannya. Daya  ini, ketika berpisah,  tetap melakukan  persepsi terhadap    objek-objek parsial    dan material melalui    forma-formanya,    seperti layaknya    yang terjadi dalam  kehidupan di dunia.</w:t>
      </w:r>
    </w:p>
    <w:p>
      <w:pPr>
        <w:pStyle w:val="BookText"/>
        <w:bidi w:val="0"/>
        <w:jc w:val="both"/>
        <w:rPr/>
      </w:pPr>
      <w:r>
        <w:rPr>
          <w:rFonts w:eastAsia="Times New Roman" w:cs="Times New Roman" w:ascii="Times New Roman" w:hAnsi="Times New Roman"/>
          <w:color w:val="111111"/>
          <w:sz w:val="28"/>
          <w:szCs w:val="28"/>
          <w:lang w:val="en-US"/>
        </w:rPr>
        <w:t>Perbandingan    kubur dengan alam</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178 </w:t>
      </w:r>
    </w:p>
    <w:p>
      <w:pPr>
        <w:pStyle w:val="BookText"/>
        <w:bidi w:val="0"/>
        <w:rPr/>
      </w:pPr>
      <w:r>
        <w:rPr>
          <w:rFonts w:eastAsia="Times New Roman" w:cs="Times New Roman" w:ascii="Times New Roman" w:hAnsi="Times New Roman"/>
          <w:color w:val="111111"/>
          <w:sz w:val="28"/>
          <w:szCs w:val="28"/>
          <w:lang w:val="en-US"/>
        </w:rPr>
        <w:t>akhirat, bagi Mulla Sadra, seperti janin yang berada dalam rahim  ibunya, sedangkan akhirat adalah alam aktual pascakeluarnya  janin tersebut dari rahim. Untuk ini, dia sebutkan sebagai  berikut, “Perbedaan antara fase kubur dan fase kebangkitan  seperti perbedaan antara dua keadaan manusia di dalam rahim  ketika hendak keluar darinya; sesungguhnya keadaan kubur  adalah gambaran dari keadaan Kiamat."'</w:t>
      </w:r>
      <w:r>
        <w:rPr>
          <w:rStyle w:val="FootnoteAnchor"/>
        </w:rPr>
        <w:footnoteReference w:id="184"/>
      </w:r>
    </w:p>
    <w:p>
      <w:pPr>
        <w:pStyle w:val="BookText"/>
        <w:bidi w:val="0"/>
        <w:jc w:val="both"/>
        <w:rPr/>
      </w:pPr>
      <w:r>
        <w:rPr>
          <w:rFonts w:ascii="IRNazanin" w:hAnsi="IRNazanin" w:eastAsia="IRNazanin"/>
          <w:color w:val="111111"/>
          <w:sz w:val="28"/>
          <w:sz w:val="28"/>
          <w:szCs w:val="28"/>
          <w:rtl w:val="true"/>
          <w:lang w:bidi="fa-IR"/>
        </w:rPr>
        <w:t>عن غبار هذه الهیئات کما یخرج الجنین من  والبعث عبارة عن خروج النفس  القرار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حالة القبرو حالة البعث کا لفرق بین حالتی الإنسان  فی الرحم وعند الخروج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حالة القبر أنموذج من أحوال القیامة</w:t>
      </w:r>
    </w:p>
    <w:p>
      <w:pPr>
        <w:pStyle w:val="BookText"/>
        <w:bidi w:val="0"/>
        <w:jc w:val="both"/>
        <w:rPr/>
      </w:pPr>
      <w:r>
        <w:rPr>
          <w:rFonts w:eastAsia="Times New Roman" w:cs="Times New Roman" w:ascii="Times New Roman" w:hAnsi="Times New Roman"/>
          <w:color w:val="111111"/>
          <w:sz w:val="28"/>
          <w:szCs w:val="28"/>
          <w:lang w:val="en-US"/>
        </w:rPr>
        <w:t>Sebagai sebuah  embrio bagi kehidupan akhirat, apa yang terjadi di dalam kubur  pun merupakan permisalan apa yang terjadi di akhirat hanya  dalam bentuk yang lebih rendah dan lemah secara kualitas. Hal  ini disebabkan oleh kemampuan daya persepsi yang dimiliki  penghuni kubur tersebut belum mencapai kesempurnaan untuk  mampu menangkap realitas akhirat dan sekiranya tercapai  kesempurnaan tersebut, maka tersingkaplah realitas akhirat dan  hakikat dirinya yang ada di alam tersebut.</w:t>
      </w:r>
    </w:p>
    <w:p>
      <w:pPr>
        <w:pStyle w:val="BookText"/>
        <w:bidi w:val="0"/>
        <w:jc w:val="both"/>
        <w:rPr/>
      </w:pPr>
      <w:r>
        <w:rPr>
          <w:rFonts w:eastAsia="Times New Roman" w:cs="Times New Roman" w:ascii="Times New Roman" w:hAnsi="Times New Roman"/>
          <w:color w:val="111111"/>
          <w:sz w:val="28"/>
          <w:szCs w:val="28"/>
          <w:lang w:val="en-US"/>
        </w:rPr>
        <w:t>Mulla Sadra juga menjelaskan bahwa pengalaman  yang dirasakan penghuni kubur tidak tergantung kepada  raga materi mayat, sekalipun raga mengalami kematian  alami, terbakar ataupun tenggelam di lautan, tetapi persepsi  terhadap pengalamannya lahir dari substansi jiwa, seperti yang  diungkapkannya, "Bahwa sesungguhnya yang menyebabkan  dirinya menderita atau memberikan pengaruh, terjadi secara  substansial pada jiwa dan hal-hal seperti ini tidak terjadi pada  raga, melainkan pada forma yang sampai kepada jiwanya karena  relasinya dengan raga."</w:t>
      </w:r>
      <w:r>
        <w:rPr>
          <w:rStyle w:val="FootnoteAnchor"/>
        </w:rPr>
        <w:footnoteReference w:id="185"/>
      </w:r>
    </w:p>
    <w:p>
      <w:pPr>
        <w:pStyle w:val="BookText"/>
        <w:bidi w:val="0"/>
        <w:jc w:val="both"/>
        <w:rPr/>
      </w:pPr>
      <w:r>
        <w:rPr>
          <w:rFonts w:ascii="IRNazanin" w:hAnsi="IRNazanin" w:eastAsia="IRNazanin"/>
          <w:color w:val="111111"/>
          <w:sz w:val="28"/>
          <w:sz w:val="28"/>
          <w:szCs w:val="28"/>
          <w:rtl w:val="true"/>
          <w:lang w:bidi="fa-IR"/>
        </w:rPr>
        <w:t>هذه الأمور الواقعة علی بدنه بل  فإن الذی یؤلمه یؤثر فی نفسه بالذات لیس  صورتها الواصلة الی نفسه لعلاقة لها مع البدن</w:t>
      </w:r>
    </w:p>
    <w:p>
      <w:pPr>
        <w:pStyle w:val="BookText"/>
        <w:bidi w:val="0"/>
        <w:jc w:val="both"/>
        <w:rPr/>
      </w:pPr>
      <w:r>
        <w:rPr>
          <w:rFonts w:eastAsia="Times New Roman" w:cs="Times New Roman" w:ascii="Times New Roman" w:hAnsi="Times New Roman"/>
          <w:color w:val="111111"/>
          <w:sz w:val="28"/>
          <w:szCs w:val="28"/>
          <w:lang w:val="en-US"/>
        </w:rPr>
        <w:t>Pandangan Mulla Sadra, dalam hal ini, tidak jauh  berbeda dengan pandangan para teolog pada umumnya  yang memandang adanya proses kehidupan di alam barzakh,  bahwa kehidupan di alam tersebut menjadi sangat aktif tanpa</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179 </w:t>
      </w:r>
      <w:bookmarkStart w:id="117" w:name="pg6434_60720"/>
    </w:p>
    <w:p>
      <w:pPr>
        <w:pStyle w:val="BookText"/>
        <w:bidi w:val="0"/>
        <w:rPr/>
      </w:pPr>
      <w:bookmarkEnd w:id="117"/>
      <w:r>
        <w:rPr>
          <w:rFonts w:eastAsia="Times New Roman" w:cs="Times New Roman" w:ascii="Times New Roman" w:hAnsi="Times New Roman"/>
          <w:color w:val="111111"/>
          <w:sz w:val="28"/>
          <w:szCs w:val="28"/>
          <w:lang w:val="en-US"/>
        </w:rPr>
        <w:t xml:space="preserve">kekosongan aktivitas. </w:t>
      </w:r>
      <w:r>
        <w:rPr>
          <w:rStyle w:val="FootnoteAnchor"/>
        </w:rPr>
        <w:footnoteReference w:id="186"/>
      </w:r>
      <w:r>
        <w:rPr>
          <w:rFonts w:eastAsia="Times New Roman" w:cs="Times New Roman" w:ascii="Times New Roman" w:hAnsi="Times New Roman"/>
          <w:color w:val="111111"/>
          <w:sz w:val="28"/>
          <w:szCs w:val="28"/>
          <w:lang w:val="en-US"/>
        </w:rPr>
        <w:t>Berbeda dengan para filsuf Peripatetik  yang tidak memercayai adanya kehidupan barzakh,</w:t>
      </w:r>
      <w:r>
        <w:rPr>
          <w:rStyle w:val="FootnoteAnchor"/>
        </w:rPr>
        <w:footnoteReference w:id="187"/>
      </w:r>
      <w:r>
        <w:rPr>
          <w:rFonts w:eastAsia="Times New Roman" w:cs="Times New Roman" w:ascii="Times New Roman" w:hAnsi="Times New Roman"/>
          <w:color w:val="111111"/>
          <w:sz w:val="28"/>
          <w:szCs w:val="28"/>
          <w:lang w:val="en-US"/>
        </w:rPr>
        <w:t xml:space="preserve">sedangkan  penggambaran kehidupan yang bersifat imajinatif karena daya  imajinatif bagi Mulla Sadra berada pada korpus jiwa adalah  gagasan yang tidak jauh berbeda, bahkan dapat disebut mirip  dengan apa yang digambarkan Ibn 'Arabī. Menurut Ibn 'Arabī,  karena menguatnya daya imajinatif pada jiwa yang terpisah  dari raga, maka ketika manusia mengalami kematian, ia seakan  terjaga dari tidur dan mimpi-mimpinya selama ini, kehidupan di  alam barzakh bagi Ibn 'Arabī jauh lebih real dibanding kehidupan  di dunia. </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Ibn Al-Arabi's Eschatology" dalam The Muslim World, a  Journal Devoted to the Study of Islam and Christian-Muslim  Relationship in Past and Present (The Duncan Black Macdonald  Center at Hartfold Seminary, 1988), Vol. LXXVIII No.1, hlm. 64.</w:t>
      </w:r>
    </w:p>
    <w:p>
      <w:pPr>
        <w:pStyle w:val="BookText"/>
        <w:bidi w:val="0"/>
        <w:jc w:val="both"/>
        <w:rPr/>
      </w:pPr>
      <w:r>
        <w:rPr>
          <w:rFonts w:eastAsia="Times New Roman" w:cs="Times New Roman" w:ascii="Times New Roman" w:hAnsi="Times New Roman"/>
          <w:color w:val="111111"/>
          <w:sz w:val="28"/>
          <w:szCs w:val="28"/>
          <w:lang w:val="en-US"/>
        </w:rPr>
        <w:t>Seperti halnya Mulla Sadra yang memandang kualitas  alam barzakh berada di atas kualitas kehidupan dunia namun  berada di bawah kualitas akhirat.</w:t>
      </w:r>
    </w:p>
    <w:p>
      <w:pPr>
        <w:pStyle w:val="Heading3"/>
        <w:numPr>
          <w:ilvl w:val="2"/>
          <w:numId w:val="1"/>
        </w:numPr>
        <w:bidi w:val="0"/>
        <w:jc w:val="left"/>
        <w:rPr/>
      </w:pPr>
      <w:bookmarkStart w:id="118" w:name="__RefHeading___Toc808220_653776707"/>
      <w:bookmarkStart w:id="119" w:name="_Toc39"/>
      <w:bookmarkEnd w:id="118"/>
      <w:r>
        <w:rPr/>
        <w:t>2. Nikmat dan Azab Kubur</w:t>
      </w:r>
      <w:bookmarkEnd w:id="119"/>
    </w:p>
    <w:p>
      <w:pPr>
        <w:pStyle w:val="BookText"/>
        <w:bidi w:val="0"/>
        <w:jc w:val="both"/>
        <w:rPr/>
      </w:pPr>
      <w:r>
        <w:rPr>
          <w:rFonts w:eastAsia="Times New Roman" w:cs="Times New Roman" w:ascii="Times New Roman" w:hAnsi="Times New Roman"/>
          <w:color w:val="111111"/>
          <w:sz w:val="28"/>
          <w:szCs w:val="28"/>
          <w:lang w:val="en-US"/>
        </w:rPr>
        <w:t xml:space="preserve">Seperti penggambaran sebelumnya bahwa alam kubur  atau alam barzakh merupakan alam antara kehidupan dunia  dan kehidupan akhirat. Ketika manusia mengalami kematian,  raganya hancur dan kembali terurai sebagai materi, </w:t>
      </w:r>
      <w:r>
        <w:rPr>
          <w:rStyle w:val="FootnoteAnchor"/>
        </w:rPr>
        <w:footnoteReference w:id="189"/>
      </w:r>
      <w:r>
        <w:rPr>
          <w:rFonts w:eastAsia="Times New Roman" w:cs="Times New Roman" w:ascii="Times New Roman" w:hAnsi="Times New Roman"/>
          <w:color w:val="111111"/>
          <w:sz w:val="28"/>
          <w:szCs w:val="28"/>
          <w:lang w:val="en-US"/>
        </w:rPr>
        <w:t>sedangkan  jiwanya mengalami kehidupan berikutnya di alam kubur atau  alam barzakh tersebut.</w:t>
      </w:r>
    </w:p>
    <w:p>
      <w:pPr>
        <w:pStyle w:val="BookText"/>
        <w:bidi w:val="0"/>
        <w:jc w:val="both"/>
        <w:rPr/>
      </w:pPr>
      <w:r>
        <w:rPr>
          <w:rFonts w:eastAsia="Times New Roman" w:cs="Times New Roman" w:ascii="Times New Roman" w:hAnsi="Times New Roman"/>
          <w:color w:val="111111"/>
          <w:sz w:val="28"/>
          <w:szCs w:val="28"/>
          <w:lang w:val="en-US"/>
        </w:rPr>
        <w:t>Sebagai sebuah dimensi alam, di dalamnya terjadi proses  kehidupan. Beragam pencitraan terhadap kehidupan yang  terjadi di alam barzakh banyak ditemui dalam karya-karya  para pemikir Muslim ketika berbicara eskatologi.</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Dengan cara yang sama, ruh-ruh dari tingkatan yang lebih  tinggi akan memberikan sejenis petunjuk umum kepada  ruh-ruh di tingkatan yang lebih rendah. Sebagian kalangan  bahkan berkata bahwa barzakh mirip dengan semacam  institusi perguruan tinggi, dengan kuliah-kuliah dalam wilayah  intelektual yang jauh di luar segala yang bisa kita bayangkan  di muka bumi ini. Ruh-ruh itu akan lebih bersemangat  dalam kehidupan berikutnya ketimbang saat masih hidup di  dunia, dan tidak ada kemalasan atau kekosongan aktivitas.</w:t>
      </w:r>
    </w:p>
    <w:p>
      <w:pPr>
        <w:pStyle w:val="BookText"/>
        <w:bidi w:val="0"/>
        <w:jc w:val="both"/>
        <w:rPr/>
      </w:pPr>
      <w:r>
        <w:rPr>
          <w:rFonts w:eastAsia="Times New Roman" w:cs="Times New Roman" w:ascii="Times New Roman" w:hAnsi="Times New Roman"/>
          <w:color w:val="111111"/>
          <w:sz w:val="28"/>
          <w:szCs w:val="28"/>
          <w:lang w:val="en-US"/>
        </w:rPr>
        <w:t>Barzakh pada kenyataannya digambarkan sebagai ruang  besar untuk beraktivitas yang semuanya diarahkan untuk  saling memberikan layanan penuh cinta satu sama lain dan  kesenangan aktivitas. Ruh-ruh itu menikmati peradaban  tinggi, dilengkapi adanya kesempatan membaca dan meneliti,  menikmati musik, apresiasi seni, dan jenis-jenis hiburan        mutakhir. Mereka berbicara, berjalan, makan, minum,  menikah, dan-menurut sebagian orang-bahkan menghasilkan  keturunan. Mereka tidur ketika menginginkan, bukan karena  butuh tidur, mereka makan dan minum karena kebiasaan atau  kesenangan. Makanan dinikmati melalui selera spiritual." Jane  Idelman Smith, The Islamic Understanding of Death, hlm. 195</w:t>
      </w:r>
    </w:p>
    <w:p>
      <w:pPr>
        <w:pStyle w:val="BookText"/>
        <w:bidi w:val="0"/>
        <w:jc w:val="both"/>
        <w:rPr/>
      </w:pPr>
      <w:r>
        <w:rPr>
          <w:rFonts w:eastAsia="Times New Roman" w:cs="Times New Roman" w:ascii="Times New Roman" w:hAnsi="Times New Roman"/>
          <w:color w:val="111111"/>
          <w:sz w:val="28"/>
          <w:szCs w:val="28"/>
          <w:lang w:val="en-US"/>
        </w:rPr>
        <w:t>Sebagian  mengisahkan kejadian demi kejadian yang dihadapi mayat  dimulai ketika dirinya telah dikuburkan. Tahap awal, pada  umumnya, digambarkan sebagai tahap pengadilan yang sulit.</w:t>
      </w:r>
    </w:p>
    <w:p>
      <w:pPr>
        <w:pStyle w:val="BookText"/>
        <w:bidi w:val="0"/>
        <w:jc w:val="both"/>
        <w:rPr/>
      </w:pPr>
      <w:r>
        <w:rPr>
          <w:rFonts w:eastAsia="Times New Roman" w:cs="Times New Roman" w:ascii="Times New Roman" w:hAnsi="Times New Roman"/>
          <w:color w:val="111111"/>
          <w:sz w:val="28"/>
          <w:szCs w:val="28"/>
          <w:lang w:val="en-US"/>
        </w:rPr>
        <w:t>Dua orang malaikat akan datang untuk menanyai mayat tentang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180 </w:t>
      </w:r>
    </w:p>
    <w:p>
      <w:pPr>
        <w:pStyle w:val="BookText"/>
        <w:bidi w:val="0"/>
        <w:rPr/>
      </w:pPr>
      <w:r>
        <w:rPr>
          <w:rFonts w:eastAsia="Times New Roman" w:cs="Times New Roman" w:ascii="Times New Roman" w:hAnsi="Times New Roman"/>
          <w:color w:val="111111"/>
          <w:sz w:val="28"/>
          <w:szCs w:val="28"/>
          <w:lang w:val="en-US"/>
        </w:rPr>
        <w:t>perilakunya selama di dunia dan menyiksa mayat tersebut. Ide  tentang hal ini tidak pernah disebutkan secara khusus di dalam  Alquran, bahkan menurut Fazlur Rahman, ide ini merupakan  hasil adopsi ajaran zoroasterianisme di Iran ketimbang ajaran  Islam, sekalipun dalam riwayat dapat ditemukan dua nama yang  dinisbahkan kepada malaikat tersebut, yaitu Munkar dan Nakir.</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Change and Identity (New York: The Crossroad Publishing  Company, 1987), hlm. 127. Selanjutnya disebut Health and  Medicine.</w:t>
      </w:r>
    </w:p>
    <w:p>
      <w:pPr>
        <w:pStyle w:val="BookText"/>
        <w:bidi w:val="0"/>
        <w:jc w:val="both"/>
        <w:rPr/>
      </w:pPr>
      <w:r>
        <w:rPr>
          <w:rFonts w:eastAsia="Times New Roman" w:cs="Times New Roman" w:ascii="Times New Roman" w:hAnsi="Times New Roman"/>
          <w:color w:val="111111"/>
          <w:sz w:val="28"/>
          <w:szCs w:val="28"/>
          <w:lang w:val="en-US"/>
        </w:rPr>
        <w:t>Bagaimana kondisi jiwa si mayat ketika ditanya, pada umumnya,  pandangan dalam hal ini terbagi menjadi tiga bagian, antara lain,  pandangan yang menyatakan bahwa Allah mengembalikan ruh  orang mati tersebut kepada raganya untuk diadili, ruh ditanyai  tanpa keterlibatan raga, dan ruh tetap berada di antara raga dan  kafannya.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Studi eskatologi, pada umumnya menjelaskan kondisi  pengadilan prosesi yang berbeda-beda, tetapi secara keseluruhan  ingin menegaskan bahwa kehidupan barzakh adalah kehidupan  pengadilan dan pembalasan atas apa yang terjadi pada diri  mayat selama kehidupannya di dunia.</w:t>
      </w:r>
    </w:p>
    <w:p>
      <w:pPr>
        <w:pStyle w:val="BookText"/>
        <w:bidi w:val="0"/>
        <w:jc w:val="both"/>
        <w:rPr/>
      </w:pPr>
      <w:r>
        <w:rPr>
          <w:rFonts w:eastAsia="Times New Roman" w:cs="Times New Roman" w:ascii="Times New Roman" w:hAnsi="Times New Roman"/>
          <w:color w:val="111111"/>
          <w:sz w:val="28"/>
          <w:szCs w:val="28"/>
          <w:lang w:val="en-US"/>
        </w:rPr>
        <w:t>Mulla Sadra, dalam kaitan pengalaman manusia di alam  barzakh, memposisikan kehidupan di alam tersebut sebagai  kesadaran yang dialami jiwa dan persepsi jiwa terhadap beragam  fragmen yang terjadi. Persepsi tersebut terjadi karena tetapnya  daya imajinasi pada jiwa. Jiwa menyadari kondisi dirinya yang  telah menjadi mayat dan dikuburkan serta menyadari dirinya  ketika berada di dalam kubur.</w:t>
      </w:r>
    </w:p>
    <w:p>
      <w:pPr>
        <w:pStyle w:val="BookText"/>
        <w:bidi w:val="0"/>
        <w:jc w:val="both"/>
        <w:rPr/>
      </w:pPr>
      <w:r>
        <w:rPr>
          <w:rFonts w:eastAsia="Times New Roman" w:cs="Times New Roman" w:ascii="Times New Roman" w:hAnsi="Times New Roman"/>
          <w:color w:val="111111"/>
          <w:sz w:val="28"/>
          <w:szCs w:val="28"/>
          <w:lang w:val="en-US"/>
        </w:rPr>
        <w:t>Daya imajinasi berfungsi sebagai indra bagi jiwa untuk  melakukan persepsi dalam kehidupan di alam barzakh. Namun,  berbeda dari makna umum, bagi Mulla Sadra, kehidupan di  alam tersebut adalah kehidupan imajinatif yang tidak memiliki  ruang maupun waktu. Peristiwa-peristiwa yang terjadi, pada</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181 </w:t>
      </w:r>
    </w:p>
    <w:p>
      <w:pPr>
        <w:pStyle w:val="BookText"/>
        <w:bidi w:val="0"/>
        <w:rPr/>
      </w:pPr>
      <w:r>
        <w:rPr>
          <w:rFonts w:eastAsia="Times New Roman" w:cs="Times New Roman" w:ascii="Times New Roman" w:hAnsi="Times New Roman"/>
          <w:color w:val="111111"/>
          <w:sz w:val="28"/>
          <w:szCs w:val="28"/>
          <w:lang w:val="en-US"/>
        </w:rPr>
        <w:t>dasarnya, bersumber    dari jiwa manusia,  bukan sesuatu yang    eksternal dari dirinya.</w:t>
      </w:r>
    </w:p>
    <w:p>
      <w:pPr>
        <w:pStyle w:val="BookText"/>
        <w:bidi w:val="0"/>
        <w:jc w:val="both"/>
        <w:rPr/>
      </w:pPr>
      <w:r>
        <w:rPr>
          <w:rFonts w:eastAsia="Times New Roman" w:cs="Times New Roman" w:ascii="Times New Roman" w:hAnsi="Times New Roman"/>
          <w:color w:val="111111"/>
          <w:sz w:val="28"/>
          <w:szCs w:val="28"/>
          <w:lang w:val="en-US"/>
        </w:rPr>
        <w:t xml:space="preserve">Karenanya, kenikmatan  maupun penderitaan    yang dirasakan mayat    bukanlah kenikmatan  maupun penderitaan    fisik materi, sebagaimana    yang sering digambarkan  dalam karya-karya    eskatologi. </w:t>
      </w:r>
      <w:r>
        <w:rPr>
          <w:rStyle w:val="FootnoteAnchor"/>
        </w:rPr>
        <w:footnoteReference w:id="192"/>
      </w:r>
      <w:r>
        <w:rPr>
          <w:rFonts w:eastAsia="Times New Roman" w:cs="Times New Roman" w:ascii="Times New Roman" w:hAnsi="Times New Roman"/>
          <w:color w:val="111111"/>
          <w:sz w:val="28"/>
          <w:szCs w:val="28"/>
          <w:lang w:val="en-US"/>
        </w:rPr>
        <w:t xml:space="preserve">   Dalam gambaran    Mulla Sadra, manusia  yang mendapatkan  kebahagiaan di alam barzakh akan mendapati beragam hidangan  dalam bentuk yang menyenangkan, sebagaimana gambaran  surga dan apa yang ada di dalamnya. Selanjutnya Mulla Sadra  mengutip hadis Nabi Saw., “Kubur merupakan taman dari  taman-taman surga atau bagian dari bagian neraka”. </w:t>
      </w:r>
      <w:r>
        <w:rPr>
          <w:rStyle w:val="FootnoteAnchor"/>
        </w:rPr>
        <w:footnoteReference w:id="193"/>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القبر اما روضة من ریاض الجنة أو حفرة من حفر النیران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Kita dapat menemukan hadis tersebut pada Al-Kulayni,  Furu' al-Kahfi (Beirut: Dar Turats Al-Arabi, 1997), ). 4, hlm.256.</w:t>
      </w:r>
    </w:p>
    <w:p>
      <w:pPr>
        <w:pStyle w:val="BookText"/>
        <w:bidi w:val="0"/>
        <w:jc w:val="both"/>
        <w:rPr/>
      </w:pPr>
      <w:r>
        <w:rPr>
          <w:rFonts w:eastAsia="Times New Roman" w:cs="Times New Roman" w:ascii="Times New Roman" w:hAnsi="Times New Roman"/>
          <w:color w:val="111111"/>
          <w:sz w:val="28"/>
          <w:szCs w:val="28"/>
          <w:lang w:val="en-US"/>
        </w:rPr>
        <w:t>Namun,  sekiranya manusia tersebut penuh dengan keburukan, ia akan  merasakan penderitaan yang menimpa dirinya melalui forma-  forma keburukan yang menyiksa dirinya.</w:t>
      </w:r>
    </w:p>
    <w:p>
      <w:pPr>
        <w:pStyle w:val="BookText"/>
        <w:bidi w:val="0"/>
        <w:jc w:val="both"/>
        <w:rPr/>
      </w:pPr>
      <w:r>
        <w:rPr>
          <w:rFonts w:eastAsia="Times New Roman" w:cs="Times New Roman" w:ascii="Times New Roman" w:hAnsi="Times New Roman"/>
          <w:color w:val="111111"/>
          <w:sz w:val="28"/>
          <w:szCs w:val="28"/>
          <w:lang w:val="en-US"/>
        </w:rPr>
        <w:t>Mulla Sadra, dalam hal ini meyakini terjadinya kenikmatan  maupun azab kubur, semuanya berasal dari jiwa manusia karena  substansi manusia terletak pada jiwanya, bukan pada raganya.</w:t>
      </w:r>
    </w:p>
    <w:p>
      <w:pPr>
        <w:pStyle w:val="BookText"/>
        <w:bidi w:val="0"/>
        <w:jc w:val="both"/>
        <w:rPr/>
      </w:pPr>
      <w:r>
        <w:rPr>
          <w:rFonts w:eastAsia="Times New Roman" w:cs="Times New Roman" w:ascii="Times New Roman" w:hAnsi="Times New Roman"/>
          <w:color w:val="111111"/>
          <w:sz w:val="28"/>
          <w:szCs w:val="28"/>
          <w:lang w:val="en-US"/>
        </w:rPr>
        <w:t>Beragam aktivitas yang dilakukan manusia di dunia akan  membentuk karakter tersendiri di dalam jiwa manusia tersebut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182 </w:t>
      </w:r>
    </w:p>
    <w:p>
      <w:pPr>
        <w:pStyle w:val="BookText"/>
        <w:bidi w:val="0"/>
        <w:rPr/>
      </w:pPr>
      <w:r>
        <w:rPr>
          <w:rFonts w:eastAsia="Times New Roman" w:cs="Times New Roman" w:ascii="Times New Roman" w:hAnsi="Times New Roman"/>
          <w:color w:val="111111"/>
          <w:sz w:val="28"/>
          <w:szCs w:val="28"/>
          <w:lang w:val="en-US"/>
        </w:rPr>
        <w:t>dan itu tidak hanya terjadi nanti di alam berikutnya, tetapi juga  saat ini ketika kehidupan manusia masih berada pada tingkat  dunia. Mulla Sadra menunjukkan pandangannya ini dengan  menggambarkan penyaksian ruhani yang terjadi pada sebagian  orang, seperti yang disebutkannya berikut ini, “Sebagian ulama  berkata, “Setiap orang yang menyaksikan melalui pancaran  cahaya mata hati batin di dunia dapat menyaksikan orang yang  tersiksa oleh beragam siksaan dan tujuh keburukan seperti  syahwat, kemarahan, makar, hasad, kebencian, ujub dan  riya'."</w:t>
      </w:r>
      <w:r>
        <w:rPr>
          <w:rStyle w:val="FootnoteAnchor"/>
        </w:rPr>
        <w:footnoteReference w:id="194"/>
      </w:r>
    </w:p>
    <w:p>
      <w:pPr>
        <w:pStyle w:val="BookText"/>
        <w:bidi w:val="0"/>
        <w:jc w:val="both"/>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شاهد بنور البصیرة با طنه لرآه مشحونا بأنواع  قال بعض  المؤذیات والسباع کالشهوة والغضب والمکرو الحسد والحقد و العجب و الر  پاء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 الْمُؤْمِنِینَ وَالْمُؤْمِنَاتِ یَسْعَی نُورُهُمْ بَیْنَ أَیْدِیهِمْ وَبِأَیْمَانِهِمْ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Semua karakter yang buruk ini mengantarkan manusia  pada penderitaan dan ketika di alam kubur, berbagai karakter  buruk tersebut memunculkan forma-forma imajinal yang sesuai  dengan hakikatnya masing-masing. Forma-forma imajinal ini  melingkupi diri mayat tersebut dan menimbulkan penderitaan.</w:t>
      </w:r>
    </w:p>
    <w:p>
      <w:pPr>
        <w:pStyle w:val="BookText"/>
        <w:bidi w:val="0"/>
        <w:jc w:val="both"/>
        <w:rPr/>
      </w:pPr>
      <w:r>
        <w:rPr>
          <w:rFonts w:eastAsia="Times New Roman" w:cs="Times New Roman" w:ascii="Times New Roman" w:hAnsi="Times New Roman"/>
          <w:color w:val="111111"/>
          <w:sz w:val="28"/>
          <w:szCs w:val="28"/>
          <w:lang w:val="en-US"/>
        </w:rPr>
        <w:t>Berbeda halnya jika jiwa manusia tersebut memiliki jiwa  yang sehat, maka beragam forma imajinal yang memberikan  kenikmatan dan sesuai dengan hakikat jiwanya akan terwujud  dan menemaninya dalam kehidupannya di alam kubur. Hal ini  sebagaimana dinyatakan Mulla Sadra berikut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ketika tersingkap darinya tirai dan dirinya berada  di alam kuburnya, terbentuklah forma-forma imajinal yang  sesuai dengan maknanya, dari karakter-karakternya-  sehingga disaksikan dengan matanya beragam  kalajengking, ular berbisa yang melingkupi dirinya, padahal  sesungguhnya hal tersebut adalah karakter dan sifat dirinya  yang sekarang muncul di dalam dirinya, maka terbukalah  baginya beragam forma batin yang hakiki dan bahwa setiap  makna-karakter-ada forma-forma yang sesuai dengannya  dan azab kubur yang demikian bagi mereka yang celaka,  sedangkan mereka yang berbahagia mendapatkan hal yang  sebaliknya."</w:t>
      </w:r>
      <w:r>
        <w:rPr>
          <w:rStyle w:val="FootnoteAnchor"/>
        </w:rPr>
        <w:footnoteReference w:id="195"/>
      </w:r>
    </w:p>
    <w:p>
      <w:pPr>
        <w:pStyle w:val="BookText"/>
        <w:bidi w:val="0"/>
        <w:jc w:val="both"/>
        <w:rPr/>
      </w:pPr>
      <w:r>
        <w:rPr>
          <w:rFonts w:ascii="IRNazanin" w:hAnsi="IRNazanin" w:eastAsia="IRNazanin"/>
          <w:color w:val="111111"/>
          <w:sz w:val="28"/>
          <w:sz w:val="28"/>
          <w:szCs w:val="28"/>
          <w:rtl w:val="true"/>
          <w:lang w:bidi="fa-IR"/>
        </w:rPr>
        <w:t>فإذا انکشف عنه الغطاء ووضع فی قبره عاینها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تمثلت بصورها وأشکالها  الموافقة لمعانیها فیری بعینه العقارب والحیات قد احدقت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ملکاته  و صفاته الحاضرة الآن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انکشف له صورها الباطنیة الحقیقیة  فإن لکل معنی صورة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عذاب القبر إن کان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سعیدا  کان بخلا فه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183 </w:t>
      </w:r>
    </w:p>
    <w:p>
      <w:pPr>
        <w:pStyle w:val="BookText"/>
        <w:bidi w:val="0"/>
        <w:rPr/>
      </w:pPr>
      <w:r>
        <w:rPr>
          <w:rFonts w:eastAsia="Times New Roman" w:cs="Times New Roman" w:ascii="Times New Roman" w:hAnsi="Times New Roman"/>
          <w:color w:val="111111"/>
          <w:sz w:val="28"/>
          <w:szCs w:val="28"/>
          <w:lang w:val="en-US"/>
        </w:rPr>
        <w:t>Ide Mulla Sadra tentang forma-forma imajinal yang  muncul seperti ini, sesungguhnya telah dimulai oleh Syaikh  Isyraq, bahkan pencitraan tentang forma-forma imajinal yang  melingkupi mayat tidak dapat kita sebut sebagai ide murni Mulla  Sadra, mengingat kita dapat menemukan kemiripan ungkapan  Mulla Sadra dengan apa yang diungkapkan oleh Syaikh Isyraq  berikut ini:</w:t>
      </w:r>
    </w:p>
    <w:p>
      <w:pPr>
        <w:pStyle w:val="BookText"/>
        <w:bidi w:val="0"/>
        <w:jc w:val="both"/>
        <w:rPr/>
      </w:pPr>
      <w:r>
        <w:rPr>
          <w:rFonts w:eastAsia="Times New Roman" w:cs="Times New Roman" w:ascii="Times New Roman" w:hAnsi="Times New Roman"/>
          <w:color w:val="111111"/>
          <w:sz w:val="28"/>
          <w:szCs w:val="28"/>
          <w:lang w:val="en-US"/>
        </w:rPr>
        <w:t>"Sedangkan orang-orang yang mencapai kebahagiaan,  maka akan ter-imajinasikan imajinasi-imajinasi dan forma  yang luar biasa... dan merasakan kenikmatan dengannya...,  sedangkan orang-orang yang menderita tidak akan  memiliki hubungan dengan materi-materi yang mulia  yang merupakan substansi jiwa-jiwa bercahaya... maka  terimajinasikan melaluinya perbuatan-perbuatan buruk  mereka dalam imajinasi yang berasal dari api dan ular yang  berbisa...."</w:t>
      </w:r>
      <w:r>
        <w:rPr>
          <w:rStyle w:val="FootnoteAnchor"/>
        </w:rPr>
        <w:footnoteReference w:id="196"/>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اما السعداء فیتخیلون مثلا وصورا عجیبة أنیقة ویتلذذون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  شقیاء فلا یکون علاقتهم مع هذه الاجرام الشریفة ذوات النفوس النورانیة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فیتخیلون به من اعمالهم السیئه مثلا من نیران وعقارب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Fazlur Rahman mengkritik ide alam barzakh yang seperti  ini. Menurutnya, ini merupakan pengaruh ajaran Zoroaster  yang kemudian diadopsi pemikir-pemikir Muslim Persia.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Dalam doktrin Zoroaster manusia yang meninggal dunia pada  hari ketiga dari kematiannya akan berjumpa dengan sosok  Daena, seorang gadis cantik berusia lima belas tahun. Daena  merupakan citra diri yang berasal dari perilaku kehidupannya  di dunia. Sekiranya kebaikan mendominasi perilakunya, maka  Daena muncul untuk mengantarkannya pada citra surgawi, jika  perilakunya buruk dalam kehidupan duniawi, maka Daena akan  mengantarkannya pada citra neraka, sedangkan orang yang  tidak termasuk keduanya akan berada di daerah Hamistagan  (daerah bersama): sebuah tempat tinggal dari bayang-bayang, ia  tidak merasakan nikmat ataupun sengsara. Gambaran terakhir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184 </w:t>
      </w:r>
      <w:bookmarkStart w:id="120" w:name="pg6434_60725"/>
    </w:p>
    <w:p>
      <w:pPr>
        <w:pStyle w:val="BookText"/>
        <w:bidi w:val="0"/>
        <w:rPr/>
      </w:pPr>
      <w:bookmarkEnd w:id="120"/>
      <w:r>
        <w:rPr>
          <w:rFonts w:eastAsia="Times New Roman" w:cs="Times New Roman" w:ascii="Times New Roman" w:hAnsi="Times New Roman"/>
          <w:color w:val="111111"/>
          <w:sz w:val="28"/>
          <w:szCs w:val="28"/>
          <w:lang w:val="en-US"/>
        </w:rPr>
        <w:t xml:space="preserve">ini mirip dengan gagasan Syaikh Isyraq tentang jiwa anak-anak  atau orang yang idiot setelah terjadi kematian pada mereka. </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"Sedangkan jiwa-jiwa sederhana yang bersih, seperti  jiwa anak-anak dan jiwa orang-orang bodoh dari kalangan  awam, maka jiwa mereka ketika terpisah dari raga,  tetap dalam kesederhanaannya sehingga mereka tidak  akan merasakan kenikmatan dan tidak pula merasakan  penderitaan serta tidak terikat pada alam ini maupun  alam berikutnya." Lihat: Suhrawardi, “Yazdhon snokht",  dalam Majmu'ah, J. III, hlm. 438.</w:t>
      </w:r>
    </w:p>
    <w:p>
      <w:pPr>
        <w:pStyle w:val="BookText"/>
        <w:bidi w:val="0"/>
        <w:jc w:val="both"/>
        <w:rPr/>
      </w:pPr>
      <w:r>
        <w:rPr>
          <w:rFonts w:eastAsia="Times New Roman" w:cs="Times New Roman" w:ascii="Times New Roman" w:hAnsi="Times New Roman"/>
          <w:color w:val="111111"/>
          <w:sz w:val="28"/>
          <w:szCs w:val="28"/>
          <w:lang w:val="en-US"/>
        </w:rPr>
        <w:t>Namun Fazlur Rahman lupa bahwa pencitraan alam barzakh  yang demikian tidak hanya berasal dari pemikir Persia, kita juga  dapat melihat hal yang sama pada karya-karya pemikir tasawuf,  khususnya Ibn 'Arabī, bahkan ide tentang imajinasi alam barzakh  jauh lebih dalam digambarkan Ibn ‘Arabi dibandingkan pemikir  Persia, seperti Al-Gazhali ataupun Syaikh Isyraq.</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Ibn Al-Arabi's Eschatology" dalam The Muslim World, hlm.59–65.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Disamping  itu, gagasan ini sesungguhnya berakar pada Alquran yang pada  beberapa ayatnya menyebutkan istilah Barzakh.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Dari sini juga, kita dapat melihat kecenderungan Mulla  Sadra pada pemikiran tasawuf, mengingat gagasan yang seperti  ini tidak kita temui pada para filsuf Peripatetik, seperti Al-Farabi,  Ibn Sina, dan Ibn Rusyd.</w:t>
      </w:r>
    </w:p>
    <w:p>
      <w:pPr>
        <w:pStyle w:val="Heading3"/>
        <w:numPr>
          <w:ilvl w:val="2"/>
          <w:numId w:val="1"/>
        </w:numPr>
        <w:bidi w:val="0"/>
        <w:jc w:val="left"/>
        <w:rPr/>
      </w:pPr>
      <w:bookmarkStart w:id="121" w:name="__RefHeading___Toc808222_653776707"/>
      <w:bookmarkStart w:id="122" w:name="_Toc40"/>
      <w:bookmarkEnd w:id="121"/>
      <w:r>
        <w:rPr/>
        <w:t>3. Keberlangsungan Daya Fisik Pascakematian</w:t>
      </w:r>
      <w:bookmarkEnd w:id="122"/>
    </w:p>
    <w:p>
      <w:pPr>
        <w:pStyle w:val="BookText"/>
        <w:bidi w:val="0"/>
        <w:jc w:val="both"/>
        <w:rPr/>
      </w:pPr>
      <w:r>
        <w:rPr>
          <w:rFonts w:eastAsia="Times New Roman" w:cs="Times New Roman" w:ascii="Times New Roman" w:hAnsi="Times New Roman"/>
          <w:color w:val="111111"/>
          <w:sz w:val="28"/>
          <w:szCs w:val="28"/>
          <w:lang w:val="en-US"/>
        </w:rPr>
        <w:t>Ketika kematian terjadi pada diri manusia, terpisahlah  antara jiwa dan raganya. Jiwa manusia, seperti yang telah  dibicarakan terdahulu, tetap berkembang melakukan  aktivitasnya. Mulla Sadra menggambarkan hubungan antara  jiwa dengan raga seperti halnya pohon dengan buah: buah  membutuhkan keberadaan pohon untuk menghadirkan  dirinya dan mengembangkan dirinya. Setelah buah tersebut  matang, terpisahlah dirinya dengan pohon dan masing-masing  melakukan aktivitasnya.</w:t>
      </w:r>
    </w:p>
    <w:p>
      <w:pPr>
        <w:pStyle w:val="BookText"/>
        <w:bidi w:val="0"/>
        <w:jc w:val="both"/>
        <w:rPr/>
      </w:pPr>
      <w:r>
        <w:rPr>
          <w:rFonts w:eastAsia="Times New Roman" w:cs="Times New Roman" w:ascii="Times New Roman" w:hAnsi="Times New Roman"/>
          <w:color w:val="111111"/>
          <w:sz w:val="28"/>
          <w:szCs w:val="28"/>
          <w:lang w:val="en-US"/>
        </w:rPr>
        <w:t>Jiwa, setelah berpisah dari raga, tetap memiliki raga  yang sederhana karena jika tidak, maka hilanglah identitas  diri manusia tersebut. Namun demikian, terjadi perbedaan  pandangan terhadap substansi raga tersebut. Mulla Sadra,</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185 </w:t>
      </w:r>
    </w:p>
    <w:p>
      <w:pPr>
        <w:pStyle w:val="BookText"/>
        <w:bidi w:val="0"/>
        <w:rPr/>
      </w:pPr>
      <w:r>
        <w:rPr>
          <w:rFonts w:eastAsia="Times New Roman" w:cs="Times New Roman" w:ascii="Times New Roman" w:hAnsi="Times New Roman"/>
          <w:color w:val="111111"/>
          <w:sz w:val="28"/>
          <w:szCs w:val="28"/>
          <w:lang w:val="en-US"/>
        </w:rPr>
        <w:t xml:space="preserve">sebelum mengemukakan pandangannya tentang hal  tersebut, mengemukakan beragam pandangan tentang raga  pascakematian. Sebagian ulama menyatakan bahwa hal tersebut  adalah Akal Material (“Akal Hayūlani), ada juga yang menyatakan  bahwa raga tersebut adalah Materi Dasar (Hayūla). Al-Gazhali  berpandangan bahwa yang akan terbentuk nantinya adalah jiwa  dan padanya akan terpancar kehidupan akhirat. </w:t>
      </w:r>
      <w:r>
        <w:rPr>
          <w:rStyle w:val="FootnoteAnchor"/>
        </w:rPr>
        <w:footnoteReference w:id="198"/>
      </w:r>
      <w:r>
        <w:rPr>
          <w:rFonts w:eastAsia="Times New Roman" w:cs="Times New Roman" w:ascii="Times New Roman" w:hAnsi="Times New Roman"/>
          <w:color w:val="111111"/>
          <w:sz w:val="28"/>
          <w:szCs w:val="28"/>
          <w:lang w:val="en-US"/>
        </w:rPr>
        <w:t xml:space="preserve">Abū Yazid  Waqwafi (w. 457 H) berpandangan bahwa jiwa akan muncul  dalam bentuk substansi    personal yang tetap seperti    kehidupan dunianya tanpa    mengalami perubahan,  sedangkan Ibn 'Arabī    dalam Al-Futūhāt Al-    Makiyyāh berpandangan  bahwa yang akan tinggal    adalah entitas tetap    (“Ayn al-Tsābit) dari diri  manusia, </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Tahun) J. 2. hal. 626. Selanjutnya disebut: al-Futūhāt</w:t>
      </w:r>
    </w:p>
    <w:p>
      <w:pPr>
        <w:pStyle w:val="BookText"/>
        <w:bidi w:val="0"/>
        <w:jc w:val="both"/>
        <w:rPr/>
      </w:pPr>
      <w:r>
        <w:rPr>
          <w:rFonts w:eastAsia="Times New Roman" w:cs="Times New Roman" w:ascii="Times New Roman" w:hAnsi="Times New Roman"/>
          <w:color w:val="111111"/>
          <w:sz w:val="28"/>
          <w:szCs w:val="28"/>
          <w:lang w:val="en-US"/>
        </w:rPr>
        <w:t>sedangkan    menurut Mulla Sadra,    yang tetap dari raga  manusia pascakematian    adalah daya imajinalnya  karena bagi Mulla Sadra,  daya imajinal tersebut adalah bentuk terakhir dari daya-daya  yang berkembang pada diri manusia, mulai dari daya alami,  kemudian tumbuh-tumbuhan, binatang, yang secara bergantian  berkembang pada materi manusia di alam ini. Daya imajinasi  sebagai daya terakhir muncul pada diri manusia di alam dunia</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186 </w:t>
      </w:r>
    </w:p>
    <w:p>
      <w:pPr>
        <w:pStyle w:val="BookText"/>
        <w:bidi w:val="0"/>
        <w:rPr/>
      </w:pPr>
      <w:r>
        <w:rPr>
          <w:rFonts w:eastAsia="Times New Roman" w:cs="Times New Roman" w:ascii="Times New Roman" w:hAnsi="Times New Roman"/>
          <w:color w:val="111111"/>
          <w:sz w:val="28"/>
          <w:szCs w:val="28"/>
          <w:lang w:val="en-US"/>
        </w:rPr>
        <w:t xml:space="preserve">ini dan merupakan daya dasar atau pertama dalam kehidupan  akhirat. </w:t>
      </w:r>
      <w:r>
        <w:rPr>
          <w:rStyle w:val="FootnoteAnchor"/>
        </w:rPr>
        <w:footnoteReference w:id="200"/>
      </w:r>
      <w:r>
        <w:rPr>
          <w:rFonts w:eastAsia="Times New Roman" w:cs="Times New Roman" w:ascii="Times New Roman" w:hAnsi="Times New Roman"/>
          <w:color w:val="111111"/>
          <w:sz w:val="28"/>
          <w:szCs w:val="28"/>
          <w:lang w:val="en-US"/>
        </w:rPr>
        <w:t xml:space="preserve"> Mulla Sadra menggambarkan bahwa sebuah bentuk dari  segala bentuk di dunia, baik itu materi, forma maupun dayanya  secara substansial, identitasnya berpindah dari alam ini menuju  alam akhirat, kecuali setelah terjadi perubahan dan proses  pembentukan. Manusia tidak akan dapat mencapai kebangkitan,  kecuali dengan kesempurnaan dayanya yang merupakan forma  terakhir dari karakter semesta (al-Thaba'i al-Kawniyyāh) dan  forma materi dasar (Surah al-Hayūlaniyyāh). Hal tersebut  berkembang dari unsur, materi keras, tumbuh-tumbuhan, dan  binatang dalam daya perasa sebagai tahap pertama, kemudian  berkembang lagi menjadi pengecap, penciuman, pendengaran,  bahkan penglihatan.</w:t>
      </w:r>
    </w:p>
    <w:p>
      <w:pPr>
        <w:pStyle w:val="BookText"/>
        <w:bidi w:val="0"/>
        <w:jc w:val="both"/>
        <w:rPr/>
      </w:pPr>
      <w:r>
        <w:rPr>
          <w:rFonts w:eastAsia="Times New Roman" w:cs="Times New Roman" w:ascii="Times New Roman" w:hAnsi="Times New Roman"/>
          <w:color w:val="111111"/>
          <w:sz w:val="28"/>
          <w:szCs w:val="28"/>
          <w:lang w:val="en-US"/>
        </w:rPr>
        <w:t>Ketika manusia pertama kali terbentuk, maka yang  terbentuk pertama kali setelah unsur dan materi keras adalah  daya untuk memenuhi kebutuhan makanan, kemudian  berkembang lagi membentuk daya merasakan dan ini merupakan  tingkat kualitas indrawi, seperti merasakan rasa hangat, dingin,  dan selainnya, kemudian dengan itu merasakan makanan,  angin, suara, warna, dan beragam objek penglihatan, seperti  cahaya dan sebagainya. Berkembang bersama dengan indra  adalah daya kecenderungan yang menghasilkan rasa cinta dan  benci, kemudian berhenti pada daya yang memiliki kemampuan  untuk memberikan gambaran seperti apa yang diserap oleh  indra eksternal setelah indra eksternal nonaktif, dan kemudian  memelihara dan menjaga gambaran tersebut agar tidak hilang  dan lenyap. Daya ini terpelihara, seperti halnya indra eksternal  manusia dan tetap ada pada diri manusia setelah kehancuran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187 </w:t>
      </w:r>
      <w:bookmarkStart w:id="123" w:name="pg6434_60728"/>
    </w:p>
    <w:p>
      <w:pPr>
        <w:pStyle w:val="BookText"/>
        <w:bidi w:val="0"/>
        <w:rPr/>
      </w:pPr>
      <w:bookmarkEnd w:id="123"/>
      <w:r>
        <w:rPr>
          <w:rFonts w:eastAsia="Times New Roman" w:cs="Times New Roman" w:ascii="Times New Roman" w:hAnsi="Times New Roman"/>
          <w:color w:val="111111"/>
          <w:sz w:val="28"/>
          <w:szCs w:val="28"/>
          <w:lang w:val="en-US"/>
        </w:rPr>
        <w:t xml:space="preserve">raganya. Daya tersebut tetap terpelihara, sekalipun terjadi fase  kehidupan akhirat. Daya ini merupakan materi pertama bagi  forma-forma dan kesempurnaan akhirat yang utama dalam  kemuliaan dan kedekatan pada sumber aktivitas (Mabda' al-  Fa’āl). Daya tersebut merupakan barzakh menengah yang  terkumpul elemen dunia dan akhirat, atap bagi dunia dan lantai  bagi akhirat. </w:t>
      </w:r>
      <w:r>
        <w:rPr>
          <w:rStyle w:val="FootnoteAnchor"/>
        </w:rPr>
        <w:footnoteReference w:id="201"/>
      </w:r>
      <w:r>
        <w:rPr>
          <w:rFonts w:eastAsia="Times New Roman" w:cs="Times New Roman" w:ascii="Times New Roman" w:hAnsi="Times New Roman"/>
          <w:color w:val="111111"/>
          <w:sz w:val="28"/>
          <w:szCs w:val="28"/>
          <w:lang w:val="en-US"/>
        </w:rPr>
        <w:t xml:space="preserve"> Perkembangan yang seperti ini didasari pandangan  Mulla Sadra bahwa jiwa yang berawal dari materi akan terus  berkembang menjadi ruhani, di samping tentu saja sebelas  prinsip eskatologi yang dikemukakannya, juga turut menjadi  dasar bagi pandangannya tersebut. Patut diingat bahwa  pandangan Mulla Sadra yang seperti ini adalah pandangan  baru di kalangan filsafat Islam karena para pendahulunya, baik  dari kalangan filsuf Peripatetik maupun lluminasi, memandang  bahwa daya imajinasi berada pada materi dan tidak akan tinggal  pascaberpisahnya jiwa dengan raga. Menurut Ibn Sina dan  juga Syaikh Isyraq, yang akan tinggal hanyalah jiwa dengan  kemurnian intelektualnya.</w:t>
      </w:r>
    </w:p>
    <w:p>
      <w:pPr>
        <w:pStyle w:val="BookText"/>
        <w:bidi w:val="0"/>
        <w:jc w:val="both"/>
        <w:rPr/>
      </w:pPr>
      <w:r>
        <w:rPr>
          <w:rFonts w:eastAsia="Times New Roman" w:cs="Times New Roman" w:ascii="Times New Roman" w:hAnsi="Times New Roman"/>
          <w:color w:val="111111"/>
          <w:sz w:val="28"/>
          <w:szCs w:val="28"/>
          <w:lang w:val="en-US"/>
        </w:rPr>
        <w:t>Gagasan Mulla Sadra tentang daya fisik yang tetap ada  pada jiwa pascaberpisahnya jiwa dan raga menjadi penting,  mengingat sebagian besar pandangan Mulla Sadra dalam  eskatologi mendapatkan sandaran dari pandangan ini.</w:t>
      </w:r>
    </w:p>
    <w:p>
      <w:pPr>
        <w:pStyle w:val="Heading3"/>
        <w:numPr>
          <w:ilvl w:val="2"/>
          <w:numId w:val="1"/>
        </w:numPr>
        <w:bidi w:val="0"/>
        <w:jc w:val="left"/>
        <w:rPr/>
      </w:pPr>
      <w:bookmarkStart w:id="124" w:name="__RefHeading___Toc808224_653776707"/>
      <w:bookmarkStart w:id="125" w:name="_Toc41"/>
      <w:bookmarkEnd w:id="124"/>
      <w:r>
        <w:rPr/>
        <w:t>4. Hakikat Kiamat</w:t>
      </w:r>
      <w:bookmarkEnd w:id="125"/>
    </w:p>
    <w:p>
      <w:pPr>
        <w:pStyle w:val="BookText"/>
        <w:bidi w:val="0"/>
        <w:jc w:val="both"/>
        <w:rPr/>
      </w:pPr>
      <w:r>
        <w:rPr>
          <w:rFonts w:eastAsia="Times New Roman" w:cs="Times New Roman" w:ascii="Times New Roman" w:hAnsi="Times New Roman"/>
          <w:color w:val="111111"/>
          <w:sz w:val="28"/>
          <w:szCs w:val="28"/>
          <w:lang w:val="en-US"/>
        </w:rPr>
        <w:t>Peristiwa yang sangat penting dalam kajian Eskatologi  adalah peristiwa Kiamat karena gagasan tentang kehidupan  akhirat sebagai kehidupan akhir dari perjalanan kehidupan  manusia bermula pascaterjadinya Kiamat. Gagasan Kiamat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188 </w:t>
      </w:r>
    </w:p>
    <w:p>
      <w:pPr>
        <w:pStyle w:val="BookText"/>
        <w:bidi w:val="0"/>
        <w:rPr/>
      </w:pPr>
      <w:r>
        <w:rPr>
          <w:rFonts w:eastAsia="Times New Roman" w:cs="Times New Roman" w:ascii="Times New Roman" w:hAnsi="Times New Roman"/>
          <w:color w:val="111111"/>
          <w:sz w:val="28"/>
          <w:szCs w:val="28"/>
          <w:lang w:val="en-US"/>
        </w:rPr>
        <w:t>berasal dari doktrin Alquran.</w:t>
      </w:r>
      <w:r>
        <w:rPr>
          <w:rStyle w:val="FootnoteAnchor"/>
        </w:rPr>
        <w:footnoteReference w:id="202"/>
      </w:r>
      <w:r>
        <w:rPr>
          <w:rFonts w:eastAsia="Times New Roman" w:cs="Times New Roman" w:ascii="Times New Roman" w:hAnsi="Times New Roman"/>
          <w:color w:val="111111"/>
          <w:sz w:val="28"/>
          <w:szCs w:val="28"/>
          <w:lang w:val="en-US"/>
        </w:rPr>
        <w:t>Di dalam Alquran, kita dapat  menemukan banyak sekali gambaran peristiwa Kiamat  tersebut, bahkan beberapa surat dinamakan dengan istilah  yang mengindikasikan peristiwa Kiamat. Surat-surat tersebut,  antara lain, Al-Waqi'ah (Kejadian), Al-Haqqah (Hari Kiamat),  Al-Qiyāmah (Kiamat), Al-Nabā' (Berita Besar), Al-Takwir  (Menggulung), Al-Infitār (Terbelah), Al-Ghāsiyyah (Peristiwa  yang Dahsyat), Al-Zilzalah (Kegoncangan), dan Al-Qāri'ah (Yang  Mengetuk dengan Keras) sehingga wajar kemudian banyak  penulis eskatologi mendudukkan peristiwa Kiamat ini sebagai  isu sentral alquran di samping ketaatan kepada Allah Swt..</w:t>
      </w:r>
    </w:p>
    <w:p>
      <w:pPr>
        <w:pStyle w:val="BookText"/>
        <w:bidi w:val="0"/>
        <w:jc w:val="both"/>
        <w:rPr/>
      </w:pPr>
      <w:r>
        <w:rPr>
          <w:rFonts w:eastAsia="Times New Roman" w:cs="Times New Roman" w:ascii="Times New Roman" w:hAnsi="Times New Roman"/>
          <w:color w:val="111111"/>
          <w:sz w:val="28"/>
          <w:szCs w:val="28"/>
          <w:lang w:val="en-US"/>
        </w:rPr>
        <w:t xml:space="preserve">Beberapa ayat Alquran mendudukkan keimanan terhadap hari  akhir ini bergandengan dengan keimanan terhadap Allah Swt.. </w:t>
      </w:r>
      <w:r>
        <w:rPr>
          <w:rStyle w:val="FootnoteAnchor"/>
        </w:rPr>
        <w:footnoteReference w:id="203"/>
      </w:r>
      <w:r>
        <w:rPr>
          <w:rFonts w:eastAsia="Times New Roman" w:cs="Times New Roman" w:ascii="Times New Roman" w:hAnsi="Times New Roman"/>
          <w:color w:val="111111"/>
          <w:sz w:val="28"/>
          <w:szCs w:val="28"/>
          <w:lang w:val="en-US"/>
        </w:rPr>
        <w:t xml:space="preserve"> Kiamat berasal dari kata Qoma yang berarti 'berdiri',  yaitu berdirinya makhluk dihadapan Tuhannya.</w:t>
      </w:r>
      <w:r>
        <w:rPr>
          <w:rStyle w:val="FootnoteAnchor"/>
        </w:rPr>
        <w:footnoteReference w:id="204"/>
      </w:r>
      <w:r>
        <w:rPr>
          <w:rFonts w:eastAsia="Times New Roman" w:cs="Times New Roman" w:ascii="Times New Roman" w:hAnsi="Times New Roman"/>
          <w:color w:val="111111"/>
          <w:sz w:val="28"/>
          <w:szCs w:val="28"/>
          <w:lang w:val="en-US"/>
        </w:rPr>
        <w:t>Alquran  secara khusus mendefinisikan hari kiamat sebagai ‘hari ketika  seseorang tidak berdaya sedikitpun untuk menolong orang lain.</w:t>
      </w:r>
    </w:p>
    <w:p>
      <w:pPr>
        <w:pStyle w:val="BookText"/>
        <w:bidi w:val="0"/>
        <w:jc w:val="both"/>
        <w:rPr/>
      </w:pPr>
      <w:r>
        <w:rPr>
          <w:rFonts w:eastAsia="Times New Roman" w:cs="Times New Roman" w:ascii="Times New Roman" w:hAnsi="Times New Roman"/>
          <w:color w:val="111111"/>
          <w:sz w:val="28"/>
          <w:szCs w:val="28"/>
          <w:lang w:val="en-US"/>
        </w:rPr>
        <w:t>Dan segala urusan pada hari itu dalam kekuasaan Allah',</w:t>
      </w:r>
      <w:r>
        <w:rPr>
          <w:rStyle w:val="FootnoteAnchor"/>
        </w:rPr>
        <w:footnoteReference w:id="20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لَا تَمْلِکُ نَفْسٌ لِنَفْسٍ شَیْئًا وَالْأَمْرُ یَوْمَئِذٍ 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yaitu) Hari (ketika) seseorang tidak berdaya sedikitpun  untuk menolong orang lain, dan segala urusan pada hari itu  dalam kekuasaan Allah."</w:t>
      </w:r>
    </w:p>
    <w:p>
      <w:pPr>
        <w:pStyle w:val="BookText"/>
        <w:bidi w:val="0"/>
        <w:jc w:val="both"/>
        <w:rPr/>
      </w:pPr>
      <w:r>
        <w:rPr>
          <w:rFonts w:eastAsia="Times New Roman" w:cs="Times New Roman" w:ascii="Times New Roman" w:hAnsi="Times New Roman"/>
          <w:color w:val="111111"/>
          <w:sz w:val="28"/>
          <w:szCs w:val="28"/>
          <w:lang w:val="en-US"/>
        </w:rPr>
        <w:t>dan  banyak nama yang digunakan untuk mengisyaratkan tentang hari  tersebut.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Yawm al-Qiyāmah (Hari Kiamat), Yawm al-Hasrah (Hari  Penyesalan), Yawm al-Nadāmah (Hari Menyesal), Yawm al-  Muhāsabah (Hari Perhitungan), Yawm al-Musā'alah (Hari  Pertanyaan), Yawm al-Musābaqah (Hari perlombaan), Yawm  al-Munāqasyah (Hari Perdebatan), Yawm al-Munāfasah (Hari  Perlombaan), Yawm al-Zilzalah (Hari Kegoncangan), Yawm  al-Damdamah (Hari Kebinasaan), Iqa Yawm al-Sā'h (Hari  Halilintar), Yawm al-Wāqi'ah (Hari Kegoncangan yang sulit),  Yawm al-Qāri'ah (Hari Peristiwa Besar), Yawm al-Rājifah (Hari  Bumi Bergoncang), Yawm al-Rādifah (Hari yang Mengiringi  Kegoncangan), Yawm al-Gāsyiyah (Hari Peristiwa yang  Menyelubungi), Yawm al-Dāhiyah (Hari Bencana), Yawm al-  Āzifah (Hari yang Sudah Dekat Waktunya), Yawm al-Haqqah  (Hari Kebenaran), Yawm al-Tammah (Hari Bahaya), Yawm  al-Sākhkhah (Hari yang Memekakan telinga), Yawm al-  Talāq (Hari Pertemuan dengan Tuhan), Yawm al-Firāq (Hari  Perpisahan), Yawm al-Masāq (Hari Dihalaukan), Yawm al-        Qisās (Hari Qisas), Yawm al-Tanad (Hari Saling Memanggil),  Yawm al Hisab (Hari Perhitungan Amal), Yawm al-Ma'āb (Hari  Kembali), Yawm al-´Azāb (Hari Penyiksaan), Yawm al-Firār  (Hari Lari), Yawm al-Qarār (Hari Tetap), Yawm al-Liqā' (Hari  Pertemuan), Yawm al-Baqā' (Hari Keabadian), Yawm al-Fadā'  (Hari Keterbukaan), Yawm al-Jazā' (Hari Pembalasan), Yawm al-  Balā' (Hari Percobaan), Yawm al-Bukā' (Hari Menangis), Yawm  al-Hasyr (Hari Berkumpul), Yawm al-wa'id (Hari Perjanjian  [siksa]), Yawm al-'Arad (Hari Datang), Yawm al-Wazn (Hari  Timbangan), Yawm al-Haqq (Hari Kebenaran), Yawm al-Hukm  (Hari Hukuman), Yawm al-Fasl (Hari Pemisahan), Yawm al-  Jam' (Hari Berkumpul), Yawm al-Ba'ts (Hari Kebangkitan),  Yawm al-Fath (Hari kemenangan), Yawm al-Khizy (Hari  Kehinaan), Yawm al-'Azim (Hari Keagungan), Yawm al-'Aqim  (Hari sial), Yawm al-Asīr (Hari Sukar), Yawm al-Dīn (Hari  Agama), Yawm al-Yaqīn (Hari Keyakinan), Yawm al-Nusyūr  (Hari Berserak-serak), Yawm al-Masīr (Hari Tempat Kembali),  Yawm al-Nafkhah (Hari Tiupan), Yawm al Sihah (Hari Teriakan  ), Yawm al-Rajfah (Hari Kegoncangan), Yawm al-Rajjah (Hari  Bergerak), Yawm al-Zajrah (Hari yang menakuti), Yawm al-  Sakrah ( Hari kemabukan), Yawm al- Faz' (Hari ketakutan),  Yawm al- Jaz' Hari kegundahan), Yawm al-Muntahā (Hari  Kesudahan), Yawm al-Ma'wā (Hari Tempat Tinggal), Yawm  al-Miqāt (Hari Tepat Waktu), Yawm al-Miād (Hari Tempat  Kembali), Yawm al-Mirsad (Hari Menanti), Yawm al-Qalaq  (Hari Kekacauan), Yawm al-'Araq (Hari Keringat), Yawm al-  Iftiqār (Hari Keperluan), Yawm al-Inkidār (Hari Kekeruhan),  Yawm al-Intisyar (Hari Bertebaran), Yawm al-Insyiqā (Hari  Terbelahnya Langit), Yawm al-Wuquf (Hari Berhenti), Yawm      al-Khurūj (Hari Keluar), Yawm al-Khulūd (Hari Kekekalan),  Yawm al-Taqābun (Hari Terpedaya), Yawm al-“Abūs (Hari  Kesukaran), Yawm Ma'lum (Hari yang Diketahui), Yawm al-  Maw'ūd (Hari yang Dijanjikan), Yawm al-Masyhūd (Hari yang  Disaksikan), Yawm Lākayb Fih (Hari yang Tiada Keraguan  Padanya), Yawm Tublā al-Sarā'ir (Hari yang Dicobakan Segala  Rahasia), Yawm Lālajzi Nafs'an Nafs Syai'an (Hari yang Tidak  Dapat SatuDiri Menggantikan Diri Lain), Yawm Tasykhas fih  al-Absār (Hari yang Memandang Padanya Semua Mata), Yawm  lā yugnīmaulan ‘an maulan syai'an (Hari yang seorang sahabat  tidak dapat menolong sahabatnya sedikitpun), Yawm Yudda'ün  ilā Nāri Jahannam Da'an (Hari yang digiring ke Neraka dengan  kekerasan), Yawm Yushabūn fī Nār Jahannam 'alā Wujūhihim  (Hari yang mereka ditarik ke Neraka atas mukanya), Yawm  Tuqallab Wujūhuhum fi an-Nār (Hari yang muka mereka  dibolak-balik dalam Neraka), Yawm là Yajzi Walid'an Waladih  (Hari yang tidak dapat bapak menolong anaknya), Yawm Yafirr  Mar'min Akhih wa Ummih wa Abih (Hari yang manusia lari  dari saudara, ibu dan bapaknya), Yawm là Yantiqūn wa lā  Yuʼzan lahum fa Ya'tažirūn (Hari yang mereka tidak bercakap-  cakap, tidak diizinkan, lalu mereka pun minta kemaafan),  Yawm lā Maradda lah min Allāh (Hari yang tiada penolakan  baginya dari Allah), Yawm hum Bārizūn (Hari yang mereka  datang ke muka, Yawm hum ‘alā an-Nār Yuftanūn (Hari yang  mereka dicoba atas Neraka), Yawm là Yanfa' Māl wa lā Banūn  (Hari yang tiada bermanfaat harta dan anak), Yawm lāYanfa'al-  zālimīma maʼżiratuhum wa lahum al la'nah wa lahum sū' al-  dār (Hari yang tidak bermanfaat bagi orang-orang zalim akan  dalih mereka dan bagi mereka kutukan dan tempat tinggal        yang buruk), Yawm turadd fih al-ma'āžīr wa tublā al-sarā'ir  wa tuzhar al-damā'ir wa tuksyaf al-astāruh (Hari yang tertolak  padanya segala dalih, dicoba segala rahasia, dilahirkan segala  isi hati dan disingkapkan segala tirai), Yawm takhsya' fihal-  absār wa taskun al-aswāt wa yaqill fih al-tifāt wa tabruz al-  khafiyyāt wa tazhar al-khatīāt (Hari yang tetap padanya segala  penglihatan,tenang segala suara, sedikit padanya berpaling,  lahir segala yang tersembunyi, dan tampak segala kesalahan),  dan Yawm Yusāq al-'ibād wa ma'ahum al- Asyhād wa Yasyīb  al-Sagīr wa Yaskar al-Kabīr (Hari yang dihalau seorang hamba,  yang bersama mereka anggota badannya yang menjadi saksi,  anak kecil menjadi beruban, orang tua menjadi mabuk). Lihat  al-Gazālī, Ihya' Ulum al-Din, J. IV hal. 549-550.</w:t>
      </w:r>
    </w:p>
    <w:p>
      <w:pPr>
        <w:pStyle w:val="BookText"/>
        <w:bidi w:val="0"/>
        <w:jc w:val="both"/>
        <w:rPr/>
      </w:pPr>
      <w:r>
        <w:rPr>
          <w:rFonts w:eastAsia="Times New Roman" w:cs="Times New Roman" w:ascii="Times New Roman" w:hAnsi="Times New Roman"/>
          <w:color w:val="111111"/>
          <w:sz w:val="28"/>
          <w:szCs w:val="28"/>
          <w:lang w:val="en-US"/>
        </w:rPr>
        <w:t>Di samping itu, Alquran menggambarkan peristiwa  Kiamat sebagai peristiwa yang luar biasa dahsyatnya, matahari  digulung,</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ascii="IRNazanin" w:hAnsi="IRNazanin" w:eastAsia="IRNazanin"/>
          <w:color w:val="111111"/>
          <w:sz w:val="28"/>
          <w:sz w:val="28"/>
          <w:szCs w:val="28"/>
          <w:rtl w:val="true"/>
          <w:lang w:bidi="fa-IR"/>
        </w:rPr>
        <w:t>إذا الشمس کورت</w:t>
      </w:r>
    </w:p>
    <w:p>
      <w:pPr>
        <w:pStyle w:val="BookText"/>
        <w:bidi w:val="0"/>
        <w:jc w:val="both"/>
        <w:rPr/>
      </w:pPr>
      <w:r>
        <w:rPr>
          <w:rFonts w:eastAsia="Times New Roman" w:cs="Times New Roman" w:ascii="Times New Roman" w:hAnsi="Times New Roman"/>
          <w:color w:val="111111"/>
          <w:sz w:val="28"/>
          <w:szCs w:val="28"/>
          <w:lang w:val="en-US"/>
        </w:rPr>
        <w:t>langit terbelah,</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ascii="IRNazanin" w:hAnsi="IRNazanin" w:eastAsia="IRNazanin"/>
          <w:color w:val="111111"/>
          <w:sz w:val="28"/>
          <w:sz w:val="28"/>
          <w:szCs w:val="28"/>
          <w:rtl w:val="true"/>
          <w:lang w:bidi="fa-IR"/>
        </w:rPr>
        <w:t>کما إن کتاب الأبرار یلف علیین</w:t>
      </w:r>
    </w:p>
    <w:p>
      <w:pPr>
        <w:pStyle w:val="BookText"/>
        <w:bidi w:val="0"/>
        <w:jc w:val="both"/>
        <w:rPr/>
      </w:pPr>
      <w:r>
        <w:rPr>
          <w:rFonts w:eastAsia="Times New Roman" w:cs="Times New Roman" w:ascii="Times New Roman" w:hAnsi="Times New Roman"/>
          <w:color w:val="111111"/>
          <w:sz w:val="28"/>
          <w:szCs w:val="28"/>
          <w:lang w:val="en-US"/>
        </w:rPr>
        <w:t>bintang-bintang pudar cahayanya,</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ascii="IRNazanin" w:hAnsi="IRNazanin" w:eastAsia="IRNazanin"/>
          <w:color w:val="111111"/>
          <w:sz w:val="28"/>
          <w:sz w:val="28"/>
          <w:szCs w:val="28"/>
          <w:rtl w:val="true"/>
          <w:lang w:bidi="fa-IR"/>
        </w:rPr>
        <w:t>وإذا التجوم انکدرت</w:t>
      </w:r>
    </w:p>
    <w:p>
      <w:pPr>
        <w:pStyle w:val="BookText"/>
        <w:bidi w:val="0"/>
        <w:jc w:val="both"/>
        <w:rPr/>
      </w:pPr>
      <w:r>
        <w:rPr>
          <w:rFonts w:eastAsia="Times New Roman" w:cs="Times New Roman" w:ascii="Times New Roman" w:hAnsi="Times New Roman"/>
          <w:color w:val="111111"/>
          <w:sz w:val="28"/>
          <w:szCs w:val="28"/>
          <w:lang w:val="en-US"/>
        </w:rPr>
        <w:t>gunung-gunung hancur.</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ascii="IRNazanin" w:hAnsi="IRNazanin" w:eastAsia="IRNazanin"/>
          <w:color w:val="111111"/>
          <w:sz w:val="28"/>
          <w:sz w:val="28"/>
          <w:szCs w:val="28"/>
          <w:rtl w:val="true"/>
          <w:lang w:bidi="fa-IR"/>
        </w:rPr>
        <w:t>وتکون الجبال کالعهن</w:t>
      </w:r>
    </w:p>
    <w:p>
      <w:pPr>
        <w:pStyle w:val="BookText"/>
        <w:bidi w:val="0"/>
        <w:jc w:val="both"/>
        <w:rPr/>
      </w:pPr>
      <w:r>
        <w:rPr>
          <w:rFonts w:eastAsia="Times New Roman" w:cs="Times New Roman" w:ascii="Times New Roman" w:hAnsi="Times New Roman"/>
          <w:color w:val="111111"/>
          <w:sz w:val="28"/>
          <w:szCs w:val="28"/>
          <w:lang w:val="en-US"/>
        </w:rPr>
        <w:t>Peristiwa yang mengawali Kiamat, sebagaimana yang  disebutkan Alquran, dimulai dengan peniupan sangkakala. Dari  situ, mulailah peristiwa kehancuran seluruh alam semesta.</w:t>
      </w:r>
    </w:p>
    <w:p>
      <w:pPr>
        <w:pStyle w:val="BookText"/>
        <w:bidi w:val="0"/>
        <w:jc w:val="both"/>
        <w:rPr/>
      </w:pPr>
      <w:r>
        <w:rPr>
          <w:rFonts w:eastAsia="Times New Roman" w:cs="Times New Roman" w:ascii="Times New Roman" w:hAnsi="Times New Roman"/>
          <w:color w:val="111111"/>
          <w:sz w:val="28"/>
          <w:szCs w:val="28"/>
          <w:lang w:val="en-US"/>
        </w:rPr>
        <w:t>Peristiwa ini merupakan awal kehidupan berikutnya, yaitu  kehidupan akhirat sebagai kehidupan yang digambarkan  Alquran maupun para pemikir Muslim sebagai kehidupan yang</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189 </w:t>
      </w:r>
    </w:p>
    <w:p>
      <w:pPr>
        <w:pStyle w:val="BookText"/>
        <w:bidi w:val="0"/>
        <w:rPr/>
      </w:pPr>
      <w:r>
        <w:rPr>
          <w:rFonts w:eastAsia="Times New Roman" w:cs="Times New Roman" w:ascii="Times New Roman" w:hAnsi="Times New Roman"/>
          <w:color w:val="111111"/>
          <w:sz w:val="28"/>
          <w:szCs w:val="28"/>
          <w:lang w:val="en-US"/>
        </w:rPr>
        <w:t>sesungguhnya, sedangkan  kehidupan duniawi adalah  kehidupan sementara dan  main-main.</w:t>
      </w:r>
      <w:r>
        <w:rPr>
          <w:rStyle w:val="FootnoteAnchor"/>
        </w:rPr>
        <w:footnoteReference w:id="20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الْحَیَاةُ الدُّنْیَا إِلَّا لَعِبٌ وَلَهْوٌ وَلَلدَّارُ الْآخِرَةُ خَیْرٌ لِلَّذِینَ یَتَّقُونَ أَفَلَا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Al-Ghazali menggambarkan kehidupan akhirat sebagai  kehidupan yang hakiki dan abadi, sedangkan kehidupan  duniawi hanyalah kehidupan yang sekilas dan sementara.</w:t>
      </w:r>
    </w:p>
    <w:p>
      <w:pPr>
        <w:pStyle w:val="BookText"/>
        <w:bidi w:val="0"/>
        <w:jc w:val="both"/>
        <w:rPr/>
      </w:pPr>
      <w:r>
        <w:rPr>
          <w:rFonts w:eastAsia="Times New Roman" w:cs="Times New Roman" w:ascii="Times New Roman" w:hAnsi="Times New Roman"/>
          <w:color w:val="111111"/>
          <w:sz w:val="28"/>
          <w:szCs w:val="28"/>
          <w:lang w:val="en-US"/>
        </w:rPr>
        <w:t>Lihat: Al-Ghazali, Ihya', J. IV, hlm. 539.</w:t>
      </w:r>
    </w:p>
    <w:p>
      <w:pPr>
        <w:pStyle w:val="BookText"/>
        <w:bidi w:val="0"/>
        <w:jc w:val="both"/>
        <w:rPr/>
      </w:pPr>
      <w:r>
        <w:rPr>
          <w:rFonts w:eastAsia="Times New Roman" w:cs="Times New Roman" w:ascii="Times New Roman" w:hAnsi="Times New Roman"/>
          <w:color w:val="111111"/>
          <w:sz w:val="28"/>
          <w:szCs w:val="28"/>
          <w:lang w:val="en-US"/>
        </w:rPr>
        <w:t>Mulla Sadra, dalam  membicarakan Kiamat  ini, mengawali dengan  membagi Kiamat menjadi  dua bagian: Kiamat kecil  dan Kiamat besar. Kiamat  kecil bagi Sadra adalah  kematian yang terjadi pada  diri manusia. Ketika manusia  tersebut mengalami kematian, maka terjadilah Kiamat baginya,  sedangkan Kiamat besar, Mulla Sadra memberikan makna  yang berbeda dari umumnya umat Islam. Seperti yang telah  disebutkan sebelumnya, Kiamat merupakan kehancuran alam  semesta dan kematian seluruh makhluk, tetapi bagi Mulla  Sadra, Kiamat besar bermakna terfokusnya orientasi segala yang  rendah kepada Yang Mahatinggi, segala sesuatu kepada sumber  aslinya, segala forma pada hakikatnya, akibat pada sebabnya  serta tersambungnya jiwa-jiwa langit pada jiwa intelek</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Akhirat, menurut Mulla Sadra, hanya akan dihasilkan  melalui peristiwa terangkatnya segala bentuk hijab yang  membatasi seorang manusia akan kesadaran tentang hakikat,  tanggalnya segala forma yang selama ini membatasi diri,  terpancarnya Al-Haqq dengan ketunggalannya yang hakiki,  demikian pula terpaparkan segala sesuatu dalam forma</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190 </w:t>
      </w:r>
    </w:p>
    <w:p>
      <w:pPr>
        <w:pStyle w:val="BookText"/>
        <w:bidi w:val="0"/>
        <w:rPr/>
      </w:pPr>
      <w:r>
        <w:rPr>
          <w:rFonts w:eastAsia="Times New Roman" w:cs="Times New Roman" w:ascii="Times New Roman" w:hAnsi="Times New Roman"/>
          <w:color w:val="111111"/>
          <w:sz w:val="28"/>
          <w:szCs w:val="28"/>
          <w:lang w:val="en-US"/>
        </w:rPr>
        <w:t>substantifnya yang hakiki. Bagi Mulla Sadra, segala sesuatu  yang selama kehidupan di dunia merupakan batin bagi manusia,  akan tampil secara zahir di akhirat karena segala bentuk hijab  yang membatasi manusia tersebut selama ini telah terangkat.</w:t>
      </w:r>
      <w:r>
        <w:rPr>
          <w:rStyle w:val="FootnoteAnchor"/>
        </w:rPr>
        <w:footnoteReference w:id="207"/>
      </w:r>
      <w:r>
        <w:rPr>
          <w:rFonts w:eastAsia="Times New Roman" w:cs="Times New Roman" w:ascii="Times New Roman" w:hAnsi="Times New Roman"/>
          <w:color w:val="111111"/>
          <w:sz w:val="28"/>
          <w:szCs w:val="28"/>
          <w:lang w:val="en-US"/>
        </w:rPr>
        <w:t xml:space="preserve"> Mulla Sadra menyatakan bahwa peristiwa Kiamat besar  ini sebenarnya tidak terjadi pada satu fase tertentu seperti  yang diyakini awam, melainkan bahwa peristiwa ini terjadi  setiap masa dan puncaknya ketika segala sesuatu sampai  pada puncak tujuan perjalanannya yang tidak ada tujuan lagi  setelahnya. Itulah yang dimaksud Mulla Sadra sebagai “waktu  atau hari Ketuhanan yang satu" dan baginya, siapa saja yang  memiliki kesadaran tentang prinsip gerakan transubstansial dan  hatinya dipenuhi dengan cahaya keyakinan, dapat menyaksikan  peristiwa perubahan segala bentuk parsial, identitas, dan jiwa  menuju Allah Swt.. Peristiwa tersebut disebut sebagai Kiamat  menurut Mulla Sadra, karena segala sesuatu berdiri kembali  dalam wujud yang abadi dan tidak akan pernah mengalami  kesirnaan atau kehancuran.</w:t>
      </w:r>
      <w:r>
        <w:rPr>
          <w:rStyle w:val="FootnoteAnchor"/>
        </w:rPr>
        <w:footnoteReference w:id="208"/>
      </w:r>
      <w:r>
        <w:rPr>
          <w:rFonts w:eastAsia="Times New Roman" w:cs="Times New Roman" w:ascii="Times New Roman" w:hAnsi="Times New Roman"/>
          <w:color w:val="111111"/>
          <w:sz w:val="28"/>
          <w:szCs w:val="28"/>
          <w:lang w:val="en-US"/>
        </w:rPr>
        <w:t xml:space="preserve"> Inilah yang dimaksud Mulla Sadra sebagai Kiamat dan  dengan prinsip al-Harākat al-Jawhariyyāh yang dikembangkan  Mulla Sadra. Sebuah kesulitan bagi Mulla Sadra untuk menerima  doktrin bahwa Kiamat adalah peristiwa yang terjadi pada masa  tertentu karena berdasarkan prinsip ini, segala sesuatu terus  menerus dalam gerakan dan hanya akan berhenti setelah  sampai pada tujuan akhirnya. Namun, tidak berarti bahwa  tidak akan ada peristiwa segala sesuatu di alam semesta akan  mengalami kehancuran, bahkan berdasarkan prinsip-prinsip  filsafat yang dikembangkan Mulla Sadra dapat dipastikan bahwa  segala sesuatu akan mengalami Kiamat karena segala sesuatu,</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191 </w:t>
      </w:r>
      <w:bookmarkStart w:id="126" w:name="pg6434_60732"/>
    </w:p>
    <w:p>
      <w:pPr>
        <w:pStyle w:val="BookText"/>
        <w:bidi w:val="0"/>
        <w:rPr/>
      </w:pPr>
      <w:bookmarkEnd w:id="126"/>
      <w:r>
        <w:rPr>
          <w:rFonts w:eastAsia="Times New Roman" w:cs="Times New Roman" w:ascii="Times New Roman" w:hAnsi="Times New Roman"/>
          <w:color w:val="111111"/>
          <w:sz w:val="28"/>
          <w:szCs w:val="28"/>
          <w:lang w:val="en-US"/>
        </w:rPr>
        <w:t>bagi Mulla Sadra, memiliki jiwa yang terus-menerus mengalami  gerakan transubstansial dan berorientasi pada puncak wujud  yang disitu berakhir segala gerakan.</w:t>
      </w:r>
    </w:p>
    <w:p>
      <w:pPr>
        <w:pStyle w:val="BookText"/>
        <w:bidi w:val="0"/>
        <w:jc w:val="both"/>
        <w:rPr/>
      </w:pPr>
      <w:r>
        <w:rPr>
          <w:rFonts w:eastAsia="Times New Roman" w:cs="Times New Roman" w:ascii="Times New Roman" w:hAnsi="Times New Roman"/>
          <w:color w:val="111111"/>
          <w:sz w:val="28"/>
          <w:szCs w:val="28"/>
          <w:lang w:val="en-US"/>
        </w:rPr>
        <w:t>Apa yang digambarkan Mulla Sadra tentang makna  Kiamat ini merupakan sesuatu yang baru, dibandingkan  para filsuf sebelumnya, yang sama sekali tidak memberikan  penjelasan secara khusus tentang Kiamat, sekalipun tidak  dapat dibandingkan dengan karya-karya para teolog, seperti  Al-Gazhali dan selainnya, yang secara mendetail menjelaskan  peristiwa-peristiwa khusus ketika Kiamat terjadi. Ini dapat  dipahami, mengingat Mulla Sadra berusaha secara konsisten  membicarakan peristiwa tersebut dalam koridor filsafat yang  dikembangkannya sehingga sepertinya, Mulla Sadra tidak  merasa perlu untuk menggambarkan peristiwa tersebut melalui  riwayat-riwayat yang, pada umumnya, digunakan para teolog.</w:t>
      </w:r>
    </w:p>
    <w:p>
      <w:pPr>
        <w:pStyle w:val="Heading3"/>
        <w:numPr>
          <w:ilvl w:val="2"/>
          <w:numId w:val="1"/>
        </w:numPr>
        <w:bidi w:val="0"/>
        <w:jc w:val="left"/>
        <w:rPr/>
      </w:pPr>
      <w:bookmarkStart w:id="127" w:name="__RefHeading___Toc808226_653776707"/>
      <w:bookmarkStart w:id="128" w:name="_Toc42"/>
      <w:bookmarkEnd w:id="127"/>
      <w:r>
        <w:rPr/>
        <w:t>5. Makna Kebangkitan dan Pengumpulan</w:t>
      </w:r>
      <w:bookmarkEnd w:id="128"/>
    </w:p>
    <w:p>
      <w:pPr>
        <w:pStyle w:val="BookText"/>
        <w:bidi w:val="0"/>
        <w:jc w:val="both"/>
        <w:rPr/>
      </w:pPr>
      <w:r>
        <w:rPr>
          <w:rFonts w:eastAsia="Times New Roman" w:cs="Times New Roman" w:ascii="Times New Roman" w:hAnsi="Times New Roman"/>
          <w:color w:val="111111"/>
          <w:sz w:val="28"/>
          <w:szCs w:val="28"/>
          <w:lang w:val="en-US"/>
        </w:rPr>
        <w:t>Dalam kajian Eskatologi, peristiwa yang cukup mendasar  dan cukup menjadi perdebatan serius antara para filsuf dan  teolog adalah peristiwa bangkitnya manusia yang telah mati  dari kuburnya. Karena itu juga, keseluruhan kajian yang  berkaitan keadaan jiwa pascakematian disebut dengan peristiwa  kebangkitan kembali, yaitu al-Ma'ād.</w:t>
      </w:r>
    </w:p>
    <w:p>
      <w:pPr>
        <w:pStyle w:val="BookText"/>
        <w:bidi w:val="0"/>
        <w:jc w:val="both"/>
        <w:rPr/>
      </w:pPr>
      <w:r>
        <w:rPr>
          <w:rFonts w:eastAsia="Times New Roman" w:cs="Times New Roman" w:ascii="Times New Roman" w:hAnsi="Times New Roman"/>
          <w:color w:val="111111"/>
          <w:sz w:val="28"/>
          <w:szCs w:val="28"/>
          <w:lang w:val="en-US"/>
        </w:rPr>
        <w:t>Doktrin ini adalah doktrin yang, pada umumnya, sulit  diterima pada awal-awal sejarah Islam. Karenanya, di dalam  Alquran dabadikan keberatan kaum Jahiliyyah terhadap doktrin  ini.</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Berkaitan dengan ayat ini, Mulla Sadra menolak  menjadikan ayat ini sebagai bukti kebangkitan karena  menurutnya, ayat ini hanya menunjukkan kemampuan  Allah untuk menyusun kembali tulang-tulang yang telah  hancur. Lihat: Mulla Sadra, Al-Asfar, J. 9, hlm. 48.</w:t>
      </w:r>
    </w:p>
    <w:p>
      <w:pPr>
        <w:pStyle w:val="BookText"/>
        <w:bidi w:val="0"/>
        <w:jc w:val="both"/>
        <w:rPr/>
      </w:pPr>
      <w:r>
        <w:rPr>
          <w:rFonts w:eastAsia="Times New Roman" w:cs="Times New Roman" w:ascii="Times New Roman" w:hAnsi="Times New Roman"/>
          <w:color w:val="111111"/>
          <w:sz w:val="28"/>
          <w:szCs w:val="28"/>
          <w:lang w:val="en-US"/>
        </w:rPr>
        <w:t>Keberatan terhadap doktrin ini tidak terbatas pada kaum  Jahiliyyah, melainkan juga pada setiap zaman tetap ada kelompok  yang menolak doktrin kembangkitan kembali ini, seperti yang</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192 </w:t>
      </w:r>
    </w:p>
    <w:p>
      <w:pPr>
        <w:pStyle w:val="BookText"/>
        <w:bidi w:val="0"/>
        <w:rPr/>
      </w:pPr>
      <w:r>
        <w:rPr>
          <w:rFonts w:eastAsia="Times New Roman" w:cs="Times New Roman" w:ascii="Times New Roman" w:hAnsi="Times New Roman"/>
          <w:color w:val="111111"/>
          <w:sz w:val="28"/>
          <w:szCs w:val="28"/>
          <w:lang w:val="en-US"/>
        </w:rPr>
        <w:t>telah disebutkan bahwa pada zaman modern ini, para filsuf  Barat, seperti Marx, Freud dan yang lainnya, tetap menolak  doktrin ini. Karenanya, tetap menjadi signifikan pembicaraan  tentang doktrin ini.</w:t>
      </w:r>
    </w:p>
    <w:p>
      <w:pPr>
        <w:pStyle w:val="BookText"/>
        <w:bidi w:val="0"/>
        <w:jc w:val="both"/>
        <w:rPr/>
      </w:pPr>
      <w:r>
        <w:rPr>
          <w:rFonts w:eastAsia="Times New Roman" w:cs="Times New Roman" w:ascii="Times New Roman" w:hAnsi="Times New Roman"/>
          <w:color w:val="111111"/>
          <w:sz w:val="28"/>
          <w:szCs w:val="28"/>
          <w:lang w:val="en-US"/>
        </w:rPr>
        <w:t>Di dalam Islam, tentu tidak terjadi penolakan terhadap  peristiwa ini, tetapi yang menjadi persoalan, sebagaimana yang  telah disebutkan pada Bab 1, adalah dalam makna dan forma  seperti apa kebangkitan itu terjadi.</w:t>
      </w:r>
    </w:p>
    <w:p>
      <w:pPr>
        <w:pStyle w:val="BookText"/>
        <w:bidi w:val="0"/>
        <w:jc w:val="both"/>
        <w:rPr/>
      </w:pPr>
      <w:r>
        <w:rPr>
          <w:rFonts w:eastAsia="Times New Roman" w:cs="Times New Roman" w:ascii="Times New Roman" w:hAnsi="Times New Roman"/>
          <w:color w:val="111111"/>
          <w:sz w:val="28"/>
          <w:szCs w:val="28"/>
          <w:lang w:val="en-US"/>
        </w:rPr>
        <w:t>Mulla Sadra, ketika membicarakan tentang kebangkitan  manusia dari kuburnya, memberikan makna sebagai peristiwa  ketika seluruh manusia terjaga dari penjaranya selama ini di  dalam kubur dengan aktifnya indra untuk dapat mempersepsi  hakikat-hakikat kehidupan akhirat. Bagi Mulla Sadra, alam  dunia ini seperti halnya rahim bagi kehidupan barzakh dan  alam barzakh merupakan rahim bagi kehidupan akhirat. Di  alam barzakh, manusia melakukan proses penyempurnaan diri  untuk dapat meningkatkan  kualitas dirinya hingga mampu  mempersepsi alam akhirat    yang merupakan alam dengan  untuk dapat memiliki kesadaran  kualitas yang lebih tinggi dari  alam-alam sebelumnya. Makna    kebangkitan ini diungkapkan    Sadra sebagai berikut:</w:t>
      </w:r>
    </w:p>
    <w:p>
      <w:pPr>
        <w:pStyle w:val="BookText"/>
        <w:bidi w:val="0"/>
        <w:jc w:val="both"/>
        <w:rPr/>
      </w:pPr>
      <w:r>
        <w:rPr>
          <w:rFonts w:eastAsia="Times New Roman" w:cs="Times New Roman" w:ascii="Times New Roman" w:hAnsi="Times New Roman"/>
          <w:color w:val="111111"/>
          <w:sz w:val="28"/>
          <w:szCs w:val="28"/>
          <w:lang w:val="en-US"/>
        </w:rPr>
        <w:t>Keluarnya jiwa dari patikel  partikel bentuk yang  selama ini meliputinya  sebagaimana keluarnya  janin dari rahim yang    kokoh, kubur hakiki adalah    tertutup dan terkepungnya</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193 </w:t>
      </w:r>
    </w:p>
    <w:p>
      <w:pPr>
        <w:pStyle w:val="BookText"/>
        <w:bidi w:val="0"/>
        <w:rPr/>
      </w:pPr>
      <w:r>
        <w:rPr>
          <w:rFonts w:eastAsia="Times New Roman" w:cs="Times New Roman" w:ascii="Times New Roman" w:hAnsi="Times New Roman"/>
          <w:color w:val="111111"/>
          <w:sz w:val="28"/>
          <w:szCs w:val="28"/>
          <w:lang w:val="en-US"/>
        </w:rPr>
        <w:t>jiwa setelah kematian raga pada bentuk yang selama ini  menempel padanya dan jiwa tersebut di antara kematian dan  kebangkitan berada dalam tingkatan janin atau orang yang  tidur dan pancaindranya menjadi tidak aktif untuk dapat  mempersepsi objek-objek akhirat dan ketika tiba waktu  bangkit, terjagalah seluruh manusia dari penjara ini dan  melangkah menuju Allah Swt., baik dengan kebebasan secara  mutlak dari berbagai bentuk keterikatan dan penjara hawa  nafsu maupun dipenuhi kebahagiaan dalam perjumpaan  dengan Allah Ta'ala.</w:t>
      </w:r>
      <w:r>
        <w:rPr>
          <w:rStyle w:val="FootnoteAnchor"/>
        </w:rPr>
        <w:footnoteReference w:id="210"/>
      </w:r>
    </w:p>
    <w:p>
      <w:pPr>
        <w:pStyle w:val="BookText"/>
        <w:bidi w:val="0"/>
        <w:jc w:val="both"/>
        <w:rPr/>
      </w:pPr>
      <w:r>
        <w:rPr>
          <w:rFonts w:ascii="IRNazanin" w:hAnsi="IRNazanin" w:eastAsia="IRNazanin"/>
          <w:color w:val="111111"/>
          <w:sz w:val="28"/>
          <w:sz w:val="28"/>
          <w:szCs w:val="28"/>
          <w:rtl w:val="true"/>
          <w:lang w:bidi="fa-IR"/>
        </w:rPr>
        <w:t>عن غبار هذه الهیئات المحیطة بها کما یخرج  أما البعث فهوخروج النفس  الجنین من القرار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الإشارة إلی أن القبر الحقیقی هو انغمار  النفس وانحصارها بعد موت البدن فی تلک الهیئات المکتفنة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بین الموت  و البعث بمنزلة الجنین أو النائم لم تقوقواها ومشاعرها لإدراک المدرکات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وقت القیام انبعث الإنسان من هذ الا نغمار قادما إلی الله  تعالی متوجها إلی الحضرة الالهیة إما مطلقا حرا عن قید التعلقات واسر  الشهوات فرحانا بذاته مسرورا بلقائه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أحب لقاء الله أحب الله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مقبوضا مأ سورا بأیدی الزاجرات القاسرات کارها للقائه تعالی  و من کره لقاءالله کره الله لقائه</w:t>
      </w:r>
    </w:p>
    <w:p>
      <w:pPr>
        <w:pStyle w:val="BookText"/>
        <w:bidi w:val="0"/>
        <w:jc w:val="both"/>
        <w:rPr/>
      </w:pPr>
      <w:r>
        <w:rPr>
          <w:rFonts w:eastAsia="Times New Roman" w:cs="Times New Roman" w:ascii="Times New Roman" w:hAnsi="Times New Roman"/>
          <w:color w:val="111111"/>
          <w:sz w:val="28"/>
          <w:szCs w:val="28"/>
          <w:lang w:val="en-US"/>
        </w:rPr>
        <w:t>Bagi Mulla Sadra, setiap dimensi alam memiliki kualitas  spesifik yang satu lebih utama dari yang lainnya. Jiwa manusia,  untuk dapat memiliki kesadaran pada dimensi alam berikutnya,  haruslah memiliki kesempurnaan yang sesuai dengan kualitas  alam tersebut. Karenanya, fase kehidupan di dunia ini adalah fase  penyempurnaan jiwa untuk dapat mempersepsi alam barzakh  dan fase kehidupan alam barzakh adalah fase penyempurnaan  jiwa untuk dapat mempersepsi alam akhirat. Seperti yang telah  disebutkan sebelumnya, panjang-pendeknya masa seseorang di  alam barzakh sangat bergantung pada kualitas jiwa seseorang  tersebut. Hal ini masih menyisakan persoalan yang berkaitan  dengan jiwa-jiwa orang-orang kafir: apakah jiwa tersebut  akan mendekam selamanya di alam barzakh? Mulla Sadra  menyatakan tidak. Menurutnya, ada masa tertentu Allah Swt.</w:t>
      </w:r>
    </w:p>
    <w:p>
      <w:pPr>
        <w:pStyle w:val="BookText"/>
        <w:bidi w:val="0"/>
        <w:jc w:val="both"/>
        <w:rPr/>
      </w:pPr>
      <w:r>
        <w:rPr>
          <w:rFonts w:eastAsia="Times New Roman" w:cs="Times New Roman" w:ascii="Times New Roman" w:hAnsi="Times New Roman"/>
          <w:color w:val="111111"/>
          <w:sz w:val="28"/>
          <w:szCs w:val="28"/>
          <w:lang w:val="en-US"/>
        </w:rPr>
        <w:t>akan membangkitkan semua jiwa tersebut, tetapi jiwa orang-  orang kafir tersebut menjadi buta dan tidak mampu menangkap  realitas akhirat.</w:t>
      </w:r>
      <w:r>
        <w:rPr>
          <w:rStyle w:val="FootnoteAnchor"/>
        </w:rPr>
        <w:footnoteReference w:id="211"/>
      </w:r>
      <w:r>
        <w:rPr>
          <w:rFonts w:eastAsia="Times New Roman" w:cs="Times New Roman" w:ascii="Times New Roman" w:hAnsi="Times New Roman"/>
          <w:color w:val="111111"/>
          <w:sz w:val="28"/>
          <w:szCs w:val="28"/>
          <w:lang w:val="en-US"/>
        </w:rPr>
        <w:t xml:space="preserve"> Setelah terjadi kebangkitan tersebut, manusia akan masuk  dalam kelompok-kelompok yang mewakili identitas dirinya.</w:t>
      </w:r>
    </w:p>
    <w:p>
      <w:pPr>
        <w:pStyle w:val="BookText"/>
        <w:bidi w:val="0"/>
        <w:jc w:val="both"/>
        <w:rPr/>
      </w:pPr>
      <w:r>
        <w:rPr>
          <w:rFonts w:eastAsia="Times New Roman" w:cs="Times New Roman" w:ascii="Times New Roman" w:hAnsi="Times New Roman"/>
          <w:color w:val="111111"/>
          <w:sz w:val="28"/>
          <w:szCs w:val="28"/>
          <w:lang w:val="en-US"/>
        </w:rPr>
        <w:t>Identitas tersebut ditentukan oleh forma-forma yang muncul  dari jiwa. Forma-forma, – sebagaimana yang akan dibicarakan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194 </w:t>
      </w:r>
    </w:p>
    <w:p>
      <w:pPr>
        <w:pStyle w:val="BookText"/>
        <w:bidi w:val="0"/>
        <w:rPr/>
      </w:pPr>
      <w:r>
        <w:rPr>
          <w:rFonts w:eastAsia="Times New Roman" w:cs="Times New Roman" w:ascii="Times New Roman" w:hAnsi="Times New Roman"/>
          <w:color w:val="111111"/>
          <w:sz w:val="28"/>
          <w:szCs w:val="28"/>
          <w:lang w:val="en-US"/>
        </w:rPr>
        <w:t>pada Fisikalisasi Perbuatan (Tajassum al-A'māl) – terbentuk dari  karakter yang melekat pada jiwa manusia. Atas kategori formatif  seperti itu, menurut Mulla Sadra, manusia digiring untuk berada  dalam kelompok yang sesuai dengan forma dirinya.</w:t>
      </w:r>
    </w:p>
    <w:p>
      <w:pPr>
        <w:pStyle w:val="BookText"/>
        <w:bidi w:val="0"/>
        <w:jc w:val="both"/>
        <w:rPr/>
      </w:pPr>
      <w:r>
        <w:rPr>
          <w:rFonts w:eastAsia="Times New Roman" w:cs="Times New Roman" w:ascii="Times New Roman" w:hAnsi="Times New Roman"/>
          <w:color w:val="111111"/>
          <w:sz w:val="28"/>
          <w:szCs w:val="28"/>
          <w:lang w:val="en-US"/>
        </w:rPr>
        <w:t>Pengelompokan dalam kategori formatif inilah yang  disebut Mulla Sadra sebagai Pengumpulan (al-Hasyr). Mulla  Sadra menggambarkan proses pengumpulan tersebut dengan  gambaran bahwa manusia, ketika di dunia berada dalam satu  genus yang sama dan sesuai satu sama lain, sedangkan di alam  akhirat, jenis manusia menjadi beragam dengan kuantitas yang  tidak terbatas karena forma jiwa merupakan materi reseptif bagi  forma-forma akhirat yang berbeda-beda berdasarkan bentuk dan  karakter yang melekat pada dirinya. Sehingga menurut Mulla  Sadra bahwa Allah Swt. memakaikan manusia tersebut forma-  forma yang sesuai dengan karakternya, kemudian dikumpulkan  semua manusia dalam ragam seperti itu. Mulla Sadra, ketika  memberikan penjelasan ini, mengutip ayat alquran, “Pada  hari Kami tiupkan seruling dan mereka datang dengan tergesa-  gesa"</w:t>
      </w:r>
      <w:r>
        <w:rPr>
          <w:rStyle w:val="FootnoteAnchor"/>
        </w:rPr>
        <w:footnoteReference w:id="21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یُنْفَخُ فِی الصُّورِ فَتَأْتُونَ أَفْوَاجًا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sehingga menurut Mulla Sadra, berkumpullah manusia  berdasarkan perbuatan, karakter, dan pikiran. Di antara  kelompok tersebut, menurut Mulla Sadra, ada yang berjalan  dengan penuh kehormatan. Untuk ini, Mulla Sadra mengutip  ayat, “Dan ingatlah ketika kami kumpulkan orang-orang yang  bertakwa kepada Tuhan yang Maha Pemurah sebagai perutusan  yang terhormat".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نَحْشُرُ الْمُتَّقِینَ إِلَی الرَّحْمَنِ وَفْدًا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 juga menurutnya kelompok yang berjalan  menuju penderitaan. Untuk kelompok ini Mulla Sadra mengutip  ayat, “Dan pada hari dikumpulkan musuh-musuh Allah menuju  neraka"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وَنَحْشُرُهُ یَوْمَ الْقِیَامَةِ أَعْمَی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(ingatlah) hari (ketika) musuh-musuh Allah di  giring ke dalam neraka."</w:t>
      </w:r>
    </w:p>
    <w:p>
      <w:pPr>
        <w:pStyle w:val="BookText"/>
        <w:bidi w:val="0"/>
        <w:jc w:val="both"/>
        <w:rPr/>
      </w:pPr>
      <w:r>
        <w:rPr>
          <w:rFonts w:eastAsia="Times New Roman" w:cs="Times New Roman" w:ascii="Times New Roman" w:hAnsi="Times New Roman"/>
          <w:color w:val="111111"/>
          <w:sz w:val="28"/>
          <w:szCs w:val="28"/>
          <w:lang w:val="en-US"/>
        </w:rPr>
        <w:t>dan “Dan Kami kumpulkan mereka pada hari Kiamat  dalam keadaan buta".</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ascii="IRNazanin" w:hAnsi="IRNazanin" w:eastAsia="IRNazanin"/>
          <w:color w:val="111111"/>
          <w:sz w:val="28"/>
          <w:sz w:val="28"/>
          <w:szCs w:val="28"/>
          <w:rtl w:val="true"/>
          <w:lang w:bidi="fa-IR"/>
        </w:rPr>
        <w:t>وشهد یوم القیﺎمة أعمی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Dan Kami akan menghimpunkannya pada hari kiamat  dalam keadaan buta."  Juga, lihat: Mulla Sadra, Al-Asfār, J. 9, hlm. 227.</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195 </w:t>
      </w:r>
    </w:p>
    <w:p>
      <w:pPr>
        <w:pStyle w:val="BookText"/>
        <w:bidi w:val="0"/>
        <w:rPr/>
      </w:pPr>
      <w:r>
        <w:rPr>
          <w:rFonts w:eastAsia="Times New Roman" w:cs="Times New Roman" w:ascii="Times New Roman" w:hAnsi="Times New Roman"/>
          <w:color w:val="111111"/>
          <w:sz w:val="28"/>
          <w:szCs w:val="28"/>
          <w:lang w:val="en-US"/>
        </w:rPr>
        <w:t>Pengelompokkan ini, menurut Mulla Sadra, sangat  dimungkinkan terjadi mengingat pada jiwa manusia terdapat  beragam forma dan forma ini tidaklah hancur dengan hancurnya  raga, melainkan tetap akan dibangkitkan pada hari Kiamat serta  menjadi forma raga akhirat. Kehidupannya tidak sebagaimana  kehidupan raga yang terkomposisi secara aksiden yang terbentuk  dari materi eksternal, tetapi kehidupannya seperti kehidupan  jiwa an sich. Manusia tersebut akan dikumpulkan berdasarkan  genusnya masing-masing. Jika genusnya masuk kategori genus  hewani, maka ia akan berada dalam genus tersebut dalam  forma-forma yang berkesesuaian dengan genusnya tersebut.</w:t>
      </w:r>
    </w:p>
    <w:p>
      <w:pPr>
        <w:pStyle w:val="BookText"/>
        <w:bidi w:val="0"/>
        <w:jc w:val="both"/>
        <w:rPr/>
      </w:pPr>
      <w:r>
        <w:rPr>
          <w:rFonts w:eastAsia="Times New Roman" w:cs="Times New Roman" w:ascii="Times New Roman" w:hAnsi="Times New Roman"/>
          <w:color w:val="111111"/>
          <w:sz w:val="28"/>
          <w:szCs w:val="28"/>
          <w:lang w:val="en-US"/>
        </w:rPr>
        <w:t>Bagi Mulla Sadra, forma genus tersebut menjadi identitas karena  karakter jiwa selama dalam kehidupan di dunia adalah karakter  dari genus tersebut. Jika selama di dunia karakter yang muncul  darinya adalah karakter genus hewani, maka genus itulah yang  menjadi aktif sebagai identitas dirinya.</w:t>
      </w:r>
    </w:p>
    <w:p>
      <w:pPr>
        <w:pStyle w:val="BookText"/>
        <w:bidi w:val="0"/>
        <w:jc w:val="both"/>
        <w:rPr/>
      </w:pPr>
      <w:r>
        <w:rPr>
          <w:rFonts w:eastAsia="Times New Roman" w:cs="Times New Roman" w:ascii="Times New Roman" w:hAnsi="Times New Roman"/>
          <w:color w:val="111111"/>
          <w:sz w:val="28"/>
          <w:szCs w:val="28"/>
          <w:lang w:val="en-US"/>
        </w:rPr>
        <w:t>Selain makna di atas, Mulla Sadra menjelaskan juga  bahwa kebangkitan yang terjadi pada manusia terjadi berulang  kali dan tidak hanya sekali, seperti yang dinyatakan Mulla Sadra,  “Sesungguhnya pada manusia ada beragam kebangkitan"</w:t>
      </w:r>
      <w:r>
        <w:rPr>
          <w:rStyle w:val="FootnoteAnchor"/>
        </w:rPr>
        <w:footnoteReference w:id="213"/>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الانسان أنواعا من الحشر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untuk ini Mulla Sadra mengutip pernyataan Syaikh Ibn 'Arabī:</w:t>
      </w:r>
    </w:p>
    <w:p>
      <w:pPr>
        <w:pStyle w:val="BookText"/>
        <w:bidi w:val="0"/>
        <w:jc w:val="both"/>
        <w:rPr/>
      </w:pPr>
      <w:r>
        <w:rPr>
          <w:rFonts w:eastAsia="Times New Roman" w:cs="Times New Roman" w:ascii="Times New Roman" w:hAnsi="Times New Roman"/>
          <w:color w:val="111111"/>
          <w:sz w:val="28"/>
          <w:szCs w:val="28"/>
          <w:lang w:val="en-US"/>
        </w:rPr>
        <w:t>"Ketahuilah, bahwa ruh manusia dijadikan Allah  sebagai pengendali bagi forma indrawi, baik itu di dunia,  di alam barzakh, di alam akhirat atau dalam keadaan apa  pun dirinya. Forma pertama yang dipakai oleh manusia  adalah adalah forma yang diambil melalui peristiwa  perjanjian terhadap ketuhanan Al-Haqq, kemudian  manusia dibangkitkan dari forma tersebut menjadi forma  fisik duniawi, mulai dari rahim sang ibu hingga waktu  kematiannya. Ketika kematiannya tiba, ia dibangkitkan  dalam forma lain hingga saat pertanyaan tiba. Ketika tiba</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196 </w:t>
      </w:r>
    </w:p>
    <w:p>
      <w:pPr>
        <w:pStyle w:val="BookText"/>
        <w:bidi w:val="0"/>
        <w:rPr/>
      </w:pPr>
      <w:r>
        <w:rPr>
          <w:rFonts w:eastAsia="Times New Roman" w:cs="Times New Roman" w:ascii="Times New Roman" w:hAnsi="Times New Roman"/>
          <w:color w:val="111111"/>
          <w:sz w:val="28"/>
          <w:szCs w:val="28"/>
          <w:lang w:val="en-US"/>
        </w:rPr>
        <w:t>saat pertanyaan, akan dibangkitkan kembali dengan forma  fisiknya,</w:t>
      </w:r>
      <w:r>
        <w:rPr>
          <w:rStyle w:val="FootnoteAnchor"/>
        </w:rPr>
        <w:footnoteReference w:id="214"/>
      </w:r>
      <w:r>
        <w:rPr>
          <w:rFonts w:eastAsia="Times New Roman" w:cs="Times New Roman" w:ascii="Times New Roman" w:hAnsi="Times New Roman"/>
          <w:color w:val="111111"/>
          <w:sz w:val="28"/>
          <w:szCs w:val="28"/>
          <w:lang w:val="en-US"/>
        </w:rPr>
        <w:t>tetapi tetap dalam sifatnya sebagai kematian.</w:t>
      </w:r>
    </w:p>
    <w:p>
      <w:pPr>
        <w:pStyle w:val="BookText"/>
        <w:bidi w:val="0"/>
        <w:jc w:val="both"/>
        <w:rPr/>
      </w:pPr>
      <w:r>
        <w:rPr>
          <w:rFonts w:eastAsia="Times New Roman" w:cs="Times New Roman" w:ascii="Times New Roman" w:hAnsi="Times New Roman"/>
          <w:color w:val="111111"/>
          <w:sz w:val="28"/>
          <w:szCs w:val="28"/>
          <w:lang w:val="en-US"/>
        </w:rPr>
        <w:t>Kemudian, dihidupkan kembali, tetapi manusia tidak dapat  mendengar dan menyaksikan kehidupan mereka, kecuali  mereka yang dibukakan Allah dari para Nabi dan Wali-  Nya. Kemudian dibangkitkan kembali setelah pertanyaan  dengan forma barzakh dan menjaganya dalam kondisi  seperti itu. Forma tersebut adalah identitas barzakh, tidur  dan kematian dalam keadaan seperti itu hingga tiupan  seruling kebangkitan. Kemudian, dibangkitkan dari forma  tersebut menuju forma yang berbeda dari kehidupan  dunia, sekiranya masih tersisa pertanyaan baginya dan jika  bukan termasuk golongan tersebut, dia akan dibangkitkan  dengan forma penghuni surga, sedangkan penghuni neraka  seluruhnya dalam pertanyaan. Dan setelah masuk kedalam  surga dia akan menetap di dalamnya kemudian diseru  untuk menyaksikan selanjutnya dibangkitkan dengan  forma yang tidak dapat dicapai, kecuali dengan penyaksian  dan ketika dibangkitkan dalam forma yang berkesesuain  dengan surga, maka terlupakanlah beragam forma yang  pernah terjadi padanya sebelumnya ... dan ketika dirinya  masuk ke pasar</w:t>
      </w:r>
      <w:r>
        <w:rPr>
          <w:rStyle w:val="FootnoteAnchor"/>
        </w:rPr>
        <w:footnoteReference w:id="215"/>
      </w:r>
      <w:r>
        <w:rPr>
          <w:rFonts w:eastAsia="Times New Roman" w:cs="Times New Roman" w:ascii="Times New Roman" w:hAnsi="Times New Roman"/>
          <w:color w:val="111111"/>
          <w:sz w:val="28"/>
          <w:szCs w:val="28"/>
          <w:lang w:val="en-US"/>
        </w:rPr>
        <w:t>di surga tersaksikan beragam forma,  forma manapun yang dipandangnya indah maka dirinya  akan dibangkitkan dengan forma tersebut dan disurga  selalu terjadi kebangkitan dirinya dari satu forma kepada  forma yang lain yang tiada akhirnya”.</w:t>
      </w:r>
      <w:r>
        <w:rPr>
          <w:rStyle w:val="FootnoteAnchor"/>
        </w:rPr>
        <w:footnoteReference w:id="216"/>
      </w:r>
    </w:p>
    <w:p>
      <w:pPr>
        <w:pStyle w:val="BookText"/>
        <w:bidi w:val="0"/>
        <w:jc w:val="both"/>
        <w:rPr/>
      </w:pPr>
      <w:r>
        <w:rPr>
          <w:rFonts w:ascii="IRNazanin" w:hAnsi="IRNazanin" w:eastAsia="IRNazanin"/>
          <w:color w:val="111111"/>
          <w:sz w:val="28"/>
          <w:sz w:val="28"/>
          <w:szCs w:val="28"/>
          <w:rtl w:val="true"/>
          <w:lang w:bidi="fa-IR"/>
        </w:rPr>
        <w:t>اعلم أن الروح الإنسانی أوجده الله مدبرا لصورة حسیة سواء کان فی الدنیا  أو فی البرزخ أو فی الدار الآخرة أو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صورة لبسها الصورة  التی أخذ علیه فیها المیثاق بالا قرار بربوبیة الحق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حشر من  تلک الصورة إلی هذه الصورة الجسمیة الدنیا ویه و حبس بها فی رابع شهر  من تکون صورة جسده فی بطن أمة إلی ساعة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حشرإلی  صورة أخری من حین موته إلی وقت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وقت سؤاله حشر من  تلک الصورة إلی صورة جسده الموصوف بالموت فیحیی به ویؤخذ بأسماع  الناس وأبصاو هم عن حیاته بذلک الروح إلأ من خصه الله با لکشف من نبی  أوولی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یحشر بعد السؤال إلی صورة أخری فی البرزخ یمسک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تلک  الصورة عین البرزخ والنوم والموت فی ذلک علی السواء إلی نفخة البعث  فیبعث من تلک الصورة ویحشر إلی الصورة التی کان فإرق 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بقی علیه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من أهل ذلک الصنف حشر فی الصورة التی  یدخل بها الجنة 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النار کلهم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الجنة واستقروا  فیها ثم دعوا إلی الرؤیة ونودوا حشروا فی صوره لا تصلح إلا للرؤیة  فإذا عادوا حشروا فی صورة تصلح للجنة و فی کل صورة تنسی صورته التی  کان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حکمه إلی حکم الصورة التی انتقل إلیها و حشر فیها فإذا  دخل سوق الجنة و رآی مافیه من الصورفأی صورة رآها و استحسنها حشر  فیها فلا یزال فی الجنة دائما یحشر من صورة إلی مالا نهایة له</w:t>
      </w:r>
    </w:p>
    <w:p>
      <w:pPr>
        <w:pStyle w:val="BookText"/>
        <w:bidi w:val="0"/>
        <w:jc w:val="both"/>
        <w:rPr/>
      </w:pPr>
      <w:r>
        <w:rPr>
          <w:rFonts w:eastAsia="Times New Roman" w:cs="Times New Roman" w:ascii="Times New Roman" w:hAnsi="Times New Roman"/>
          <w:color w:val="111111"/>
          <w:sz w:val="28"/>
          <w:szCs w:val="28"/>
          <w:lang w:val="en-US"/>
        </w:rPr>
        <w:t>Hal ini, bagi Mulla Sadra, menunjukkan terjadinya  peristiwa kebangkitan pada diri manusia secara berulang-ulang  berdasarkan gerakan transubstansial yang terjadi pada substansi  diri manusia tersebut. Akan tetapi bagi Mulla Sadra, apa yang  diungkapkan Ibn 'Arabī tersebut hanya didasarkan penyaksian  ruhaniah semata dan tidak didasarkan pada argumentasi rasional,  sedangkan bagi Mulla Sadra, hal ini hanya dapat digunakan, tidak  lebih, sebagai perumpamaan semata, sementara kebenaran  harus berdasarkan bukti rasional. Sekalipun Mulla Sadra</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197 </w:t>
      </w:r>
    </w:p>
    <w:p>
      <w:pPr>
        <w:pStyle w:val="BookText"/>
        <w:bidi w:val="0"/>
        <w:rPr/>
      </w:pPr>
      <w:r>
        <w:rPr>
          <w:rFonts w:eastAsia="Times New Roman" w:cs="Times New Roman" w:ascii="Times New Roman" w:hAnsi="Times New Roman"/>
          <w:color w:val="111111"/>
          <w:sz w:val="28"/>
          <w:szCs w:val="28"/>
          <w:lang w:val="en-US"/>
        </w:rPr>
        <w:t>seakan-akan menyederhanakan  hasil penyaksian ruhani Ibn    ‘Arabī tersebut, tetapi justru    pada banyak bagian, Mulla  Sadra seringkali mengutip  pernyataan-pernyataan    Ibn 'Arabī, seakan-akan  apa yang dihasilkannya  secara argumentatif juga    dapat ditemukan pada hasil  penyaksian ruhani Ibn 'Arabī    dan satu-satunya pandangan    yang selalu menjadi rujukan  Mulla Sadra dalam kesepakatannya hanyalah Ibn 'Arabi. Jika kita  melihat lebih kritis, kita tidak dapat menampik bahwa banyak  pemikiran Mulla Sadra diwarnai pemikiran Ibn 'Arabī, bahkan  berdasarkan penelitian James Winston Morris, sebagian besar  pandangan Eskatologi Mulla, berakar pada Futūhāt al-Makiyyah  karya Ibn 'Arabī.</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Siprin, 2007), hlm. 95.</w:t>
      </w:r>
    </w:p>
    <w:p>
      <w:pPr>
        <w:pStyle w:val="BookText"/>
        <w:bidi w:val="0"/>
        <w:jc w:val="both"/>
        <w:rPr/>
      </w:pPr>
      <w:r>
        <w:rPr>
          <w:rFonts w:eastAsia="Times New Roman" w:cs="Times New Roman" w:ascii="Times New Roman" w:hAnsi="Times New Roman"/>
          <w:color w:val="111111"/>
          <w:sz w:val="28"/>
          <w:szCs w:val="28"/>
          <w:lang w:val="en-US"/>
        </w:rPr>
        <w:t>Salah satu yang cukup baru dalam pandangan Eskatologi  yang dikemukakan para filsuf Muslim adalah pandangan  Mulla Sadra yang meyakini bahwa semua makhluk akan  dibangkitkan kembali oleh Allah Swt.. Hal ini sebagaimana  yang dinyatakannya, “Dan kami memiliki risalah dalam bab ini  yang menjelaskan persoalan kebangkitan segala sesuatu di alam  ciptaan ini, sekalipun bebatuan atau tumbuh-tumbuhan, menuju  alam akhirat dan dibangkitkan seluruhnya untuk menuju Allah  Ta'ala."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ولنا رسالة علی حدة فی هذا الباب بینا فیها حشر جمیع الأشیاء الکائنة حتی  الجماد والنبات إلی الدار الآخرة وحشر الکل إلیه تعالی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Pandangan ini jelas bertentangan dengan pandangan  filsuf sebelumnya yang meyakini bahwa kebangkitan hanya</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198 </w:t>
      </w:r>
    </w:p>
    <w:p>
      <w:pPr>
        <w:pStyle w:val="BookText"/>
        <w:bidi w:val="0"/>
        <w:rPr/>
      </w:pPr>
      <w:r>
        <w:rPr>
          <w:rFonts w:eastAsia="Times New Roman" w:cs="Times New Roman" w:ascii="Times New Roman" w:hAnsi="Times New Roman"/>
          <w:color w:val="111111"/>
          <w:sz w:val="28"/>
          <w:szCs w:val="28"/>
          <w:lang w:val="en-US"/>
        </w:rPr>
        <w:t>terjadi pada manusia, mengingat bahwa pencapaian pada tingkat  rasional hanya terjadi pada diri manusia tidak pada selainnya.</w:t>
      </w:r>
    </w:p>
    <w:p>
      <w:pPr>
        <w:pStyle w:val="BookText"/>
        <w:bidi w:val="0"/>
        <w:jc w:val="both"/>
        <w:rPr/>
      </w:pPr>
      <w:r>
        <w:rPr>
          <w:rFonts w:eastAsia="Times New Roman" w:cs="Times New Roman" w:ascii="Times New Roman" w:hAnsi="Times New Roman"/>
          <w:color w:val="111111"/>
          <w:sz w:val="28"/>
          <w:szCs w:val="28"/>
          <w:lang w:val="en-US"/>
        </w:rPr>
        <w:t>Selain itu juga, beban kewajiban (taklīf) hanya dibebankan pada  manusia, tidak pada selainnya.</w:t>
      </w:r>
    </w:p>
    <w:p>
      <w:pPr>
        <w:pStyle w:val="BookText"/>
        <w:bidi w:val="0"/>
        <w:jc w:val="both"/>
        <w:rPr/>
      </w:pPr>
      <w:r>
        <w:rPr>
          <w:rFonts w:eastAsia="Times New Roman" w:cs="Times New Roman" w:ascii="Times New Roman" w:hAnsi="Times New Roman"/>
          <w:color w:val="111111"/>
          <w:sz w:val="28"/>
          <w:szCs w:val="28"/>
          <w:lang w:val="en-US"/>
        </w:rPr>
        <w:t>Namun menurut Mulla Sadra, Allah Swt. menciptakan  segala sesuatu dengan tujuan dan setiap bentuk wujud yang  diciptakan dalam komposisi memiliki empat hal: sumber  aktivitas, tujuan, materi, dan forma. Setiap tujuan akan memiliki  tujuan lain yang terus akan mengantarkannya pada puncak dari  segala tujuan, seperti halnya sebab: pasti ada sebab sebelumnya  hingga sampai pada puncak sebab yang tidak ada sebab lagi  sebelumnya. Tujuan dari segala tujuan dan sebab dari segala  sebab, tidak lain, adalah Wujud niscaya (Wajib Al-Wujūd), pada  dirinya berakhir hirarki wujud. Menurut Mulla Sadra, sekiranya  segala bentuk wujud tersebut tidak mencapai puncak tujuan  mereka, maka yang terjadi tidak lebih penetapan tujuan pada  makhluk selain manusia tersebut adalah relatif, bukan hakiki.</w:t>
      </w:r>
    </w:p>
    <w:p>
      <w:pPr>
        <w:pStyle w:val="BookText"/>
        <w:bidi w:val="0"/>
        <w:jc w:val="both"/>
        <w:rPr/>
      </w:pPr>
      <w:r>
        <w:rPr>
          <w:rFonts w:eastAsia="Times New Roman" w:cs="Times New Roman" w:ascii="Times New Roman" w:hAnsi="Times New Roman"/>
          <w:color w:val="111111"/>
          <w:sz w:val="28"/>
          <w:szCs w:val="28"/>
          <w:lang w:val="en-US"/>
        </w:rPr>
        <w:t>Padahal tujuan pada setiap keberadaan adalah sesuatu yang  hakiki. Dengan demikian, menurut Mulla Sadra, segala bentuk  wujud memiliki tujuan dan tujuan tersebut mengantarkan  seluruh bentuk wujud untuk dibangkitkan kembali.</w:t>
      </w:r>
    </w:p>
    <w:p>
      <w:pPr>
        <w:pStyle w:val="BookText"/>
        <w:bidi w:val="0"/>
        <w:jc w:val="both"/>
        <w:rPr/>
      </w:pPr>
      <w:r>
        <w:rPr>
          <w:rFonts w:eastAsia="Times New Roman" w:cs="Times New Roman" w:ascii="Times New Roman" w:hAnsi="Times New Roman"/>
          <w:color w:val="111111"/>
          <w:sz w:val="28"/>
          <w:szCs w:val="28"/>
          <w:lang w:val="en-US"/>
        </w:rPr>
        <w:t>Persoalan yang terjadi adalah pada tingkat dan rupa,  seperti apa jiwa-jiwa tumbuh-tumbuhan, binatang dan segala  bentuk ciptaan tersebut, akan dibangkitkan. Mulla Sadra  memberikan jawaban untuk persoalan ini bahwa menurutnya,  forma tumbuh-tumbuhan, jika terputus dari sumbernya atau  mengering, maka ia akan menempuh perjalanan pertama  menuju alam forma-forma berukuran tanpa materi, kemudian  kepada alam rasio dan berakhir pada alam forma. Mulla Sadra</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199 </w:t>
      </w:r>
    </w:p>
    <w:p>
      <w:pPr>
        <w:pStyle w:val="BookText"/>
        <w:bidi w:val="0"/>
        <w:rPr/>
      </w:pPr>
      <w:r>
        <w:rPr>
          <w:rFonts w:eastAsia="Times New Roman" w:cs="Times New Roman" w:ascii="Times New Roman" w:hAnsi="Times New Roman"/>
          <w:color w:val="111111"/>
          <w:sz w:val="28"/>
          <w:szCs w:val="28"/>
          <w:lang w:val="en-US"/>
        </w:rPr>
        <w:t xml:space="preserve">membagi dua genus tumbuh-tumbuhan yang sudah mencapai  forma tersebut. Menurutnya, tumbuh-tumbuhan yang berasal  dari jenis makanan yang baik, seperti buah-buahan yang manis  dan tumbuh-tumbuhan yang mengeluarkan wewangian akan  menjadi pepohonan di surga dan jika berasal dari makanan  yang buruk, rasanya pahit, dan aroma yang busuk seperti pohon  zaqum, ia akan menjadi pepohonan di neraka sebagai sumber  makanan bagi para pendosa. Keseluruhan pohon-pohon ini,  puncaknya berakhir pada sidrat al-muntahā yang padanya  terdapat surga al-Ma'wa. Hal ini, menurut Mulla Sadra, sebagai  gambaran atas seluruh jiwa yang pada tahap pertama berakhir  pada jiwa universal yang diatasnya terdapat akal universal. Dan  itu merupakan manifestasi ma'wa jiwa universal, sebagaimana  juga puncak terakhir bagi jiwa parsial. </w:t>
      </w:r>
      <w:r>
        <w:rPr>
          <w:rStyle w:val="FootnoteAnchor"/>
        </w:rPr>
        <w:footnoteReference w:id="218"/>
      </w:r>
      <w:r>
        <w:rPr>
          <w:rFonts w:eastAsia="Times New Roman" w:cs="Times New Roman" w:ascii="Times New Roman" w:hAnsi="Times New Roman"/>
          <w:color w:val="111111"/>
          <w:sz w:val="28"/>
          <w:szCs w:val="28"/>
          <w:lang w:val="en-US"/>
        </w:rPr>
        <w:t xml:space="preserve"> Beberapa jenis makhluk lain akan dibangkitkan menurut  kesesuaianya masing-masing, sebagaimana yang dijelaskan  Mulla Sadra dalam Mafātīh al-Ghaib,</w:t>
      </w:r>
      <w:r>
        <w:rPr>
          <w:rStyle w:val="FootnoteAnchor"/>
        </w:rPr>
        <w:footnoteReference w:id="219"/>
      </w:r>
      <w:r>
        <w:rPr>
          <w:rFonts w:eastAsia="Times New Roman" w:cs="Times New Roman" w:ascii="Times New Roman" w:hAnsi="Times New Roman"/>
          <w:color w:val="111111"/>
          <w:sz w:val="28"/>
          <w:szCs w:val="28"/>
          <w:lang w:val="en-US"/>
        </w:rPr>
        <w:t>antara lain, makhluk  yang berada di alam ruhani murni, seperti ruh-ruh yang tinggi,  akal-akal kesucian, forma-forma diferensial, ide-ide Ilahi (al-  Mutsūl al-llahiyyāh) dan pengatur-pengatur cahaya (al-Arbāb al-  Nūriyyāh), maka kebangkitan yang akan terjadi pada makhluk-  makhluk ini, tidak lain, menuju Zat Ahaddiyyah Niscaya. Alam  jiwa astrologis, maka kebangkitan yang terjadi padanya dari  sisi kesatuan dalam genusnya dan gerakan kecintaan kepada  kesempurnaan mutlak, kebaikan mutlak, dan keindahan mutlak  adalah menuju Allah Swt.. Dari sisi perbedaan kuiditas dan  kecenderungannya menyebabkan perbedaan gerakan dan  kesempurnaan serta kecintaan kepada emanasi akliah, maka  kebangkitan yang akan terjadi adalah menuju kesempurnaan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200 </w:t>
      </w:r>
      <w:bookmarkStart w:id="129" w:name="pg6434_60741"/>
    </w:p>
    <w:p>
      <w:pPr>
        <w:pStyle w:val="BookText"/>
        <w:bidi w:val="0"/>
        <w:rPr/>
      </w:pPr>
      <w:bookmarkEnd w:id="129"/>
      <w:r>
        <w:rPr>
          <w:rFonts w:eastAsia="Times New Roman" w:cs="Times New Roman" w:ascii="Times New Roman" w:hAnsi="Times New Roman"/>
          <w:color w:val="111111"/>
          <w:sz w:val="28"/>
          <w:szCs w:val="28"/>
          <w:lang w:val="en-US"/>
        </w:rPr>
        <w:t>yang menjadi kecenderungannya tersebut dan dibangkitkan  dalam kemurnian dari segala forma. Bagi alam materi yang  agung dan bentuk yang kuat, seperti langit-langit, planet-planet,  matahari, bulan, dan segala bentuk bintang, maka kebangkitan  bagi mereka, dari sisi daya imajinatifnya, akan dibangkitkan  menuju alam jiwa dan imajinal; dari sisi daya materi dasarnya  (Hayyūliyyāh) akan dibangkitkan menuju neraka.</w:t>
      </w:r>
    </w:p>
    <w:p>
      <w:pPr>
        <w:pStyle w:val="BookText"/>
        <w:bidi w:val="0"/>
        <w:jc w:val="both"/>
        <w:rPr/>
      </w:pPr>
      <w:r>
        <w:rPr>
          <w:rFonts w:eastAsia="Times New Roman" w:cs="Times New Roman" w:ascii="Times New Roman" w:hAnsi="Times New Roman"/>
          <w:color w:val="111111"/>
          <w:sz w:val="28"/>
          <w:szCs w:val="28"/>
          <w:lang w:val="en-US"/>
        </w:rPr>
        <w:t>Gagasan Mulla Sadra ini dapat menjadi solusi gambaran  Alquran ketika menceritakan peristiwa setelah Kiamat, bahwa  segala sesuatu menjadi hidup, gunung-gunung berjalan,</w:t>
      </w:r>
      <w:r>
        <w:rPr>
          <w:rStyle w:val="FootnoteAnchor"/>
        </w:rPr>
        <w:footnoteReference w:id="22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(ingatlah) akan hari (yang ketika itu) Kami  perjalankan gunung-gunung dan kamu akan dapat melihat  bumi itu datar dan kami kumpulkan seluruh manusia, dan  tidak Kami tinggalkan seorangpun dari mereka."</w:t>
      </w:r>
    </w:p>
    <w:p>
      <w:pPr>
        <w:pStyle w:val="BookText"/>
        <w:bidi w:val="0"/>
        <w:jc w:val="both"/>
        <w:rPr/>
      </w:pPr>
      <w:r>
        <w:rPr>
          <w:rFonts w:eastAsia="Times New Roman" w:cs="Times New Roman" w:ascii="Times New Roman" w:hAnsi="Times New Roman"/>
          <w:color w:val="111111"/>
          <w:sz w:val="28"/>
          <w:szCs w:val="28"/>
          <w:lang w:val="en-US"/>
        </w:rPr>
        <w:t>hewan-  hewan buas dibangkitkan kembali,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الْوُحُوشُ حُشِرَتْ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apabila binatang-binatang liar dikumpulkan."</w:t>
      </w:r>
    </w:p>
    <w:p>
      <w:pPr>
        <w:pStyle w:val="BookText"/>
        <w:bidi w:val="0"/>
        <w:jc w:val="both"/>
        <w:rPr/>
      </w:pPr>
      <w:r>
        <w:rPr>
          <w:rFonts w:eastAsia="Times New Roman" w:cs="Times New Roman" w:ascii="Times New Roman" w:hAnsi="Times New Roman"/>
          <w:color w:val="111111"/>
          <w:sz w:val="28"/>
          <w:szCs w:val="28"/>
          <w:lang w:val="en-US"/>
        </w:rPr>
        <w:t>kaki-kaki menjadi saksi,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Pada hari (ketika), lidah, tangan dan kaki mereka  menjadi saksi atas mereka terhadap apa yang dahulu  mereka kerjakan."</w:t>
      </w:r>
    </w:p>
    <w:p>
      <w:pPr>
        <w:pStyle w:val="BookText"/>
        <w:bidi w:val="0"/>
        <w:jc w:val="both"/>
        <w:rPr/>
      </w:pPr>
      <w:r>
        <w:rPr>
          <w:rFonts w:eastAsia="Times New Roman" w:cs="Times New Roman" w:ascii="Times New Roman" w:hAnsi="Times New Roman"/>
          <w:color w:val="111111"/>
          <w:sz w:val="28"/>
          <w:szCs w:val="28"/>
          <w:lang w:val="en-US"/>
        </w:rPr>
        <w:t>dan sebagainya. Selama ini, tidak ada petunjuk di kalangan para  pemikir Eskatologi yang memberikan gambaran kebangkitan  makhluk-makhluk lain selain manusia, sekalipun ide bahwa  segala sesuatu adalah hidup dapat kita temui pada pemikiran  Ibn 'Arabi dalam karyanya, Fushūs Al-Hikam.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Langit yang tujuh, bumi dan semua yang ada di  dalamnya bertasbih kepada Allah. dan tak ada suatupun  melainkan bertasbih dengan memuji-Nya, tetapi kamu  sekalian tidak mengerti tasbih mereka. Sesungguhnya Dia  adalah Maha Penyantun lagi Maha Pengampun."</w:t>
      </w:r>
    </w:p>
    <w:p>
      <w:pPr>
        <w:pStyle w:val="BookText"/>
        <w:bidi w:val="0"/>
        <w:jc w:val="both"/>
        <w:rPr/>
      </w:pPr>
      <w:r>
        <w:rPr>
          <w:rFonts w:eastAsia="Times New Roman" w:cs="Times New Roman" w:ascii="Times New Roman" w:hAnsi="Times New Roman"/>
          <w:color w:val="111111"/>
          <w:sz w:val="28"/>
          <w:szCs w:val="28"/>
          <w:lang w:val="en-US"/>
        </w:rPr>
        <w:t>Namun, penulis  belum menemukan penjelasan Ibn 'Arabī secara spesifik yang  menunjukkan gagasan bahwa segala sesuatu tersebut akan  dibangkitkan, seperti halnya gagasan Mulla Sadra.</w:t>
      </w:r>
    </w:p>
    <w:p>
      <w:pPr>
        <w:pStyle w:val="BookText"/>
        <w:bidi w:val="0"/>
        <w:jc w:val="both"/>
        <w:rPr/>
      </w:pPr>
      <w:r>
        <w:rPr>
          <w:rFonts w:eastAsia="Times New Roman" w:cs="Times New Roman" w:ascii="Times New Roman" w:hAnsi="Times New Roman"/>
          <w:color w:val="111111"/>
          <w:sz w:val="28"/>
          <w:szCs w:val="28"/>
          <w:lang w:val="en-US"/>
        </w:rPr>
        <w:t>Gagasan Mulla Sadra merupakan sumbangan baru  bagi kajian eskatologi namun sayangnya Mulla Sadra tidak  memberikan rincian yang memadai dalam genus seperti apa  setiap tingkatan wujud tersebut ketika dibangkitkan. Dalam hal  ini, Mulla Sadra hanya memberikan gambaran pada sebagian  jenis wujud tertentu.</w:t>
      </w:r>
    </w:p>
    <w:p>
      <w:pPr>
        <w:pStyle w:val="Heading3"/>
        <w:numPr>
          <w:ilvl w:val="2"/>
          <w:numId w:val="1"/>
        </w:numPr>
        <w:bidi w:val="0"/>
        <w:jc w:val="left"/>
        <w:rPr/>
      </w:pPr>
      <w:bookmarkStart w:id="130" w:name="__RefHeading___Toc808228_653776707"/>
      <w:bookmarkStart w:id="131" w:name="_Toc43"/>
      <w:bookmarkEnd w:id="130"/>
      <w:r>
        <w:rPr/>
        <w:t>6. Bahan Dasar Akhirat</w:t>
      </w:r>
      <w:bookmarkEnd w:id="131"/>
    </w:p>
    <w:p>
      <w:pPr>
        <w:pStyle w:val="BookText"/>
        <w:bidi w:val="0"/>
        <w:jc w:val="both"/>
        <w:rPr/>
      </w:pPr>
      <w:r>
        <w:rPr>
          <w:rFonts w:eastAsia="Times New Roman" w:cs="Times New Roman" w:ascii="Times New Roman" w:hAnsi="Times New Roman"/>
          <w:color w:val="111111"/>
          <w:sz w:val="28"/>
          <w:szCs w:val="28"/>
          <w:lang w:val="en-US"/>
        </w:rPr>
        <w:t>Akhirat sebagai alam terakhir bagi perjalanan seluruh  makhluk. Karenanya juga disebut akhirat yang berasal dari</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201 </w:t>
      </w:r>
    </w:p>
    <w:p>
      <w:pPr>
        <w:pStyle w:val="BookText"/>
        <w:bidi w:val="0"/>
        <w:rPr/>
      </w:pPr>
      <w:r>
        <w:rPr>
          <w:rFonts w:eastAsia="Times New Roman" w:cs="Times New Roman" w:ascii="Times New Roman" w:hAnsi="Times New Roman"/>
          <w:color w:val="111111"/>
          <w:sz w:val="28"/>
          <w:szCs w:val="28"/>
          <w:lang w:val="en-US"/>
        </w:rPr>
        <w:t>kata akhir sebagai tempat berhentinya perjalanan.</w:t>
      </w:r>
      <w:r>
        <w:rPr>
          <w:rStyle w:val="FootnoteAnchor"/>
        </w:rPr>
        <w:footnoteReference w:id="221"/>
      </w:r>
      <w:r>
        <w:rPr>
          <w:rFonts w:eastAsia="Times New Roman" w:cs="Times New Roman" w:ascii="Times New Roman" w:hAnsi="Times New Roman"/>
          <w:color w:val="111111"/>
          <w:sz w:val="28"/>
          <w:szCs w:val="28"/>
          <w:lang w:val="en-US"/>
        </w:rPr>
        <w:t>Akhirat  merupakan substansi dari seluruh alam yang ada, sebagai  tempat tinggal terakhir dari seluruh makhluk yang kehidupan  menjadi abadi.</w:t>
      </w:r>
    </w:p>
    <w:p>
      <w:pPr>
        <w:pStyle w:val="BookText"/>
        <w:bidi w:val="0"/>
        <w:jc w:val="both"/>
        <w:rPr/>
      </w:pPr>
      <w:r>
        <w:rPr>
          <w:rFonts w:eastAsia="Times New Roman" w:cs="Times New Roman" w:ascii="Times New Roman" w:hAnsi="Times New Roman"/>
          <w:color w:val="111111"/>
          <w:sz w:val="28"/>
          <w:szCs w:val="28"/>
          <w:lang w:val="en-US"/>
        </w:rPr>
        <w:t>Seperti argumentasi-argumentasi yang telah dipaparkan  pada bab sebelumnya, alam ini, eksistensinya merupakan  keharusan. Di dalamnya, seluruh tindakan manusia selama  kehidupan di dunia mendapatkan ganjaran, baik dalam bentuk  kenikmatan di surga maupun penderitaan di neraka.</w:t>
      </w:r>
    </w:p>
    <w:p>
      <w:pPr>
        <w:pStyle w:val="BookText"/>
        <w:bidi w:val="0"/>
        <w:jc w:val="both"/>
        <w:rPr/>
      </w:pPr>
      <w:r>
        <w:rPr>
          <w:rFonts w:eastAsia="Times New Roman" w:cs="Times New Roman" w:ascii="Times New Roman" w:hAnsi="Times New Roman"/>
          <w:color w:val="111111"/>
          <w:sz w:val="28"/>
          <w:szCs w:val="28"/>
          <w:lang w:val="en-US"/>
        </w:rPr>
        <w:t>Akhirat, sebagai sebuah alam sekalipun, merupakan  substansi murni dari seluruh alam. Bagi Mulla Sadra, akhirat  tetaplah terbentuk dari bahan dasar tertentu yang menopang  keberadaannya. Karena akhirat merupakan dimensi, maka pada  dirinya tetap dibentuk oleh bahan-bahan tertentu, sekalipun  sangat bertolak belakang dengan bahan dasar yang membentuk  materi dunia.</w:t>
      </w:r>
    </w:p>
    <w:p>
      <w:pPr>
        <w:pStyle w:val="BookText"/>
        <w:bidi w:val="0"/>
        <w:jc w:val="both"/>
        <w:rPr/>
      </w:pPr>
      <w:r>
        <w:rPr>
          <w:rFonts w:eastAsia="Times New Roman" w:cs="Times New Roman" w:ascii="Times New Roman" w:hAnsi="Times New Roman"/>
          <w:color w:val="111111"/>
          <w:sz w:val="28"/>
          <w:szCs w:val="28"/>
          <w:lang w:val="en-US"/>
        </w:rPr>
        <w:t>Mulla Sadra merasa penting untuk menjelaskan hal ini,  mengingat banyak persoalan terkait dengan gagasan posisi  surga dan neraka. Karena pada sebagian pandangan Eskatologi,  ada pandangan-pandangan yang meyakini bahwa surga dan  neraka berada di alam dunia ini juga.</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Al-Ghazali menyatakan, “Pada akhirnya, Allah akan membuka  salah satu tempat simpanan barang yang berharga di 'Arsy, dan  dari situ, lautan kehidupan akan menghujani tanah yang kering  dan tandus, yang membuatnya bergetar karena munculnya  kehidupan yang baru. Ketika seluruh bumi tertutup oleh empat  hasta air, pertumbuhan ulang yang sesungguhnya dari jasad  individu akan mulai, diawali dengan tulang sulbi. Jasad-jasad  kemudian akan tumbuh dalam kubur mereka masing-masing,  seperti tumbuhnya pepohonan, sampai semuanya mencapai  bentuk seperti dulu ketika kematian menimpanya, anak kecil  berbentuk anak kecil, orang dewasa berbentuk dewasa". Jane  Idelman, The Islamic Understanding of Death, hlm. 117. Salah  seorang filsuf kontemporer di Qom, Iran, Fayazi menyatakan  hal yang sama. Baginya, setelah terjadi Kiamat, Allah akan  merekonstruksi ulang alam semesta ini, termasuk bumi, dan  kemudian manusia dibangkitkan kembali di bumi yang dahulu  dia tinggali, tetapi dalam forma yang baru (wawancara pribadi,  Qom: 17 Mei 2007).</w:t>
      </w:r>
    </w:p>
    <w:p>
      <w:pPr>
        <w:pStyle w:val="BookText"/>
        <w:bidi w:val="0"/>
        <w:jc w:val="both"/>
        <w:rPr/>
      </w:pPr>
      <w:r>
        <w:rPr>
          <w:rFonts w:eastAsia="Times New Roman" w:cs="Times New Roman" w:ascii="Times New Roman" w:hAnsi="Times New Roman"/>
          <w:color w:val="111111"/>
          <w:sz w:val="28"/>
          <w:szCs w:val="28"/>
          <w:lang w:val="en-US"/>
        </w:rPr>
        <w:t>Pandangan seperti ini  jelas-jelas ditolak oleh Mulla Sadra.</w:t>
      </w:r>
    </w:p>
    <w:p>
      <w:pPr>
        <w:pStyle w:val="BookText"/>
        <w:bidi w:val="0"/>
        <w:jc w:val="both"/>
        <w:rPr/>
      </w:pPr>
      <w:r>
        <w:rPr>
          <w:rFonts w:eastAsia="Times New Roman" w:cs="Times New Roman" w:ascii="Times New Roman" w:hAnsi="Times New Roman"/>
          <w:color w:val="111111"/>
          <w:sz w:val="28"/>
          <w:szCs w:val="28"/>
          <w:lang w:val="en-US"/>
        </w:rPr>
        <w:t>Mulla Sadra mengemukakan argumen bahwa setiap  materi dasar (Hayūla) merupakan wujud yang paling halus  dan paling cepat sebagai reseptif bagi forma. Demikian pula  setiap materi dasar adalah substansi yang paling sederhana  dan secara ruhani paling dominan dan dirinya merupakan  forma yang paling utama dan sempurna. Komposisi antara  materi dan forma adalah komposisi kesatuan, sebagaimana</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202 </w:t>
      </w:r>
    </w:p>
    <w:p>
      <w:pPr>
        <w:pStyle w:val="BookText"/>
        <w:bidi w:val="0"/>
        <w:rPr/>
      </w:pPr>
      <w:r>
        <w:rPr>
          <w:rFonts w:eastAsia="Times New Roman" w:cs="Times New Roman" w:ascii="Times New Roman" w:hAnsi="Times New Roman"/>
          <w:color w:val="111111"/>
          <w:sz w:val="28"/>
          <w:szCs w:val="28"/>
          <w:lang w:val="en-US"/>
        </w:rPr>
        <w:t>komposisi antara genus dan diferensial; di antara keduanya  terdapat hubungan yang kuat sebagai penyebab kesatuan  tersebut. Sebagai penjelasan untuk hal tersebut, seperti  halnya air, substansinya lebih halus dibandingkan substansi  tanah sehingga lebih cepat untuk menjadi objek tindakan dan  reseptif terbaik, dibandingkan tanah, dalam menerima segala  bentuk, warna, rasa, dan sebagainya. Demikian pula udara  yang lebih halus dari keduanya, lebih utama, dan lebih cepat  dalam mengalir sehingga lebih cepat dalam menjadi objek  aktivitas dan lebih mudah menjadi reseptif terhadap apa yang  ada dihadapannya. Dari seluruh reseptif yang paling utama dan  paling halus, di antara reseptifitas air dan tanah, adalah angin  dan suara. Demikian pula cahaya dan sinar, dalam mereseptif  apa yang ada di hadapannya, sangat cepat dalam masa, bahkan  saat. Hal ini, menurut Mulla Sadra, menunjukkan bahwa segala  sesuatu yang dapat menerima warna dan bentuk lebih bersifat  ruhaniah dan lebih dekat terhadap alam ruhani. Demikian pula  ruh terpancar dari rongga jantung dan naik menuju rongga  otak. Hal ini jauh lebih halus dan lebih utama dari tiga hal yang  telah disebutkan sebelumnya. Ruh tersebut akan menerima apa  yang diterima oleh tiga hal tersebut, baik dari kualitas, rasa,  angin, warna, bahkan lebih halus dan lebih utama dan sampai  di sini, berakhirlah kehalusan materi fisik alami.</w:t>
      </w:r>
      <w:r>
        <w:rPr>
          <w:rStyle w:val="FootnoteAnchor"/>
        </w:rPr>
        <w:footnoteReference w:id="223"/>
      </w:r>
      <w:r>
        <w:rPr>
          <w:rFonts w:eastAsia="Times New Roman" w:cs="Times New Roman" w:ascii="Times New Roman" w:hAnsi="Times New Roman"/>
          <w:color w:val="111111"/>
          <w:sz w:val="28"/>
          <w:szCs w:val="28"/>
          <w:lang w:val="en-US"/>
        </w:rPr>
        <w:t xml:space="preserve"> Bagi Mulla Sadra, substansi jiwa memiliki beragam  tingkatan yang berbeda dalam daya wujud, baik yang lemah  hingga yang sempurna kehalusan dan kekurangannya. Tingkat  kehalusan yang paling rendah dari jiwa merupakan bentuk  yang jauh lebih halus dari cahaya indrawi. Karenanya, dia dapat  menjadi reseptif bagi segala bentuk objek indrawi, imajinal,</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203 </w:t>
      </w:r>
    </w:p>
    <w:p>
      <w:pPr>
        <w:pStyle w:val="BookText"/>
        <w:bidi w:val="0"/>
        <w:rPr/>
      </w:pPr>
      <w:r>
        <w:rPr>
          <w:rFonts w:eastAsia="Times New Roman" w:cs="Times New Roman" w:ascii="Times New Roman" w:hAnsi="Times New Roman"/>
          <w:color w:val="111111"/>
          <w:sz w:val="28"/>
          <w:szCs w:val="28"/>
          <w:lang w:val="en-US"/>
        </w:rPr>
        <w:t>dan intelektual pada saat terbentuknya pada cahaya indra,  imajinasi, dan intelek. Yang pertama merupakan materi yang  dapat menerima tingkat kehidupan akhirat dan dia merupakan  daya imajinal dari jiwa yang kemudian memberikan gambaran  padanya dan berada di dalamnya, seperti halnya objek-objek  indra serta forma-formanya yang terpisah dari materinya.</w:t>
      </w:r>
    </w:p>
    <w:p>
      <w:pPr>
        <w:pStyle w:val="BookText"/>
        <w:bidi w:val="0"/>
        <w:jc w:val="both"/>
        <w:rPr/>
      </w:pPr>
      <w:r>
        <w:rPr>
          <w:rFonts w:eastAsia="Times New Roman" w:cs="Times New Roman" w:ascii="Times New Roman" w:hAnsi="Times New Roman"/>
          <w:color w:val="111111"/>
          <w:sz w:val="28"/>
          <w:szCs w:val="28"/>
          <w:lang w:val="en-US"/>
        </w:rPr>
        <w:t>Perbedaan utama yang terjadi antara bahan dasar  dunia dan akhirat, dalam pandangan Mulla Sadra, terletak  pada gerakan, bahwa bahan dasar duniawi tidak akan terurai  dan berkembang, kecuali setelah terjadi gerakan potensial  dan melampaui waktu terlebih dahulu. Padanya ada dimensi  reseptif dan ada sebab eksternal. Hal ini bertentangan dengan  bahan dasar akhirat, bahwa penyebab forma, tidak lain, adalah  pancaran dirinya yang berasal dari daya pembentuk forma dan  sebab-sebab internal. Karenanya, dirinya merupakan subjek    dalam proses pembentukan      Materi dunia, jika    kehilangan forma tertentu  dari dirinya, membutuhkan    sebab eksternal untuk    mengembalikan forma  tersebut kembali kepada    materi, seperti warna putih    atau manis dan selainnya.</w:t>
      </w:r>
    </w:p>
    <w:p>
      <w:pPr>
        <w:pStyle w:val="BookText"/>
        <w:bidi w:val="0"/>
        <w:jc w:val="both"/>
        <w:rPr/>
      </w:pPr>
      <w:r>
        <w:rPr>
          <w:rFonts w:eastAsia="Times New Roman" w:cs="Times New Roman" w:ascii="Times New Roman" w:hAnsi="Times New Roman"/>
          <w:color w:val="111111"/>
          <w:sz w:val="28"/>
          <w:szCs w:val="28"/>
          <w:lang w:val="en-US"/>
        </w:rPr>
        <w:t>Jika forma materi tersebut    hadir pada satu materi,    kemudian hilang, maka    objek reseptif tidak dapat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204 </w:t>
      </w:r>
      <w:bookmarkStart w:id="132" w:name="pg6434_60745"/>
    </w:p>
    <w:p>
      <w:pPr>
        <w:pStyle w:val="BookText"/>
        <w:bidi w:val="0"/>
        <w:rPr/>
      </w:pPr>
      <w:bookmarkEnd w:id="132"/>
      <w:r>
        <w:rPr>
          <w:rFonts w:eastAsia="Times New Roman" w:cs="Times New Roman" w:ascii="Times New Roman" w:hAnsi="Times New Roman"/>
          <w:color w:val="111111"/>
          <w:sz w:val="28"/>
          <w:szCs w:val="28"/>
          <w:lang w:val="en-US"/>
        </w:rPr>
        <w:t>menghadirkannya kembali. Berbeda dengan daya jiwa, jika  hilang forma yang dihasilkan, maka untuk menghadirkannya  kembali, tidak membutuhkan usaha yang baru atau sebab yang  di luar dirinya (munfāsil), melainkan cukup melalui zat dan  fundamen dirinya (Muqawimātuhā).</w:t>
      </w:r>
    </w:p>
    <w:p>
      <w:pPr>
        <w:pStyle w:val="BookText"/>
        <w:bidi w:val="0"/>
        <w:jc w:val="both"/>
        <w:rPr/>
      </w:pPr>
      <w:r>
        <w:rPr>
          <w:rFonts w:eastAsia="Times New Roman" w:cs="Times New Roman" w:ascii="Times New Roman" w:hAnsi="Times New Roman"/>
          <w:color w:val="111111"/>
          <w:sz w:val="28"/>
          <w:szCs w:val="28"/>
          <w:lang w:val="en-US"/>
        </w:rPr>
        <w:t>Kita dapat menyimpulkan pandangan Mulla Sadra  tersebut, bahwa menurut Mulla Sadra bahan dasar akhirat  tidaklah terbentuk dari sesuatu yang eksternal dari jiwa manusia  karena di akhirat tidak lagi terjadi gerakan seperti yang terjadi  di dunia, sedangkan materi eksternal membutuhkan gerakan  untuk dapat berkembang, karenanya materi atau bahan dasar  akhirat tidak lain berasal dari jiwa manusia. Dalam bahasa yang  lebih sederhana, Mulla Sadra pada intinya, ingin menyatakan  bahwa neraka ataupun surga terbentuk dari jiwa manusia.</w:t>
      </w:r>
    </w:p>
    <w:p>
      <w:pPr>
        <w:pStyle w:val="BookText"/>
        <w:bidi w:val="0"/>
        <w:jc w:val="both"/>
        <w:rPr/>
      </w:pPr>
      <w:r>
        <w:rPr>
          <w:rFonts w:eastAsia="Times New Roman" w:cs="Times New Roman" w:ascii="Times New Roman" w:hAnsi="Times New Roman"/>
          <w:color w:val="111111"/>
          <w:sz w:val="28"/>
          <w:szCs w:val="28"/>
          <w:lang w:val="en-US"/>
        </w:rPr>
        <w:t>Melihat gagasan Mulla Sadra yang seperti ini, jelas sekali  pengaruh pandangan tasawuf pada diri Mulla Sadra karena  pandangan seperti ini tidak ditemui pada pandangan para filsuf  sebelumnya, apalagi para teolog. Bagi Al-Gazhali misalnya,  akhirat merupakan tempat yang melingkupi diri manusia sebagai  sebuah realitas yang eksternal.</w:t>
      </w:r>
      <w:r>
        <w:rPr>
          <w:rStyle w:val="FootnoteAnchor"/>
        </w:rPr>
        <w:footnoteReference w:id="224"/>
      </w:r>
      <w:r>
        <w:rPr>
          <w:rFonts w:eastAsia="Times New Roman" w:cs="Times New Roman" w:ascii="Times New Roman" w:hAnsi="Times New Roman"/>
          <w:color w:val="111111"/>
          <w:sz w:val="28"/>
          <w:szCs w:val="28"/>
          <w:lang w:val="en-US"/>
        </w:rPr>
        <w:t>Bagi Mulla Sadra, prinsip  kesatuan antara subjek dan objek pengetahuan menunjukkan  kesatuan tersebut terjadi di alam akhirat sehingga tidak dapat  dikatakan posisi surga dan neraka berada di mana karena semua  itu terjadi tidak dalam lingkup ruang atau waktu, melainkan  di alam substansial jiwa manusia tersebut. Bagi Mulla Sadra,  jiwalah yang membentuk realitas tersebut.</w:t>
      </w:r>
    </w:p>
    <w:p>
      <w:pPr>
        <w:pStyle w:val="Heading3"/>
        <w:numPr>
          <w:ilvl w:val="2"/>
          <w:numId w:val="1"/>
        </w:numPr>
        <w:bidi w:val="0"/>
        <w:jc w:val="left"/>
        <w:rPr/>
      </w:pPr>
      <w:bookmarkStart w:id="133" w:name="__RefHeading___Toc808230_653776707"/>
      <w:bookmarkStart w:id="134" w:name="_Toc44"/>
      <w:bookmarkEnd w:id="133"/>
      <w:r>
        <w:rPr/>
        <w:t>7. Kebangkitan Jasmani dan Fisikalisasi Perbuatan</w:t>
      </w:r>
      <w:bookmarkEnd w:id="134"/>
    </w:p>
    <w:p>
      <w:pPr>
        <w:pStyle w:val="BookText"/>
        <w:bidi w:val="0"/>
        <w:jc w:val="both"/>
        <w:rPr/>
      </w:pPr>
      <w:r>
        <w:rPr>
          <w:rFonts w:eastAsia="Times New Roman" w:cs="Times New Roman" w:ascii="Times New Roman" w:hAnsi="Times New Roman"/>
          <w:color w:val="111111"/>
          <w:sz w:val="28"/>
          <w:szCs w:val="28"/>
          <w:lang w:val="en-US"/>
        </w:rPr>
        <w:t>Persoalan mendasar yang memicu ketegangan antara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205 </w:t>
      </w:r>
    </w:p>
    <w:p>
      <w:pPr>
        <w:pStyle w:val="BookText"/>
        <w:bidi w:val="0"/>
        <w:rPr/>
      </w:pPr>
      <w:r>
        <w:rPr>
          <w:rFonts w:eastAsia="Times New Roman" w:cs="Times New Roman" w:ascii="Times New Roman" w:hAnsi="Times New Roman"/>
          <w:color w:val="111111"/>
          <w:sz w:val="28"/>
          <w:szCs w:val="28"/>
          <w:lang w:val="en-US"/>
        </w:rPr>
        <w:t>filsuf dan teolog berkisar pada persoalan dalam bentuk seperti  apa kebangkitan tersebut terjadi, apakah kebangkitan ruhani  semata atau jasmani semata</w:t>
      </w:r>
      <w:r>
        <w:rPr>
          <w:rStyle w:val="FootnoteAnchor"/>
        </w:rPr>
        <w:footnoteReference w:id="225"/>
      </w:r>
      <w:r>
        <w:rPr>
          <w:rFonts w:eastAsia="Times New Roman" w:cs="Times New Roman" w:ascii="Times New Roman" w:hAnsi="Times New Roman"/>
          <w:color w:val="111111"/>
          <w:sz w:val="28"/>
          <w:szCs w:val="28"/>
          <w:lang w:val="en-US"/>
        </w:rPr>
        <w:t xml:space="preserve">atau ruhani-jasmani. Para filsuf,  khususnya filsuf Peripatetik, meyakini kebangkitan ruhani atau  intelektual, bahwa setelah berpisahnya jiwa dengan raga, maka  jiwa akan bersifat ruhani dan tidak mungkin lagi dibangkitkan  bersama raga karena akan menyebabkan terjadinya reinkarnasi.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Maka jelas dan benderanglah bahwa jiwa-jiwa manusia adalah  sesuatu yang baru dan tetap setelah (kehancuran) materi dan  tidak tinggal di dalam raga-raga tersebut dan tidak juga terjadi  reinkarnasi" Ibn Sina, Al-Mabda' wa Al-Ma'ād, 108–109.</w:t>
      </w:r>
    </w:p>
    <w:p>
      <w:pPr>
        <w:pStyle w:val="BookText"/>
        <w:bidi w:val="0"/>
        <w:jc w:val="both"/>
        <w:rPr/>
      </w:pPr>
      <w:r>
        <w:rPr>
          <w:rFonts w:eastAsia="Times New Roman" w:cs="Times New Roman" w:ascii="Times New Roman" w:hAnsi="Times New Roman"/>
          <w:color w:val="111111"/>
          <w:sz w:val="28"/>
          <w:szCs w:val="28"/>
          <w:lang w:val="en-US"/>
        </w:rPr>
        <w:t>Namun bagi Al-Gazhali, hal ini sama saja dengan menegasikan  kekuasaan Tuhan, tidak ada sesuatu yang mustahil bagi Tuhan,  apalagi sekedar mengembalikan kehidupan yang pernah ada  sebelumnya. Tuhan adalah Zat Yang Mahakuasa sehingga  pertanyaan apakah Allah akan membangkitkan manusia dalam  bentuknya yang ruhaniah ataukah dengan raga, bukanlah sebuah  persoalan bagi Tuhan.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Ketika kehidupan dan raga telah hancur, penciptaan  kembalinya akan merupakan penciptaan yang semisal  dengan apa yang ada sebelumnya. Namun, makna “kembali”,  sebagaiamana yang kami pahami,, mengimplikasikan  pengandaiaan keabadian sesuatu dan barunya sesuatu yang  lain. Sebagaimana jika dikatakan bahwa seseorang kembali  pada kenikmatan, yang dimaksud tidak lain, bahwa orang        yang mendapatkan kenikmatan tersebut bersifat tetap dan  abadi; dia telah meninggalkan kenikmatan tersebut kemudian  kembali merasakannya; yaitu, dia kembali pada apa yang  secara jenerik sama dengan apa yang dia rasakan sebelumnya  akan tetapi berbeda dalam kuantitasnya. Maka tidak lain  makna kembali adalah kembali kepada yang semisalnya."  Al-Ghazali, Tahāfut Al-Falāsifah (Beirut: Dar Al-Maktabah Al-  Hilal), hlm. 289–290. Selanjutnya disebut: Tahafut.</w:t>
      </w:r>
    </w:p>
    <w:p>
      <w:pPr>
        <w:pStyle w:val="BookText"/>
        <w:bidi w:val="0"/>
        <w:jc w:val="both"/>
        <w:rPr/>
      </w:pPr>
      <w:r>
        <w:rPr>
          <w:rFonts w:eastAsia="Times New Roman" w:cs="Times New Roman" w:ascii="Times New Roman" w:hAnsi="Times New Roman"/>
          <w:color w:val="111111"/>
          <w:sz w:val="28"/>
          <w:szCs w:val="28"/>
          <w:lang w:val="en-US"/>
        </w:rPr>
        <w:t>Pandangan para filsuf ini, menurut Al-  Gazhali, adalah keliru dan sesat.</w:t>
      </w:r>
    </w:p>
    <w:p>
      <w:pPr>
        <w:pStyle w:val="BookText"/>
        <w:bidi w:val="0"/>
        <w:jc w:val="both"/>
        <w:rPr/>
      </w:pPr>
      <w:r>
        <w:rPr>
          <w:rFonts w:eastAsia="Times New Roman" w:cs="Times New Roman" w:ascii="Times New Roman" w:hAnsi="Times New Roman"/>
          <w:color w:val="111111"/>
          <w:sz w:val="28"/>
          <w:szCs w:val="28"/>
          <w:lang w:val="en-US"/>
        </w:rPr>
        <w:t>Polemik pada persoalan inilah yang telah memicu  “pengkafiran" terhadap filsafat, khususnya kajian Eskatologi,  sehingga kemudian memunculkan anggapan bahwa kajian  eskatologi sudah dianggap sebagai final. Menurut Jane  Idelman,</w:t>
      </w:r>
      <w:r>
        <w:rPr>
          <w:rStyle w:val="FootnoteAnchor"/>
        </w:rPr>
        <w:footnoteReference w:id="227"/>
      </w:r>
      <w:r>
        <w:rPr>
          <w:rFonts w:eastAsia="Times New Roman" w:cs="Times New Roman" w:ascii="Times New Roman" w:hAnsi="Times New Roman"/>
          <w:color w:val="111111"/>
          <w:sz w:val="28"/>
          <w:szCs w:val="28"/>
          <w:lang w:val="en-US"/>
        </w:rPr>
        <w:t>kajian-kajian Eskatologi pasca-Al-Gazhali lebih  bersifat penjelasan literal terhadap doktrin-doktrin Eskatologi  ketimbang filosofis.</w:t>
      </w:r>
      <w:r>
        <w:rPr>
          <w:rStyle w:val="FootnoteAnchor"/>
        </w:rPr>
        <w:footnoteReference w:id="228"/>
      </w:r>
      <w:r>
        <w:rPr>
          <w:rFonts w:eastAsia="Times New Roman" w:cs="Times New Roman" w:ascii="Times New Roman" w:hAnsi="Times New Roman"/>
          <w:color w:val="111111"/>
          <w:sz w:val="28"/>
          <w:szCs w:val="28"/>
          <w:lang w:val="en-US"/>
        </w:rPr>
        <w:t xml:space="preserve"> Mulla Sadra secara khusus mencurahkan kajian  Eskatologinya dalam usahanya untuk menyelesaikan persoalan  eskatologis tersebut. Sebelas prinsip yang dikemukakan Mulla  Sadra tampaknya merupakan upayanya untuk menjelaskan  persoalan ini. Tugas ini menjadi sangat penting bagi Mulla Sadra  karena berkaitan dengan karakter yang dibangun dalam aliran  filsafatnya sebagai filsafat yang melintasi Filsafat Peripatetik,</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206 </w:t>
      </w:r>
    </w:p>
    <w:p>
      <w:pPr>
        <w:pStyle w:val="BookText"/>
        <w:bidi w:val="0"/>
        <w:rPr/>
      </w:pPr>
      <w:r>
        <w:rPr>
          <w:rFonts w:eastAsia="Times New Roman" w:cs="Times New Roman" w:ascii="Times New Roman" w:hAnsi="Times New Roman"/>
          <w:color w:val="111111"/>
          <w:sz w:val="28"/>
          <w:szCs w:val="28"/>
          <w:lang w:val="en-US"/>
        </w:rPr>
        <w:t>Iluminasi, irfan dan teologi. Karena itu, dalam bagian ini, Mulla  Sadra berusaha memberikan jawaban solutif bagi persoalan  tersebut. Usaha Mulla Sadra, dalam hal ini, dilakukan dalam  beberapa langkah utama, antara lain,  Pertama, Mulla Sadra mengkritisi pandangan Al-Gazhali  dan Fakhr Al-Rāzī, yang menyatakan bahwa Allah Mahakuasa  atas segala sesuatu dan bukan persoalan bagi Allah untuk  membangkitkan manusia secara ruhaniah atau ragawi. Bagi  Mulla Sadra, dasar ini sangat tidak rasional dan tidak tepat dalam  penggunaannya. Mulla Sadra sama sekali tidak menolak Ke-  Mahakuasa-an Allah Swt.. Namun baginya, apa yang dilakukan  Allah adalah pada persoalan yang mumkin al-wujūd, bukan pada  persoalan yang mustahil al-wujūd. Menurutnya, bagaimana  sesuatu dapat terjadi pada sesuatu yang tidak mungkin  (mustahil); mungkin tidaknya sesuatu tersebut dapat dijelaskan  secara rasional. Karena itu,    bagi Mulla Sadra, tindakan    Allah Swt. meliputi hal  hal yang mumkin al-wujūd    dan hal ini merupakan    sunnahtullah.</w:t>
      </w:r>
      <w:r>
        <w:rPr>
          <w:rStyle w:val="FootnoteAnchor"/>
        </w:rPr>
        <w:footnoteReference w:id="229"/>
      </w:r>
      <w:r>
        <w:rPr>
          <w:rFonts w:eastAsia="Times New Roman" w:cs="Times New Roman" w:ascii="Times New Roman" w:hAnsi="Times New Roman"/>
          <w:color w:val="111111"/>
          <w:sz w:val="28"/>
          <w:szCs w:val="28"/>
          <w:lang w:val="en-US"/>
        </w:rPr>
        <w:t>Kedua,  Mulla Sadra, seperti yang    telah dijelaskan pada bagian    kritik Mulla Sadra terhadap  para pemikir Muslim      sebelumnya, dengan    argumentasi filosofis yang  dikemukakannya, menolak      secara mutlak konsep</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207 </w:t>
      </w:r>
    </w:p>
    <w:p>
      <w:pPr>
        <w:pStyle w:val="BookText"/>
        <w:bidi w:val="0"/>
        <w:rPr/>
      </w:pPr>
      <w:r>
        <w:rPr>
          <w:rFonts w:eastAsia="Times New Roman" w:cs="Times New Roman" w:ascii="Times New Roman" w:hAnsi="Times New Roman"/>
          <w:color w:val="111111"/>
          <w:sz w:val="28"/>
          <w:szCs w:val="28"/>
          <w:lang w:val="en-US"/>
        </w:rPr>
        <w:t>reinkarnasi. Bagi Mulla Sadra, perpindahan jiwa pada raga apa  pun, baik itu raga materi, raga astrologi, imajinal, maupun  raga ukhrawi, merupakan reinkarnasi. Karena itu, Mulla Sadra  menolak solusi yang diberikan oleh Syaikh Isyraq ataupun Al-  Gazhali karena solusi tersebut baginya masuk dalam kategori  reinkarnasi.</w:t>
      </w:r>
      <w:r>
        <w:rPr>
          <w:rStyle w:val="FootnoteAnchor"/>
        </w:rPr>
        <w:footnoteReference w:id="230"/>
      </w:r>
      <w:r>
        <w:rPr>
          <w:rFonts w:eastAsia="Times New Roman" w:cs="Times New Roman" w:ascii="Times New Roman" w:hAnsi="Times New Roman"/>
          <w:color w:val="111111"/>
          <w:sz w:val="28"/>
          <w:szCs w:val="28"/>
          <w:lang w:val="en-US"/>
        </w:rPr>
        <w:t xml:space="preserve"> Ketiga, Mulla Sadra mengemukakan sebelas prinsip  Eskatologi yang menghasilkan kesimpulan bahwa kebangkitan  terjadi meliputi jiwa dan raga. Namun, tidak mungkin raga  materi duniawi yang dibangkitkan juga raga yang terbentuk di  luar jiwa manusia tersebut.</w:t>
      </w:r>
      <w:r>
        <w:rPr>
          <w:rStyle w:val="FootnoteAnchor"/>
        </w:rPr>
        <w:footnoteReference w:id="231"/>
      </w:r>
      <w:r>
        <w:rPr>
          <w:rFonts w:eastAsia="Times New Roman" w:cs="Times New Roman" w:ascii="Times New Roman" w:hAnsi="Times New Roman"/>
          <w:color w:val="111111"/>
          <w:sz w:val="28"/>
          <w:szCs w:val="28"/>
          <w:lang w:val="en-US"/>
        </w:rPr>
        <w:t>Hal ini mungkin karena wujud  akan terus mengalami perkembangan pada tingkat-tingkat  yang lebih tinggi kualitasnya dengan melalui proses gerakan  transubstansial.</w:t>
      </w:r>
    </w:p>
    <w:p>
      <w:pPr>
        <w:pStyle w:val="BookText"/>
        <w:bidi w:val="0"/>
        <w:jc w:val="both"/>
        <w:rPr/>
      </w:pPr>
      <w:r>
        <w:rPr>
          <w:rFonts w:eastAsia="Times New Roman" w:cs="Times New Roman" w:ascii="Times New Roman" w:hAnsi="Times New Roman"/>
          <w:color w:val="111111"/>
          <w:sz w:val="28"/>
          <w:szCs w:val="28"/>
          <w:lang w:val="en-US"/>
        </w:rPr>
        <w:t>Dengan tiga dasar utama tersebut, Mulla Sadra menarik  kesimpulan bahwa raga dengan kediriannya akan dibangkitkan  kembali pada hari kiamat melalui forma fisik. Dan kebangkitan,  tidak lain, meliputi seluruh jiwa dan raga dengan kedirian  dan terpelihara identitasnya. Namun, raga yang dibangkitkan  tersebut bukanlah raga yang tersusun dari unsur yang berbeda,  sebagaimana pandangan sebagian tokoh-tokoh Islam atau raga  imajinal sebagaimana yang diyakini oleh pengikut Ilmunasi.</w:t>
      </w:r>
      <w:r>
        <w:rPr>
          <w:rStyle w:val="FootnoteAnchor"/>
        </w:rPr>
        <w:footnoteReference w:id="232"/>
      </w:r>
      <w:r>
        <w:rPr>
          <w:rFonts w:eastAsia="Times New Roman" w:cs="Times New Roman" w:ascii="Times New Roman" w:hAnsi="Times New Roman"/>
          <w:color w:val="111111"/>
          <w:sz w:val="28"/>
          <w:szCs w:val="28"/>
          <w:lang w:val="en-US"/>
        </w:rPr>
        <w:t xml:space="preserve"> Kesimpulan Mulla Sadra ini menunjukkan bahwa manusia  akan dibangkitkan tetap bersama raganya dengan seluruh atribut  yang menunjukkan identitas diri manusia yang dibangkitkan  tersebut sehingga kita dapat menyebutkan bahwa sosok  manusia yang dibangkitkan di akhirat adalah sosok manusia  yang dahulu di dunia.</w:t>
      </w:r>
    </w:p>
    <w:p>
      <w:pPr>
        <w:pStyle w:val="BookText"/>
        <w:bidi w:val="0"/>
        <w:jc w:val="both"/>
        <w:rPr/>
      </w:pPr>
      <w:r>
        <w:rPr>
          <w:rFonts w:eastAsia="Times New Roman" w:cs="Times New Roman" w:ascii="Times New Roman" w:hAnsi="Times New Roman"/>
          <w:color w:val="111111"/>
          <w:sz w:val="28"/>
          <w:szCs w:val="28"/>
          <w:lang w:val="en-US"/>
        </w:rPr>
        <w:t>Kesimpulan yang digambarkan Mulla Sadra didasarkan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208 </w:t>
      </w:r>
    </w:p>
    <w:p>
      <w:pPr>
        <w:pStyle w:val="BookText"/>
        <w:bidi w:val="0"/>
        <w:rPr/>
      </w:pPr>
      <w:r>
        <w:rPr>
          <w:rFonts w:eastAsia="Times New Roman" w:cs="Times New Roman" w:ascii="Times New Roman" w:hAnsi="Times New Roman"/>
          <w:color w:val="111111"/>
          <w:sz w:val="28"/>
          <w:szCs w:val="28"/>
          <w:lang w:val="en-US"/>
        </w:rPr>
        <w:t>pada prinsip-prinsip yang telah dikemukakannya terdahulu.</w:t>
      </w:r>
    </w:p>
    <w:p>
      <w:pPr>
        <w:pStyle w:val="BookText"/>
        <w:bidi w:val="0"/>
        <w:jc w:val="both"/>
        <w:rPr/>
      </w:pPr>
      <w:r>
        <w:rPr>
          <w:rFonts w:eastAsia="Times New Roman" w:cs="Times New Roman" w:ascii="Times New Roman" w:hAnsi="Times New Roman"/>
          <w:color w:val="111111"/>
          <w:sz w:val="28"/>
          <w:szCs w:val="28"/>
          <w:lang w:val="en-US"/>
        </w:rPr>
        <w:t>Namun, untuk menguatkan pandangannya ini, Mulla Sadra  mengharuskan adanya prinsip lain, yaitu adanya ikatan alamiah  dan fundamental (Zātī) antara raga tersebut dengan jiwa dan  kemudian raga ikut melakukan proses penyempurnaan diri,  sebagaimana jiwa mulai dari tingkat alam materi, kemudian  berkembang menuju alam imajinal dan alam rasional atau akliah.</w:t>
      </w:r>
    </w:p>
    <w:p>
      <w:pPr>
        <w:pStyle w:val="BookText"/>
        <w:bidi w:val="0"/>
        <w:jc w:val="both"/>
        <w:rPr/>
      </w:pPr>
      <w:r>
        <w:rPr>
          <w:rFonts w:eastAsia="Times New Roman" w:cs="Times New Roman" w:ascii="Times New Roman" w:hAnsi="Times New Roman"/>
          <w:color w:val="111111"/>
          <w:sz w:val="28"/>
          <w:szCs w:val="28"/>
          <w:lang w:val="en-US"/>
        </w:rPr>
        <w:t>Berdasarkan kesimpulan dan prinsip-prinsip yang  dikemukakan Mulla Sadra, kita dapat menjelaskan bahwa raga  yang dimaksudkan Mulla Sadra yang akan dibangkitkan kelak  bukanlah raga rasional atau akliah, seperti pandangan Ibn Sina  dan para filsuf Peripatetik. Juga bukan raga imajinal terpisah  (MunfaSil),</w:t>
      </w:r>
      <w:r>
        <w:rPr>
          <w:rStyle w:val="FootnoteAnchor"/>
        </w:rPr>
        <w:footnoteReference w:id="233"/>
      </w:r>
      <w:r>
        <w:rPr>
          <w:rFonts w:eastAsia="Times New Roman" w:cs="Times New Roman" w:ascii="Times New Roman" w:hAnsi="Times New Roman"/>
          <w:color w:val="111111"/>
          <w:sz w:val="28"/>
          <w:szCs w:val="28"/>
          <w:lang w:val="en-US"/>
        </w:rPr>
        <w:t>seperti yang dikemukakan oleh Syaikh Isyraq  karena pada keduanya tidak terjadi ikatan alamiah dan juga  tidak lepas dari wilayah reinkarnasi. Kemungkinan ketiga yang  dimaksudkan Mulla Sadra adalah raga Imajinal, yaitu imajinal  bersambung (MuttaSil) yang muncul dari daya imajinasi jiwa  yang sejak kehadiran manusia di dunia, sudah ada bersamanya  dan terus bersama manusia tersebut ketika terjadi kematian  karena daya tersebut tidak lain adalah daya sempurna yang ada  pada diri manusia. Berbeda halnya dengan imajinal terpisah  yang hanya hadir secara aksidental. Kesimpulan yang sama  juga dikemukakan Kyosamsaki, seorang peneliti Mulla Sadra. Ia  menyebutkan:</w:t>
      </w:r>
    </w:p>
    <w:p>
      <w:pPr>
        <w:pStyle w:val="BookText"/>
        <w:bidi w:val="0"/>
        <w:jc w:val="both"/>
        <w:rPr/>
      </w:pPr>
      <w:r>
        <w:rPr>
          <w:rFonts w:eastAsia="Times New Roman" w:cs="Times New Roman" w:ascii="Times New Roman" w:hAnsi="Times New Roman"/>
          <w:color w:val="111111"/>
          <w:sz w:val="28"/>
          <w:szCs w:val="28"/>
          <w:lang w:val="en-US"/>
        </w:rPr>
        <w:t>Berdasarkan bukti pandangan-Mulla Sadra-maka raga  tersebut tidak akan mungkin raga materi ataupun raga  rasional atau akliah. Karenanya, tidak bisa tidak bahwa-  raga yang dimaksud-adalah wujud imajinal. Namun  demikian, ini bukanlah akhir dari perjalanan: mengingat  bahwa jika raga akhirat merupakan bentuk wujud imajinal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209 </w:t>
      </w:r>
    </w:p>
    <w:p>
      <w:pPr>
        <w:pStyle w:val="BookText"/>
        <w:bidi w:val="0"/>
        <w:rPr/>
      </w:pPr>
      <w:r>
        <w:rPr>
          <w:rFonts w:eastAsia="Times New Roman" w:cs="Times New Roman" w:ascii="Times New Roman" w:hAnsi="Times New Roman"/>
          <w:color w:val="111111"/>
          <w:sz w:val="28"/>
          <w:szCs w:val="28"/>
          <w:lang w:val="en-US"/>
        </w:rPr>
        <w:t>dan terikat pada alam imajinal munfasil karena tidak akan  mungkin terjadi ikatan alami (takwini) khusus dengan jiwa  khusus manapun sehingga dapat menjadi raga manusia  tersebut (juga karena ketiadaan bentuk wujud yang seperti  ini). Karenanya, tidak ada jalan lain, kecuali menerima  bahwa raga di akhirat adalah raga imajinal, bukan imajinal  mutlak terpisah (Munfasil), tetapi raga imajinal tidak  mutlak (Muqayyad) dan bersambung (Muttasil), yang tidak  lain merupakan daya imajinasi.</w:t>
      </w:r>
      <w:r>
        <w:rPr>
          <w:rStyle w:val="FootnoteAnchor"/>
        </w:rPr>
        <w:footnoteReference w:id="234"/>
      </w:r>
    </w:p>
    <w:p>
      <w:pPr>
        <w:pStyle w:val="BookText"/>
        <w:bidi w:val="0"/>
        <w:jc w:val="both"/>
        <w:rPr/>
      </w:pPr>
      <w:r>
        <w:rPr>
          <w:rFonts w:ascii="IRNazanin" w:hAnsi="IRNazanin" w:eastAsia="IRNazanin"/>
          <w:color w:val="111111"/>
          <w:sz w:val="28"/>
          <w:sz w:val="28"/>
          <w:szCs w:val="28"/>
          <w:rtl w:val="true"/>
          <w:lang w:bidi="fa-IR"/>
        </w:rPr>
        <w:t>اما دیدیم که بدن مذکورنه می تواند مادی باشد و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موجودی است مثالی به هر روی این پایان راه نیست زیرا چنانچه بدن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مثالی و متعلق به عالم مثال منفضل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تکوینی  خاصی با هیچ نفس خاصی نخواهد داشت تا بدن آن به 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توازی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نیست جز اینکه بپذیریم بدن اخروی بدنی است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در مثال مطلق ومنفضل بلکه در مثال مقید ومتصل یا همان  قوه خیال</w:t>
      </w:r>
    </w:p>
    <w:p>
      <w:pPr>
        <w:pStyle w:val="BookText"/>
        <w:bidi w:val="0"/>
        <w:jc w:val="both"/>
        <w:rPr/>
      </w:pPr>
      <w:r>
        <w:rPr>
          <w:rFonts w:eastAsia="Times New Roman" w:cs="Times New Roman" w:ascii="Times New Roman" w:hAnsi="Times New Roman"/>
          <w:color w:val="111111"/>
          <w:sz w:val="28"/>
          <w:szCs w:val="28"/>
          <w:lang w:val="en-US"/>
        </w:rPr>
        <w:t>Mulla Sadra memberikan gambaran bahwa raga akhirat  berada di antara dua alam dan meliputi keduanya, yaitu alam  immaterial dan material. Dirinya diliputi oleh banyak elemen  raga duniawi. Sesungguhnya, raga akhirat seperti bayang-  bayang, perumpamaan, imajinasi bagi ruh, bahkan antara raga  tersebut dengan ruh atau jiwa bersatu dalam wujud.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Sifat dari  raga tersebut, menurut Mulla Sadra, serupa dengan forma-  forma yang disaksikan manusia di dalam tidurnya atau dalam  sebagian penyaksian, tetapi terpisah, baik secara zat maupun  hakikat. Kemiripan antara keduanya adalah kedua-duanya tidak  berada pada korpus materi, ruang, dan dimensi, seperti materi  duniawi ini. Juga tidak terjadi pergesekan antara beragam forma  tersebut. Satu bentuk tidak akan menghalangi bentuk yang lain,  baik berdasarkan ruang atau waktu, seperti halnya di alam ini.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Thaba'thaba'i, sebagai salah satu komentator Mulla  Sadra, menunjukkan kesatuan identitas pada raga dan pemilik  raga yang dibangkitkan tersebut sebagai berikut: “Raga yang  akan datang, jika dibandingkan dengan raga yang sebelumnya,  adalah permisalan darinya, sedangkan manusia pemilik raga  kemudian, jika dibandingkan dengan pemilik raga sebelumnya,  adalah dirinya, bukan sepertinya, karena identitas terletak pada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210 </w:t>
      </w:r>
    </w:p>
    <w:p>
      <w:pPr>
        <w:pStyle w:val="BookText"/>
        <w:bidi w:val="0"/>
        <w:rPr/>
      </w:pPr>
      <w:r>
        <w:rPr>
          <w:rFonts w:eastAsia="Times New Roman" w:cs="Times New Roman" w:ascii="Times New Roman" w:hAnsi="Times New Roman"/>
          <w:color w:val="111111"/>
          <w:sz w:val="28"/>
          <w:szCs w:val="28"/>
          <w:lang w:val="en-US"/>
        </w:rPr>
        <w:t>jiwa dan jiwa satu dalam identitasnya".</w:t>
      </w:r>
      <w:r>
        <w:rPr>
          <w:rStyle w:val="FootnoteAnchor"/>
        </w:rPr>
        <w:footnoteReference w:id="235"/>
      </w:r>
    </w:p>
    <w:p>
      <w:pPr>
        <w:pStyle w:val="BookText"/>
        <w:bidi w:val="0"/>
        <w:jc w:val="both"/>
        <w:rPr/>
      </w:pPr>
      <w:r>
        <w:rPr>
          <w:rFonts w:ascii="IRNazanin" w:hAnsi="IRNazanin" w:eastAsia="IRNazanin"/>
          <w:color w:val="111111"/>
          <w:sz w:val="28"/>
          <w:sz w:val="28"/>
          <w:szCs w:val="28"/>
          <w:rtl w:val="true"/>
          <w:lang w:bidi="fa-IR"/>
        </w:rPr>
        <w:t>البدن اللاحق من الإنسان إذا اعتبر بالقیاس إلی البدن السابق منه کان مثله  لا عینه لکن الإنسان ذا البدن اللاحق إذا قیس إلی الإنسان ذی البدن السابق  کا عینه لا مثله لان الشخصیة بالنفس وهی واحدة بعینها</w:t>
      </w:r>
    </w:p>
    <w:p>
      <w:pPr>
        <w:pStyle w:val="BookText"/>
        <w:bidi w:val="0"/>
        <w:jc w:val="both"/>
        <w:rPr/>
      </w:pPr>
      <w:r>
        <w:rPr>
          <w:rFonts w:eastAsia="Times New Roman" w:cs="Times New Roman" w:ascii="Times New Roman" w:hAnsi="Times New Roman"/>
          <w:color w:val="111111"/>
          <w:sz w:val="28"/>
          <w:szCs w:val="28"/>
          <w:lang w:val="en-US"/>
        </w:rPr>
        <w:t>Solusi Mulla Sadra tentang raga imajinal ini kemudian  mendapatkan kritik Fazlur Rahman karena menurut Rahman,  solusi yang ditawarkan Mulla Sadra tidak berbeda dengan apa  yang ditawarkan Al-Gazhali tentang tatanan badan citra, padahal  sebelumnya, Mulla Sadra menolak solusi Al-Gazhali. Namun,  Rahman tidak menyadari bahwa kritiknya tersebut sangat  tidak tepat, mengingat Al-Gazhali tidak pernah menawarkan  solusi tentang raga imajinal atau raga citra. Dalam bahasa  Rahman, yang dimaksudkan Al-Gazhali adalah raga ukhrawi  yang terbentuk dari unsur-unsur akhirat, sedangkan yang  memberikan tawaran raga imajinal dalam konteks ini hanyalah  Syaikh Isyraq dan Rahman mengabaikan fakta adanya beragam  jenis alam imajinal.</w:t>
      </w:r>
    </w:p>
    <w:p>
      <w:pPr>
        <w:pStyle w:val="BookText"/>
        <w:bidi w:val="0"/>
        <w:jc w:val="both"/>
        <w:rPr/>
      </w:pPr>
      <w:r>
        <w:rPr>
          <w:rFonts w:eastAsia="Times New Roman" w:cs="Times New Roman" w:ascii="Times New Roman" w:hAnsi="Times New Roman"/>
          <w:color w:val="111111"/>
          <w:sz w:val="28"/>
          <w:szCs w:val="28"/>
          <w:lang w:val="en-US"/>
        </w:rPr>
        <w:t xml:space="preserve">Raga imajinal bersambung yang akan menjadi raga  bagi manusia yang dibangkitkan di akhirat, sebagaimana  yang ditawarkan Mulla Sadra, adalah gagasan yang sepanjang  pengetahuan penulis, belum pernah ada sebelumnya dan  gagasan ini menarik, mengingat persoalan yang terjadi dalam  diskursus kebangkitan berkisar pada persoalan kebangkitan  ruhani atau ragawi. Jika raga yang dibangkitkan maka dari jenis  raga yang mana, raga materi duniawi, raga ukhrawi atau raga  imajinal? Diskursus dalam hal inilah yang telah memutuskan  studi Eskatologi di kalangan filsuf dan di antara alasan yang  menyebabkan terjadinya pengkafiran para filsuf. </w:t>
      </w:r>
      <w:r>
        <w:rPr>
          <w:rStyle w:val="FootnoteAnchor"/>
        </w:rPr>
        <w:footnoteReference w:id="236"/>
      </w:r>
      <w:r>
        <w:rPr>
          <w:rFonts w:eastAsia="Times New Roman" w:cs="Times New Roman" w:ascii="Times New Roman" w:hAnsi="Times New Roman"/>
          <w:color w:val="111111"/>
          <w:sz w:val="28"/>
          <w:szCs w:val="28"/>
          <w:lang w:val="en-US"/>
        </w:rPr>
        <w:t xml:space="preserve"> Apa yang menjadi tawaran Mulla Sadra ini dapat  menjembatani semua persoalan tersebut. Secara argumentasi  rasional, dapat diterima bahwa kebangkitan tidak berarti  kembalinya raga materi duniawi, juga terhindar dari persoalan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211 </w:t>
      </w:r>
    </w:p>
    <w:p>
      <w:pPr>
        <w:pStyle w:val="BookText"/>
        <w:bidi w:val="0"/>
        <w:rPr/>
      </w:pPr>
      <w:r>
        <w:rPr>
          <w:rFonts w:eastAsia="Times New Roman" w:cs="Times New Roman" w:ascii="Times New Roman" w:hAnsi="Times New Roman"/>
          <w:color w:val="111111"/>
          <w:sz w:val="28"/>
          <w:szCs w:val="28"/>
          <w:lang w:val="en-US"/>
        </w:rPr>
        <w:t>reinkarnasi yang ditolak oleh para filsuf, terutama oleh Mulla  Sadra, tetapi sekaligus juga sesuai dengan doktrin-doktrin nash  yang juga menjadi dasar para teolog untuk menunjukkan adanya  kebangkitan ragawi.</w:t>
      </w:r>
    </w:p>
    <w:p>
      <w:pPr>
        <w:pStyle w:val="BookText"/>
        <w:bidi w:val="0"/>
        <w:jc w:val="both"/>
        <w:rPr/>
      </w:pPr>
      <w:r>
        <w:rPr>
          <w:rFonts w:eastAsia="Times New Roman" w:cs="Times New Roman" w:ascii="Times New Roman" w:hAnsi="Times New Roman"/>
          <w:color w:val="111111"/>
          <w:sz w:val="28"/>
          <w:szCs w:val="28"/>
          <w:lang w:val="en-US"/>
        </w:rPr>
        <w:t>Namun, patut dicermati di sini bahwa gambaran solusi  Mulla Sadra ini, di dalam karyanya, Al-Asfār, tidak tergambarkan  secara sistematis, yaitu bahwa untuk sampai pada kesimpulan  tentang pandangannya ini, haruslah merunut seluruh gagasannya  dari awal, termasuk prinsip-prinsip filsafatnya karena jika hanya  melihat bagian pembahasannya yang hanya berkaitan dengan  eskatologi, kita hanya mendapatkan prinsip-prinsip utama  eskatologi dan gambaran sekilas dari makna-makna eskatologi  yang ditawarkannya.</w:t>
      </w:r>
    </w:p>
    <w:p>
      <w:pPr>
        <w:pStyle w:val="BookText"/>
        <w:bidi w:val="0"/>
        <w:jc w:val="both"/>
        <w:rPr/>
      </w:pPr>
      <w:r>
        <w:rPr>
          <w:rFonts w:eastAsia="Times New Roman" w:cs="Times New Roman" w:ascii="Times New Roman" w:hAnsi="Times New Roman"/>
          <w:color w:val="111111"/>
          <w:sz w:val="28"/>
          <w:szCs w:val="28"/>
          <w:lang w:val="en-US"/>
        </w:rPr>
        <w:t>Salah satu di antara gagasan lain Mulla Sadra dalam  Eskatologi adalah fisikalisasi perbuatan. Bagi Mulla Sadra,  setiap tindakan yang dilakukan oleh seorang manusia di dunia  ini, apakah tindakan tersebut baik atau buruk, memberikan  warna tersendiri bagi jiwa (Tajawhur), dan tindakan-tindakan  yang telah tersubstansi dalam diri seseorang akan menciptakan  beragam forma yang akan muncul pada kehidupan berikutnya.</w:t>
      </w:r>
    </w:p>
    <w:p>
      <w:pPr>
        <w:pStyle w:val="BookText"/>
        <w:bidi w:val="0"/>
        <w:jc w:val="both"/>
        <w:rPr/>
      </w:pPr>
      <w:r>
        <w:rPr>
          <w:rFonts w:eastAsia="Times New Roman" w:cs="Times New Roman" w:ascii="Times New Roman" w:hAnsi="Times New Roman"/>
          <w:color w:val="111111"/>
          <w:sz w:val="28"/>
          <w:szCs w:val="28"/>
          <w:lang w:val="en-US"/>
        </w:rPr>
        <w:t>Sekiranya jiwa manusia tersebut adalah jiwa yang baik, maka  forma-forma yang akan muncul adalah forma-forma yang baik  dan menyenangkan, termasuk tentunya forma ragawi yang  menjadi raga bagi jiwa tersebut. Berbeda halnya jika jiwa  tersebut adalah jiwa yang buruk, yang cenderung hanya terbatas  pada sesuatu yang rendah, maka dia akan turun pada tingkat  barzakh para binatang. Imajinasi-imajinasi yang muncul pada  mereka terbatas pada tujuan-tujuan pemenuhan hawa nafsu  kebinatangan dan kebuasan binatang buas sehingga raga yang</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212 </w:t>
      </w:r>
    </w:p>
    <w:p>
      <w:pPr>
        <w:pStyle w:val="BookText"/>
        <w:bidi w:val="0"/>
        <w:rPr/>
      </w:pPr>
      <w:r>
        <w:rPr>
          <w:rFonts w:eastAsia="Times New Roman" w:cs="Times New Roman" w:ascii="Times New Roman" w:hAnsi="Times New Roman"/>
          <w:color w:val="111111"/>
          <w:sz w:val="28"/>
          <w:szCs w:val="28"/>
          <w:lang w:val="en-US"/>
        </w:rPr>
        <w:t>akan dibangkitkan dengan mereka adalah raga dengan forma-  forma binatang tersebut.</w:t>
      </w:r>
    </w:p>
    <w:p>
      <w:pPr>
        <w:pStyle w:val="BookText"/>
        <w:bidi w:val="0"/>
        <w:jc w:val="both"/>
        <w:rPr/>
      </w:pPr>
      <w:r>
        <w:rPr>
          <w:rFonts w:eastAsia="Times New Roman" w:cs="Times New Roman" w:ascii="Times New Roman" w:hAnsi="Times New Roman"/>
          <w:color w:val="111111"/>
          <w:sz w:val="28"/>
          <w:szCs w:val="28"/>
          <w:lang w:val="en-US"/>
        </w:rPr>
        <w:t xml:space="preserve">Pandangan Mulla Sadra yang seperti ini, sebenarnya  telah berkembang sebelumnya di dunia tasawuf. Para Sufi  mengemukakan pandangan tentang efek perbuatan terhadap  rupa yang akan muncul pada diri seorang manusia dalam  kehidupannya, baik di dunia ini maupun di akhirat. </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Sebagai contoh, apa yang terjadi pada Abu Basyir, “Suatu saat  aku menunaikan ibadah haji bersama Muhammad Al-Baqir,  kemudian Imam Al-Baqir berkata, “Sungguh banyak talbiyah  yang terucap, tapi sedikit sekali yang haji”. Kemudian yang  mulia mengusapkan tangannya ke wajahku dan aku melihat        sebuah pemandangan ajaib. Sebagian besar manusia yang  aku saksikan berbentuk binatang yang bermacam-macam,  sebagian berbentuk monyet dan sebagian lagi berbentuk babi  dan aku melihat orang-orang yang beriman di antara mereka  seperti gemintang yang menerangi kegelapan". Faid Al-  Kasyani, Mahajjat al-Bayda' (Qom: Muasasah Nashr Al-Islami, 1383), J.1, him. 132.</w:t>
      </w:r>
    </w:p>
    <w:p>
      <w:pPr>
        <w:pStyle w:val="BookText"/>
        <w:bidi w:val="0"/>
        <w:jc w:val="both"/>
        <w:rPr/>
      </w:pPr>
      <w:r>
        <w:rPr>
          <w:rFonts w:eastAsia="Times New Roman" w:cs="Times New Roman" w:ascii="Times New Roman" w:hAnsi="Times New Roman"/>
          <w:color w:val="111111"/>
          <w:sz w:val="28"/>
          <w:szCs w:val="28"/>
          <w:lang w:val="en-US"/>
        </w:rPr>
        <w:t>Pandangan  ini, dalam khazanah tasawuf, dikenal dengan istilah Tajassum  al-A'māl atau Tajassud al-A'māl.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Hauzehye Hunar, 1376), Bab Jim, hal.79.</w:t>
      </w:r>
    </w:p>
    <w:p>
      <w:pPr>
        <w:pStyle w:val="BookText"/>
        <w:bidi w:val="0"/>
        <w:jc w:val="both"/>
        <w:rPr/>
      </w:pPr>
      <w:r>
        <w:rPr>
          <w:rFonts w:eastAsia="Times New Roman" w:cs="Times New Roman" w:ascii="Times New Roman" w:hAnsi="Times New Roman"/>
          <w:color w:val="111111"/>
          <w:sz w:val="28"/>
          <w:szCs w:val="28"/>
          <w:lang w:val="en-US"/>
        </w:rPr>
        <w:t>Husain Mazahiri menjelaskan  tentang dengan Tajassum al-A'māl:</w:t>
      </w:r>
    </w:p>
    <w:p>
      <w:pPr>
        <w:pStyle w:val="BookText"/>
        <w:bidi w:val="0"/>
        <w:jc w:val="both"/>
        <w:rPr/>
      </w:pPr>
      <w:r>
        <w:rPr>
          <w:rFonts w:eastAsia="Times New Roman" w:cs="Times New Roman" w:ascii="Times New Roman" w:hAnsi="Times New Roman"/>
          <w:color w:val="111111"/>
          <w:sz w:val="28"/>
          <w:szCs w:val="28"/>
          <w:lang w:val="en-US"/>
        </w:rPr>
        <w:t xml:space="preserve">Karakter yang melekat tersebut, baik yang utama  maupun yang rendah, memiliki efek yang sampai pada  identitas dan hakikat manusia. Hakikat manusia dan  identitasnya tergambarkan dalam bentuk yang sesuai  dengan karakter tersebut. Bagi siapa yang berakhlak  dengan akhlak manusia yang mulia, maka derajatnya akan  sampai pada tingkat manusia sempurna... dan bagi siapa  yang berakhlak dengan akhlak binatang buas (Bahimah wa  Sab'iyyah), derajatnya akan turun dan keluar dari tingkat  manusia karena akhlak tersebut dan terbentuk dengan  bentuk binatang-binatang buas atau selainnya dari bentuk  yang sesuai dengan karakter tersebut. </w:t>
      </w:r>
      <w:r>
        <w:rPr>
          <w:rStyle w:val="FootnoteAnchor"/>
        </w:rPr>
        <w:footnoteReference w:id="238"/>
      </w:r>
    </w:p>
    <w:p>
      <w:pPr>
        <w:pStyle w:val="BookText"/>
        <w:bidi w:val="0"/>
        <w:jc w:val="both"/>
        <w:rPr/>
      </w:pPr>
      <w:r>
        <w:rPr>
          <w:rFonts w:ascii="IRNazanin" w:hAnsi="IRNazanin" w:eastAsia="IRNazanin"/>
          <w:color w:val="111111"/>
          <w:sz w:val="28"/>
          <w:sz w:val="28"/>
          <w:szCs w:val="28"/>
          <w:rtl w:val="true"/>
          <w:lang w:bidi="fa-IR"/>
        </w:rPr>
        <w:t>إن الملکات، رذیلة کانت أو فضیلة تحصل من الأفعال والأقوال والأفکار،  وهویة الانسان وحقیقیته تحصل من تلک الملکات، فالعفة والشجاعة والعدالة  علی الأعمال، کما أن ضدها من الشره والتهور والطغیان یکون کذلک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تتوقف  وتلک الملکات، رذیلة کانت أو فضیلة، توثر تأثیرا بالغا فی هویة الانسان  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الانسان وهویته تتصور بتناسب الملکات</w:t>
      </w:r>
    </w:p>
    <w:p>
      <w:pPr>
        <w:pStyle w:val="BookText"/>
        <w:bidi w:val="0"/>
        <w:jc w:val="both"/>
        <w:rPr/>
      </w:pPr>
      <w:r>
        <w:rPr>
          <w:rFonts w:eastAsia="Times New Roman" w:cs="Times New Roman" w:ascii="Times New Roman" w:hAnsi="Times New Roman"/>
          <w:color w:val="111111"/>
          <w:sz w:val="28"/>
          <w:szCs w:val="28"/>
          <w:lang w:val="en-US"/>
        </w:rPr>
        <w:t>Mulla Sadra, dalam hal ini, menggambarkan manusia  akan dibangkitkan dalam forma yang sesuai dengan orientasi  kehidupannya masing-masing. Baginya, jiwa adalah korpus bagi  ragam karakter manusia dan ragam imajinal yang diciptakan jiwa  berdasarkan karakter yang melekat pada dirinya. Karenanya,  kelak ketika dibangkitkan, manusia akan dibangkitkan dengan  aneka ragam forma, baik dalam bentuk manusia maupun  binatang, sesuai dengan dominasi karakter pada korpus jiwanya  tersebut. Hal ini menurut Mulla Sadra karena setiap manusia</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213 </w:t>
      </w:r>
      <w:bookmarkStart w:id="135" w:name="pg6434_60754"/>
    </w:p>
    <w:p>
      <w:pPr>
        <w:pStyle w:val="BookText"/>
        <w:bidi w:val="0"/>
        <w:rPr/>
      </w:pPr>
      <w:bookmarkEnd w:id="135"/>
      <w:r>
        <w:rPr>
          <w:rFonts w:eastAsia="Times New Roman" w:cs="Times New Roman" w:ascii="Times New Roman" w:hAnsi="Times New Roman"/>
          <w:color w:val="111111"/>
          <w:sz w:val="28"/>
          <w:szCs w:val="28"/>
          <w:lang w:val="en-US"/>
        </w:rPr>
        <w:t xml:space="preserve">menuju tujuan yang selama ini dia usahakan dan kepada apa  yang dia cintai. Setiap kontinuitas perbuatan akan menyebabkan  kebaruan dalam karakter yang melekat dan setiap karakter yang  melekat, yang meliputi jiwa manusia, akan membentuk forma-  forma pada hari Kiamat sesuai dengan karakternya tersebut. Raga  pada akhirat, bagi Mulla Sadra, akan membentuk forma-forma  yang sesuai dengan karakter jiwa dan sifat manusia tersebut. </w:t>
      </w:r>
      <w:r>
        <w:rPr>
          <w:rStyle w:val="FootnoteAnchor"/>
        </w:rPr>
        <w:footnoteReference w:id="239"/>
      </w:r>
      <w:r>
        <w:rPr>
          <w:rFonts w:eastAsia="Times New Roman" w:cs="Times New Roman" w:ascii="Times New Roman" w:hAnsi="Times New Roman"/>
          <w:color w:val="111111"/>
          <w:sz w:val="28"/>
          <w:szCs w:val="28"/>
          <w:lang w:val="en-US"/>
        </w:rPr>
        <w:t xml:space="preserve"> Mulla Sadra menunjukkan isyarat tentang hal tersebut yang  ada, baik di dalam Alquran maupun Al-Hadis, antara lain, “Dan  pada hari dibangkitkan binatang-binatang buas", </w:t>
      </w:r>
      <w:r>
        <w:rPr>
          <w:rStyle w:val="FootnoteAnchor"/>
        </w:rPr>
        <w:footnoteReference w:id="24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الْوُحُوشُ حُشِرَتْ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apabila binatang-binatang liar dikumpulkan."</w:t>
      </w:r>
    </w:p>
    <w:p>
      <w:pPr>
        <w:pStyle w:val="BookText"/>
        <w:bidi w:val="0"/>
        <w:jc w:val="both"/>
        <w:rPr/>
      </w:pPr>
      <w:r>
        <w:rPr>
          <w:rFonts w:eastAsia="Times New Roman" w:cs="Times New Roman" w:ascii="Times New Roman" w:hAnsi="Times New Roman"/>
          <w:color w:val="111111"/>
          <w:sz w:val="28"/>
          <w:szCs w:val="28"/>
          <w:lang w:val="en-US"/>
        </w:rPr>
        <w:t>dan di dalam  pernyatan Nabi Saw., “Akan dibangkitkan sebagian manusia  dalam bentuk monyet dan babi".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یحشر بعض الناس علی صوة تحسن عندها القردة و الخنازیر</w:t>
      </w:r>
    </w:p>
    <w:p>
      <w:pPr>
        <w:pStyle w:val="BookText"/>
        <w:bidi w:val="0"/>
        <w:jc w:val="both"/>
        <w:rPr/>
      </w:pPr>
      <w:r>
        <w:rPr>
          <w:rFonts w:eastAsia="Times New Roman" w:cs="Times New Roman" w:ascii="Times New Roman" w:hAnsi="Times New Roman"/>
          <w:color w:val="111111"/>
          <w:sz w:val="28"/>
          <w:szCs w:val="28"/>
          <w:lang w:val="en-US"/>
        </w:rPr>
        <w:t>Pandangan Mulla Sadra yang seperti ini memberikan  kekuatan argumentasi bagi penyaksian ruhaniah bagi para Sufi  yang seringkali menggambarkan diri manusia dengan aneka  bentuk yang aneh. Pandangan ini jelas merupakan pandangan  yang baru di kalangan pemikir Islam. Akan tetapi, pandangan ini  menjadi bentuk solutif yang dapat menjembatani konflik antara  filsuf yang berpegang pada argumentasi rasional dengan para  teolog yang mendasari kebenaran pada teks-teks Alquran dan  hadis, sekalipun pandangan ini tidak semua pemikir Muslim  dapat menerimanya, seperti halnya Fazlur Rahman yang  menyebut gagasan ini sebagai pengaruh agama Persia kuno.</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Heading3"/>
        <w:numPr>
          <w:ilvl w:val="2"/>
          <w:numId w:val="1"/>
        </w:numPr>
        <w:bidi w:val="0"/>
        <w:jc w:val="left"/>
        <w:rPr/>
      </w:pPr>
      <w:bookmarkStart w:id="136" w:name="__RefHeading___Toc808232_653776707"/>
      <w:bookmarkStart w:id="137" w:name="_Toc45"/>
      <w:bookmarkEnd w:id="136"/>
      <w:r>
        <w:rPr/>
        <w:t>8. Sirāt, Lembaran dan Kitāb, Penghitungan dan Penimbangan</w:t>
      </w:r>
      <w:bookmarkEnd w:id="137"/>
    </w:p>
    <w:p>
      <w:pPr>
        <w:pStyle w:val="BookText"/>
        <w:bidi w:val="0"/>
        <w:jc w:val="both"/>
        <w:rPr/>
      </w:pPr>
      <w:r>
        <w:rPr>
          <w:rFonts w:eastAsia="Times New Roman" w:cs="Times New Roman" w:ascii="Times New Roman" w:hAnsi="Times New Roman"/>
          <w:color w:val="111111"/>
          <w:sz w:val="28"/>
          <w:szCs w:val="28"/>
          <w:lang w:val="en-US"/>
        </w:rPr>
        <w:t>Sirāt secara umum dimaknai sebagai 'jalan'. Pembicaraan  tentang Sirāt ini tentu saja didasari pada keyakinan Islam yang  termaktub baik dalam alquran; Sirāt al-Mustaqim</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Al-Ghazali memaknai Sirāt sebagai jalan yang memisahkan  antara surga dan neraka (lihat: Al-Durrah, hlm. 263). Ayat-        ayat Alquran banyak berbicara tentang Sirāt. Paling tidak ada45 ayat yang secara khusus menyebutkan kata Sirat dengan  beragam sandingannya.</w:t>
      </w:r>
    </w:p>
    <w:p>
      <w:pPr>
        <w:pStyle w:val="BookText"/>
        <w:bidi w:val="0"/>
        <w:jc w:val="both"/>
        <w:rPr/>
      </w:pPr>
      <w:r>
        <w:rPr>
          <w:rFonts w:eastAsia="Times New Roman" w:cs="Times New Roman" w:ascii="Times New Roman" w:hAnsi="Times New Roman"/>
          <w:color w:val="111111"/>
          <w:sz w:val="28"/>
          <w:szCs w:val="28"/>
          <w:lang w:val="en-US"/>
        </w:rPr>
        <w:t>(Jalan yang</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214 </w:t>
      </w:r>
    </w:p>
    <w:p>
      <w:pPr>
        <w:pStyle w:val="BookText"/>
        <w:bidi w:val="0"/>
        <w:rPr/>
      </w:pPr>
      <w:r>
        <w:rPr>
          <w:rFonts w:eastAsia="Times New Roman" w:cs="Times New Roman" w:ascii="Times New Roman" w:hAnsi="Times New Roman"/>
          <w:color w:val="111111"/>
          <w:sz w:val="28"/>
          <w:szCs w:val="28"/>
          <w:lang w:val="en-US"/>
        </w:rPr>
        <w:t>lurus) ataupun  di dalam hadis  Nabi Saw,</w:t>
      </w:r>
      <w:r>
        <w:rPr>
          <w:rStyle w:val="FootnoteAnchor"/>
        </w:rPr>
        <w:footnoteReference w:id="242"/>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 الصراط یظهر یوم القیامة للابصار علی قدر الما رین علیه فیکون دقیقا  فی حق بعض و جلیلا فی حق أخرین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Faidh Al-Kasyani, Ilmu Al-Yaqin fi Ushul Al-Din (Qom:</w:t>
      </w:r>
    </w:p>
    <w:p>
      <w:pPr>
        <w:pStyle w:val="BookText"/>
        <w:bidi w:val="0"/>
        <w:jc w:val="both"/>
        <w:rPr/>
      </w:pPr>
      <w:r>
        <w:rPr>
          <w:rFonts w:eastAsia="Times New Roman" w:cs="Times New Roman" w:ascii="Times New Roman" w:hAnsi="Times New Roman"/>
          <w:color w:val="111111"/>
          <w:sz w:val="28"/>
          <w:szCs w:val="28"/>
          <w:lang w:val="en-US"/>
        </w:rPr>
        <w:t>Intisyarat Bidor, 1418) hlm. 1184. Selanjutnya disebut:</w:t>
      </w:r>
    </w:p>
    <w:p>
      <w:pPr>
        <w:pStyle w:val="BookText"/>
        <w:bidi w:val="0"/>
        <w:jc w:val="both"/>
        <w:rPr/>
      </w:pPr>
      <w:r>
        <w:rPr>
          <w:rFonts w:eastAsia="Times New Roman" w:cs="Times New Roman" w:ascii="Times New Roman" w:hAnsi="Times New Roman"/>
          <w:color w:val="111111"/>
          <w:sz w:val="28"/>
          <w:szCs w:val="28"/>
          <w:lang w:val="en-US"/>
        </w:rPr>
        <w:t>Faidh Al-Kasyani, Ilmu Al-Yaqin.</w:t>
      </w:r>
    </w:p>
    <w:p>
      <w:pPr>
        <w:pStyle w:val="BookText"/>
        <w:bidi w:val="0"/>
        <w:jc w:val="both"/>
        <w:rPr/>
      </w:pPr>
      <w:r>
        <w:rPr>
          <w:rFonts w:eastAsia="Times New Roman" w:cs="Times New Roman" w:ascii="Times New Roman" w:hAnsi="Times New Roman"/>
          <w:color w:val="111111"/>
          <w:sz w:val="28"/>
          <w:szCs w:val="28"/>
          <w:lang w:val="en-US"/>
        </w:rPr>
        <w:t>yang  mengisyaratkan  akan adanya sirat  yang harus dilewati  manusia pada hari  ketika manusia  dibangkitkan  kelak.</w:t>
      </w:r>
    </w:p>
    <w:p>
      <w:pPr>
        <w:pStyle w:val="BookText"/>
        <w:bidi w:val="0"/>
        <w:jc w:val="both"/>
        <w:rPr/>
      </w:pPr>
      <w:r>
        <w:rPr>
          <w:rFonts w:eastAsia="Times New Roman" w:cs="Times New Roman" w:ascii="Times New Roman" w:hAnsi="Times New Roman"/>
          <w:color w:val="111111"/>
          <w:sz w:val="28"/>
          <w:szCs w:val="28"/>
          <w:lang w:val="en-US"/>
        </w:rPr>
        <w:t xml:space="preserve">Dikalangan  ilmuwan Muslim  terjadi beragam  penafsiran tentang  yang dimaksud  Sirāt tersebut. </w:t>
      </w:r>
      <w:r>
        <w:rPr>
          <w:rStyle w:val="FootnoteAnchor"/>
        </w:rPr>
        <w:footnoteReference w:id="243"/>
      </w:r>
      <w:r>
        <w:rPr>
          <w:rFonts w:eastAsia="Times New Roman" w:cs="Times New Roman" w:ascii="Times New Roman" w:hAnsi="Times New Roman"/>
          <w:color w:val="111111"/>
          <w:sz w:val="28"/>
          <w:szCs w:val="28"/>
          <w:lang w:val="en-US"/>
        </w:rPr>
        <w:t xml:space="preserve"> Mulla Sadra dalam  hal ini memberikan  makna tersendiri    terhadap doktrin tentang Sirāt, yaitu 'gerakan fundamental  (zāti)',</w:t>
      </w:r>
      <w:r>
        <w:rPr>
          <w:rStyle w:val="FootnoteAnchor"/>
        </w:rPr>
        <w:footnoteReference w:id="244"/>
      </w:r>
      <w:r>
        <w:rPr>
          <w:rFonts w:eastAsia="Times New Roman" w:cs="Times New Roman" w:ascii="Times New Roman" w:hAnsi="Times New Roman"/>
          <w:color w:val="111111"/>
          <w:sz w:val="28"/>
          <w:szCs w:val="28"/>
          <w:lang w:val="en-US"/>
        </w:rPr>
        <w:t>gerakan yang terjadi secara aksidental pada kualitas  diri</w:t>
      </w:r>
      <w:r>
        <w:rPr>
          <w:rStyle w:val="FootnoteAnchor"/>
        </w:rPr>
        <w:footnoteReference w:id="245"/>
      </w:r>
      <w:r>
        <w:rPr>
          <w:rFonts w:eastAsia="Times New Roman" w:cs="Times New Roman" w:ascii="Times New Roman" w:hAnsi="Times New Roman"/>
          <w:color w:val="111111"/>
          <w:sz w:val="28"/>
          <w:szCs w:val="28"/>
          <w:lang w:val="en-US"/>
        </w:rPr>
        <w:t>manusia yang disebabkan oleh dorongan agama yang  didasrkan pada prinsip Tauhid dan metode Ahli Tawhid seperti  para Nabi, Wali dan pengikut mereka.</w:t>
      </w:r>
      <w:r>
        <w:rPr>
          <w:rStyle w:val="FootnoteAnchor"/>
        </w:rPr>
        <w:footnoteReference w:id="246"/>
      </w:r>
      <w:r>
        <w:rPr>
          <w:rFonts w:eastAsia="Times New Roman" w:cs="Times New Roman" w:ascii="Times New Roman" w:hAnsi="Times New Roman"/>
          <w:color w:val="111111"/>
          <w:sz w:val="28"/>
          <w:szCs w:val="28"/>
          <w:lang w:val="en-US"/>
        </w:rPr>
        <w:t xml:space="preserve"> Bagi Sadra makhluk yang tidak berjalan pada Sirāt  dalam makna ini mereka menempuh Sirāt-Sirāt yang lain  yang menyampaikan mereka pada tujuan selain Alah Swt. dan  penyimpangan dari Sirāt yang benar ini akan menyebabkan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215 </w:t>
      </w:r>
    </w:p>
    <w:p>
      <w:pPr>
        <w:pStyle w:val="BookText"/>
        <w:bidi w:val="0"/>
        <w:rPr/>
      </w:pPr>
      <w:r>
        <w:rPr>
          <w:rFonts w:eastAsia="Times New Roman" w:cs="Times New Roman" w:ascii="Times New Roman" w:hAnsi="Times New Roman"/>
          <w:color w:val="111111"/>
          <w:sz w:val="28"/>
          <w:szCs w:val="28"/>
          <w:lang w:val="en-US"/>
        </w:rPr>
        <w:t>fitrah keaslian diri mereka jatuh dan masuk ke dalam neraka al-  Jahim, dan mereka terkungkung di dalamnya.</w:t>
      </w:r>
    </w:p>
    <w:p>
      <w:pPr>
        <w:pStyle w:val="BookText"/>
        <w:bidi w:val="0"/>
        <w:jc w:val="both"/>
        <w:rPr/>
      </w:pPr>
      <w:r>
        <w:rPr>
          <w:rFonts w:eastAsia="Times New Roman" w:cs="Times New Roman" w:ascii="Times New Roman" w:hAnsi="Times New Roman"/>
          <w:color w:val="111111"/>
          <w:sz w:val="28"/>
          <w:szCs w:val="28"/>
          <w:lang w:val="en-US"/>
        </w:rPr>
        <w:t>Mulla Sadra juga menjelaskan tentang sifat Sirāt yang  digambarkan Nabi Saw. bahwa Sirāt “lebih halus dari sehelai  rambut dan lebih tajam dari sebilah pedang”,</w:t>
      </w:r>
      <w:r>
        <w:rPr>
          <w:rStyle w:val="FootnoteAnchor"/>
        </w:rPr>
        <w:footnoteReference w:id="247"/>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الصراط أدق من الشعر وأ هد من السیف</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Faidh Al-Kasyani, Ilmu Al-Yaqin fi Ushul Al-Din (Qom:</w:t>
      </w:r>
    </w:p>
    <w:p>
      <w:pPr>
        <w:pStyle w:val="BookText"/>
        <w:bidi w:val="0"/>
        <w:jc w:val="both"/>
        <w:rPr/>
      </w:pPr>
      <w:r>
        <w:rPr>
          <w:rFonts w:eastAsia="Times New Roman" w:cs="Times New Roman" w:ascii="Times New Roman" w:hAnsi="Times New Roman"/>
          <w:color w:val="111111"/>
          <w:sz w:val="28"/>
          <w:szCs w:val="28"/>
          <w:lang w:val="en-US"/>
        </w:rPr>
        <w:t>Intisyarat Bidor, 1418), hlm. 1184.</w:t>
      </w:r>
    </w:p>
    <w:p>
      <w:pPr>
        <w:pStyle w:val="BookText"/>
        <w:bidi w:val="0"/>
        <w:jc w:val="both"/>
        <w:rPr/>
      </w:pPr>
      <w:r>
        <w:rPr>
          <w:rFonts w:eastAsia="Times New Roman" w:cs="Times New Roman" w:ascii="Times New Roman" w:hAnsi="Times New Roman"/>
          <w:color w:val="111111"/>
          <w:sz w:val="28"/>
          <w:szCs w:val="28"/>
          <w:lang w:val="en-US"/>
        </w:rPr>
        <w:t>karena Sirat  pada hakikatnya berkaitan dengan kesempurnaan manusia  yang sangat bergantung pada aktualisasi daya atau potensinya.</w:t>
      </w:r>
    </w:p>
    <w:p>
      <w:pPr>
        <w:pStyle w:val="BookText"/>
        <w:bidi w:val="0"/>
        <w:jc w:val="both"/>
        <w:rPr/>
      </w:pPr>
      <w:r>
        <w:rPr>
          <w:rFonts w:eastAsia="Times New Roman" w:cs="Times New Roman" w:ascii="Times New Roman" w:hAnsi="Times New Roman"/>
          <w:color w:val="111111"/>
          <w:sz w:val="28"/>
          <w:szCs w:val="28"/>
          <w:lang w:val="en-US"/>
        </w:rPr>
        <w:t>Aktualisasi daya intelek meliputinya dengan kebenaran dan cahaya  keyakinan pada jalan analisis mendalam yang pada kedalamannya  dan kecermatannya, lebih halus dari sehelai rambut, sedangkan  aktualisasi daya tindakan adalah dengan menyeimbangkan tiga  daya utama, yaitu syahwat, emosional, dan berpikir dalam  tindakannya untuk mencapai keadaan jiwa yang stabil antara  dua titik ekstrem kekurangan dan kesangatan. Usaha untuk  berada dalam kondisi yang stabil di antara dua titik ekstrem  yang bertentangan tersebut dimaknai oleh Mulla Sadra sebagai  “lebih tajam dari sebilah pedang". Karenanya bagi Mulla Sadra,  Sirāt memiliki dua karakter utama, yaitu lebih halus dari sehelai  rambut dan lebih tajam dari sebilah pedang. Sekiranya manusia  tidak mengaktualisasikan yang pertama, maka ia akan terjatuh  dari fitrah aslinya dan jika tidak mengaktualisasikan yang kedua,  ia akan terputus dari Sirat yang benar; kedua-duanya menjadi  penyebab terjerumusnya manusia kedalam neraka.</w:t>
      </w:r>
    </w:p>
    <w:p>
      <w:pPr>
        <w:pStyle w:val="BookText"/>
        <w:bidi w:val="0"/>
        <w:jc w:val="both"/>
        <w:rPr/>
      </w:pPr>
      <w:r>
        <w:rPr>
          <w:rFonts w:eastAsia="Times New Roman" w:cs="Times New Roman" w:ascii="Times New Roman" w:hAnsi="Times New Roman"/>
          <w:color w:val="111111"/>
          <w:sz w:val="28"/>
          <w:szCs w:val="28"/>
          <w:lang w:val="en-US"/>
        </w:rPr>
        <w:t>Pemaknaan Mulla Sadra terhadap Sirāt yang seperti ini  sesungguhnya mirip sekali dengan pemaknaan yang diberikan  Al-Gazhali. Al-Gazhali, dalam karyanya Al-Madnūn Al-Saghir,  menerjemahkan al-Sirāt al-Mustaqim sebagai berikut:</w:t>
      </w:r>
    </w:p>
    <w:p>
      <w:pPr>
        <w:pStyle w:val="BookText"/>
        <w:bidi w:val="0"/>
        <w:jc w:val="both"/>
        <w:rPr/>
      </w:pPr>
      <w:r>
        <w:rPr>
          <w:rFonts w:eastAsia="Times New Roman" w:cs="Times New Roman" w:ascii="Times New Roman" w:hAnsi="Times New Roman"/>
          <w:color w:val="111111"/>
          <w:sz w:val="28"/>
          <w:szCs w:val="28"/>
          <w:lang w:val="en-US"/>
        </w:rPr>
        <w:t>Al-Sirāt al-Mustaqim adalah ungkapan yang menjelaskan  tentang kesetimbangan di antara akhlak yang saling</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216 </w:t>
      </w:r>
    </w:p>
    <w:p>
      <w:pPr>
        <w:pStyle w:val="BookText"/>
        <w:bidi w:val="0"/>
        <w:rPr/>
      </w:pPr>
      <w:r>
        <w:rPr>
          <w:rFonts w:eastAsia="Times New Roman" w:cs="Times New Roman" w:ascii="Times New Roman" w:hAnsi="Times New Roman"/>
          <w:color w:val="111111"/>
          <w:sz w:val="28"/>
          <w:szCs w:val="28"/>
          <w:lang w:val="en-US"/>
        </w:rPr>
        <w:t>bertentangan... contoh-contoh kesetimbangan dalam  akhlak mulia ini adalah sifat kedermawanan yang muncul di  antara sifat royal dan kikir, sifat berani di antara sifat nekat  dan pengecut, sifat hemat di antara sifat boros dengan  sifat kikir, sifat sopan di antara sifat sombong dan rendah  diri, sifat takwa di antara menuruti dorongan syahwat dan  menghancurkan dorongan syahwat....</w:t>
      </w:r>
      <w:r>
        <w:rPr>
          <w:rStyle w:val="FootnoteAnchor"/>
        </w:rPr>
        <w:footnoteReference w:id="248"/>
      </w:r>
      <w:r>
        <w:rPr>
          <w:rFonts w:eastAsia="Times New Roman" w:cs="Times New Roman" w:ascii="Times New Roman" w:hAnsi="Times New Roman"/>
          <w:color w:val="111111"/>
          <w:sz w:val="28"/>
          <w:szCs w:val="28"/>
          <w:lang w:val="en-US"/>
        </w:rPr>
        <w:t xml:space="preserve"> Namun, sekalipun sama dalam hal pemaknaan ini, Al-  Gazhali dengan pemaknaan yang dilakukan Mulla Sadra, tetapi  Al-Gazhali tetap pada akhirnya memaknai Sirat dan gagasan  lainnya secara literal</w:t>
      </w:r>
      <w:r>
        <w:rPr>
          <w:rStyle w:val="FootnoteAnchor"/>
        </w:rPr>
        <w:footnoteReference w:id="249"/>
      </w:r>
      <w:r>
        <w:rPr>
          <w:rFonts w:eastAsia="Times New Roman" w:cs="Times New Roman" w:ascii="Times New Roman" w:hAnsi="Times New Roman"/>
          <w:color w:val="111111"/>
          <w:sz w:val="28"/>
          <w:szCs w:val="28"/>
          <w:lang w:val="en-US"/>
        </w:rPr>
        <w:t>yang sangat berbeda dalam hal ini dengan  pemaknaan yang dilakukan Mulla Sadra.</w:t>
      </w:r>
    </w:p>
    <w:p>
      <w:pPr>
        <w:pStyle w:val="BookText"/>
        <w:bidi w:val="0"/>
        <w:jc w:val="both"/>
        <w:rPr/>
      </w:pPr>
      <w:r>
        <w:rPr>
          <w:rFonts w:eastAsia="Times New Roman" w:cs="Times New Roman" w:ascii="Times New Roman" w:hAnsi="Times New Roman"/>
          <w:color w:val="111111"/>
          <w:sz w:val="28"/>
          <w:szCs w:val="28"/>
          <w:lang w:val="en-US"/>
        </w:rPr>
        <w:t xml:space="preserve">Sebagaimana keyakinan Sadra terhadap  termanifestasikannya hakikat segala sesuatu pada fase akhirat,  demikian pula dengan Sirāt. Sirāt, menurut Mulla Sadra, akan  terbentang di hadapan manusia pada hari kiamat, tetapi  penyaksian manusia terhadapnya sangat bergantung kepada  benderangnya cahaya keyakinan yang dimilikinya dan kuatnya  usaha ruhaniah yang telah dilakukannya. Kemampuan atau  cepat dan lambatnya dalam melewati Sirāt bergantung pada hal  tersebut  Dalam hal ini, Mulla Sadra mengutip firman Allah Swt.,  “Pada hari ketika kamu menyaksikan orang Mukmin laki-laki  dan perempuan, sedang cahaya mereka bersinar di hadapan dan  disebelah kanan mereka." </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"(yaitu) Pada hari ketika kamu melihat orang mukmin  laki-laki dan perempuan, sedang cahaya mereka bersinar di  hadapan dan di sebelah kanan mereka.</w:t>
      </w:r>
    </w:p>
    <w:p>
      <w:pPr>
        <w:pStyle w:val="BookText"/>
        <w:bidi w:val="0"/>
        <w:jc w:val="both"/>
        <w:rPr/>
      </w:pPr>
      <w:r>
        <w:rPr>
          <w:rFonts w:eastAsia="Times New Roman" w:cs="Times New Roman" w:ascii="Times New Roman" w:hAnsi="Times New Roman"/>
          <w:color w:val="111111"/>
          <w:sz w:val="28"/>
          <w:szCs w:val="28"/>
          <w:lang w:val="en-US"/>
        </w:rPr>
        <w:t>Namun demikian, Sirāt tersebut tidaklah sebagaimana  yang dibayangkan manusia karena menurut Mulla Sadra, antara  orang yang berjalan di atas Sirāt dengan jarak yang terbentang  dan forma yang bergerak di atas Sirāt keduanya adalah satu  kesatuan. Demikian ini karakter jalan di akhirat yang akan</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217 </w:t>
      </w:r>
    </w:p>
    <w:p>
      <w:pPr>
        <w:pStyle w:val="BookText"/>
        <w:bidi w:val="0"/>
        <w:rPr/>
      </w:pPr>
      <w:r>
        <w:rPr>
          <w:rFonts w:eastAsia="Times New Roman" w:cs="Times New Roman" w:ascii="Times New Roman" w:hAnsi="Times New Roman"/>
          <w:color w:val="111111"/>
          <w:sz w:val="28"/>
          <w:szCs w:val="28"/>
          <w:lang w:val="en-US"/>
        </w:rPr>
        <w:t>ditempuh jiwa manusia.</w:t>
      </w:r>
      <w:r>
        <w:rPr>
          <w:rStyle w:val="FootnoteAnchor"/>
        </w:rPr>
        <w:footnoteReference w:id="251"/>
      </w:r>
      <w:r>
        <w:rPr>
          <w:rFonts w:eastAsia="Times New Roman" w:cs="Times New Roman" w:ascii="Times New Roman" w:hAnsi="Times New Roman"/>
          <w:color w:val="111111"/>
          <w:sz w:val="28"/>
          <w:szCs w:val="28"/>
          <w:lang w:val="en-US"/>
        </w:rPr>
        <w:t>Apa    yang dimaksudkan Mulla Sadra ini    dapat dipahami dengan pendekatan  pandangan Ittihād al-´Aqil wa al-    Ma'qul yang dikemukakannya.</w:t>
      </w:r>
    </w:p>
    <w:p>
      <w:pPr>
        <w:pStyle w:val="BookText"/>
        <w:bidi w:val="0"/>
        <w:jc w:val="both"/>
        <w:rPr/>
      </w:pPr>
      <w:r>
        <w:rPr>
          <w:rFonts w:eastAsia="Times New Roman" w:cs="Times New Roman" w:ascii="Times New Roman" w:hAnsi="Times New Roman"/>
          <w:color w:val="111111"/>
          <w:sz w:val="28"/>
          <w:szCs w:val="28"/>
          <w:lang w:val="en-US"/>
        </w:rPr>
        <w:t>Penggambaran Mulla Sadra  tentang Sirat yang seperti ini tentu    sangat berbeda dengan pemaknaan    umum yang menggambarkan  Sirāt sebagai jembatan yang akan    ditempuh oleh seluruh manusia  yang sangat halus, lebih halus  dari rambut yang dibelah tujuh. Pemahaman Mulla Sadra yang  seperti ini berangkat dari pemaknaannya tentang akhirat karena  bagi Mulla Sadra, akhirat tidak lain sebagai dimensi tempat  teraktualisasinya apa yang ada di dalam batin manusia.</w:t>
      </w:r>
    </w:p>
    <w:p>
      <w:pPr>
        <w:pStyle w:val="BookText"/>
        <w:bidi w:val="0"/>
        <w:jc w:val="both"/>
        <w:rPr/>
      </w:pPr>
      <w:r>
        <w:rPr>
          <w:rFonts w:eastAsia="Times New Roman" w:cs="Times New Roman" w:ascii="Times New Roman" w:hAnsi="Times New Roman"/>
          <w:color w:val="111111"/>
          <w:sz w:val="28"/>
          <w:szCs w:val="28"/>
          <w:lang w:val="en-US"/>
        </w:rPr>
        <w:t>Lembaran dan Kitab merupakan salah satu doktrin Kiamat  lainnya yang diberikan penjelasan khusus oleh Mulla Sadra.</w:t>
      </w:r>
    </w:p>
    <w:p>
      <w:pPr>
        <w:pStyle w:val="BookText"/>
        <w:bidi w:val="0"/>
        <w:jc w:val="both"/>
        <w:rPr/>
      </w:pPr>
      <w:r>
        <w:rPr>
          <w:rFonts w:eastAsia="Times New Roman" w:cs="Times New Roman" w:ascii="Times New Roman" w:hAnsi="Times New Roman"/>
          <w:color w:val="111111"/>
          <w:sz w:val="28"/>
          <w:szCs w:val="28"/>
          <w:lang w:val="en-US"/>
        </w:rPr>
        <w:t>Doktrin ini secara umum dimaknai pemberian kitab catatan  amal perbuatan manusia di akhirat. Sekiranya manusia tersebut  adalah manusia yang baik, maka dirinya akan menerima  lembaran atau kitab dari sebelah kanan dan apabila dirinya  adalah manusia yang buruk, maka dia akan menerima lembaran  atau kitab dari sebelah kiri.</w:t>
      </w:r>
    </w:p>
    <w:p>
      <w:pPr>
        <w:pStyle w:val="BookText"/>
        <w:bidi w:val="0"/>
        <w:jc w:val="both"/>
        <w:rPr/>
      </w:pPr>
      <w:r>
        <w:rPr>
          <w:rFonts w:eastAsia="Times New Roman" w:cs="Times New Roman" w:ascii="Times New Roman" w:hAnsi="Times New Roman"/>
          <w:color w:val="111111"/>
          <w:sz w:val="28"/>
          <w:szCs w:val="28"/>
          <w:lang w:val="en-US"/>
        </w:rPr>
        <w:t>Berbeda dengan apa yang dipahami selama ini, Mulla  Sadra mendefinisikan bahwa Lembaran atau Kitab, sebenarnya,  tidak lain adalah hati dan ruh manusia. Hati dan ruh merupakan  ruang substansif jiwa tempat seluruh aktivitas manusia  tersebut tercatat. Untuk itu Mulla Sadra menjelaskan bahwa</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218 </w:t>
      </w:r>
    </w:p>
    <w:p>
      <w:pPr>
        <w:pStyle w:val="BookText"/>
        <w:bidi w:val="0"/>
        <w:rPr/>
      </w:pPr>
      <w:r>
        <w:rPr>
          <w:rFonts w:eastAsia="Times New Roman" w:cs="Times New Roman" w:ascii="Times New Roman" w:hAnsi="Times New Roman"/>
          <w:color w:val="111111"/>
          <w:sz w:val="28"/>
          <w:szCs w:val="28"/>
          <w:lang w:val="en-US"/>
        </w:rPr>
        <w:t>perkataan ataupun tindakan yang dilakukan manusia memiliki  pengaruh pada jiwa manusia dan jika perkataan dan perbuatan  tersebut dilakukan secara berulang, maka kedua hal tersebut  akan membentuk karakter atau forma jiwa dan ini merupakan  sumber bagi segala efek yang muncul pada diri manusia. Mulla  Sadra menunjukkan contoh-contoh untuk hal ini, di antaranya,  seorang manusia tidak akan mungkin dapat melakukan tindakan  ilmiah tertentu, kecuali setelah hal tersebut dilakukan secara  kontinu hari demi hari. Demikian juga guru yang mengajar  murid-muridnya, tidak akan mungkin kemampuan tersebut ada,  kecuali setelah melalui proses yang kontinu.</w:t>
      </w:r>
    </w:p>
    <w:p>
      <w:pPr>
        <w:pStyle w:val="BookText"/>
        <w:bidi w:val="0"/>
        <w:jc w:val="both"/>
        <w:rPr/>
      </w:pPr>
      <w:r>
        <w:rPr>
          <w:rFonts w:eastAsia="Times New Roman" w:cs="Times New Roman" w:ascii="Times New Roman" w:hAnsi="Times New Roman"/>
          <w:color w:val="111111"/>
          <w:sz w:val="28"/>
          <w:szCs w:val="28"/>
          <w:lang w:val="en-US"/>
        </w:rPr>
        <w:t>Proses belajar maupun pendidikan yang dilakukan  manusia, pada intinya, merupakan usaha dirinya untuk  menulis dan membuat lukisan bagi lembaran dirinya. Sekiranya  manusia tersebut mampu melepaskan dirinya dari berbagai  keburukan, seperti sifat kebinatangan, syaitaniyyah, syahwat,  atau kecenderungan kepada dunia, maka dia telah menuliskan  tulisan yang indah pada lembaran jiwanya dan hatinya menjadi  buku yang indah: “kitab yang yang bercahaya seperti ini karena  kemuliaan penulisnya. Kemuliaan yang berasal dari substansi  diri dan perbuatannya yang terbebas dari kerendahan pengaruh  fisik materi."</w:t>
      </w:r>
      <w:r>
        <w:rPr>
          <w:rStyle w:val="FootnoteAnchor"/>
        </w:rPr>
        <w:footnoteReference w:id="252"/>
      </w:r>
    </w:p>
    <w:p>
      <w:pPr>
        <w:pStyle w:val="BookText"/>
        <w:bidi w:val="0"/>
        <w:jc w:val="both"/>
        <w:rPr/>
      </w:pPr>
      <w:r>
        <w:rPr>
          <w:rFonts w:ascii="IRNazanin" w:hAnsi="IRNazanin" w:eastAsia="IRNazanin"/>
          <w:color w:val="111111"/>
          <w:sz w:val="28"/>
          <w:sz w:val="28"/>
          <w:szCs w:val="28"/>
          <w:rtl w:val="true"/>
          <w:lang w:bidi="fa-IR"/>
        </w:rPr>
        <w:t>والکتاب لمثل هذه الکتابة النوریة هم الکرام الکاتبون لکرامة ذواتهم وأفعالهم  عن دناءة الجسمیة</w:t>
      </w:r>
    </w:p>
    <w:p>
      <w:pPr>
        <w:pStyle w:val="BookText"/>
        <w:bidi w:val="0"/>
        <w:jc w:val="both"/>
        <w:rPr/>
      </w:pPr>
      <w:r>
        <w:rPr>
          <w:rFonts w:eastAsia="Times New Roman" w:cs="Times New Roman" w:ascii="Times New Roman" w:hAnsi="Times New Roman"/>
          <w:color w:val="111111"/>
          <w:sz w:val="28"/>
          <w:szCs w:val="28"/>
          <w:lang w:val="en-US"/>
        </w:rPr>
        <w:t>Lembaran dan Kitab yang seperti inilah yang akan  termanifestasi kelak pada hari Kiamat yang, pada intinya, tidak  lain adalah hati atau ruh sebagai substansi jiwa dari manusia  sebagai tempat tercatatnya segala amal perbuatan, keyakinan,  serta ilmu yang dimiliki manusia tersebut. Di samping itu, Lawh  al-Mahfuz juga diterjemahkan Mulla Sadra sebagai ruh manusia  karena segalanya tercatat, termasuk takdir masa depan bagi</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219 </w:t>
      </w:r>
    </w:p>
    <w:p>
      <w:pPr>
        <w:pStyle w:val="BookText"/>
        <w:bidi w:val="0"/>
        <w:rPr/>
      </w:pPr>
      <w:r>
        <w:rPr>
          <w:rFonts w:eastAsia="Times New Roman" w:cs="Times New Roman" w:ascii="Times New Roman" w:hAnsi="Times New Roman"/>
          <w:color w:val="111111"/>
          <w:sz w:val="28"/>
          <w:szCs w:val="28"/>
          <w:lang w:val="en-US"/>
        </w:rPr>
        <w:t>manusia, karena bagi Mulla Sadra, takdir masa depan manusia  sebagai akibat semata dari sebab yang telah terjadi sebelumnya  di dunia.</w:t>
      </w:r>
    </w:p>
    <w:p>
      <w:pPr>
        <w:pStyle w:val="BookText"/>
        <w:bidi w:val="0"/>
        <w:jc w:val="both"/>
        <w:rPr/>
      </w:pPr>
      <w:r>
        <w:rPr>
          <w:rFonts w:eastAsia="Times New Roman" w:cs="Times New Roman" w:ascii="Times New Roman" w:hAnsi="Times New Roman"/>
          <w:color w:val="111111"/>
          <w:sz w:val="28"/>
          <w:szCs w:val="28"/>
          <w:lang w:val="en-US"/>
        </w:rPr>
        <w:t>Doktrin lain yang akan terjadi ketika manusia dibangkitkan  adalah penghitungan atas catatan amal perbuatan yang selama  ini dilakukan manusia tersebut di dunia. Penghitungan tersebut  melewati masa yang khusus yang di dalam Alquran, Allah Swt.</w:t>
      </w:r>
    </w:p>
    <w:p>
      <w:pPr>
        <w:pStyle w:val="BookText"/>
        <w:bidi w:val="0"/>
        <w:jc w:val="both"/>
        <w:rPr/>
      </w:pPr>
      <w:r>
        <w:rPr>
          <w:rFonts w:eastAsia="Times New Roman" w:cs="Times New Roman" w:ascii="Times New Roman" w:hAnsi="Times New Roman"/>
          <w:color w:val="111111"/>
          <w:sz w:val="28"/>
          <w:szCs w:val="28"/>
          <w:lang w:val="en-US"/>
        </w:rPr>
        <w:t xml:space="preserve">menyebutnya sebagai Yawm al-Hisāb, </w:t>
      </w:r>
      <w:r>
        <w:rPr>
          <w:rStyle w:val="FootnoteAnchor"/>
        </w:rPr>
        <w:footnoteReference w:id="253"/>
      </w:r>
      <w:r>
        <w:rPr>
          <w:rFonts w:eastAsia="Times New Roman" w:cs="Times New Roman" w:ascii="Times New Roman" w:hAnsi="Times New Roman"/>
          <w:color w:val="111111"/>
          <w:sz w:val="28"/>
          <w:szCs w:val="28"/>
          <w:lang w:val="en-US"/>
        </w:rPr>
        <w:t>kemudian pada proses  penghitungan tersebut, amal perbuatan tersebut akan ada  timbangan-timbangan yang mengukur amal perbuatan tersebut.</w:t>
      </w:r>
    </w:p>
    <w:p>
      <w:pPr>
        <w:pStyle w:val="BookText"/>
        <w:bidi w:val="0"/>
        <w:jc w:val="both"/>
        <w:rPr/>
      </w:pPr>
      <w:r>
        <w:rPr>
          <w:rFonts w:eastAsia="Times New Roman" w:cs="Times New Roman" w:ascii="Times New Roman" w:hAnsi="Times New Roman"/>
          <w:color w:val="111111"/>
          <w:sz w:val="28"/>
          <w:szCs w:val="28"/>
          <w:lang w:val="en-US"/>
        </w:rPr>
        <w:t xml:space="preserve">Timbangan yang dimaksud di dalam Alquran disebut sebagai  al-Mizān. </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Ayat-ayat yang berbicara tentang hal tersebut, antara lain, QS21:47; 7:8-9; 23:102 - 103; 101 :6 dan 8.</w:t>
      </w:r>
    </w:p>
    <w:p>
      <w:pPr>
        <w:pStyle w:val="BookText"/>
        <w:bidi w:val="0"/>
        <w:jc w:val="both"/>
        <w:rPr/>
      </w:pPr>
      <w:r>
        <w:rPr>
          <w:rFonts w:eastAsia="Times New Roman" w:cs="Times New Roman" w:ascii="Times New Roman" w:hAnsi="Times New Roman"/>
          <w:color w:val="111111"/>
          <w:sz w:val="28"/>
          <w:szCs w:val="28"/>
          <w:lang w:val="en-US"/>
        </w:rPr>
        <w:t>Pemaknaan terhadap perhitungan ini cukup beragam  namun secara umum      kita dapat membagi dua    pandangan, pertama  kelompok literis yang    beranggapan bahwa  perhitungan dan      timbangan bersifat fisik    dan kedua kelompok  yang beranggapan    bahwa perhitungan    dan timbangan bersifat    simbolis dan alegoris.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haruslah berasal dari jenisnya,  Secara khusus, Alquran    tidak pernah menjelaskan    secara spesifik apa dan    bagaimana perhitungan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220 </w:t>
      </w:r>
    </w:p>
    <w:p>
      <w:pPr>
        <w:pStyle w:val="BookText"/>
        <w:bidi w:val="0"/>
        <w:rPr/>
      </w:pPr>
      <w:r>
        <w:rPr>
          <w:rFonts w:eastAsia="Times New Roman" w:cs="Times New Roman" w:ascii="Times New Roman" w:hAnsi="Times New Roman"/>
          <w:color w:val="111111"/>
          <w:sz w:val="28"/>
          <w:szCs w:val="28"/>
          <w:lang w:val="en-US"/>
        </w:rPr>
        <w:t>dan timbangan tersebut terjadi.</w:t>
      </w:r>
    </w:p>
    <w:p>
      <w:pPr>
        <w:pStyle w:val="BookText"/>
        <w:bidi w:val="0"/>
        <w:jc w:val="both"/>
        <w:rPr/>
      </w:pPr>
      <w:r>
        <w:rPr>
          <w:rFonts w:eastAsia="Times New Roman" w:cs="Times New Roman" w:ascii="Times New Roman" w:hAnsi="Times New Roman"/>
          <w:color w:val="111111"/>
          <w:sz w:val="28"/>
          <w:szCs w:val="28"/>
          <w:lang w:val="en-US"/>
        </w:rPr>
        <w:t>Mulla Sadra dalam gagasan tentang perhitungan (al-Hisāb)  dan timbangan (al-Mizān) memberikan penjelasan yang bersifat  alegoris. Menurutnya, yang dimaksud dengan perhitungan, tidak  lain merupakan gambaran ketika Allah Swt. menyingkapkan  hasil dari seluruh perbuatan manusia dan menimbang seluruh  bentuk parsial dari perbuatan baik dan perbuatan buruk manusia  selama kehidupannya di dunia, dan semuanya akan disaksikan  di hadapan manusia pada saat itu juga.</w:t>
      </w:r>
    </w:p>
    <w:p>
      <w:pPr>
        <w:pStyle w:val="BookText"/>
        <w:bidi w:val="0"/>
        <w:jc w:val="both"/>
        <w:rPr/>
      </w:pPr>
      <w:r>
        <w:rPr>
          <w:rFonts w:eastAsia="Times New Roman" w:cs="Times New Roman" w:ascii="Times New Roman" w:hAnsi="Times New Roman"/>
          <w:color w:val="111111"/>
          <w:sz w:val="28"/>
          <w:szCs w:val="28"/>
          <w:lang w:val="en-US"/>
        </w:rPr>
        <w:t>Sedangkan Timbangan memiliki beragam jenis yang  luar biasa banyaknya. Sebagian merupakan timbangan ilmu  pengetahuan dan sebagian lain merupakan timbangan bagi amal  perbuatan manusia. Timbangan ilmu pengetahuan merupakan  timbangan yang jelas dari Allah Swt. yang melakukan  penimbangan terhadap substansi hakikat intelek dan beragam  forma intelek yang ada pada diri manusia.</w:t>
      </w:r>
    </w:p>
    <w:p>
      <w:pPr>
        <w:pStyle w:val="BookText"/>
        <w:bidi w:val="0"/>
        <w:jc w:val="both"/>
        <w:rPr/>
      </w:pPr>
      <w:r>
        <w:rPr>
          <w:rFonts w:eastAsia="Times New Roman" w:cs="Times New Roman" w:ascii="Times New Roman" w:hAnsi="Times New Roman"/>
          <w:color w:val="111111"/>
          <w:sz w:val="28"/>
          <w:szCs w:val="28"/>
          <w:lang w:val="en-US"/>
        </w:rPr>
        <w:t>Timbangan secara hakikat tidaklah memiliki bentuk khusus  ataupun forma fisik, tetapi sesuatu yang membandingkan dan  menimbang sesuatu dan bersifat umum, meliputi yang fisik  maupun nonfisik, seperti halnya ilmu logika yang menjadi  timbangan bagi berpikir, ilmu Nahwu sebagai timbangan bagi  bahasa, indra sebagai timbangan bagi sebagian forma intelek,  atau rasio sebagai timbangan bagi segala sesuatu. Hal ini berarti  bahwa timbangan haruslah berasal dari jenisnya, termasuk  puncak dari segala bentuk timbangan yang terjadi pada hari  perhitungan nantinya.</w:t>
      </w:r>
    </w:p>
    <w:p>
      <w:pPr>
        <w:pStyle w:val="BookText"/>
        <w:bidi w:val="0"/>
        <w:jc w:val="both"/>
        <w:rPr/>
      </w:pPr>
      <w:r>
        <w:rPr>
          <w:rFonts w:eastAsia="Times New Roman" w:cs="Times New Roman" w:ascii="Times New Roman" w:hAnsi="Times New Roman"/>
          <w:color w:val="111111"/>
          <w:sz w:val="28"/>
          <w:szCs w:val="28"/>
          <w:lang w:val="en-US"/>
        </w:rPr>
        <w:t>Selain itu, Mulla Sadra juga menggambarkan bahwa jiwa  manusia sebagai timbangan bagi perbuatan yang dilakukannya  karena setiap perbuatan melahirkan efek pada jiwa. Jika</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221 </w:t>
      </w:r>
    </w:p>
    <w:p>
      <w:pPr>
        <w:pStyle w:val="BookText"/>
        <w:bidi w:val="0"/>
        <w:rPr/>
      </w:pPr>
      <w:r>
        <w:rPr>
          <w:rFonts w:eastAsia="Times New Roman" w:cs="Times New Roman" w:ascii="Times New Roman" w:hAnsi="Times New Roman"/>
          <w:color w:val="111111"/>
          <w:sz w:val="28"/>
          <w:szCs w:val="28"/>
          <w:lang w:val="en-US"/>
        </w:rPr>
        <w:t>perbuatan baik yang dilakukan, maka efek yang akan timbul  adalah kebersihan dan kesucian yang melepaskan dirinya dari  pengaruh syahwat dan dunia. Jika kualitas perbuatan baik  tersebut meningkat, maka meningkat pula cahaya yang muncul  dari jiwa. Begitu pun sebaliknya, jika perbuatan buruk yang  dilakukan, maka perbuatan tersebut memberikan efek buruk  dan kegelapan pada jiwa. Semua ini tersembunyi di dunia,  tetapi ketika tiba Kiamat, terbuka keadaan jiwa di hadapannya  sehingga menjadi timbangan bagi dirinya. Karenanya menurut  Sadra, setiap individu manusia memiliki timbangan, bahkan  secara spesifik untuk setiap perbuatan yang dilakukan.</w:t>
      </w:r>
    </w:p>
    <w:p>
      <w:pPr>
        <w:pStyle w:val="BookText"/>
        <w:bidi w:val="0"/>
        <w:jc w:val="both"/>
        <w:rPr/>
      </w:pPr>
      <w:r>
        <w:rPr>
          <w:rFonts w:eastAsia="Times New Roman" w:cs="Times New Roman" w:ascii="Times New Roman" w:hAnsi="Times New Roman"/>
          <w:color w:val="111111"/>
          <w:sz w:val="28"/>
          <w:szCs w:val="28"/>
          <w:lang w:val="en-US"/>
        </w:rPr>
        <w:t>Bagi yang ingin mendapatkan kemudahan dalam  perjalanannya menuju Allah dan negeri keselamatan, menurut  Mulla Sadra, harus memahami mizān yang terjadi antara  fase kehidupan dunia dengan fase kehidupan akhirat, antara  ‘alam Mulk dengan ‘alam Syahādah dan antara ‘alam Malākūt  dengan alam Ghaib. Hal ini disebabkan oleh pengetahuan ini  yang akan terbuka kesadaran      segala sesuatu yang ada    sehingga memudahkannya      untuk melepaskan pengaruh  rendah yang meliputi dirinya.</w:t>
      </w:r>
    </w:p>
    <w:p>
      <w:pPr>
        <w:pStyle w:val="BookText"/>
        <w:bidi w:val="0"/>
        <w:jc w:val="both"/>
        <w:rPr/>
      </w:pPr>
      <w:r>
        <w:rPr>
          <w:rFonts w:eastAsia="Times New Roman" w:cs="Times New Roman" w:ascii="Times New Roman" w:hAnsi="Times New Roman"/>
          <w:color w:val="111111"/>
          <w:sz w:val="28"/>
          <w:szCs w:val="28"/>
          <w:lang w:val="en-US"/>
        </w:rPr>
        <w:t>Pemahaman ini hanya terjadi,    menurut Mulla Sadra, jika  manusia tersebut melakukan    upaya penyucian ruhani dan    menempuh jalan spiritual.</w:t>
      </w:r>
    </w:p>
    <w:p>
      <w:pPr>
        <w:pStyle w:val="BookText"/>
        <w:bidi w:val="0"/>
        <w:jc w:val="both"/>
        <w:rPr/>
      </w:pPr>
      <w:r>
        <w:rPr>
          <w:rFonts w:eastAsia="Times New Roman" w:cs="Times New Roman" w:ascii="Times New Roman" w:hAnsi="Times New Roman"/>
          <w:color w:val="111111"/>
          <w:sz w:val="28"/>
          <w:szCs w:val="28"/>
          <w:lang w:val="en-US"/>
        </w:rPr>
        <w:t>Karena dengan cara seperti itu,</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222 </w:t>
      </w:r>
      <w:bookmarkStart w:id="138" w:name="pg6434_60763"/>
    </w:p>
    <w:p>
      <w:pPr>
        <w:pStyle w:val="BookText"/>
        <w:bidi w:val="0"/>
        <w:rPr/>
      </w:pPr>
      <w:bookmarkEnd w:id="138"/>
      <w:r>
        <w:rPr>
          <w:rFonts w:eastAsia="Times New Roman" w:cs="Times New Roman" w:ascii="Times New Roman" w:hAnsi="Times New Roman"/>
          <w:color w:val="111111"/>
          <w:sz w:val="28"/>
          <w:szCs w:val="28"/>
          <w:lang w:val="en-US"/>
        </w:rPr>
        <w:t>terangkat hijab yang membatasi manusia tersebut dan mampu  memahami mizān antara kehidupan duniawi dan kehidupan  akhirat.</w:t>
      </w:r>
    </w:p>
    <w:p>
      <w:pPr>
        <w:pStyle w:val="BookText"/>
        <w:bidi w:val="0"/>
        <w:jc w:val="both"/>
        <w:rPr/>
      </w:pPr>
      <w:r>
        <w:rPr>
          <w:rFonts w:eastAsia="Times New Roman" w:cs="Times New Roman" w:ascii="Times New Roman" w:hAnsi="Times New Roman"/>
          <w:color w:val="111111"/>
          <w:sz w:val="28"/>
          <w:szCs w:val="28"/>
          <w:lang w:val="en-US"/>
        </w:rPr>
        <w:t>Tawaran Mulla Sadra menunjukkan pengaruh tasawuf  pada dirinya, bahwa bagaimanapun, tetap ada wilayah yang  tidak mungkin dicapai manusia secara intelektual. Pencapaian  tersebut hanya melalui proses intuitif. Karenanya juga, kita  dapat menemukan dengan mudah gambaran-gambaran intuitif  yang diperkenalkan Ibn 'Arabī pada karya-karya Mulla Sadra,  khususnya pada karyanya Al-Asfār.</w:t>
      </w:r>
    </w:p>
    <w:p>
      <w:pPr>
        <w:pStyle w:val="BookText"/>
        <w:bidi w:val="0"/>
        <w:jc w:val="both"/>
        <w:rPr/>
      </w:pPr>
      <w:r>
        <w:rPr>
          <w:rFonts w:eastAsia="Times New Roman" w:cs="Times New Roman" w:ascii="Times New Roman" w:hAnsi="Times New Roman"/>
          <w:color w:val="111111"/>
          <w:sz w:val="28"/>
          <w:szCs w:val="28"/>
          <w:lang w:val="en-US"/>
        </w:rPr>
        <w:t>Inilah pemaknaan Mulla Sadra terhadap Sirāth, Lembaran  dan Kitab, serta Perhitungan dan Timbangan.</w:t>
      </w:r>
    </w:p>
    <w:p>
      <w:pPr>
        <w:pStyle w:val="Heading3"/>
        <w:numPr>
          <w:ilvl w:val="2"/>
          <w:numId w:val="1"/>
        </w:numPr>
        <w:bidi w:val="0"/>
        <w:jc w:val="left"/>
        <w:rPr/>
      </w:pPr>
      <w:bookmarkStart w:id="139" w:name="__RefHeading___Toc808234_653776707"/>
      <w:bookmarkStart w:id="140" w:name="_Toc46"/>
      <w:bookmarkEnd w:id="139"/>
      <w:r>
        <w:rPr/>
        <w:t>9. Tingkatan-Tingkatan dan keadaan Manusia pada Hari Kiamat</w:t>
      </w:r>
      <w:bookmarkEnd w:id="140"/>
    </w:p>
    <w:p>
      <w:pPr>
        <w:pStyle w:val="BookText"/>
        <w:bidi w:val="0"/>
        <w:jc w:val="both"/>
        <w:rPr/>
      </w:pPr>
      <w:r>
        <w:rPr>
          <w:rFonts w:eastAsia="Times New Roman" w:cs="Times New Roman" w:ascii="Times New Roman" w:hAnsi="Times New Roman"/>
          <w:color w:val="111111"/>
          <w:sz w:val="28"/>
          <w:szCs w:val="28"/>
          <w:lang w:val="en-US"/>
        </w:rPr>
        <w:t>Manusia, ketika dibangkitkan Allah Swt. di akhirat,  memiliki kelompok yang berbeda berdasarkan derajat masing-  masing. Pandangan tentang tingkatan dan pembagian kelompok  ini, secara umum, diisyaratkan nash dan juga pandangan, pada  umumnya, pemikir Eskatologi.</w:t>
      </w:r>
    </w:p>
    <w:p>
      <w:pPr>
        <w:pStyle w:val="BookText"/>
        <w:bidi w:val="0"/>
        <w:jc w:val="both"/>
        <w:rPr/>
      </w:pPr>
      <w:r>
        <w:rPr>
          <w:rFonts w:eastAsia="Times New Roman" w:cs="Times New Roman" w:ascii="Times New Roman" w:hAnsi="Times New Roman"/>
          <w:color w:val="111111"/>
          <w:sz w:val="28"/>
          <w:szCs w:val="28"/>
          <w:lang w:val="en-US"/>
        </w:rPr>
        <w:t>Mulla Sadra secara umum membagi dua kelompok besar  manusia pada hari Kiamat yaitu pertama, mereka yang dekat  dengan Allah (al-Muqarrabīn) dan mereka adalah Kelompok  Kanan (Ashāb al-Yamin); kedua, mereka yang celaka (al-Asyqiya')  dan mereka adalah Kelompok kiri dan yang mendapatkan  perhitungan.</w:t>
      </w:r>
    </w:p>
    <w:p>
      <w:pPr>
        <w:pStyle w:val="BookText"/>
        <w:bidi w:val="0"/>
        <w:jc w:val="both"/>
        <w:rPr/>
      </w:pPr>
      <w:r>
        <w:rPr>
          <w:rFonts w:eastAsia="Times New Roman" w:cs="Times New Roman" w:ascii="Times New Roman" w:hAnsi="Times New Roman"/>
          <w:color w:val="111111"/>
          <w:sz w:val="28"/>
          <w:szCs w:val="28"/>
          <w:lang w:val="en-US"/>
        </w:rPr>
        <w:t>Menurut Mulla Sadra, dari sisi perhitungan manusia  terbagi menjadi dua kelompok besar, yaitu mereka yang masuk  surga tanpa perhitungan. Kelompok ini terbagi menjadi tiga</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223 </w:t>
      </w:r>
    </w:p>
    <w:p>
      <w:pPr>
        <w:pStyle w:val="BookText"/>
        <w:bidi w:val="0"/>
        <w:rPr/>
      </w:pPr>
      <w:r>
        <w:rPr>
          <w:rFonts w:eastAsia="Times New Roman" w:cs="Times New Roman" w:ascii="Times New Roman" w:hAnsi="Times New Roman"/>
          <w:color w:val="111111"/>
          <w:sz w:val="28"/>
          <w:szCs w:val="28"/>
          <w:lang w:val="en-US"/>
        </w:rPr>
        <w:t xml:space="preserve">bagian, yaitu pertama, mereka yang dekat dengan Allah dan  sempurna dalam pengetahuan dan spiritual karena upaya  penyucian diri dan ketinggian kedudukan mereka dalam  menjaga perhitungan dan mizān hingga mereka dapat masuk  kedalam surga tanpa perhitungan; kedua, Kelompok Kanan  atau kelompok yang tidak pernah melakukan maksiat di dunia  dan tidak berambisi mendapatkan kedudukan di dunia serta  fitrah mereka selamat dari pengingkaran karena ketaatan dan  mereka masuk surga tanpa perhitungan; ketiga, mereka yang  catatan amalnya kosong, baik dari perbuatan baik maupun dari  perbuatan jelek. Menurut Mulla Sadra, kelompok ini masuk  surga tanpa perhitungan, mengingat firman Allah Swt., “Dan  tidaklah Aku menzalimi seorang hamba". </w:t>
      </w:r>
      <w:r>
        <w:rPr>
          <w:rStyle w:val="FootnoteAnchor"/>
        </w:rPr>
        <w:footnoteReference w:id="255"/>
      </w:r>
    </w:p>
    <w:p>
      <w:pPr>
        <w:pStyle w:val="BookText"/>
        <w:bidi w:val="0"/>
        <w:jc w:val="both"/>
        <w:rPr/>
      </w:pPr>
      <w:r>
        <w:rPr>
          <w:rFonts w:ascii="IRNazanin" w:hAnsi="IRNazanin" w:eastAsia="IRNazanin"/>
          <w:color w:val="111111"/>
          <w:sz w:val="28"/>
          <w:sz w:val="28"/>
          <w:szCs w:val="28"/>
          <w:rtl w:val="true"/>
          <w:lang w:bidi="fa-IR"/>
        </w:rPr>
        <w:t>وما أنا بظلم للعبید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Dan Aku sekali-kali tidak menganiaya hamba-hamba-  Ku."</w:t>
      </w:r>
    </w:p>
    <w:p>
      <w:pPr>
        <w:pStyle w:val="BookText"/>
        <w:bidi w:val="0"/>
        <w:jc w:val="both"/>
        <w:rPr/>
      </w:pPr>
      <w:r>
        <w:rPr>
          <w:rFonts w:eastAsia="Times New Roman" w:cs="Times New Roman" w:ascii="Times New Roman" w:hAnsi="Times New Roman"/>
          <w:color w:val="111111"/>
          <w:sz w:val="28"/>
          <w:szCs w:val="28"/>
          <w:lang w:val="en-US"/>
        </w:rPr>
        <w:t>Mulla Sadra, dalam  hal ini berbeda dengan pendahulunya, Syaikh Isyraq, yang  meyakini akan adanya tempat yang khusus bagi orang-orang  yang catatan amalnya kosong dari kebaikan dan keburukan.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Kelompok kedua adalah kelompok yang terancam siksaan.</w:t>
      </w:r>
    </w:p>
    <w:p>
      <w:pPr>
        <w:pStyle w:val="BookText"/>
        <w:bidi w:val="0"/>
        <w:jc w:val="both"/>
        <w:rPr/>
      </w:pPr>
      <w:r>
        <w:rPr>
          <w:rFonts w:eastAsia="Times New Roman" w:cs="Times New Roman" w:ascii="Times New Roman" w:hAnsi="Times New Roman"/>
          <w:color w:val="111111"/>
          <w:sz w:val="28"/>
          <w:szCs w:val="28"/>
          <w:lang w:val="en-US"/>
        </w:rPr>
        <w:t xml:space="preserve">Mereka pun terbagi menjadi tiga kelompok, yaitu pertama,  mereka yang catatannya kosong dari perbuatan baik dan kafir  murni sehingga kelompok seperti ini masuk neraka tanpa  perhitungan; kedua, mereka yang melakukan kebaikan tetapi  “Maka hancurlah apa yang mereka buat dan lenyaplah seluruh  perbuatan baik mereka". </w:t>
      </w:r>
      <w:r>
        <w:rPr>
          <w:rStyle w:val="FootnoteAnchor"/>
        </w:rPr>
        <w:footnoteReference w:id="25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وَحَبِطَ مَا صَنَعُوا فِیهَا وَبَاطِلٌ مَا کَانُوا یَعْمَلُونَ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Itulah orang-orang yang tidak memperoleh di akhirat,  kecuali neraka dan lenyaplah di akhirat itu apa yang telah  mereka usahakan di dunia dan sia-sialah apa yang telah  mereka kerjakan."</w:t>
      </w:r>
    </w:p>
    <w:p>
      <w:pPr>
        <w:pStyle w:val="BookText"/>
        <w:bidi w:val="0"/>
        <w:jc w:val="both"/>
        <w:rPr/>
      </w:pPr>
      <w:r>
        <w:rPr>
          <w:rFonts w:eastAsia="Times New Roman" w:cs="Times New Roman" w:ascii="Times New Roman" w:hAnsi="Times New Roman"/>
          <w:color w:val="111111"/>
          <w:sz w:val="28"/>
          <w:szCs w:val="28"/>
          <w:lang w:val="en-US"/>
        </w:rPr>
        <w:t>Kelompok ini pun akan masuk  neraka tanpa perhitungan; ketiga, mereka yang tercampur antara  keburukan dan kebaikan. Kelompok ini terbagi dua bagian,  yaitu mereka yang melakukan keburukan dan kebaikan, tetapi  berlaku zalim kepada sesama manusia sehingga Allah-pun akan  memperlakukan mereka sebagaimana mereka memperlakukan  makhluk Allah dan kelompok yang bercampur perbuatan baik</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224 </w:t>
      </w:r>
      <w:bookmarkStart w:id="141" w:name="pg6434_60765"/>
    </w:p>
    <w:p>
      <w:pPr>
        <w:pStyle w:val="BookText"/>
        <w:bidi w:val="0"/>
        <w:rPr/>
      </w:pPr>
      <w:bookmarkEnd w:id="141"/>
      <w:r>
        <w:rPr>
          <w:rFonts w:eastAsia="Times New Roman" w:cs="Times New Roman" w:ascii="Times New Roman" w:hAnsi="Times New Roman"/>
          <w:color w:val="111111"/>
          <w:sz w:val="28"/>
          <w:szCs w:val="28"/>
          <w:lang w:val="en-US"/>
        </w:rPr>
        <w:t>dan buruknya, tetapi mereka termasuk hamba-hamba yang takut  keburukan perhitungan dan khawatir terhadap azab pada hari  Kiamat. Menurut Mulla Sadra, mereka yang masuk kelompok ini  sudah sangat menderita dengan masuk dalam kelompok yang  menanti perhitungan. Karenanya, bagaimana mungkin mereka  akan mendapatkan azab lagi setelah perhitungan yang membuat  diri mereka menderita tersebut.</w:t>
      </w:r>
    </w:p>
    <w:p>
      <w:pPr>
        <w:pStyle w:val="BookText"/>
        <w:bidi w:val="0"/>
        <w:jc w:val="both"/>
        <w:rPr/>
      </w:pPr>
      <w:r>
        <w:rPr>
          <w:rFonts w:eastAsia="Times New Roman" w:cs="Times New Roman" w:ascii="Times New Roman" w:hAnsi="Times New Roman"/>
          <w:color w:val="111111"/>
          <w:sz w:val="28"/>
          <w:szCs w:val="28"/>
          <w:lang w:val="en-US"/>
        </w:rPr>
        <w:t xml:space="preserve">Pembagian yang dilakukan Mulla Sadra ini, sayangnya,  masih sangat umum. Berbeda halnya dengan beberapa pemikir  Eskatologi yang lebih jauh merinci tingkatan dan keadaan  manusia di akhirat dengan sangat spesifik, bahkan pada tingkat  karakter yang sangat parsial. Sebagai contoh di sini, Al-Gazhali  bahkan membagi kelompok manusia berdasarkan karakter  atau sifat-sifat khusus yang dimiliki manusia tersebut selama  kehidupannya di dunia, seperti orang yang dermawan akan  dikelompokkan pada kelompok orang yang dermawan, bahkan  orang-orang yang biasa membaca surah-surah tertentu akan  dibangkitkan sebagai kelompok dengan nama-nama surah  tersebut. </w:t>
      </w:r>
      <w:r>
        <w:rPr>
          <w:rStyle w:val="FootnoteAnchor"/>
        </w:rPr>
        <w:footnoteReference w:id="257"/>
      </w:r>
      <w:r>
        <w:rPr>
          <w:rFonts w:eastAsia="Times New Roman" w:cs="Times New Roman" w:ascii="Times New Roman" w:hAnsi="Times New Roman"/>
          <w:color w:val="111111"/>
          <w:sz w:val="28"/>
          <w:szCs w:val="28"/>
          <w:lang w:val="en-US"/>
        </w:rPr>
        <w:t xml:space="preserve">Hal yang sama juga dilakukan Syaikh Sadūq yang  membagi manusia berdasarkan karakter dan perbuatan yang  mendominasi dalam kehidupan manusia tersebut di dunia. </w:t>
      </w:r>
      <w:r>
        <w:rPr>
          <w:rStyle w:val="FootnoteAnchor"/>
        </w:rPr>
        <w:footnoteReference w:id="258"/>
      </w:r>
    </w:p>
    <w:p>
      <w:pPr>
        <w:pStyle w:val="Heading3"/>
        <w:numPr>
          <w:ilvl w:val="2"/>
          <w:numId w:val="1"/>
        </w:numPr>
        <w:bidi w:val="0"/>
        <w:jc w:val="left"/>
        <w:rPr/>
      </w:pPr>
      <w:bookmarkStart w:id="142" w:name="__RefHeading___Toc808236_653776707"/>
      <w:bookmarkStart w:id="143" w:name="_Toc47"/>
      <w:bookmarkEnd w:id="142"/>
      <w:r>
        <w:rPr/>
        <w:t>10. Hakikat Surga dan Neraka</w:t>
      </w:r>
      <w:bookmarkEnd w:id="143"/>
    </w:p>
    <w:p>
      <w:pPr>
        <w:pStyle w:val="BookText"/>
        <w:bidi w:val="0"/>
        <w:jc w:val="both"/>
        <w:rPr/>
      </w:pPr>
      <w:r>
        <w:rPr>
          <w:rFonts w:eastAsia="Times New Roman" w:cs="Times New Roman" w:ascii="Times New Roman" w:hAnsi="Times New Roman"/>
          <w:color w:val="111111"/>
          <w:sz w:val="28"/>
          <w:szCs w:val="28"/>
          <w:lang w:val="en-US"/>
        </w:rPr>
        <w:t xml:space="preserve">Salah satu term yang paling penting dalam pembicaraan  Eskatologi adalah term surga dan neraka, yang dalam istilah  umum Alquran disebut sebagai al-Jannah dan al-Nār. </w:t>
      </w:r>
      <w:r>
        <w:rPr>
          <w:rStyle w:val="FootnoteAnchor"/>
        </w:rPr>
        <w:footnoteReference w:id="259"/>
      </w:r>
      <w:r>
        <w:rPr>
          <w:rFonts w:eastAsia="Times New Roman" w:cs="Times New Roman" w:ascii="Times New Roman" w:hAnsi="Times New Roman"/>
          <w:color w:val="111111"/>
          <w:sz w:val="28"/>
          <w:szCs w:val="28"/>
          <w:lang w:val="en-US"/>
        </w:rPr>
        <w:t xml:space="preserve"> Keduanya secara sekilas mengisyaratkan pada tempat balasan  bagi perbuatan manusia setelah melalui perhitungan dan  timbangan. Jika manusia tersebut banyak melakukan perbuatan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225 </w:t>
      </w:r>
    </w:p>
    <w:p>
      <w:pPr>
        <w:pStyle w:val="BookText"/>
        <w:bidi w:val="0"/>
        <w:rPr/>
      </w:pPr>
      <w:r>
        <w:rPr>
          <w:rFonts w:eastAsia="Times New Roman" w:cs="Times New Roman" w:ascii="Times New Roman" w:hAnsi="Times New Roman"/>
          <w:color w:val="111111"/>
          <w:sz w:val="28"/>
          <w:szCs w:val="28"/>
          <w:lang w:val="en-US"/>
        </w:rPr>
        <w:t>baik, maka tempat yang akan ditinggalinya adalah surga sebagai  pusat kenikmatan yang menjadi ganjaran bagi kebaikannya  tersebut, sedangkan jika manusia tersebut banyak melakukan  kejahatan, maka tempat yang akan ditinggalinya adalah neraka  yang penuh dengan azab dan penderitaan sebagai balasan bagi  kebaikannya.</w:t>
      </w:r>
    </w:p>
    <w:p>
      <w:pPr>
        <w:pStyle w:val="BookText"/>
        <w:bidi w:val="0"/>
        <w:jc w:val="both"/>
        <w:rPr/>
      </w:pPr>
      <w:r>
        <w:rPr>
          <w:rFonts w:eastAsia="Times New Roman" w:cs="Times New Roman" w:ascii="Times New Roman" w:hAnsi="Times New Roman"/>
          <w:color w:val="111111"/>
          <w:sz w:val="28"/>
          <w:szCs w:val="28"/>
          <w:lang w:val="en-US"/>
        </w:rPr>
        <w:t>Penggambaran kenikmatan surga dan penderitaan neraka  ini sama sekali tidak di jumpai pada kitab-kitab suci agama lain.</w:t>
      </w:r>
    </w:p>
    <w:p>
      <w:pPr>
        <w:pStyle w:val="BookText"/>
        <w:bidi w:val="0"/>
        <w:jc w:val="both"/>
        <w:rPr/>
      </w:pPr>
      <w:r>
        <w:rPr>
          <w:rFonts w:eastAsia="Times New Roman" w:cs="Times New Roman" w:ascii="Times New Roman" w:hAnsi="Times New Roman"/>
          <w:color w:val="111111"/>
          <w:sz w:val="28"/>
          <w:szCs w:val="28"/>
          <w:lang w:val="en-US"/>
        </w:rPr>
        <w:t>Kedua penggambaran ini merupakan tema spesifik Alquran.</w:t>
      </w:r>
    </w:p>
    <w:p>
      <w:pPr>
        <w:pStyle w:val="BookText"/>
        <w:bidi w:val="0"/>
        <w:jc w:val="both"/>
        <w:rPr/>
      </w:pPr>
      <w:r>
        <w:rPr>
          <w:rFonts w:eastAsia="Times New Roman" w:cs="Times New Roman" w:ascii="Times New Roman" w:hAnsi="Times New Roman"/>
          <w:color w:val="111111"/>
          <w:sz w:val="28"/>
          <w:szCs w:val="28"/>
          <w:lang w:val="en-US"/>
        </w:rPr>
        <w:t>Tema ini banyak di angkat dalam surat-surat pendek yang, pada  umumnya, diturunkan di Kota Mekkah pada awal karir Nabi  Muhammad Saw..</w:t>
      </w:r>
      <w:r>
        <w:rPr>
          <w:rStyle w:val="FootnoteAnchor"/>
        </w:rPr>
        <w:footnoteReference w:id="260"/>
      </w:r>
      <w:r>
        <w:rPr>
          <w:rFonts w:eastAsia="Times New Roman" w:cs="Times New Roman" w:ascii="Times New Roman" w:hAnsi="Times New Roman"/>
          <w:color w:val="111111"/>
          <w:sz w:val="28"/>
          <w:szCs w:val="28"/>
          <w:lang w:val="en-US"/>
        </w:rPr>
        <w:t xml:space="preserve">Karena itu pula, penggambaran Alquran    terhadap surga dan    neraka cenderung    literal, bahkan ada    yang menuduh  penggambaran  tersebut sebagai    materialistis. </w:t>
      </w:r>
      <w:r>
        <w:rPr>
          <w:rStyle w:val="FootnoteAnchor"/>
        </w:rPr>
        <w:footnoteReference w:id="261"/>
      </w:r>
      <w:r>
        <w:rPr>
          <w:rFonts w:eastAsia="Times New Roman" w:cs="Times New Roman" w:ascii="Times New Roman" w:hAnsi="Times New Roman"/>
          <w:color w:val="111111"/>
          <w:sz w:val="28"/>
          <w:szCs w:val="28"/>
          <w:lang w:val="en-US"/>
        </w:rPr>
        <w:t xml:space="preserve"> Surga digambarkan    sebagai taman yang    mengalir sungai-  sungai di dalamnya,    sedangkan neraka    sebagai tempat  api yang menyala-    nyala dan akan    membakar manusia  yang berdosa, </w:t>
      </w:r>
      <w:r>
        <w:rPr>
          <w:rStyle w:val="FootnoteAnchor"/>
        </w:rPr>
        <w:footnoteReference w:id="26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226 </w:t>
      </w:r>
    </w:p>
    <w:p>
      <w:pPr>
        <w:pStyle w:val="BookText"/>
        <w:bidi w:val="0"/>
        <w:rPr/>
      </w:pPr>
      <w:r>
        <w:rPr>
          <w:rFonts w:eastAsia="Times New Roman" w:cs="Times New Roman" w:ascii="Times New Roman" w:hAnsi="Times New Roman"/>
          <w:color w:val="111111"/>
          <w:sz w:val="28"/>
          <w:szCs w:val="28"/>
          <w:lang w:val="en-US"/>
        </w:rPr>
        <w:t>mengingat masyarakat Arab masa itu yang hidup dengan  kehidupan keras dan gersang menjadikan taman dengan air yang  mengalir sebagai sebuah kehidupan yang indah dan ideal.</w:t>
      </w:r>
      <w:r>
        <w:rPr>
          <w:rStyle w:val="FootnoteAnchor"/>
        </w:rPr>
        <w:footnoteReference w:id="263"/>
      </w:r>
      <w:r>
        <w:rPr>
          <w:rFonts w:eastAsia="Times New Roman" w:cs="Times New Roman" w:ascii="Times New Roman" w:hAnsi="Times New Roman"/>
          <w:color w:val="111111"/>
          <w:sz w:val="28"/>
          <w:szCs w:val="28"/>
          <w:lang w:val="en-US"/>
        </w:rPr>
        <w:t xml:space="preserve"> Bagi kalangan pemikir yang lebih berorientasi pada  filsafat atau tasawuf, tentu penggambaran surga dan neraka  yang disebutkan oleh teks-teks ayat Alquran tersebut hanyalah  bersifat simbolis, makna sesungguhnya tentulah tidak dapat  dipahami dari hanya dari ibarat yang disampaikan.</w:t>
      </w:r>
    </w:p>
    <w:p>
      <w:pPr>
        <w:pStyle w:val="BookText"/>
        <w:bidi w:val="0"/>
        <w:jc w:val="both"/>
        <w:rPr/>
      </w:pPr>
      <w:r>
        <w:rPr>
          <w:rFonts w:eastAsia="Times New Roman" w:cs="Times New Roman" w:ascii="Times New Roman" w:hAnsi="Times New Roman"/>
          <w:color w:val="111111"/>
          <w:sz w:val="28"/>
          <w:szCs w:val="28"/>
          <w:lang w:val="en-US"/>
        </w:rPr>
        <w:t xml:space="preserve">Mulla Sadra, ketika berbicara tentang surga dan neraka,  selain didasarkan pada argumentasi rasional yang telah  dipaparkan sebelumnya, juga berdasarkan nash-nash, pernyataan  para Imam </w:t>
      </w:r>
      <w:r>
        <w:rPr>
          <w:rStyle w:val="FootnoteAnchor"/>
        </w:rPr>
        <w:footnoteReference w:id="264"/>
      </w:r>
      <w:r>
        <w:rPr>
          <w:rFonts w:eastAsia="Times New Roman" w:cs="Times New Roman" w:ascii="Times New Roman" w:hAnsi="Times New Roman"/>
          <w:color w:val="111111"/>
          <w:sz w:val="28"/>
          <w:szCs w:val="28"/>
          <w:lang w:val="en-US"/>
        </w:rPr>
        <w:t>dan mukāsyafah. Hal ini dinyatakannya pada awal  penjelasannya tentang realitas surga dan neraka, mengingat  realitas surga-neraka secara spesifik adalah sesuatu yang tidak  terjangkau akal. Argumentasi rasional yang dikemukakan Mulla  Sadra, pada intinya, hanya membuktikan kenonmaterian surga-  neraka dan substansi yang telah mencapai puncaknya tidak  lagi terjadi gerakan dalam makna teraktualisasinya potensi.</w:t>
      </w:r>
    </w:p>
    <w:p>
      <w:pPr>
        <w:pStyle w:val="BookText"/>
        <w:bidi w:val="0"/>
        <w:jc w:val="both"/>
        <w:rPr/>
      </w:pPr>
      <w:r>
        <w:rPr>
          <w:rFonts w:eastAsia="Times New Roman" w:cs="Times New Roman" w:ascii="Times New Roman" w:hAnsi="Times New Roman"/>
          <w:color w:val="111111"/>
          <w:sz w:val="28"/>
          <w:szCs w:val="28"/>
          <w:lang w:val="en-US"/>
        </w:rPr>
        <w:t>Karenanya, seperti pada pendahuluan yang dikemukakannya,  hampir sebagian besar penjelasan lain berdasar pada nash dan  mukāsyafah.</w:t>
      </w:r>
      <w:r>
        <w:rPr>
          <w:rStyle w:val="FootnoteAnchor"/>
        </w:rPr>
        <w:footnoteReference w:id="265"/>
      </w:r>
      <w:r>
        <w:rPr>
          <w:rFonts w:eastAsia="Times New Roman" w:cs="Times New Roman" w:ascii="Times New Roman" w:hAnsi="Times New Roman"/>
          <w:color w:val="111111"/>
          <w:sz w:val="28"/>
          <w:szCs w:val="28"/>
          <w:lang w:val="en-US"/>
        </w:rPr>
        <w:t xml:space="preserve"> Mulla Sadra menggambarkan sifat surga sebagai tempat  keabadian dan keselamatan yang tidak ada kematian, kelemahan,  sakit, derita, kesulitan, kehilangan, maupun kelenyapan. Surga,  sebagai tempat kemuliaan yang menyenangkan jiwa dan  pandangan, dan para penghuninya abadi di dalamnya, baik itu  bersifat indrawi maupun intelek, hal tersebut sesuai dengan  tingkat kecenderungan jiwa penghuninya. Namun Sadra  menegaskan bahwa apa yang ada di surga, semuanya bersifat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227 </w:t>
      </w:r>
    </w:p>
    <w:p>
      <w:pPr>
        <w:pStyle w:val="BookText"/>
        <w:bidi w:val="0"/>
        <w:rPr/>
      </w:pPr>
      <w:r>
        <w:rPr>
          <w:rFonts w:eastAsia="Times New Roman" w:cs="Times New Roman" w:ascii="Times New Roman" w:hAnsi="Times New Roman"/>
          <w:color w:val="111111"/>
          <w:sz w:val="28"/>
          <w:szCs w:val="28"/>
          <w:lang w:val="en-US"/>
        </w:rPr>
        <w:t>intelektual</w:t>
      </w:r>
      <w:r>
        <w:rPr>
          <w:rStyle w:val="FootnoteAnchor"/>
        </w:rPr>
        <w:footnoteReference w:id="266"/>
      </w:r>
      <w:r>
        <w:rPr>
          <w:rFonts w:eastAsia="Times New Roman" w:cs="Times New Roman" w:ascii="Times New Roman" w:hAnsi="Times New Roman"/>
          <w:color w:val="111111"/>
          <w:sz w:val="28"/>
          <w:szCs w:val="28"/>
          <w:lang w:val="en-US"/>
        </w:rPr>
        <w:t xml:space="preserve">dan sama sekali tidak ada materi, gerak, sebab  aktivitas, pembaruan dan perpindahan karena wujud di surga  tidak lain adala  formatif. </w:t>
      </w:r>
      <w:r>
        <w:rPr>
          <w:rStyle w:val="FootnoteAnchor"/>
        </w:rPr>
        <w:footnoteReference w:id="267"/>
      </w:r>
      <w:r>
        <w:rPr>
          <w:rFonts w:eastAsia="Times New Roman" w:cs="Times New Roman" w:ascii="Times New Roman" w:hAnsi="Times New Roman"/>
          <w:color w:val="111111"/>
          <w:sz w:val="28"/>
          <w:szCs w:val="28"/>
          <w:lang w:val="en-US"/>
        </w:rPr>
        <w:t xml:space="preserve"> Neraka merupakan tempat di mana penghuninya berada  dalam kehinaan, penderitaan, kesedihan, kesakitan, kelaparan,  kehausan, pembaruan azab, dan pergantian kulit. Neraka,  bagi Sadra, hanya khusus bagi orang-orang kafir dan musyrik,  sedangkan pengikut ajaran Tauhid yang berdosa akan keluar  darinya dengan kasih sayang dan syafaat dari Allah Swt.. </w:t>
      </w:r>
      <w:r>
        <w:rPr>
          <w:rStyle w:val="FootnoteAnchor"/>
        </w:rPr>
        <w:footnoteReference w:id="268"/>
      </w:r>
      <w:r>
        <w:rPr>
          <w:rFonts w:eastAsia="Times New Roman" w:cs="Times New Roman" w:ascii="Times New Roman" w:hAnsi="Times New Roman"/>
          <w:color w:val="111111"/>
          <w:sz w:val="28"/>
          <w:szCs w:val="28"/>
          <w:lang w:val="en-US"/>
        </w:rPr>
        <w:t xml:space="preserve"> Pernyataan Mulla Sadra ini menegaskan semangatnya dalam  bersandar pada nash dan pandangan teolog Syi'ah </w:t>
      </w:r>
      <w:r>
        <w:rPr>
          <w:rStyle w:val="FootnoteAnchor"/>
        </w:rPr>
        <w:footnoteReference w:id="269"/>
      </w:r>
      <w:r>
        <w:rPr>
          <w:rFonts w:eastAsia="Times New Roman" w:cs="Times New Roman" w:ascii="Times New Roman" w:hAnsi="Times New Roman"/>
          <w:color w:val="111111"/>
          <w:sz w:val="28"/>
          <w:szCs w:val="28"/>
          <w:lang w:val="en-US"/>
        </w:rPr>
        <w:t xml:space="preserve">yang  meyakini bahwa umat Islam, sekalipun berdosa besar, akan  tetap mendapati ampunan dan akan keluar dari ancaman api  neraka dengan beragam syafa'at. Mulla Sadra menyatakan  bahwa keyakinannya ini juga didukung argumentasi rasional  bahwa “Ahli tauhid, jiwa mereka telah terpancarkan cahaya  kebenaran dan keyakinan dan terangkat dari alam yang rendah  menuju kedudukan yang tinggi”. </w:t>
      </w:r>
      <w:r>
        <w:rPr>
          <w:rStyle w:val="FootnoteAnchor"/>
        </w:rPr>
        <w:footnoteReference w:id="270"/>
      </w:r>
    </w:p>
    <w:p>
      <w:pPr>
        <w:pStyle w:val="BookText"/>
        <w:bidi w:val="0"/>
        <w:jc w:val="both"/>
        <w:rPr/>
      </w:pPr>
      <w:r>
        <w:rPr>
          <w:rFonts w:ascii="IRNazanin" w:hAnsi="IRNazanin" w:eastAsia="IRNazanin"/>
          <w:color w:val="111111"/>
          <w:sz w:val="28"/>
          <w:sz w:val="28"/>
          <w:szCs w:val="28"/>
          <w:rtl w:val="true"/>
          <w:lang w:bidi="fa-IR"/>
        </w:rPr>
        <w:t>لأن العارف بالتوحید یکون نفسه منورة بنور الحق والیقین مرتفعة عن العالم  الأسفل إلی مقام العلویین</w:t>
      </w:r>
    </w:p>
    <w:p>
      <w:pPr>
        <w:pStyle w:val="BookText"/>
        <w:bidi w:val="0"/>
        <w:jc w:val="both"/>
        <w:rPr/>
      </w:pPr>
      <w:r>
        <w:rPr>
          <w:rFonts w:eastAsia="Times New Roman" w:cs="Times New Roman" w:ascii="Times New Roman" w:hAnsi="Times New Roman"/>
          <w:color w:val="111111"/>
          <w:sz w:val="28"/>
          <w:szCs w:val="28"/>
          <w:lang w:val="en-US"/>
        </w:rPr>
        <w:t>Di antara persoalan yang seringkali muncul dalam  pembicaraan surga dan neraka adalah doktrin Alquran yang  menyebutkan penghuni surga kekal dan abadi di dalamnya,</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tetapi Alquran juga menunjukkan kasus keluarnya Adam  dari surga dan sepertinya, kedua hal tersebut menunjukkan  kontradiksi Alquran. Dalam hal ini, Mulla Sadra menjelaskan  bahwa surga yang dihuni Nabi Adam sebelum diturunkan ke  dunia berbeda dengan surga yang akan menjadi tempat balasan  bagi hamba yang saleh. Mulla Sadra menyebut surga Adam  tersebut sebagai “Surga Para Ruh" (Jannāt al-Arwāh) atau dikenal  dikalangan ahli ma'rifah sebagai “tempat perjanjian".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228 </w:t>
      </w:r>
    </w:p>
    <w:p>
      <w:pPr>
        <w:pStyle w:val="BookText"/>
        <w:bidi w:val="0"/>
        <w:rPr/>
      </w:pPr>
      <w:r>
        <w:rPr>
          <w:rFonts w:eastAsia="Times New Roman" w:cs="Times New Roman" w:ascii="Times New Roman" w:hAnsi="Times New Roman"/>
          <w:color w:val="111111"/>
          <w:sz w:val="28"/>
          <w:szCs w:val="28"/>
          <w:lang w:val="en-US"/>
        </w:rPr>
        <w:t xml:space="preserve">Ketidakmungkinan surga Adam dan surga yang akan  ditempati orang-orang yang bertakwa nantinya adalah sama,  disebabkan oleh surga dan neraka yang akan ditempati manusia  nantinya terjadi pascakematian dan kehancuran alam semesta,  tempat akhir dari seluruh aktivitas, dan ini terjadi pada kurva  naik (Qaws al-Su’ūd), sedangkan apa yang terjadi pada Adam  merupakan entry point gerakan dan itu terjadi pada kurva turun  (Qaws al-Nuzūl). </w:t>
      </w:r>
      <w:r>
        <w:rPr>
          <w:rStyle w:val="FootnoteAnchor"/>
        </w:rPr>
        <w:footnoteReference w:id="271"/>
      </w:r>
      <w:r>
        <w:rPr>
          <w:rFonts w:eastAsia="Times New Roman" w:cs="Times New Roman" w:ascii="Times New Roman" w:hAnsi="Times New Roman"/>
          <w:color w:val="111111"/>
          <w:sz w:val="28"/>
          <w:szCs w:val="28"/>
          <w:lang w:val="en-US"/>
        </w:rPr>
        <w:t xml:space="preserve"> Dengan dasar ini pula, Mulla Sadra membagi surga  kedalam dua kategori: surga indrawi dan surga intelektual.</w:t>
      </w:r>
    </w:p>
    <w:p>
      <w:pPr>
        <w:pStyle w:val="BookText"/>
        <w:bidi w:val="0"/>
        <w:jc w:val="both"/>
        <w:rPr/>
      </w:pPr>
      <w:r>
        <w:rPr>
          <w:rFonts w:eastAsia="Times New Roman" w:cs="Times New Roman" w:ascii="Times New Roman" w:hAnsi="Times New Roman"/>
          <w:color w:val="111111"/>
          <w:sz w:val="28"/>
          <w:szCs w:val="28"/>
          <w:lang w:val="en-US"/>
        </w:rPr>
        <w:t>Surga indrawi adalah 'surga yang berisikan beragam forma  tanpa materi yang dapat dipersepsi secara indrawi dan dapat  mengalami perubahan', sedangkan surga intelektual berisikan  'forma-forma intelek (“Akliyyah) dan imajinal bercahaya'. Hal  ini, menurut Mulla Sadra, didasarkan tingkat kualitas jiwa yang  masuk ke dalamnya. Tingkat kualitas jiwa yang belum pernah  sampai pada kenikmatan intelektualitas hanya merasakan  kenikmatan forma-forma indrawi, sedangkan jiwa yang telah  mengecap kenikmatan intelektual dan cenderung padanya akan  merasakan kenikmatan intelek yang sama sekali berbeda dari  kenikmatan indrawi. Mulla Sadra menyebut kedua kelompok  tersebut dengan Kelompok Kanan (Ashāb al-Yamīn) dan  kelompok orang-orang yang dekat, yang punya kedudukan  sangat tinggi (al-Muqarabūn wa hum Illiyyūn). Pembagian ini  juga didasarkan Mulla Sadra pada ayat Alquran, “Dan bagi yang  takut akan saat menghadap Tuhannya ada dua surga."</w:t>
      </w:r>
      <w:r>
        <w:rPr>
          <w:rStyle w:val="FootnoteAnchor"/>
        </w:rPr>
        <w:footnoteReference w:id="27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وَلِمَنْ خَافَ مَقَامَ رَبِّهِ جَنَّتَانِ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bagi orang yang takut akan saat menghadap  Tuhannya, ada dua surga."</w:t>
      </w:r>
    </w:p>
    <w:p>
      <w:pPr>
        <w:pStyle w:val="BookText"/>
        <w:bidi w:val="0"/>
        <w:jc w:val="both"/>
        <w:rPr/>
      </w:pPr>
      <w:r>
        <w:rPr>
          <w:rFonts w:eastAsia="Times New Roman" w:cs="Times New Roman" w:ascii="Times New Roman" w:hAnsi="Times New Roman"/>
          <w:color w:val="111111"/>
          <w:sz w:val="28"/>
          <w:szCs w:val="28"/>
          <w:lang w:val="en-US"/>
        </w:rPr>
        <w:t>Mulla Sadra juga membagi neraka menjadi dua bagian,  yaitu neraka indrawi yang dikhususkan bagi orang-orang  kafir dan berisikan siksaan bagi fisik, dan neraka maknawi</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229 </w:t>
      </w:r>
    </w:p>
    <w:p>
      <w:pPr>
        <w:pStyle w:val="BookText"/>
        <w:bidi w:val="0"/>
        <w:rPr/>
      </w:pPr>
      <w:r>
        <w:rPr>
          <w:rFonts w:eastAsia="Times New Roman" w:cs="Times New Roman" w:ascii="Times New Roman" w:hAnsi="Times New Roman"/>
          <w:color w:val="111111"/>
          <w:sz w:val="28"/>
          <w:szCs w:val="28"/>
          <w:lang w:val="en-US"/>
        </w:rPr>
        <w:t>yang dikhususkan  bagi orang-orang  munafik dan sombong  karena kemunafikan  maupun kesombongan  merupakan dua karakter  batin dan siksaannya  pun bersifat siksaan  hati (Qalbī).</w:t>
      </w:r>
    </w:p>
    <w:p>
      <w:pPr>
        <w:pStyle w:val="BookText"/>
        <w:bidi w:val="0"/>
        <w:jc w:val="both"/>
        <w:rPr/>
      </w:pPr>
      <w:r>
        <w:rPr>
          <w:rFonts w:eastAsia="Times New Roman" w:cs="Times New Roman" w:ascii="Times New Roman" w:hAnsi="Times New Roman"/>
          <w:color w:val="111111"/>
          <w:sz w:val="28"/>
          <w:szCs w:val="28"/>
          <w:lang w:val="en-US"/>
        </w:rPr>
        <w:t>Mulla Sadra  menggambarkan,  "Penciptaan surga  secara substantif,  sedangkan penciptaan  neraka  secara  aksiden."</w:t>
      </w:r>
      <w:r>
        <w:rPr>
          <w:rStyle w:val="FootnoteAnchor"/>
        </w:rPr>
        <w:footnoteReference w:id="273"/>
      </w:r>
      <w:r>
        <w:rPr>
          <w:rFonts w:eastAsia="Times New Roman" w:cs="Times New Roman" w:ascii="Times New Roman" w:hAnsi="Times New Roman"/>
          <w:color w:val="111111"/>
          <w:sz w:val="28"/>
          <w:szCs w:val="28"/>
          <w:lang w:val="en-US"/>
        </w:rPr>
        <w:t>Penjelasan  yang dimaksudkan Mulla Sadra tersebut adalah bahwa Allah  Swt. memiliki sifat fundamental (Zāti) dan sifat aktivitas (Fi'lī).</w:t>
      </w:r>
    </w:p>
    <w:p>
      <w:pPr>
        <w:pStyle w:val="BookText"/>
        <w:bidi w:val="0"/>
        <w:jc w:val="both"/>
        <w:rPr/>
      </w:pPr>
      <w:r>
        <w:rPr>
          <w:rFonts w:eastAsia="Times New Roman" w:cs="Times New Roman" w:ascii="Times New Roman" w:hAnsi="Times New Roman"/>
          <w:color w:val="111111"/>
          <w:sz w:val="28"/>
          <w:szCs w:val="28"/>
          <w:lang w:val="en-US"/>
        </w:rPr>
        <w:t>Kasih Sayang Allah masuk dalam kategori sifat fundamental-  Nya, sedangkan Kemarahan atau Pembalasan masuk dalam  kategori sifat aktivitas. Sifat fundamental ini mendahului sifat  aktivitas, seperti yang disebutkan dalam hadis Qudsi, “Kasih  sayang-Ku mendahului kemarahan-Ku"</w:t>
      </w:r>
      <w:r>
        <w:rPr>
          <w:rStyle w:val="FootnoteAnchor"/>
        </w:rPr>
        <w:footnoteReference w:id="274"/>
      </w:r>
      <w:r>
        <w:rPr>
          <w:rFonts w:eastAsia="Times New Roman" w:cs="Times New Roman" w:ascii="Times New Roman" w:hAnsi="Times New Roman"/>
          <w:color w:val="111111"/>
          <w:sz w:val="28"/>
          <w:szCs w:val="28"/>
          <w:lang w:val="en-US"/>
        </w:rPr>
        <w:t>atau di dalam ayat  alquran “Dan Rahmat-Ku meliputi segala sesuatu,"</w:t>
      </w:r>
      <w:r>
        <w:rPr>
          <w:rStyle w:val="FootnoteAnchor"/>
        </w:rPr>
        <w:footnoteReference w:id="27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وَرَحْمَتِی وَسِعَتْ کُلَّ شَیْءٍ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Rahmat-Ku meliputi segala sesuatu."</w:t>
      </w:r>
    </w:p>
    <w:p>
      <w:pPr>
        <w:pStyle w:val="BookText"/>
        <w:bidi w:val="0"/>
        <w:jc w:val="both"/>
        <w:rPr/>
      </w:pPr>
      <w:r>
        <w:rPr>
          <w:rFonts w:eastAsia="Times New Roman" w:cs="Times New Roman" w:ascii="Times New Roman" w:hAnsi="Times New Roman"/>
          <w:color w:val="111111"/>
          <w:sz w:val="28"/>
          <w:szCs w:val="28"/>
          <w:lang w:val="en-US"/>
        </w:rPr>
        <w:t>sehingga,  sekalipun neraka dalam forma kemarahan Allah, tetap pada  hakikatnya diliputi kasih sayang-Nya karena Kasih sayang-Nya  bersifat substantif dan meliputi segala sesuatu.</w:t>
      </w:r>
    </w:p>
    <w:p>
      <w:pPr>
        <w:pStyle w:val="BookText"/>
        <w:bidi w:val="0"/>
        <w:jc w:val="both"/>
        <w:rPr/>
      </w:pPr>
      <w:r>
        <w:rPr>
          <w:rFonts w:eastAsia="Times New Roman" w:cs="Times New Roman" w:ascii="Times New Roman" w:hAnsi="Times New Roman"/>
          <w:color w:val="111111"/>
          <w:sz w:val="28"/>
          <w:szCs w:val="28"/>
          <w:lang w:val="en-US"/>
        </w:rPr>
        <w:t>Seperti jawaban yang dikemukakan Mulla Sadra terhadap</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230 </w:t>
      </w:r>
    </w:p>
    <w:p>
      <w:pPr>
        <w:pStyle w:val="BookText"/>
        <w:bidi w:val="0"/>
        <w:rPr/>
      </w:pPr>
      <w:r>
        <w:rPr>
          <w:rFonts w:eastAsia="Times New Roman" w:cs="Times New Roman" w:ascii="Times New Roman" w:hAnsi="Times New Roman"/>
          <w:color w:val="111111"/>
          <w:sz w:val="28"/>
          <w:szCs w:val="28"/>
          <w:lang w:val="en-US"/>
        </w:rPr>
        <w:t>persoalan ruang dan waktu – surga dan neraka, Mulla Sadra  kembali menjelaskan bahwa surga dan neraka memiliki dimensi  berbeda dari alam dunia ini, terutama dalam kefanaan dunia  dan keabadian surga dan neraka, seperti yang disebutkannya: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Sebagaimana yang telah Anda ketahui, bahwa akhirat  tidaklah menempati satu tempat di alam dunia ini, tidak  pada puncaknya maupun pada dasarnya, karena seluruh  tempat di alam ini selalu terjadi kebaruan, kehilangan,  ketidakmungkinan, dan kehancuran, dan segala sesuatu  yang memiliki sifat tersebut adalah alam dunia, sedangkan  akhirat merupakan negeri akhir dan bukanlah negeri  kehancuran. Negeri akhirat berada di dalam alam ini dan  dibalik tirai batin langit dan bumi. Perbandingan posisinya  dengan dunia ini seperti halnya dunia sebagai janin yang  ada dalam rahim ibu, sebagaimana yang telah dijelaskan </w:t>
      </w:r>
      <w:r>
        <w:rPr>
          <w:rStyle w:val="FootnoteAnchor"/>
        </w:rPr>
        <w:footnoteReference w:id="276"/>
      </w:r>
      <w:r>
        <w:rPr>
          <w:rFonts w:eastAsia="Times New Roman" w:cs="Times New Roman" w:ascii="Times New Roman" w:hAnsi="Times New Roman"/>
          <w:color w:val="111111"/>
          <w:sz w:val="28"/>
          <w:szCs w:val="28"/>
          <w:lang w:val="en-US"/>
        </w:rPr>
        <w:t xml:space="preserve"> akan tetapi surga dan neraka memiliki manifestasi dan  cerminan pada alam (dunia) ini berdasarkan kehalusan dan  jenis kehidupan yang partikular". </w:t>
      </w:r>
      <w:r>
        <w:rPr>
          <w:rStyle w:val="FootnoteAnchor"/>
        </w:rPr>
        <w:footnoteReference w:id="277"/>
      </w:r>
    </w:p>
    <w:p>
      <w:pPr>
        <w:pStyle w:val="BookText"/>
        <w:bidi w:val="0"/>
        <w:jc w:val="both"/>
        <w:rPr/>
      </w:pPr>
      <w:r>
        <w:rPr>
          <w:rFonts w:ascii="IRNazanin" w:hAnsi="IRNazanin" w:eastAsia="IRNazanin"/>
          <w:color w:val="111111"/>
          <w:sz w:val="28"/>
          <w:sz w:val="28"/>
          <w:szCs w:val="28"/>
          <w:rtl w:val="true"/>
          <w:lang w:bidi="fa-IR"/>
        </w:rPr>
        <w:t>وقد علمت أن لیس للاخرة مکان فی هذا العالم لا فی علوه ولا فی سفله لأن  جمیع مافی أمکنة هذا العالم متجددة دائرة مستحیلة 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ماهو کذلک فهو      من الدنیا والآخرة عقبی الدار لیست دار البو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داخل هذا العالم  وفی با طن حجب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منزلتها من الدنیا منزلة الجنین من  رحم الأم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لکل من الجنة والنار مظا هر ومرائی فی هذا العالم  بحسب رقائفها و نشئاتها الجزئیة</w:t>
      </w:r>
    </w:p>
    <w:p>
      <w:pPr>
        <w:pStyle w:val="BookText"/>
        <w:bidi w:val="0"/>
        <w:jc w:val="both"/>
        <w:rPr/>
      </w:pPr>
      <w:r>
        <w:rPr>
          <w:rFonts w:eastAsia="Times New Roman" w:cs="Times New Roman" w:ascii="Times New Roman" w:hAnsi="Times New Roman"/>
          <w:color w:val="111111"/>
          <w:sz w:val="28"/>
          <w:szCs w:val="28"/>
          <w:lang w:val="en-US"/>
        </w:rPr>
        <w:t>Dengan pendekatan yang dilakukan Mulla Sadra ini,  kita dapat menjelaskan beragam teks hadis yang seakan-akan  menunjukkan bahwa surga atau neraka terjadi di alam ini,  seperti “Kubur Mukmin merupakan bagian dari taman surga,  sedangkan kubur munafik merupakan bagian dari siksaan  neraka,"</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IRNazanin" w:hAnsi="IRNazanin" w:eastAsia="IRNazanin"/>
          <w:color w:val="111111"/>
          <w:sz w:val="28"/>
          <w:sz w:val="28"/>
          <w:szCs w:val="28"/>
          <w:rtl w:val="true"/>
          <w:lang w:bidi="fa-IR"/>
        </w:rPr>
        <w:t>قبرالمؤمن روضة من ریاض الجنة وقبر المنا فق حفر النیران</w:t>
      </w:r>
    </w:p>
    <w:p>
      <w:pPr>
        <w:pStyle w:val="BookText"/>
        <w:bidi w:val="0"/>
        <w:jc w:val="both"/>
        <w:rPr/>
      </w:pPr>
      <w:r>
        <w:rPr>
          <w:rFonts w:eastAsia="Times New Roman" w:cs="Times New Roman" w:ascii="Times New Roman" w:hAnsi="Times New Roman"/>
          <w:color w:val="111111"/>
          <w:sz w:val="28"/>
          <w:szCs w:val="28"/>
          <w:lang w:val="en-US"/>
        </w:rPr>
        <w:t>karena surga dan neraka, sekalipun berada di balik  alam materi ini, tetapi memiliki manifestasi dan cerminan di  alam dunia ini. Kenikmatan maupun penderitaan merupakan  bagian dari manifestasi tersebut.</w:t>
      </w:r>
    </w:p>
    <w:p>
      <w:pPr>
        <w:pStyle w:val="BookText"/>
        <w:bidi w:val="0"/>
        <w:jc w:val="both"/>
        <w:rPr/>
      </w:pPr>
      <w:r>
        <w:rPr>
          <w:rFonts w:eastAsia="Times New Roman" w:cs="Times New Roman" w:ascii="Times New Roman" w:hAnsi="Times New Roman"/>
          <w:color w:val="111111"/>
          <w:sz w:val="28"/>
          <w:szCs w:val="28"/>
          <w:lang w:val="en-US"/>
        </w:rPr>
        <w:t>Manusia mempersepsi objek-objek di alam akhirat,  sebagaimana manusia mempersepsi objek-objek di alam dunia,  tetapi perbedaan utama bahwa manusia mempersepsi objek  duniawi dengan menggunakan lima indra materi, sedangkan di</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231 </w:t>
      </w:r>
    </w:p>
    <w:p>
      <w:pPr>
        <w:pStyle w:val="BookText"/>
        <w:bidi w:val="0"/>
        <w:rPr/>
      </w:pPr>
      <w:r>
        <w:rPr>
          <w:rFonts w:eastAsia="Times New Roman" w:cs="Times New Roman" w:ascii="Times New Roman" w:hAnsi="Times New Roman"/>
          <w:color w:val="111111"/>
          <w:sz w:val="28"/>
          <w:szCs w:val="28"/>
          <w:lang w:val="en-US"/>
        </w:rPr>
        <w:t>alam akhirat, manusia melakukan persepsi dengan indra imajinal  dan semua bagian yang selama ini, dengan beragam bagian indra  materi, akan dipersepsi hanya melalui indra imajinal tersebut.</w:t>
      </w:r>
    </w:p>
    <w:p>
      <w:pPr>
        <w:pStyle w:val="BookText"/>
        <w:bidi w:val="0"/>
        <w:jc w:val="both"/>
        <w:rPr/>
      </w:pPr>
      <w:r>
        <w:rPr>
          <w:rFonts w:eastAsia="Times New Roman" w:cs="Times New Roman" w:ascii="Times New Roman" w:hAnsi="Times New Roman"/>
          <w:color w:val="111111"/>
          <w:sz w:val="28"/>
          <w:szCs w:val="28"/>
          <w:lang w:val="en-US"/>
        </w:rPr>
        <w:t xml:space="preserve">Tidak akan ada lagi pemisahan indra seperti yang terjadi di  dunia. Begitu pula dengan raga, bahwa raga di alam akhirat  maupun alam imajinal adalah ruh pada alam dunia. Hanya  saja, menurut Mulla Sadra, ruh di dunia terikat kepada raga di    dunia sehingga tidak memiliki raga    tersendiri, sedangkan di akhirat  membentuk raga tersendiri. </w:t>
      </w:r>
      <w:r>
        <w:rPr>
          <w:rStyle w:val="FootnoteAnchor"/>
        </w:rPr>
        <w:footnoteReference w:id="278"/>
      </w:r>
      <w:r>
        <w:rPr>
          <w:rFonts w:eastAsia="Times New Roman" w:cs="Times New Roman" w:ascii="Times New Roman" w:hAnsi="Times New Roman"/>
          <w:color w:val="111111"/>
          <w:sz w:val="28"/>
          <w:szCs w:val="28"/>
          <w:lang w:val="en-US"/>
        </w:rPr>
        <w:t xml:space="preserve">   Dengan demikian, Mulla  Sadra ingin menegaskan bahwa apa  yang terjadi di alam akhirat adalah    real, bukan hanya vision semata,    baik kenikmatan dan penderitaan  adalah sesuatu yang faktual atau    memiliki objek-objek eksternal,    sekalipun dalam forma imajinal.</w:t>
      </w:r>
    </w:p>
    <w:p>
      <w:pPr>
        <w:pStyle w:val="BookText"/>
        <w:bidi w:val="0"/>
        <w:jc w:val="both"/>
        <w:rPr/>
      </w:pPr>
      <w:r>
        <w:rPr>
          <w:rFonts w:eastAsia="Times New Roman" w:cs="Times New Roman" w:ascii="Times New Roman" w:hAnsi="Times New Roman"/>
          <w:color w:val="111111"/>
          <w:sz w:val="28"/>
          <w:szCs w:val="28"/>
          <w:lang w:val="en-US"/>
        </w:rPr>
        <w:t>Namun, dalam pembagian surga  dan penghuni surga, terlihat jelas bahwa Mulla Sadra lebih  mendasarkan diri pada tingkat intelektualitas. Hal ini yang  kemudian mendapatkan kritik Fazlur Rahman karena bagi  Rahman, pembagian penghuni surga atau neraka lebih didasari  oleh sikap moral.</w:t>
      </w:r>
      <w:r>
        <w:rPr>
          <w:rStyle w:val="FootnoteAnchor"/>
        </w:rPr>
        <w:footnoteReference w:id="279"/>
      </w:r>
      <w:r>
        <w:rPr>
          <w:rFonts w:eastAsia="Times New Roman" w:cs="Times New Roman" w:ascii="Times New Roman" w:hAnsi="Times New Roman"/>
          <w:color w:val="111111"/>
          <w:sz w:val="28"/>
          <w:szCs w:val="28"/>
          <w:lang w:val="en-US"/>
        </w:rPr>
        <w:t xml:space="preserve"> Menurut penulis, seharusnya Rahman menyadari bahwa  karakter filsafat yang mendominasi pandangan Mulla Sadra  merupakan faktor mendasar yang membuat Mulla Sadra  berpandangan seperti itu karena pandangan yang sama juga</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232 </w:t>
      </w:r>
      <w:bookmarkStart w:id="144" w:name="pg6434_60773"/>
    </w:p>
    <w:p>
      <w:pPr>
        <w:pStyle w:val="BookText"/>
        <w:bidi w:val="0"/>
        <w:rPr/>
      </w:pPr>
      <w:bookmarkEnd w:id="144"/>
      <w:r>
        <w:rPr>
          <w:rFonts w:eastAsia="Times New Roman" w:cs="Times New Roman" w:ascii="Times New Roman" w:hAnsi="Times New Roman"/>
          <w:color w:val="111111"/>
          <w:sz w:val="28"/>
          <w:szCs w:val="28"/>
          <w:lang w:val="en-US"/>
        </w:rPr>
        <w:t>dikemukakan Ibn Sina ketika menggambarkan penggabungan  jiwa dengan akal aktif.</w:t>
      </w:r>
    </w:p>
    <w:p>
      <w:pPr>
        <w:pStyle w:val="Heading3"/>
        <w:numPr>
          <w:ilvl w:val="2"/>
          <w:numId w:val="1"/>
        </w:numPr>
        <w:bidi w:val="0"/>
        <w:jc w:val="left"/>
        <w:rPr/>
      </w:pPr>
      <w:bookmarkStart w:id="145" w:name="__RefHeading___Toc808238_653776707"/>
      <w:bookmarkStart w:id="146" w:name="_Toc48"/>
      <w:bookmarkEnd w:id="145"/>
      <w:r>
        <w:rPr/>
        <w:t>11. Kebahagiaan dan Penderitaan</w:t>
      </w:r>
      <w:bookmarkEnd w:id="146"/>
    </w:p>
    <w:p>
      <w:pPr>
        <w:pStyle w:val="BookText"/>
        <w:bidi w:val="0"/>
        <w:jc w:val="both"/>
        <w:rPr/>
      </w:pPr>
      <w:r>
        <w:rPr>
          <w:rFonts w:eastAsia="Times New Roman" w:cs="Times New Roman" w:ascii="Times New Roman" w:hAnsi="Times New Roman"/>
          <w:color w:val="111111"/>
          <w:sz w:val="28"/>
          <w:szCs w:val="28"/>
          <w:lang w:val="en-US"/>
        </w:rPr>
        <w:t>Para filsuf dan pemikir Eskatologi, pada umumnya,  berusaha untuk merumuskan tentang apa yang disebut  kebahagiaan dan penderitaan karena ketika berbicara tentang  akhirat, pembicaraan yang terkait, tidak lain, adalah pembicaraan  tentang kebahagiaan dan penderitaan. Kebahagiaan merupakan  kondisi yang menjadi harapan bagi seluruh manusia, sedangkan  penderitaan adalah kondisi yang dihindari manusia. Kedua  kondisi ini akan muncul dalam kemurniannya di akhirat.</w:t>
      </w:r>
    </w:p>
    <w:p>
      <w:pPr>
        <w:pStyle w:val="BookText"/>
        <w:bidi w:val="0"/>
        <w:jc w:val="both"/>
        <w:rPr/>
      </w:pPr>
      <w:r>
        <w:rPr>
          <w:rFonts w:eastAsia="Times New Roman" w:cs="Times New Roman" w:ascii="Times New Roman" w:hAnsi="Times New Roman"/>
          <w:color w:val="111111"/>
          <w:sz w:val="28"/>
          <w:szCs w:val="28"/>
          <w:lang w:val="en-US"/>
        </w:rPr>
        <w:t>Karenanya, ketika membahas Eskatologi, pembicaraan tentang  esensi kebahagiaan dan penderitaan menjadi bagian di dalamnya.</w:t>
      </w:r>
    </w:p>
    <w:p>
      <w:pPr>
        <w:pStyle w:val="BookText"/>
        <w:bidi w:val="0"/>
        <w:jc w:val="both"/>
        <w:rPr/>
      </w:pPr>
      <w:r>
        <w:rPr>
          <w:rFonts w:eastAsia="Times New Roman" w:cs="Times New Roman" w:ascii="Times New Roman" w:hAnsi="Times New Roman"/>
          <w:color w:val="111111"/>
          <w:sz w:val="28"/>
          <w:szCs w:val="28"/>
          <w:lang w:val="en-US"/>
        </w:rPr>
        <w:t>Kebahagiaan bagi Mulla Sadra adalah kesempurnaan  wujud, begitu pula sebaliknya dengan penderitaan. Semakin  berkualitas wujud manusia, meningkat kesempurnaan dan  kemuliaannya dari beragam kekurangan dan ketiadaan, maka  tingkat kebahagiaan yang terjadi lebih sempurna dan lebih  lengkap. Adapun kualitas wujud yang paling tinggi adalah wujud  Al-Haqq sebagai sumber awal kemudian wujud diferensial  intelektual (Mufāriqat al-´Aqliyyāh), kemudian wujud jiwa dan  yang paling rendah adalah beragam objek wujud, yaitu materi  pertama, waktu, gerakan, kemudian forma fisik, beragam  makhluk (Thabā’i), baru kemudian jiwa.</w:t>
      </w:r>
    </w:p>
    <w:p>
      <w:pPr>
        <w:pStyle w:val="BookText"/>
        <w:bidi w:val="0"/>
        <w:jc w:val="both"/>
        <w:rPr/>
      </w:pPr>
      <w:r>
        <w:rPr>
          <w:rFonts w:eastAsia="Times New Roman" w:cs="Times New Roman" w:ascii="Times New Roman" w:hAnsi="Times New Roman"/>
          <w:color w:val="111111"/>
          <w:sz w:val="28"/>
          <w:szCs w:val="28"/>
          <w:lang w:val="en-US"/>
        </w:rPr>
        <w:t>Bagi Mulla Sadra, kenikmatan akan terasa ketika satu  forma wujud dapat mencapai forma wujud sebabnya karena  wujudnya menjadi lebih sempurna. Karena wujudnya lebih  sempurna, maka kebahagiaan yang dirasakan juga jauh lebih  mulia dan sempurna.</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233 </w:t>
      </w:r>
    </w:p>
    <w:p>
      <w:pPr>
        <w:pStyle w:val="BookText"/>
        <w:bidi w:val="0"/>
        <w:rPr/>
      </w:pPr>
      <w:r>
        <w:rPr>
          <w:rFonts w:eastAsia="Times New Roman" w:cs="Times New Roman" w:ascii="Times New Roman" w:hAnsi="Times New Roman"/>
          <w:color w:val="111111"/>
          <w:sz w:val="28"/>
          <w:szCs w:val="28"/>
          <w:lang w:val="en-US"/>
        </w:rPr>
        <w:t xml:space="preserve">Pada diri manusia, wujud daya intelek jauh lebih utama  dan mulia dibandingkan wujud pada tingkat hewani, syahwat  ataupun emosional. Karenanya, transformasi jiwa dari jiwa  hewani, syahwati ataupun emosional tersebut kepada jiwa  intelektual akan memberikan kenikmatan dan kebahagiaan yang  jauh lebih sempurna dan utama. Karena itu, menurut Mulla Sadra,  pencapaian daya tersebut akan memberikan kebahagiaan yang  tidak ada bandingnya dan tidak akan ada lagi penderitaan yang  diarasakan. Jiwa, jika mengalami transformasi kesempurnaan,  akan menjadi lebih kuat sehingga ikatannya dengan raga materi  menjadi hilang, kemudian kembali pada substansi hakikinya  dan substansi sumbernya serta akan merasakan kebahagiaan  dan kenikmatan yang tidak akan mungkin dapat disifati atau  dibandingkan dengan kenikmatan fisik karena sebab dari  kenikmatan pada tingkat ini lebih kuat dan lebih utama. </w:t>
      </w:r>
      <w:r>
        <w:rPr>
          <w:rStyle w:val="FootnoteAnchor"/>
        </w:rPr>
        <w:footnoteReference w:id="280"/>
      </w:r>
      <w:r>
        <w:rPr>
          <w:rFonts w:eastAsia="Times New Roman" w:cs="Times New Roman" w:ascii="Times New Roman" w:hAnsi="Times New Roman"/>
          <w:color w:val="111111"/>
          <w:sz w:val="28"/>
          <w:szCs w:val="28"/>
          <w:lang w:val="en-US"/>
        </w:rPr>
        <w:t xml:space="preserve"> Penjelasan Mulla Sadra tentang kebahagiaan ini tidak  jauh berbeda dengan penjelasan yang diberikan Ibn Sina dalam  kitabnya, Al-Mabda' wa Al-Ma'ād. Bagi Ibn Sina, kebahagiaan  adalah sempurnanya aktualitas daya tersebut, seperti daya  syahwati kesempurnaannya pada kelezatan yang dirasakan  atau daya emosional pada penguasaan atau jiwa rasional pada  persepsi terhadap kebaikan murni. Aktualitas dari beragam daya  tersebut adalah kesempurnaan dan hal tersebut menghasilkan  kebahagiaan.</w:t>
      </w:r>
      <w:r>
        <w:rPr>
          <w:rStyle w:val="FootnoteAnchor"/>
        </w:rPr>
        <w:footnoteReference w:id="281"/>
      </w:r>
      <w:r>
        <w:rPr>
          <w:rFonts w:eastAsia="Times New Roman" w:cs="Times New Roman" w:ascii="Times New Roman" w:hAnsi="Times New Roman"/>
          <w:color w:val="111111"/>
          <w:sz w:val="28"/>
          <w:szCs w:val="28"/>
          <w:lang w:val="en-US"/>
        </w:rPr>
        <w:t>Mulla Sadra juga menjelaskan bahwa  kebahagiaan, selain terjadi dengan terpenuhi apa yang dituntut  oleh setiap daya,</w:t>
      </w:r>
      <w:r>
        <w:rPr>
          <w:rStyle w:val="FootnoteAnchor"/>
        </w:rPr>
        <w:footnoteReference w:id="282"/>
      </w:r>
      <w:r>
        <w:rPr>
          <w:rFonts w:eastAsia="Times New Roman" w:cs="Times New Roman" w:ascii="Times New Roman" w:hAnsi="Times New Roman"/>
          <w:color w:val="111111"/>
          <w:sz w:val="28"/>
          <w:szCs w:val="28"/>
          <w:lang w:val="en-US"/>
        </w:rPr>
        <w:t>hal tersebut disebabkan oleh substansi  wujud yang merupakan kebahagiaan dan hal ini berbeda  dengan pandangan Ibn Sina. Perbedaan ini dipicu oleh prinsip  dasar filsafat Mulla Sadra, yaitu Tasykik al-Wujūd dan Ittihād al-</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234 </w:t>
      </w:r>
    </w:p>
    <w:p>
      <w:pPr>
        <w:pStyle w:val="BookText"/>
        <w:bidi w:val="0"/>
        <w:rPr/>
      </w:pPr>
      <w:r>
        <w:rPr>
          <w:rFonts w:eastAsia="Times New Roman" w:cs="Times New Roman" w:ascii="Times New Roman" w:hAnsi="Times New Roman"/>
          <w:color w:val="111111"/>
          <w:sz w:val="28"/>
          <w:szCs w:val="28"/>
          <w:lang w:val="en-US"/>
        </w:rPr>
        <w:t xml:space="preserve">'Aqil wa al-Ma'qul dan Ibn Sina    menolak pandangan Ittihād al-    'Āqil wa al-Ma'qūl. </w:t>
      </w:r>
      <w:r>
        <w:rPr>
          <w:rStyle w:val="FootnoteAnchor"/>
        </w:rPr>
        <w:footnoteReference w:id="283"/>
      </w:r>
      <w:r>
        <w:rPr>
          <w:rFonts w:eastAsia="Times New Roman" w:cs="Times New Roman" w:ascii="Times New Roman" w:hAnsi="Times New Roman"/>
          <w:color w:val="111111"/>
          <w:sz w:val="28"/>
          <w:szCs w:val="28"/>
          <w:lang w:val="en-US"/>
        </w:rPr>
        <w:t xml:space="preserve">   Selain hal tersebut,    Mulla Sadra juga menjelaskan    bahwa kebahagiaan indrawi    sebagian sesuai dengan    kebahagiaan, tetapi sebagian  lagi tidak sesuai, mengingat    objek-objek indrawi memiliki  beragam  pertentangan dan    kontradiksi karena objek  objek tersebut tidak lepas    dari ketidaksempurnaan dan  kekurangan dalam wujud. Berbeda keadaannya dengan intelek,  pada intelek tidak lagi terdapat kontradiksi dan pertentangan  karena kesempurnaan merupakan substansi dirinya.</w:t>
      </w:r>
    </w:p>
    <w:p>
      <w:pPr>
        <w:pStyle w:val="BookText"/>
        <w:bidi w:val="0"/>
        <w:jc w:val="both"/>
        <w:rPr/>
      </w:pPr>
      <w:r>
        <w:rPr>
          <w:rFonts w:eastAsia="Times New Roman" w:cs="Times New Roman" w:ascii="Times New Roman" w:hAnsi="Times New Roman"/>
          <w:color w:val="111111"/>
          <w:sz w:val="28"/>
          <w:szCs w:val="28"/>
          <w:lang w:val="en-US"/>
        </w:rPr>
        <w:t>Upaya pencapaian kebahagiaan, menurut Mulla Sadra,  dengan aktivitas yang menyucikan beragam kekurangan,  keburukan, dan penyakit yang ada pada jiwa, seiring dengan  aktivitas intelek dan proses berpikir yang menghasilkan  beragam pengetahuan terhadap segala sesuatu sehingga  menjadikan intelek aktual (bi al-Fi'il). Mulla Sadra sangat  menekankan aktivitas intelek sebagai jalan penyempurnaan diri  karena baginya, “Pengetahuan merupakan bibit penyaksian. Hal  tersebut karena di antara kita dengan objek-objek rasio terdapat  pembatas yang disebabkan, baik oleh kebodohan maupun  karena kesibukan terhadap selainnya, seperti raga, materi-  materi fisik, dan beragam daya yang menempel padanya,"</w:t>
      </w:r>
      <w:r>
        <w:rPr>
          <w:rStyle w:val="FootnoteAnchor"/>
        </w:rPr>
        <w:footnoteReference w:id="284"/>
      </w:r>
    </w:p>
    <w:p>
      <w:pPr>
        <w:pStyle w:val="BookText"/>
        <w:bidi w:val="0"/>
        <w:jc w:val="both"/>
        <w:rPr/>
      </w:pPr>
      <w:r>
        <w:rPr>
          <w:rFonts w:ascii="IRNazanin" w:hAnsi="IRNazanin" w:eastAsia="IRNazanin"/>
          <w:color w:val="111111"/>
          <w:sz w:val="28"/>
          <w:sz w:val="28"/>
          <w:szCs w:val="28"/>
          <w:rtl w:val="true"/>
          <w:lang w:bidi="fa-IR"/>
        </w:rPr>
        <w:t>أن المعرفة بدر المشا 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الحجاب بیننا وبین العقلیات إما عدم  التفطن لها و هو الجهل وإما الاشتغال بغیرها کالبدن والمواد الحسیة و قواها  المنطبعة</w:t>
      </w:r>
    </w:p>
    <w:p>
      <w:pPr>
        <w:pStyle w:val="BookText"/>
        <w:bidi w:val="0"/>
        <w:jc w:val="both"/>
        <w:rPr/>
      </w:pPr>
      <w:r>
        <w:rPr>
          <w:rFonts w:eastAsia="Times New Roman" w:cs="Times New Roman" w:ascii="Times New Roman" w:hAnsi="Times New Roman"/>
          <w:color w:val="111111"/>
          <w:sz w:val="28"/>
          <w:szCs w:val="28"/>
          <w:lang w:val="en-US"/>
        </w:rPr>
        <w:t>dan</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235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Puncak kebahagiaan hakiki bagi manusia adalah terhasilkannya  pada jiwa penyaksian terhadap sumber dari keberadaannya. "</w:t>
      </w:r>
      <w:r>
        <w:rPr>
          <w:rStyle w:val="FootnoteAnchor"/>
        </w:rPr>
        <w:footnoteReference w:id="285"/>
      </w:r>
    </w:p>
    <w:p>
      <w:pPr>
        <w:pStyle w:val="BookText"/>
        <w:bidi w:val="0"/>
        <w:jc w:val="both"/>
        <w:rPr/>
      </w:pPr>
      <w:r>
        <w:rPr>
          <w:rFonts w:ascii="IRNazanin" w:hAnsi="IRNazanin" w:eastAsia="IRNazanin"/>
          <w:color w:val="111111"/>
          <w:sz w:val="28"/>
          <w:sz w:val="28"/>
          <w:szCs w:val="28"/>
          <w:rtl w:val="true"/>
          <w:lang w:bidi="fa-IR"/>
        </w:rPr>
        <w:t>أن الشرف والسعادة با لحقیقة إنما یحصل للنفس من جهة جزئها النظری  الذی هو أصل ذا تها</w:t>
      </w:r>
    </w:p>
    <w:p>
      <w:pPr>
        <w:pStyle w:val="BookText"/>
        <w:bidi w:val="0"/>
        <w:jc w:val="both"/>
        <w:rPr/>
      </w:pPr>
      <w:r>
        <w:rPr>
          <w:rFonts w:eastAsia="Times New Roman" w:cs="Times New Roman" w:ascii="Times New Roman" w:hAnsi="Times New Roman"/>
          <w:color w:val="111111"/>
          <w:sz w:val="28"/>
          <w:szCs w:val="28"/>
          <w:lang w:val="en-US"/>
        </w:rPr>
        <w:t>Penderitaan merupakan kondisi sebaliknya dari  kebahagiaan. Penderitaan terjadi karena tidak tercapainya  kesempurnaan wujud. Mulla Sadra membagi dua kelompok  utama orang-orang yang menderita di akhirat. Kelompok  pertama adalah orang-orang yang sesat karena merupakan  pecinta dunia, pelaku kezaliman, dan puncaknya adalah orang-  orang munafik. Mereka adalah orang-orang yang sesungguhnya  memiliki potensi untuk mengenal cahaya pengetahuan, tetapi  tersesat dan memenuhi diri mereka dengan beragam tindakan  sehingga menjadikan diri mereka berada dalam kegelapan  yang membuat jiwa mereka, ketika dibangkitkan, merasakan  penderitaan dengan kebutaan yang tidak mampu menangkap  realitas pada saat kebangkitan tersebut, bahkan menurut  Mulla Sadra, “Penderitaan terbesar bagi mereka tertutupi dari  penyaksian terhadap Tuhan mereka".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ومن أعظم الآلآم لهم إنهم عن ربهم لمحجو بون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Kelompok kedua adalah orang-orang kafir yang  merupakan penghuni hakiki neraka. Untuk kelompok kedua  ini, Mulla Sadra mengutip ayat Alquran, “Sesungguhnya orang-  orang kafir itu, baik mereka diberikan peringatan atau tidak ...</w:t>
      </w:r>
    </w:p>
    <w:p>
      <w:pPr>
        <w:pStyle w:val="BookText"/>
        <w:bidi w:val="0"/>
        <w:jc w:val="both"/>
        <w:rPr/>
      </w:pPr>
      <w:r>
        <w:rPr>
          <w:rFonts w:eastAsia="Times New Roman" w:cs="Times New Roman" w:ascii="Times New Roman" w:hAnsi="Times New Roman"/>
          <w:color w:val="111111"/>
          <w:sz w:val="28"/>
          <w:szCs w:val="28"/>
          <w:lang w:val="en-US"/>
        </w:rPr>
        <w:t xml:space="preserve">bagi merekalah azab yang pedih". </w:t>
      </w:r>
      <w:r>
        <w:rPr>
          <w:rStyle w:val="FootnoteAnchor"/>
        </w:rPr>
        <w:footnoteReference w:id="28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کَفَرُوا سَوَاءٌ عَلَیْهِمْ أَأَنْذَرْتَهُمْ أَمْ لَمْ تُنْذِرْهُمْ لَا یُؤْمِنُونَ خَتَمَ اللَّهُ عَلَی قُلُوبِهِمْ وَعَلَی سَمْعِهِمْ وَعَلَی أَبْصَارِهِمْ غِشَاوَةٌ وَلَهُمْ عَذَابٌ عَظِیمٌ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Sesungguhnya orang-orang kafir, sama saja bagi mereka,  kamu beri peringatan atau tidak kamu beri peringatan,  mereka tidak juga akan beriman. Allah telah mengunci-mati  hati dan pendengaran mereka, dan penglihatan mereka  ditutup. Dan bagi mereka siksa yang amat berat."</w:t>
      </w:r>
    </w:p>
    <w:p>
      <w:pPr>
        <w:pStyle w:val="BookText"/>
        <w:bidi w:val="0"/>
        <w:jc w:val="both"/>
        <w:rPr/>
      </w:pPr>
      <w:r>
        <w:rPr>
          <w:rFonts w:eastAsia="Times New Roman" w:cs="Times New Roman" w:ascii="Times New Roman" w:hAnsi="Times New Roman"/>
          <w:color w:val="111111"/>
          <w:sz w:val="28"/>
          <w:szCs w:val="28"/>
          <w:lang w:val="en-US"/>
        </w:rPr>
        <w:t>Bagi mereka, penderitaan  yang menyakitkan adalah tertutupinya hati mereka, yaitu daya  intelek dari Masy’ār Ilahi sebagai tempat pengetahuan dan ilham  sehingga di dalam batin mereka tidak ada jalan untuk sampai  pada ilmu hakiki baik secara batin maupun zahir.</w:t>
      </w:r>
    </w:p>
    <w:p>
      <w:pPr>
        <w:pStyle w:val="BookText"/>
        <w:bidi w:val="0"/>
        <w:jc w:val="both"/>
        <w:rPr/>
      </w:pPr>
      <w:r>
        <w:rPr>
          <w:rFonts w:eastAsia="Times New Roman" w:cs="Times New Roman" w:ascii="Times New Roman" w:hAnsi="Times New Roman"/>
          <w:color w:val="111111"/>
          <w:sz w:val="28"/>
          <w:szCs w:val="28"/>
          <w:lang w:val="en-US"/>
        </w:rPr>
        <w:t>Dengan pembagian dua kelompok besar dari orang-  orang yang menderita di akhirat, Mulla Sadra membagi dua  pula penyebab penderitaan tersebut. Pertama, dihasilkan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236 </w:t>
      </w:r>
    </w:p>
    <w:p>
      <w:pPr>
        <w:pStyle w:val="BookText"/>
        <w:bidi w:val="0"/>
        <w:rPr/>
      </w:pPr>
      <w:r>
        <w:rPr>
          <w:rFonts w:eastAsia="Times New Roman" w:cs="Times New Roman" w:ascii="Times New Roman" w:hAnsi="Times New Roman"/>
          <w:color w:val="111111"/>
          <w:sz w:val="28"/>
          <w:szCs w:val="28"/>
          <w:lang w:val="en-US"/>
        </w:rPr>
        <w:t xml:space="preserve">melalui aktivitas raga seperti ketidaktaatan, baik dalam daya  indra, daya syahwati dan daya emosional. Ketidaktaatan  dalam pengendalian daya-daya tersebut akan menyebabkan  penderitaan fisik di akhirat. Kedua, disebabkan oleh penyakit  batin, seperti hasad, riya' dan penderitaan yang terjadi pada  mereka adalah penderitaan batin dan intelektual di akhirat  serta hilangnya beragam daya, seperti yang dimiliki penghuni  surga. </w:t>
      </w:r>
      <w:r>
        <w:rPr>
          <w:rStyle w:val="FootnoteAnchor"/>
        </w:rPr>
        <w:footnoteReference w:id="287"/>
      </w:r>
      <w:r>
        <w:rPr>
          <w:rFonts w:eastAsia="Times New Roman" w:cs="Times New Roman" w:ascii="Times New Roman" w:hAnsi="Times New Roman"/>
          <w:color w:val="111111"/>
          <w:sz w:val="28"/>
          <w:szCs w:val="28"/>
          <w:lang w:val="en-US"/>
        </w:rPr>
        <w:t xml:space="preserve">   Melihat penjelasan Mulla  Sadra tentang kebahagiaan, kita    tentu menyadari betapa Mulla    Sadra memberikan penghargaan  yang luar biasa kepada intelek      sehingga kita mungkin dapat    menyatakan bagi Mulla Sadra    kebahagiaan yang tertinggi    hanya mampu dicapai oleh    para filsuf karena pada para  filsuflah, aktivitas intelektual    teraktualisasi secara maksimal.</w:t>
      </w:r>
    </w:p>
    <w:p>
      <w:pPr>
        <w:pStyle w:val="BookText"/>
        <w:bidi w:val="0"/>
        <w:jc w:val="both"/>
        <w:rPr/>
      </w:pPr>
      <w:r>
        <w:rPr>
          <w:rFonts w:eastAsia="Times New Roman" w:cs="Times New Roman" w:ascii="Times New Roman" w:hAnsi="Times New Roman"/>
          <w:color w:val="111111"/>
          <w:sz w:val="28"/>
          <w:szCs w:val="28"/>
          <w:lang w:val="en-US"/>
        </w:rPr>
        <w:t>Gagasan kebahagiaan yang dikembangkan Mulla Sadra  ini merupakan satu hal yang cukup menarik sekalipun tentu  tidak akan lepas dari kritik terkait pengutamaannya pada intelek  tersebut, tetapi jika dipahami lebih jauh, dapat memberikan  kesadaran bahwa upaya manusia untuk mencapai derajat  kebahagiaan tertinggi tidak semata melalui jalan pembersihan  moralitas, tetapi juga intelektualitas. Dengan prinsip ini, tentu  akan memberikan motivasi baru bagi manusia untuk melakukan  aktivitas intelektual yang lebih serius.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237 </w:t>
      </w:r>
      <w:bookmarkStart w:id="147" w:name="pg6434_60778"/>
    </w:p>
    <w:p>
      <w:pPr>
        <w:pStyle w:val="Heading3"/>
        <w:numPr>
          <w:ilvl w:val="2"/>
          <w:numId w:val="1"/>
        </w:numPr>
        <w:bidi w:val="0"/>
        <w:jc w:val="left"/>
        <w:rPr/>
      </w:pPr>
      <w:bookmarkStart w:id="148" w:name="__RefHeading___Toc808240_653776707"/>
      <w:bookmarkStart w:id="149" w:name="_Toc49"/>
      <w:bookmarkEnd w:id="147"/>
      <w:bookmarkEnd w:id="148"/>
      <w:r>
        <w:rPr/>
        <w:t>12. Makna keabadian dan Kontinuitas Pembaruan Penghuni Surga dan Neraka</w:t>
      </w:r>
      <w:bookmarkEnd w:id="149"/>
    </w:p>
    <w:p>
      <w:pPr>
        <w:pStyle w:val="BookText"/>
        <w:bidi w:val="0"/>
        <w:jc w:val="both"/>
        <w:rPr/>
      </w:pPr>
      <w:r>
        <w:rPr>
          <w:rFonts w:eastAsia="Times New Roman" w:cs="Times New Roman" w:ascii="Times New Roman" w:hAnsi="Times New Roman"/>
          <w:color w:val="111111"/>
          <w:sz w:val="28"/>
          <w:szCs w:val="28"/>
          <w:lang w:val="en-US"/>
        </w:rPr>
        <w:t>Persoalan yang kerap menjadi objek kajian dalam  Eskatologi adalah makna keabadian dan pembaharuan  (Tajaddud) yang terjadi pada penghuni surga dan neraka.</w:t>
      </w:r>
    </w:p>
    <w:p>
      <w:pPr>
        <w:pStyle w:val="BookText"/>
        <w:bidi w:val="0"/>
        <w:jc w:val="both"/>
        <w:rPr/>
      </w:pPr>
      <w:r>
        <w:rPr>
          <w:rFonts w:eastAsia="Times New Roman" w:cs="Times New Roman" w:ascii="Times New Roman" w:hAnsi="Times New Roman"/>
          <w:color w:val="111111"/>
          <w:sz w:val="28"/>
          <w:szCs w:val="28"/>
          <w:lang w:val="en-US"/>
        </w:rPr>
        <w:t xml:space="preserve">Gagasan ini muncul berdasarkan isyarat-isyarat yang diberikan  Alquran yang menunjukkan keabadian penghuninya. </w:t>
      </w:r>
      <w:r>
        <w:rPr>
          <w:rStyle w:val="FootnoteAnchor"/>
        </w:rPr>
        <w:footnoteReference w:id="288"/>
      </w:r>
      <w:r>
        <w:rPr>
          <w:rFonts w:eastAsia="Times New Roman" w:cs="Times New Roman" w:ascii="Times New Roman" w:hAnsi="Times New Roman"/>
          <w:color w:val="111111"/>
          <w:sz w:val="28"/>
          <w:szCs w:val="28"/>
          <w:lang w:val="en-US"/>
        </w:rPr>
        <w:t>Namun,  ada juga di antara para teolog yang menolak keabadian tersebut,  mengingat keabadian menurut mereka hanya semata terjadi  pada zat Allah Swt.,</w:t>
      </w:r>
      <w:r>
        <w:rPr>
          <w:rStyle w:val="FootnoteAnchor"/>
        </w:rPr>
        <w:footnoteReference w:id="289"/>
      </w:r>
      <w:r>
        <w:rPr>
          <w:rFonts w:eastAsia="Times New Roman" w:cs="Times New Roman" w:ascii="Times New Roman" w:hAnsi="Times New Roman"/>
          <w:color w:val="111111"/>
          <w:sz w:val="28"/>
          <w:szCs w:val="28"/>
          <w:lang w:val="en-US"/>
        </w:rPr>
        <w:t xml:space="preserve">sedangkan gagasan pembaruan yang  terjadi didasarkan pada isyarat ayat Alquran yang menunjukkan  terjadinya pergantian kulit yang terus-menerus. </w:t>
      </w:r>
      <w:r>
        <w:rPr>
          <w:rStyle w:val="FootnoteAnchor"/>
        </w:rPr>
        <w:footnoteReference w:id="29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Setiap kali kulit mereka hangus, Kami ganti kulit mereka  dengan kulit yang lain, supaya mereka merasakan azab."</w:t>
      </w:r>
    </w:p>
    <w:p>
      <w:pPr>
        <w:pStyle w:val="BookText"/>
        <w:bidi w:val="0"/>
        <w:jc w:val="both"/>
        <w:rPr/>
      </w:pPr>
      <w:r>
        <w:rPr>
          <w:rFonts w:eastAsia="Times New Roman" w:cs="Times New Roman" w:ascii="Times New Roman" w:hAnsi="Times New Roman"/>
          <w:color w:val="111111"/>
          <w:sz w:val="28"/>
          <w:szCs w:val="28"/>
          <w:lang w:val="en-US"/>
        </w:rPr>
        <w:t>Mulla Sadra meyakini terjadinya perubahan pada para  penghuni neraka dan surga. Namun, perubahan tersebut  tidaklah disebabkan gerakan, sebagaimana yang terjadi di dunia,  yaitu teraktualisasinya potensi. Mulla Sadra memberikan makna  lain untuk perubahan yang terjadi baik bagi penghuni neraka  maupun penghuni surga.</w:t>
      </w:r>
    </w:p>
    <w:p>
      <w:pPr>
        <w:pStyle w:val="BookText"/>
        <w:bidi w:val="0"/>
        <w:jc w:val="both"/>
        <w:rPr/>
      </w:pPr>
      <w:r>
        <w:rPr>
          <w:rFonts w:eastAsia="Times New Roman" w:cs="Times New Roman" w:ascii="Times New Roman" w:hAnsi="Times New Roman"/>
          <w:color w:val="111111"/>
          <w:sz w:val="28"/>
          <w:szCs w:val="28"/>
          <w:lang w:val="en-US"/>
        </w:rPr>
        <w:t>Para penghuni neraka mengalami perubahan keadaan,  kulit, raga, dari satu forma kepada forma yang lain, sebagaimana  yang digambarkan Alquran, “Dan setiap kali kulit-kulit mereka  terbakar Kami ganti dengan kulit-kulit selainnya agar mereka  merasakan azab."</w:t>
      </w:r>
      <w:r>
        <w:rPr>
          <w:rStyle w:val="FootnoteAnchor"/>
        </w:rPr>
        <w:footnoteReference w:id="291"/>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Hal ini menurut Mulla Sadra karena genus  neraka berasal dari daya fisik materi dan karena gerakan  perputaran yang keluar dari materi-materi langit yang memiliki  dimensi yang bertentangan menjadi penyebab bagi munculnya  kondisi tanpa cahaya dan menyebabkan para penghuni merasakan  penderitaan dan perubahan yang terus-menerus, bahkan Mulla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238 </w:t>
      </w:r>
    </w:p>
    <w:p>
      <w:pPr>
        <w:pStyle w:val="BookText"/>
        <w:bidi w:val="0"/>
        <w:rPr/>
      </w:pPr>
      <w:r>
        <w:rPr>
          <w:rFonts w:eastAsia="Times New Roman" w:cs="Times New Roman" w:ascii="Times New Roman" w:hAnsi="Times New Roman"/>
          <w:color w:val="111111"/>
          <w:sz w:val="28"/>
          <w:szCs w:val="28"/>
          <w:lang w:val="en-US"/>
        </w:rPr>
        <w:t>Sadra menyebutkan, “Hukum yang terjad pada neraka dan  penghuninya menyerupai hukum dunia dan penghuninya."</w:t>
      </w:r>
      <w:r>
        <w:rPr>
          <w:rStyle w:val="FootnoteAnchor"/>
        </w:rPr>
        <w:footnoteReference w:id="292"/>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حکم النار وأهلها قریب من حکم الدنیا وأهلها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Yang dimaksud Mulla Sadra dengan “menyerupai" merupakan  keadaan neraka yang di dalamnya terjadi perubahan dan juga  penderitaan yang terus-menerus baru. Hukum yang seperti ini  merupakan hukum yang menyerupai hukum yang terjadi pada  kehidupan di dunia. Di dunia, selalu terjadi perubahan dan juga  bahwa penderitaan maupun kenikmatan tidak terjadi secara  kekal, melainkan mengalami perubahan dan terus-menerus  membaru dalam kehidupan manusia.</w:t>
      </w:r>
    </w:p>
    <w:p>
      <w:pPr>
        <w:pStyle w:val="BookText"/>
        <w:bidi w:val="0"/>
        <w:jc w:val="both"/>
        <w:rPr/>
      </w:pPr>
      <w:r>
        <w:rPr>
          <w:rFonts w:eastAsia="Times New Roman" w:cs="Times New Roman" w:ascii="Times New Roman" w:hAnsi="Times New Roman"/>
          <w:color w:val="111111"/>
          <w:sz w:val="28"/>
          <w:szCs w:val="28"/>
          <w:lang w:val="en-US"/>
        </w:rPr>
        <w:t>Keadaan penghuni neraka    bagaikan berada di antara  dan kematian: "tidak mati dan juga    tidak hidup"</w:t>
      </w:r>
      <w:r>
        <w:rPr>
          <w:rStyle w:val="FootnoteAnchor"/>
        </w:rPr>
        <w:footnoteReference w:id="29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لَا یَمُوتُ فِیهَا وَلَا یَحْیَی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kondisi seperti ini    seperti kondisi penghuni dunia bahwa  mereka mendapatkan kenikmatan,    tetapi di balik kenikmatan tersebut    terdapat bencana dan mereka  mendapatkan kehidupan, tetapi di    balik kehidupan terdapat kematian.</w:t>
      </w:r>
    </w:p>
    <w:p>
      <w:pPr>
        <w:pStyle w:val="BookText"/>
        <w:bidi w:val="0"/>
        <w:jc w:val="both"/>
        <w:rPr/>
      </w:pPr>
      <w:r>
        <w:rPr>
          <w:rFonts w:eastAsia="Times New Roman" w:cs="Times New Roman" w:ascii="Times New Roman" w:hAnsi="Times New Roman"/>
          <w:color w:val="111111"/>
          <w:sz w:val="28"/>
          <w:szCs w:val="28"/>
          <w:lang w:val="en-US"/>
        </w:rPr>
        <w:t>Hal ini, menurut Mulla Sadra,  disebabkan oleh kehidupan penghuni neraka masih terikat  dengan hukum materi dan perubahan forma pada penghuni  neraka karena perubahan yang terjadi pada bintang-bintang  yang melingkupinya tersebut.</w:t>
      </w:r>
    </w:p>
    <w:p>
      <w:pPr>
        <w:pStyle w:val="BookText"/>
        <w:bidi w:val="0"/>
        <w:jc w:val="both"/>
        <w:rPr/>
      </w:pPr>
      <w:r>
        <w:rPr>
          <w:rFonts w:eastAsia="Times New Roman" w:cs="Times New Roman" w:ascii="Times New Roman" w:hAnsi="Times New Roman"/>
          <w:color w:val="111111"/>
          <w:sz w:val="28"/>
          <w:szCs w:val="28"/>
          <w:lang w:val="en-US"/>
        </w:rPr>
        <w:t>Bagi penghuni surga, perubahan yang terjadi tidaklah  sebagaimana yang terjadi pada penghuni neraka. Menurut  Mulla Sadra, perubahan tidaklah dalam bentuk kehancuran,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239 </w:t>
      </w:r>
    </w:p>
    <w:p>
      <w:pPr>
        <w:pStyle w:val="BookText"/>
        <w:bidi w:val="0"/>
        <w:rPr/>
      </w:pPr>
      <w:r>
        <w:rPr>
          <w:rFonts w:eastAsia="Times New Roman" w:cs="Times New Roman" w:ascii="Times New Roman" w:hAnsi="Times New Roman"/>
          <w:color w:val="111111"/>
          <w:sz w:val="28"/>
          <w:szCs w:val="28"/>
          <w:lang w:val="en-US"/>
        </w:rPr>
        <w:t>pembentukan, dan pergantian karena surga berada pada kondisi  yang jauh melampaui kehidupan alami dan hukum-hukumnya.</w:t>
      </w:r>
    </w:p>
    <w:p>
      <w:pPr>
        <w:pStyle w:val="BookText"/>
        <w:bidi w:val="0"/>
        <w:jc w:val="both"/>
        <w:rPr/>
      </w:pPr>
      <w:r>
        <w:rPr>
          <w:rFonts w:eastAsia="Times New Roman" w:cs="Times New Roman" w:ascii="Times New Roman" w:hAnsi="Times New Roman"/>
          <w:color w:val="111111"/>
          <w:sz w:val="28"/>
          <w:szCs w:val="28"/>
          <w:lang w:val="en-US"/>
        </w:rPr>
        <w:t>Gerakan dan aktivitas yang terjadi pada para penghuni surga  bukanlah gerakan fisik yang menyebabkan kelelahan atau  keletihan, melainkan sebagaimana gerakan imajinasi dan lintasan  bayangan yang ada di benak manusia. Hal ini menyebabkan  waktu yang terjadi adalah kumpulan dari yang lampau, sekarang  dan akan datang, sedangkan tempat yang hadir di hadapan  mereka adalah apa pun yang ada dilangit dan bumi. Apa yang ada  di surga bukanlah dari dimensi alami materi, melainkan forma  yang ada adalah forma yang dapat dipersepsi berasal dari wujud  jiwa yang nonmateri sehingga perubahan yang terjadi hanyalah  perubahan forma surga semata akibat gerakan yang terjadi pada  jiwa penghuni surga, bukan kehancuran dan pembentukan  seperti yang terjadi pada penghuni neraka. Kehidupan surga,  tidak lain, adalah kehidupan jiwa dan alam yang meliputinya  adalah alam jiwa.</w:t>
      </w:r>
    </w:p>
    <w:p>
      <w:pPr>
        <w:pStyle w:val="BookText"/>
        <w:bidi w:val="0"/>
        <w:jc w:val="both"/>
        <w:rPr/>
      </w:pPr>
      <w:r>
        <w:rPr>
          <w:rFonts w:eastAsia="Times New Roman" w:cs="Times New Roman" w:ascii="Times New Roman" w:hAnsi="Times New Roman"/>
          <w:color w:val="111111"/>
          <w:sz w:val="28"/>
          <w:szCs w:val="28"/>
          <w:lang w:val="en-US"/>
        </w:rPr>
        <w:t>Terjadi perbedaan di antara para filsuf, teolog dan urafa  tentang makna Keabadian Mulla Sadra menyatakan bahwa  penghuni surga dan neraka mengalami keabadian. Penderitaan  bagi penghuni neraka dan kenikmatan bagi penghuni surga  bersifat abadi, sekalipun masing-masing memiliki makna  keabadian tersendiri.</w:t>
      </w:r>
    </w:p>
    <w:p>
      <w:pPr>
        <w:pStyle w:val="BookText"/>
        <w:bidi w:val="0"/>
        <w:jc w:val="both"/>
        <w:rPr/>
      </w:pPr>
      <w:r>
        <w:rPr>
          <w:rFonts w:eastAsia="Times New Roman" w:cs="Times New Roman" w:ascii="Times New Roman" w:hAnsi="Times New Roman"/>
          <w:color w:val="111111"/>
          <w:sz w:val="28"/>
          <w:szCs w:val="28"/>
          <w:lang w:val="en-US"/>
        </w:rPr>
        <w:t>Mulla Sadra menolak pandangan Ibn 'Arabi yang  menyatakan bahwa penderitaan bagi penghuni neraka akan  berhenti setelah lama waktu penyiksaan tersebut, sesuai  dengan waktu kehidupannya dan kemudian neraka menjadi  tempat yang nyaman.</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Sesungguhnya, yang akhir akan kembali kepada permulaan  dengan kebijaksanaan... karena perjalanan penurunan sebagai  perjalanan penderitaan menyebabkan dunia, akhirat, dan  barzakh. Dan ketika berakhir pada puncak kediaman para  pelaku maksiat akan mendapatkan ketenangan dan terjadi  kepada mereka kenikmatan pada alam keabadian” (Ibn 'Arabī,  Al-Al-Futuhat al-Makiyyah (Beirut: Dar Sadir, tth.), J. 3, hlm. 462).</w:t>
      </w:r>
    </w:p>
    <w:p>
      <w:pPr>
        <w:pStyle w:val="BookText"/>
        <w:bidi w:val="0"/>
        <w:jc w:val="both"/>
        <w:rPr/>
      </w:pPr>
      <w:r>
        <w:rPr>
          <w:rFonts w:eastAsia="Times New Roman" w:cs="Times New Roman" w:ascii="Times New Roman" w:hAnsi="Times New Roman"/>
          <w:color w:val="111111"/>
          <w:sz w:val="28"/>
          <w:szCs w:val="28"/>
          <w:lang w:val="en-US"/>
        </w:rPr>
        <w:t>Bagi Mulla Sadra, penderitaan akan  terus terjadi selama-lamanya.</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240 </w:t>
      </w:r>
    </w:p>
    <w:p>
      <w:pPr>
        <w:pStyle w:val="BookText"/>
        <w:bidi w:val="0"/>
        <w:rPr/>
      </w:pPr>
      <w:r>
        <w:rPr>
          <w:rFonts w:eastAsia="Times New Roman" w:cs="Times New Roman" w:ascii="Times New Roman" w:hAnsi="Times New Roman"/>
          <w:color w:val="111111"/>
          <w:sz w:val="28"/>
          <w:szCs w:val="28"/>
          <w:lang w:val="en-US"/>
        </w:rPr>
        <w:t>Mulla Sadra menunjukkan harmonisasi yang terjadi jika  segala sesuatu kembali kepada realitas-realitas fundamental yang  menjadi tujuan-tujuan alamiah dari setiap makhluk tersebut dan  karena realitas-realitas tersebut merupakan tujuan akhir maka  mereka kekal didalamnya, sebagaimana pernyataannya:</w:t>
      </w:r>
    </w:p>
    <w:p>
      <w:pPr>
        <w:pStyle w:val="BookText"/>
        <w:bidi w:val="0"/>
        <w:jc w:val="both"/>
        <w:rPr/>
      </w:pPr>
      <w:r>
        <w:rPr>
          <w:rFonts w:eastAsia="Times New Roman" w:cs="Times New Roman" w:ascii="Times New Roman" w:hAnsi="Times New Roman"/>
          <w:color w:val="111111"/>
          <w:sz w:val="28"/>
          <w:szCs w:val="28"/>
          <w:lang w:val="en-US"/>
        </w:rPr>
        <w:t xml:space="preserve">"Dan pada kami terdapat prinsip yang menunjukkan  bahwa neraka dan penderitaan serta keburukan akan kekal  bagi penghuninya, sebagaimana surga dan kenikmatan,  serta kebaikan adalah kekal bagi penghuninya, kecuali  bahwa masing-masing kekekalan tersebut memiliki makna  tersendiri. </w:t>
      </w:r>
      <w:r>
        <w:rPr>
          <w:rStyle w:val="FootnoteAnchor"/>
        </w:rPr>
        <w:footnoteReference w:id="295"/>
      </w:r>
      <w:r>
        <w:rPr>
          <w:rFonts w:eastAsia="Times New Roman" w:cs="Times New Roman" w:ascii="Times New Roman" w:hAnsi="Times New Roman"/>
          <w:color w:val="111111"/>
          <w:sz w:val="28"/>
          <w:szCs w:val="28"/>
          <w:lang w:val="en-US"/>
        </w:rPr>
        <w:t xml:space="preserve">Seperti yang anda ketahui bahwa tatanan dunia  tidak akan menjadi lebih baik kecuali dengan adanya orang-  orang yang berjiwa kasar dan berhati keras. Kalau semua  orang hidup bahagia, tentu tatanan ini menjadi rusak... jika  keberadaan setiap kelompok itu menurut ketentuan ilahi  dan tuntutan kemunculan nama Rabbani, maka mereka  memiliki tujuan-tujuan alamiah dan stasiun-stasiun  substantif. Realitas-realitas fundamental yang menjadi  asal ciptaan segala sesuatu, jika segala sesuatu itu kembali  padanya, itu akan menjadi keharmonisan, walaupun telah  terjadi perpisahan darinya dalam rentang waktu yang  panjang, sebagaimana firman Allah, “Dan dihalangi di  antara mereka dan apa yang mereka inginkan'. </w:t>
      </w:r>
      <w:r>
        <w:rPr>
          <w:rStyle w:val="FootnoteAnchor"/>
        </w:rPr>
        <w:footnoteReference w:id="29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وَحِیلَ بَیْنَهُمْ وَبَیْنَ مَا یَشْتَهُونَ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menampakkan semua nama-Nya dalam semua maqam.</w:t>
      </w:r>
    </w:p>
    <w:p>
      <w:pPr>
        <w:pStyle w:val="BookText"/>
        <w:bidi w:val="0"/>
        <w:jc w:val="both"/>
        <w:rPr/>
      </w:pPr>
      <w:r>
        <w:rPr>
          <w:rFonts w:eastAsia="Times New Roman" w:cs="Times New Roman" w:ascii="Times New Roman" w:hAnsi="Times New Roman"/>
          <w:color w:val="111111"/>
          <w:sz w:val="28"/>
          <w:szCs w:val="28"/>
          <w:lang w:val="en-US"/>
        </w:rPr>
        <w:t>Dia-lah Tuhan Yang Maha Pengasih lagi Maha Penyayang  dan Dia Mahabijaksana lagi Maha Pengampun."</w:t>
      </w:r>
      <w:r>
        <w:rPr>
          <w:rStyle w:val="FootnoteAnchor"/>
        </w:rPr>
        <w:footnoteReference w:id="297"/>
      </w:r>
    </w:p>
    <w:p>
      <w:pPr>
        <w:pStyle w:val="BookText"/>
        <w:bidi w:val="0"/>
        <w:jc w:val="both"/>
        <w:rPr/>
      </w:pPr>
      <w:r>
        <w:rPr>
          <w:rFonts w:ascii="IRNazanin" w:hAnsi="IRNazanin" w:eastAsia="IRNazanin"/>
          <w:color w:val="111111"/>
          <w:sz w:val="28"/>
          <w:sz w:val="28"/>
          <w:szCs w:val="28"/>
          <w:rtl w:val="true"/>
          <w:lang w:bidi="fa-IR"/>
        </w:rPr>
        <w:t>و عندنا ایضا اصول دالته علی أن الجحیم و آلامها وشرورها دایمة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کماان الجنة و نعیمها و خیراتها دایمه با هلها الا ان الدوام لکل منهما علی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نظام الدنیا لا ینصلح الا بنفوس غلیظة و قلوب  قاسیة ولو کان الناس کلهم سعداء بنفوس خائفة من عذاب الله وقلوب خاشیة  الاختل النظام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فاذا کان و جود کل طائفة بحسب قضاء الهی و مقتض ظهور اسم ربانی  فیکون لها غایات طبیعیة ومنازل ذاتیة والأمور الذاتیة التی جبلت علیها الأ  شیاء اذا وقع الرجوع الیها یکون ملا یمة لذیذة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وقعت المفارقة عنها امدا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والحیلولة عن السکون الیها والاستقرار لها زمانا مدیدا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وحیل بینهم وبین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متجل بجمیع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 فی جمیع  المقامات والمراتب فهو الرحیم وهوالعزیز القهار</w:t>
      </w:r>
    </w:p>
    <w:p>
      <w:pPr>
        <w:pStyle w:val="BookText"/>
        <w:bidi w:val="0"/>
        <w:jc w:val="both"/>
        <w:rPr/>
      </w:pPr>
      <w:r>
        <w:rPr>
          <w:rFonts w:eastAsia="Times New Roman" w:cs="Times New Roman" w:ascii="Times New Roman" w:hAnsi="Times New Roman"/>
          <w:color w:val="111111"/>
          <w:sz w:val="28"/>
          <w:szCs w:val="28"/>
          <w:lang w:val="en-US"/>
        </w:rPr>
        <w:t>Tujuan alamiah yang dimaksudkan Mulla Sadra merupakan  tujuan dari gerakan seluruh makhluk dan tujuan tersebut, tidak  lain, adalah nama-nama Allah yang secara umum terbagi menjadi  dua bagian utama, yaitu Jalāl dan Jamāl. Neraka dan surga adalah  manifestasi dari kedua nama tersebut sehingga ketika manusia  masuk ke dalamnya, pada intinya, dia telah sampai pada puncak  tujuannya. Karenanya, bagi Mulla Sadra, tidak ada alasan bahwa</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241 </w:t>
      </w:r>
    </w:p>
    <w:p>
      <w:pPr>
        <w:pStyle w:val="BookText"/>
        <w:bidi w:val="0"/>
        <w:rPr/>
      </w:pPr>
      <w:r>
        <w:rPr>
          <w:rFonts w:eastAsia="Times New Roman" w:cs="Times New Roman" w:ascii="Times New Roman" w:hAnsi="Times New Roman"/>
          <w:color w:val="111111"/>
          <w:sz w:val="28"/>
          <w:szCs w:val="28"/>
          <w:lang w:val="en-US"/>
        </w:rPr>
        <w:t>mereka, para penghuni surga atau neraka, untuk keluar darinya.</w:t>
      </w:r>
    </w:p>
    <w:p>
      <w:pPr>
        <w:pStyle w:val="BookText"/>
        <w:bidi w:val="0"/>
        <w:jc w:val="both"/>
        <w:rPr/>
      </w:pPr>
      <w:r>
        <w:rPr>
          <w:rFonts w:eastAsia="Times New Roman" w:cs="Times New Roman" w:ascii="Times New Roman" w:hAnsi="Times New Roman"/>
          <w:color w:val="111111"/>
          <w:sz w:val="28"/>
          <w:szCs w:val="28"/>
          <w:lang w:val="en-US"/>
        </w:rPr>
        <w:t>Pandangan Mulla Sadra yang seperti ini adalah pandangan  yang jelas-jelas dipengaruhi oleh pandangan Ibn 'Arabī.</w:t>
      </w:r>
    </w:p>
    <w:p>
      <w:pPr>
        <w:pStyle w:val="BookText"/>
        <w:bidi w:val="0"/>
        <w:jc w:val="both"/>
        <w:rPr/>
      </w:pPr>
      <w:r>
        <w:rPr>
          <w:rFonts w:eastAsia="Times New Roman" w:cs="Times New Roman" w:ascii="Times New Roman" w:hAnsi="Times New Roman"/>
          <w:color w:val="111111"/>
          <w:sz w:val="28"/>
          <w:szCs w:val="28"/>
          <w:lang w:val="en-US"/>
        </w:rPr>
        <w:t>Menurut Ibn 'Arabi, segala forma wujud akan berjalan menuju  Allah Swt. melalui dua nama utamanya, yaitu Jalal dan Jamal.</w:t>
      </w:r>
    </w:p>
    <w:p>
      <w:pPr>
        <w:pStyle w:val="BookText"/>
        <w:bidi w:val="0"/>
        <w:jc w:val="both"/>
        <w:rPr/>
      </w:pPr>
      <w:r>
        <w:rPr>
          <w:rFonts w:eastAsia="Times New Roman" w:cs="Times New Roman" w:ascii="Times New Roman" w:hAnsi="Times New Roman"/>
          <w:color w:val="111111"/>
          <w:sz w:val="28"/>
          <w:szCs w:val="28"/>
          <w:lang w:val="en-US"/>
        </w:rPr>
        <w:t>Namun, berbeda dengan Mulla Sadra yang beranggapan bahwa  perjalanan tersebut terhenti hanya pada tingkat tersebut, bagi  Ibn 'Arabi, perjalanan tersebut akan terus karena pada intinya,  sifat Jalal berasal dari sifat Jamal dan puncaknya, tidak lain,  adalah kembalinya segala sesuatu pada sifat jamal-Nya.</w:t>
      </w:r>
      <w:r>
        <w:rPr>
          <w:rStyle w:val="FootnoteAnchor"/>
        </w:rPr>
        <w:footnoteReference w:id="29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242 </w:t>
      </w:r>
      <w:bookmarkStart w:id="150" w:name="pg6434_60783"/>
    </w:p>
    <w:p>
      <w:pPr>
        <w:pStyle w:val="Heading3"/>
        <w:numPr>
          <w:ilvl w:val="2"/>
          <w:numId w:val="1"/>
        </w:numPr>
        <w:bidi w:val="0"/>
        <w:jc w:val="left"/>
        <w:rPr/>
      </w:pPr>
      <w:bookmarkStart w:id="151" w:name="__RefHeading___Toc808242_653776707"/>
      <w:bookmarkStart w:id="152" w:name="_Toc50"/>
      <w:bookmarkEnd w:id="150"/>
      <w:bookmarkEnd w:id="151"/>
      <w:r>
        <w:rPr/>
        <w:t>Catatan 5:</w:t>
      </w:r>
      <w:bookmarkEnd w:id="152"/>
    </w:p>
    <w:p>
      <w:pPr>
        <w:pStyle w:val="BookText"/>
        <w:bidi w:val="0"/>
        <w:jc w:val="both"/>
        <w:rPr/>
      </w:pPr>
      <w:r>
        <w:rPr>
          <w:rFonts w:eastAsia="Times New Roman" w:cs="Times New Roman" w:ascii="Times New Roman" w:hAnsi="Times New Roman"/>
          <w:color w:val="111111"/>
          <w:sz w:val="28"/>
          <w:szCs w:val="28"/>
          <w:lang w:val="en-US"/>
        </w:rPr>
        <w:t>(1) Para filsuf Barat, seperti Karl Marx (1818-1883), Sigmund  Freud (1856-1939) dan Jean-Paul Sartre (1905-1980) tidak  mempercayai konsep Kebangkitan-kembali setelah kematian.</w:t>
      </w:r>
    </w:p>
    <w:p>
      <w:pPr>
        <w:pStyle w:val="BookText"/>
        <w:bidi w:val="0"/>
        <w:jc w:val="both"/>
        <w:rPr/>
      </w:pPr>
      <w:r>
        <w:rPr>
          <w:rFonts w:eastAsia="Times New Roman" w:cs="Times New Roman" w:ascii="Times New Roman" w:hAnsi="Times New Roman"/>
          <w:color w:val="111111"/>
          <w:sz w:val="28"/>
          <w:szCs w:val="28"/>
          <w:lang w:val="en-US"/>
        </w:rPr>
        <w:t>Lihat H.P. Owen, “Eschatology", Encyclopedia of Philosophy,  (New York: Macmillan Publishing Co.Inc and The Free Press, 1972), J. III, hlm. 48.</w:t>
      </w:r>
    </w:p>
    <w:p>
      <w:pPr>
        <w:pStyle w:val="BookText"/>
        <w:bidi w:val="0"/>
        <w:jc w:val="both"/>
        <w:rPr/>
      </w:pPr>
      <w:r>
        <w:rPr>
          <w:rFonts w:eastAsia="Times New Roman" w:cs="Times New Roman" w:ascii="Times New Roman" w:hAnsi="Times New Roman"/>
          <w:color w:val="111111"/>
          <w:sz w:val="28"/>
          <w:szCs w:val="28"/>
          <w:lang w:val="en-US"/>
        </w:rPr>
        <w:t>(2) QS Al-Baqarah 2:282; 6:2, 60; 11:3; 13:2; 14:10, dst.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کَیْفَ تَکْفُرُونَ بِاللَّهِ وَکُنْتُمْ أَمْوَاتًا فَأَحْیَاکُمْ ثُمَّ یُمِیتُکُمْ ثُمَّ یُحْیِیکُمْ ثُمَّ إِلَیْهِ تُرْجَعُونَ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Mengapa kamu kafir kepada Allah, Padahal kamu  tadinya mati, lalu Allah menghidupkan kamu, kemudian  kamu dimatikan dan dihidupkan-Nya kembali, kemudian  kepada-Nya-lah kamu dikembalikan.</w:t>
      </w:r>
    </w:p>
    <w:p>
      <w:pPr>
        <w:pStyle w:val="BookText"/>
        <w:bidi w:val="0"/>
        <w:jc w:val="both"/>
        <w:rPr/>
      </w:pPr>
      <w:r>
        <w:rPr>
          <w:rFonts w:eastAsia="Times New Roman" w:cs="Times New Roman" w:ascii="Times New Roman" w:hAnsi="Times New Roman"/>
          <w:color w:val="111111"/>
          <w:sz w:val="28"/>
          <w:szCs w:val="28"/>
          <w:lang w:val="en-US"/>
        </w:rPr>
        <w:t>(4)Lihat: Abu Nashr Al-farabi, Al-Siyasat Al-Madaniah" (India:</w:t>
      </w:r>
    </w:p>
    <w:p>
      <w:pPr>
        <w:pStyle w:val="BookText"/>
        <w:bidi w:val="0"/>
        <w:jc w:val="both"/>
        <w:rPr/>
      </w:pPr>
      <w:r>
        <w:rPr>
          <w:rFonts w:eastAsia="Times New Roman" w:cs="Times New Roman" w:ascii="Times New Roman" w:hAnsi="Times New Roman"/>
          <w:color w:val="111111"/>
          <w:sz w:val="28"/>
          <w:szCs w:val="28"/>
          <w:lang w:val="en-US"/>
        </w:rPr>
        <w:t>Da'irah Al-Ma'arif Al-Utsmaniyah, 1345 H), hlm. 53.</w:t>
      </w:r>
    </w:p>
    <w:p>
      <w:pPr>
        <w:pStyle w:val="BookText"/>
        <w:bidi w:val="0"/>
        <w:jc w:val="both"/>
        <w:rPr/>
      </w:pPr>
      <w:r>
        <w:rPr>
          <w:rFonts w:eastAsia="Times New Roman" w:cs="Times New Roman" w:ascii="Times New Roman" w:hAnsi="Times New Roman"/>
          <w:color w:val="111111"/>
          <w:sz w:val="28"/>
          <w:szCs w:val="28"/>
          <w:lang w:val="en-US"/>
        </w:rPr>
        <w:t>(5)Ibn Sina, Al-Najāh, hlm. 291.</w:t>
      </w:r>
    </w:p>
    <w:p>
      <w:pPr>
        <w:pStyle w:val="BookText"/>
        <w:bidi w:val="0"/>
        <w:jc w:val="both"/>
        <w:rPr/>
      </w:pPr>
      <w:r>
        <w:rPr>
          <w:rFonts w:eastAsia="Times New Roman" w:cs="Times New Roman" w:ascii="Times New Roman" w:hAnsi="Times New Roman"/>
          <w:color w:val="111111"/>
          <w:sz w:val="28"/>
          <w:szCs w:val="28"/>
          <w:lang w:val="en-US"/>
        </w:rPr>
        <w:t>(6)Al-Ghazali, “Al-Madnun Bih 'Ala Gayr Ahlih", Majmu'ah Al-  Risalah Al-Imam Al-Gazhali (Beirut: Dar Al-Fikr, 1996), hlm.350.</w:t>
      </w:r>
    </w:p>
    <w:p>
      <w:pPr>
        <w:pStyle w:val="BookText"/>
        <w:bidi w:val="0"/>
        <w:jc w:val="both"/>
        <w:rPr/>
      </w:pPr>
      <w:r>
        <w:rPr>
          <w:rFonts w:eastAsia="Times New Roman" w:cs="Times New Roman" w:ascii="Times New Roman" w:hAnsi="Times New Roman"/>
          <w:color w:val="111111"/>
          <w:sz w:val="28"/>
          <w:szCs w:val="28"/>
          <w:lang w:val="en-US"/>
        </w:rPr>
        <w:t>(7)Abu Layth Al-Samarkandi, Kitab Al-Ahwāl Al-Qiyāmah (Kairo:</w:t>
      </w:r>
    </w:p>
    <w:p>
      <w:pPr>
        <w:pStyle w:val="BookText"/>
        <w:bidi w:val="0"/>
        <w:jc w:val="both"/>
        <w:rPr/>
      </w:pPr>
      <w:r>
        <w:rPr>
          <w:rFonts w:eastAsia="Times New Roman" w:cs="Times New Roman" w:ascii="Times New Roman" w:hAnsi="Times New Roman"/>
          <w:color w:val="111111"/>
          <w:sz w:val="28"/>
          <w:szCs w:val="28"/>
          <w:lang w:val="en-US"/>
        </w:rPr>
        <w:t>Silsilah Al-Saqafah Al-Islamiyyah, 1964), hlm. 11 – 13.</w:t>
      </w:r>
    </w:p>
    <w:p>
      <w:pPr>
        <w:pStyle w:val="BookText"/>
        <w:bidi w:val="0"/>
        <w:jc w:val="both"/>
        <w:rPr/>
      </w:pPr>
      <w:r>
        <w:rPr>
          <w:rFonts w:eastAsia="Times New Roman" w:cs="Times New Roman" w:ascii="Times New Roman" w:hAnsi="Times New Roman"/>
          <w:color w:val="111111"/>
          <w:sz w:val="28"/>
          <w:szCs w:val="28"/>
          <w:lang w:val="en-US"/>
        </w:rPr>
        <w:t>(8)Mulla Sadra, Al-Asfār, J. 9, hlm. 218. Teks aslinya sebagai  berikut:</w:t>
      </w:r>
    </w:p>
    <w:p>
      <w:pPr>
        <w:pStyle w:val="BookText"/>
        <w:bidi w:val="0"/>
        <w:jc w:val="both"/>
        <w:rPr/>
      </w:pPr>
      <w:r>
        <w:rPr>
          <w:rFonts w:ascii="IRNazanin" w:hAnsi="IRNazanin" w:eastAsia="IRNazanin"/>
          <w:color w:val="111111"/>
          <w:sz w:val="28"/>
          <w:sz w:val="28"/>
          <w:szCs w:val="28"/>
          <w:rtl w:val="true"/>
          <w:lang w:bidi="fa-IR"/>
        </w:rPr>
        <w:t xml:space="preserve">أأن الموت حق وأن الطبیعی منه نهایة الرجوع عن الدنیا وابتداء الر جوع  الر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rPr>
        <w:t>Lihat: Al-Gazhali, Al-Durrah al-Fakhirah fi Kasyfi ulum al-  Akhirah, (Beirut: Mu'asasah al-Kutub al-Saqafiyyah, 1992) hal.7-11.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243 </w:t>
      </w:r>
    </w:p>
    <w:p>
      <w:pPr>
        <w:pStyle w:val="BookText"/>
        <w:bidi w:val="0"/>
        <w:rPr/>
      </w:pPr>
      <w:r>
        <w:rPr>
          <w:rFonts w:eastAsia="Times New Roman" w:cs="Times New Roman" w:ascii="Times New Roman" w:hAnsi="Times New Roman"/>
          <w:color w:val="111111"/>
          <w:sz w:val="28"/>
          <w:szCs w:val="28"/>
          <w:lang w:val="en-US"/>
        </w:rPr>
        <w:t>(10) Abu Layth al-Samarkandi menjelaskan bahwa malaikat maut  mendatangi orang yang akan dicabut nyawanya tersebut dan  orang itu sendiri menolak, sehingga Allah memerintahkan  malaikat Izrail menuliskan nama-Nya di telapak tangan orang  tersebut barulah ruh itu keluar dalam bentuk seperti lebah  namun berbentuk manusia. Lihat: al-Samarkandi, Kitab al-  Haqāiq wa al-Daqāiq, (Qom: Intisyorot Behesyti, 1436) hal. 7.</w:t>
      </w:r>
    </w:p>
    <w:p>
      <w:pPr>
        <w:pStyle w:val="BookText"/>
        <w:bidi w:val="0"/>
        <w:jc w:val="both"/>
        <w:rPr/>
      </w:pPr>
      <w:r>
        <w:rPr>
          <w:rFonts w:eastAsia="Times New Roman" w:cs="Times New Roman" w:ascii="Times New Roman" w:hAnsi="Times New Roman"/>
          <w:color w:val="111111"/>
          <w:sz w:val="28"/>
          <w:szCs w:val="28"/>
          <w:lang w:val="en-US"/>
        </w:rPr>
        <w:t>(11) Mulla Sadra, Al-Asfār, J. 9, hlm. 219. Teks aslinya sebagai  berikut:</w:t>
      </w:r>
    </w:p>
    <w:p>
      <w:pPr>
        <w:pStyle w:val="BookText"/>
        <w:bidi w:val="0"/>
        <w:jc w:val="both"/>
        <w:rPr/>
      </w:pPr>
      <w:r>
        <w:rPr>
          <w:rFonts w:ascii="IRNazanin" w:hAnsi="IRNazanin" w:eastAsia="IRNazanin"/>
          <w:color w:val="111111"/>
          <w:sz w:val="28"/>
          <w:sz w:val="28"/>
          <w:szCs w:val="28"/>
          <w:rtl w:val="true"/>
          <w:lang w:bidi="fa-IR"/>
        </w:rPr>
        <w:t>عن غبار هذه الهیئات کما یخرج الجنین من  والبعث عبارة عن خروج النفس  القرار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حالة القبرو حالة البعث کا لفرق بین حالتی الإنسان  فی الرحم وعند الخروج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حالة القبر أنموذج من أحوال القیامة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Al-Asfar, J. 9, hlm. 220. Teks aslinya sebagai  berikut:</w:t>
      </w:r>
    </w:p>
    <w:p>
      <w:pPr>
        <w:pStyle w:val="BookText"/>
        <w:bidi w:val="0"/>
        <w:jc w:val="both"/>
        <w:rPr/>
      </w:pPr>
      <w:r>
        <w:rPr>
          <w:rFonts w:ascii="IRNazanin" w:hAnsi="IRNazanin" w:eastAsia="IRNazanin"/>
          <w:color w:val="111111"/>
          <w:sz w:val="28"/>
          <w:sz w:val="28"/>
          <w:szCs w:val="28"/>
          <w:rtl w:val="true"/>
          <w:lang w:bidi="fa-IR"/>
        </w:rPr>
        <w:t xml:space="preserve">هذه الأمور الواقعة علی بدنه بل  فإن الذی یؤلمه یؤثر فی نفسه بالذات لیس  صورتها الواصلة الی نفسه لعلاقة لها مع البدن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Jane Idelman, The Islamic Understanding of Death, hlm. 195.</w:t>
      </w:r>
    </w:p>
    <w:p>
      <w:pPr>
        <w:pStyle w:val="BookText"/>
        <w:bidi w:val="0"/>
        <w:jc w:val="both"/>
        <w:rPr/>
      </w:pPr>
      <w:r>
        <w:rPr>
          <w:rFonts w:eastAsia="Times New Roman" w:cs="Times New Roman" w:ascii="Times New Roman" w:hAnsi="Times New Roman"/>
          <w:color w:val="111111"/>
          <w:sz w:val="28"/>
          <w:szCs w:val="28"/>
          <w:lang w:val="en-US"/>
        </w:rPr>
        <w:t>(14) Filsuf Peripatetik, seperti Al-Farabi, Ibn Sina dan Bahmaniyar,  tidak mempercayai adanya kehidupan barzakh karena  bagi mereka, daya imajinal hanya ada pada materi. Dan  pascakematian jiwa menjadi nonmateri murni sehingga  tersingkap realitas akhirat bagi mereka. Lihat: Abu Nashr Al-  farabi, Al-Siyasat Al-Madaniah (India: Da'irah Al-Ma'arif Al-  Utsmaniyah, 1345 H), hlm. 53; Ibn Sina, Al-Najāh, hlm. 203;  dan Bahmaniyar, Al-Tahsil (Tehran: Instisyarat Donesgoh,1375), hlm. 736.</w:t>
      </w:r>
    </w:p>
    <w:p>
      <w:pPr>
        <w:pStyle w:val="BookText"/>
        <w:bidi w:val="0"/>
        <w:jc w:val="both"/>
        <w:rPr/>
      </w:pPr>
      <w:r>
        <w:rPr>
          <w:rFonts w:eastAsia="Times New Roman" w:cs="Times New Roman" w:ascii="Times New Roman" w:hAnsi="Times New Roman"/>
          <w:color w:val="111111"/>
          <w:sz w:val="28"/>
          <w:szCs w:val="28"/>
          <w:lang w:val="en-US"/>
        </w:rPr>
        <w:t>(15) William C. Chittick, “Death and The World of Imagination:</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244 </w:t>
      </w:r>
    </w:p>
    <w:p>
      <w:pPr>
        <w:pStyle w:val="BookText"/>
        <w:bidi w:val="0"/>
        <w:rPr/>
      </w:pPr>
      <w:r>
        <w:rPr>
          <w:rFonts w:eastAsia="Times New Roman" w:cs="Times New Roman" w:ascii="Times New Roman" w:hAnsi="Times New Roman"/>
          <w:color w:val="111111"/>
          <w:sz w:val="28"/>
          <w:szCs w:val="28"/>
          <w:lang w:val="en-US"/>
        </w:rPr>
        <w:t>Ibn Al-Arabi's Eschatology" dalam The Muslim World, a  Journal Devoted to the Study of Islam and Christian-Muslim  Relationship in Past and Present (The Duncan Black Macdonald  Center at Hartfold Seminary, 1988), Vol. LXXVIII No.1, hlm. 64.</w:t>
      </w:r>
    </w:p>
    <w:p>
      <w:pPr>
        <w:pStyle w:val="BookText"/>
        <w:bidi w:val="0"/>
        <w:jc w:val="both"/>
        <w:rPr/>
      </w:pPr>
      <w:r>
        <w:rPr>
          <w:rFonts w:eastAsia="Times New Roman" w:cs="Times New Roman" w:ascii="Times New Roman" w:hAnsi="Times New Roman"/>
          <w:color w:val="111111"/>
          <w:sz w:val="28"/>
          <w:szCs w:val="28"/>
          <w:lang w:val="en-US"/>
        </w:rPr>
        <w:t>(16) Kecuali kasus-kasus khusus, dalam banyak riwayat disebutkan  adanya jaminan ketidakhancuran raga-raga orang-orang  sholeh, seperti para nabi, wali, dan penghafal Alquran.</w:t>
      </w:r>
    </w:p>
    <w:p>
      <w:pPr>
        <w:pStyle w:val="BookText"/>
        <w:bidi w:val="0"/>
        <w:jc w:val="both"/>
        <w:rPr/>
      </w:pPr>
      <w:r>
        <w:rPr>
          <w:rFonts w:eastAsia="Times New Roman" w:cs="Times New Roman" w:ascii="Times New Roman" w:hAnsi="Times New Roman"/>
          <w:color w:val="111111"/>
          <w:sz w:val="28"/>
          <w:szCs w:val="28"/>
          <w:lang w:val="en-US"/>
        </w:rPr>
        <w:t>(17) Jane Idelman Smith menuliskan pandangan-pandangan para  pemikir Eskatologi berkaitan dengan kehidupan di alam  barzakh. Ia menyebutkan, “... Orang mati akan membaca  Alquran di kubur mereka, para penulis ini berpendapat bahwa  ruh-ruh lain akan memerintahkan menghafalkan Alquran  kepada ruh manapun yang belum melaksanakan praktik itu.</w:t>
      </w:r>
    </w:p>
    <w:p>
      <w:pPr>
        <w:pStyle w:val="BookText"/>
        <w:bidi w:val="0"/>
        <w:jc w:val="both"/>
        <w:rPr/>
      </w:pPr>
      <w:r>
        <w:rPr>
          <w:rFonts w:eastAsia="Times New Roman" w:cs="Times New Roman" w:ascii="Times New Roman" w:hAnsi="Times New Roman"/>
          <w:color w:val="111111"/>
          <w:sz w:val="28"/>
          <w:szCs w:val="28"/>
          <w:lang w:val="en-US"/>
        </w:rPr>
        <w:t>Dengan cara yang sama, ruh-ruh dari tingkatan yang lebih  tinggi akan memberikan sejenis petunjuk umum kepada  ruh-ruh di tingkatan yang lebih rendah. Sebagian kalangan  bahkan berkata bahwa barzakh mirip dengan semacam  institusi perguruan tinggi, dengan kuliah-kuliah dalam wilayah  intelektual yang jauh di luar segala yang bisa kita bayangkan  di muka bumi ini. Ruh-ruh itu akan lebih bersemangat  dalam kehidupan berikutnya ketimbang saat masih hidup di  dunia, dan tidak ada kemalasan atau kekosongan aktivitas.</w:t>
      </w:r>
    </w:p>
    <w:p>
      <w:pPr>
        <w:pStyle w:val="BookText"/>
        <w:bidi w:val="0"/>
        <w:jc w:val="both"/>
        <w:rPr/>
      </w:pPr>
      <w:r>
        <w:rPr>
          <w:rFonts w:eastAsia="Times New Roman" w:cs="Times New Roman" w:ascii="Times New Roman" w:hAnsi="Times New Roman"/>
          <w:color w:val="111111"/>
          <w:sz w:val="28"/>
          <w:szCs w:val="28"/>
          <w:lang w:val="en-US"/>
        </w:rPr>
        <w:t>Barzakh pada kenyataannya digambarkan sebagai ruang  besar untuk beraktivitas yang semuanya diarahkan untuk  saling memberikan layanan penuh cinta satu sama lain dan  kesenangan aktivitas. Ruh-ruh itu menikmati peradaban  tinggi, dilengkapi adanya kesempatan membaca dan meneliti,  menikmati musik, apresiasi seni, dan jenis-jenis hiburan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245 </w:t>
      </w:r>
    </w:p>
    <w:p>
      <w:pPr>
        <w:pStyle w:val="BookText"/>
        <w:bidi w:val="0"/>
        <w:rPr/>
      </w:pPr>
      <w:r>
        <w:rPr>
          <w:rFonts w:eastAsia="Times New Roman" w:cs="Times New Roman" w:ascii="Times New Roman" w:hAnsi="Times New Roman"/>
          <w:color w:val="111111"/>
          <w:sz w:val="28"/>
          <w:szCs w:val="28"/>
          <w:lang w:val="en-US"/>
        </w:rPr>
        <w:t>mutakhir. Mereka berbicara, berjalan, makan, minum,  menikah, dan-menurut sebagian orang-bahkan menghasilkan  keturunan. Mereka tidur ketika menginginkan, bukan karena  butuh tidur, mereka makan dan minum karena kebiasaan atau  kesenangan. Makanan dinikmati melalui selera spiritual." Jane  Idelman Smith, The Islamic Understanding of Death, hlm. 195  (18) Fazlur Rahman, Health and Medicine in the Islamic Tradition:</w:t>
      </w:r>
    </w:p>
    <w:p>
      <w:pPr>
        <w:pStyle w:val="BookText"/>
        <w:bidi w:val="0"/>
        <w:jc w:val="both"/>
        <w:rPr/>
      </w:pPr>
      <w:r>
        <w:rPr>
          <w:rFonts w:eastAsia="Times New Roman" w:cs="Times New Roman" w:ascii="Times New Roman" w:hAnsi="Times New Roman"/>
          <w:color w:val="111111"/>
          <w:sz w:val="28"/>
          <w:szCs w:val="28"/>
          <w:lang w:val="en-US"/>
        </w:rPr>
        <w:t>Change and Identity (New York: The Crossroad Publishing  Company, 1987), hlm. 127. Selanjutnya disebut Health and  Medicine.</w:t>
      </w:r>
    </w:p>
    <w:p>
      <w:pPr>
        <w:pStyle w:val="BookText"/>
        <w:bidi w:val="0"/>
        <w:jc w:val="both"/>
        <w:rPr/>
      </w:pPr>
      <w:r>
        <w:rPr>
          <w:rFonts w:eastAsia="Times New Roman" w:cs="Times New Roman" w:ascii="Times New Roman" w:hAnsi="Times New Roman"/>
          <w:color w:val="111111"/>
          <w:sz w:val="28"/>
          <w:szCs w:val="28"/>
          <w:lang w:val="en-US"/>
        </w:rPr>
        <w:t>(19) Jane Idelman Smith, The Understanding of death an resurrection  (English, Oxford University, 2002), hlm. 72.</w:t>
      </w:r>
    </w:p>
    <w:p>
      <w:pPr>
        <w:pStyle w:val="BookText"/>
        <w:bidi w:val="0"/>
        <w:jc w:val="both"/>
        <w:rPr/>
      </w:pPr>
      <w:r>
        <w:rPr>
          <w:rFonts w:eastAsia="Times New Roman" w:cs="Times New Roman" w:ascii="Times New Roman" w:hAnsi="Times New Roman"/>
          <w:color w:val="111111"/>
          <w:sz w:val="28"/>
          <w:szCs w:val="28"/>
          <w:lang w:val="en-US"/>
        </w:rPr>
        <w:t>(20) Kita dapat dengan mudah menemukan kisah-kisah penyiksaan  di alam kubur yang bersifat fisik dalam karya-karya pemikir  Muslim abad pertengahan. Sebagai contoh apa yang  digambarkan Al-Ghazali: Ada seseorang yang pernah diberi  mimpi. la ditanya, "Bagaimana keadaanmu? Bukankah  engkau telah mati?", “Benar, aku telah mati. Aku berada  dalam kondisi baik. Hanya saja, ada sebuah batu yang telah  mematahkan tulangku saat tanah kuburanku diratakan,  lalu batu itu menghantamku." Kemudian kuburannya digali  kembali dan ternyata memang ada sebongkah batu seperti  yang diceritakannya di dalam mimpi itu. Dan yang lain  pernah datang kepada anaknya yang sedang tidur (mimpi),  lalu berkata, “Wahai anak jelek, perbaikilah kuburan ayahmu!  Hujan telah membuatku merasa kesakitan." Ketika pagi, orang  tadi menyuruh orang lain untuk melihat kuburan ayahnya dan  ternyata kuburannya terendam air." Al-Ghazali, Al-Durrah,  hlm. 37 – 38.</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246 </w:t>
      </w:r>
    </w:p>
    <w:p>
      <w:pPr>
        <w:pStyle w:val="BookText"/>
        <w:bidi w:val="0"/>
        <w:rPr/>
      </w:pPr>
      <w:r>
        <w:rPr>
          <w:rFonts w:eastAsia="Times New Roman" w:cs="Times New Roman" w:ascii="Times New Roman" w:hAnsi="Times New Roman"/>
          <w:color w:val="111111"/>
          <w:sz w:val="28"/>
          <w:szCs w:val="28"/>
          <w:lang w:val="en-US"/>
        </w:rPr>
        <w:t>(21) Mulla Sadra, Al-Asfār, J. 9, hlm. 219. Teks hadis tersebut  sebagai berikut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القبر اما روضة من ریاض الجنة أو حفرة من حفر النیران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Kita dapat menemukan hadis tersebut pada Al-Kulayni,  Furu' al-Kahfi (Beirut: Dar Turats Al-Arabi, 1997), ). 4, hlm.256.</w:t>
      </w:r>
    </w:p>
    <w:p>
      <w:pPr>
        <w:pStyle w:val="BookText"/>
        <w:bidi w:val="0"/>
        <w:jc w:val="both"/>
        <w:rPr/>
      </w:pPr>
      <w:r>
        <w:rPr>
          <w:rFonts w:eastAsia="Times New Roman" w:cs="Times New Roman" w:ascii="Times New Roman" w:hAnsi="Times New Roman"/>
          <w:color w:val="111111"/>
          <w:sz w:val="28"/>
          <w:szCs w:val="28"/>
          <w:lang w:val="en-US"/>
        </w:rPr>
        <w:t>(22) Mulla Sadra, Al-Asfār, J. 9, hlm. 220. Teks aslinya sebagai  berikut :</w:t>
      </w:r>
    </w:p>
    <w:p>
      <w:pPr>
        <w:pStyle w:val="BookText"/>
        <w:bidi w:val="0"/>
        <w:jc w:val="both"/>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شاهد بنور البصیرة با طنه لرآه مشحونا بأنواع  قال بعض  المؤذیات والسباع کالشهوة والغضب والمکرو الحسد والحقد و العجب و الر  پاء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تَرَی الْمُؤْمِنِینَ وَالْمُؤْمِنَاتِ یَسْعَی نُورُهُمْ بَیْنَ أَیْدِیهِمْ وَبِأَیْمَانِهِمْ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Al-Asfār, J. 9, hlm. 220. Teks aslinya sebagai  berikut :</w:t>
      </w:r>
    </w:p>
    <w:p>
      <w:pPr>
        <w:pStyle w:val="BookText"/>
        <w:bidi w:val="0"/>
        <w:jc w:val="both"/>
        <w:rPr/>
      </w:pPr>
      <w:r>
        <w:rPr>
          <w:rFonts w:ascii="IRNazanin" w:hAnsi="IRNazanin" w:eastAsia="IRNazanin"/>
          <w:color w:val="111111"/>
          <w:sz w:val="28"/>
          <w:sz w:val="28"/>
          <w:szCs w:val="28"/>
          <w:rtl w:val="true"/>
          <w:lang w:bidi="fa-IR"/>
        </w:rPr>
        <w:t>فإذا انکشف عنه الغطاء ووضع فی قبره عاینها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تمثلت بصورها وأشکالها  الموافقة لمعانیها فیری بعینه العقارب والحیات قد احدقت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ملکاته  و صفاته الحاضرة الآن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انکشف له صورها الباطنیة الحقیقیة  فإن لکل معنی صورة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عذاب القبر إن کان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سعیدا  کان بخلا فه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Suhrawardi, “Al-Talwihat" dalam Majmu'ah, J. 1, hlm. 90. Teks  aslinya sebagai berikut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اما السعداء فیتخیلون مثلا وصورا عجیبة أنیقة ویتلذذون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  شقیاء فلا یکون علاقتهم مع هذه الاجرام الشریفة ذوات النفوس النورانیة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فیتخیلون به من اعمالهم السیئه مثلا من نیران وعقارب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Fazlur Rahman, Health and Medicine, hlm. 172.</w:t>
      </w:r>
    </w:p>
    <w:p>
      <w:pPr>
        <w:pStyle w:val="BookText"/>
        <w:bidi w:val="0"/>
        <w:jc w:val="both"/>
        <w:rPr/>
      </w:pPr>
      <w:r>
        <w:rPr>
          <w:rFonts w:eastAsia="Times New Roman" w:cs="Times New Roman" w:ascii="Times New Roman" w:hAnsi="Times New Roman"/>
          <w:color w:val="111111"/>
          <w:sz w:val="28"/>
          <w:szCs w:val="28"/>
          <w:lang w:val="en-US"/>
        </w:rPr>
        <w:t>(26) Lihat: Gherardo Gnoli, “Zoroastrianism", Encyclopedia of  Religion, diedit oleh Mircea Eliade (New York: Macmillan</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247 </w:t>
      </w:r>
    </w:p>
    <w:p>
      <w:pPr>
        <w:pStyle w:val="BookText"/>
        <w:bidi w:val="0"/>
        <w:rPr/>
      </w:pPr>
      <w:r>
        <w:rPr>
          <w:rFonts w:eastAsia="Times New Roman" w:cs="Times New Roman" w:ascii="Times New Roman" w:hAnsi="Times New Roman"/>
          <w:color w:val="111111"/>
          <w:sz w:val="28"/>
          <w:szCs w:val="28"/>
          <w:lang w:val="en-US"/>
        </w:rPr>
        <w:t>Publishing Company and London: Collier Macmillan Publisher,1978), J. XV, hlm. 585. Pandangan Syaikh Isyraq tersebut  sebagai berikut:</w:t>
      </w:r>
    </w:p>
    <w:p>
      <w:pPr>
        <w:pStyle w:val="BookText"/>
        <w:bidi w:val="0"/>
        <w:jc w:val="both"/>
        <w:rPr/>
      </w:pPr>
      <w:r>
        <w:rPr>
          <w:rFonts w:eastAsia="Times New Roman" w:cs="Times New Roman" w:ascii="Times New Roman" w:hAnsi="Times New Roman"/>
          <w:color w:val="111111"/>
          <w:sz w:val="28"/>
          <w:szCs w:val="28"/>
          <w:lang w:val="en-US"/>
        </w:rPr>
        <w:t>"Sedangkan jiwa-jiwa sederhana yang bersih, seperti  jiwa anak-anak dan jiwa orang-orang bodoh dari kalangan  awam, maka jiwa mereka ketika terpisah dari raga,  tetap dalam kesederhanaannya sehingga mereka tidak  akan merasakan kenikmatan dan tidak pula merasakan  penderitaan serta tidak terikat pada alam ini maupun  alam berikutnya." Lihat: Suhrawardi, “Yazdhon snokht",  dalam Majmu'ah, J. III, hlm. 438.</w:t>
      </w:r>
    </w:p>
    <w:p>
      <w:pPr>
        <w:pStyle w:val="BookText"/>
        <w:bidi w:val="0"/>
        <w:jc w:val="both"/>
        <w:rPr/>
      </w:pPr>
      <w:r>
        <w:rPr>
          <w:rFonts w:eastAsia="Times New Roman" w:cs="Times New Roman" w:ascii="Times New Roman" w:hAnsi="Times New Roman"/>
          <w:color w:val="111111"/>
          <w:sz w:val="28"/>
          <w:szCs w:val="28"/>
          <w:lang w:val="en-US"/>
        </w:rPr>
        <w:t>(27) Lihat William C.Chittick, “Death and the World of Imagination:</w:t>
      </w:r>
    </w:p>
    <w:p>
      <w:pPr>
        <w:pStyle w:val="BookText"/>
        <w:bidi w:val="0"/>
        <w:jc w:val="both"/>
        <w:rPr/>
      </w:pPr>
      <w:r>
        <w:rPr>
          <w:rFonts w:eastAsia="Times New Roman" w:cs="Times New Roman" w:ascii="Times New Roman" w:hAnsi="Times New Roman"/>
          <w:color w:val="111111"/>
          <w:sz w:val="28"/>
          <w:szCs w:val="28"/>
          <w:lang w:val="en-US"/>
        </w:rPr>
        <w:t>Ibn Al-Arabi's Eschatology" dalam The Muslim World, hlm.59–65.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لَعَلِّی أَعْمَلُ صَالِحًا فِیمَا تَرَکْتُ کَلَّا إِنَّهَا کَلِمَةٌ هُوَ قَائِلُهَا وَمِنْ وَرَائِهِمْ بَرْزَخٌ إِلَی یَوْمِ یُبْعَثُونَ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Agar aku berbuat amal yang saleh terhadap yang telah  aku tinggalkan. sekali-kali tidak. Sesungguhnya itu adalah  perkataan yang diucapkannya saja, dan di hadapan mereka  ada dinding sampai hari mereka dibangkitkan."  (29) Maksud Al-Gazhali adalah bahwa jiwa manusia pasca  kematiannya akan memunculkan sebagian dari gambaran  kehidupan ukhrawi di dalam kuburnya.</w:t>
      </w:r>
    </w:p>
    <w:p>
      <w:pPr>
        <w:pStyle w:val="BookText"/>
        <w:bidi w:val="0"/>
        <w:jc w:val="both"/>
        <w:rPr/>
      </w:pPr>
      <w:r>
        <w:rPr>
          <w:rFonts w:eastAsia="Times New Roman" w:cs="Times New Roman" w:ascii="Times New Roman" w:hAnsi="Times New Roman"/>
          <w:color w:val="111111"/>
          <w:sz w:val="28"/>
          <w:szCs w:val="28"/>
          <w:lang w:val="en-US"/>
        </w:rPr>
        <w:t>(30) Ibn 'Arabī, al-Futūhāt al-Makiyyah (Beirut: Dar al-Sodir, Tp.</w:t>
      </w:r>
    </w:p>
    <w:p>
      <w:pPr>
        <w:pStyle w:val="BookText"/>
        <w:bidi w:val="0"/>
        <w:jc w:val="both"/>
        <w:rPr/>
      </w:pPr>
      <w:r>
        <w:rPr>
          <w:rFonts w:eastAsia="Times New Roman" w:cs="Times New Roman" w:ascii="Times New Roman" w:hAnsi="Times New Roman"/>
          <w:color w:val="111111"/>
          <w:sz w:val="28"/>
          <w:szCs w:val="28"/>
          <w:lang w:val="en-US"/>
        </w:rPr>
        <w:t>Tahun) J. 2. hal. 626. Selanjutnya disebut: al-Futūhāt  (31) Lihat: Mulla Sadra, al-Asfār, J. 9. hal. 221.</w:t>
      </w:r>
    </w:p>
    <w:p>
      <w:pPr>
        <w:pStyle w:val="BookText"/>
        <w:bidi w:val="0"/>
        <w:jc w:val="both"/>
        <w:rPr/>
      </w:pPr>
      <w:r>
        <w:rPr>
          <w:rFonts w:eastAsia="Times New Roman" w:cs="Times New Roman" w:ascii="Times New Roman" w:hAnsi="Times New Roman"/>
          <w:color w:val="111111"/>
          <w:sz w:val="28"/>
          <w:szCs w:val="28"/>
          <w:lang w:val="en-US"/>
        </w:rPr>
        <w:t>(32) Lihat: Mulla Sadra, Al-Asfār, J. 9, hlm. 222.</w:t>
      </w:r>
    </w:p>
    <w:p>
      <w:pPr>
        <w:pStyle w:val="BookText"/>
        <w:bidi w:val="0"/>
        <w:jc w:val="both"/>
        <w:rPr/>
      </w:pPr>
      <w:r>
        <w:rPr>
          <w:rFonts w:eastAsia="Times New Roman" w:cs="Times New Roman" w:ascii="Times New Roman" w:hAnsi="Times New Roman"/>
          <w:color w:val="111111"/>
          <w:sz w:val="28"/>
          <w:szCs w:val="28"/>
          <w:lang w:val="en-US"/>
        </w:rPr>
        <w:t>(33) Di dalam Alquran, ayat-ayat yang langsung menyebutkan kata  Kiamat terulang 72 kali.</w:t>
      </w:r>
    </w:p>
    <w:p>
      <w:pPr>
        <w:pStyle w:val="BookText"/>
        <w:bidi w:val="0"/>
        <w:jc w:val="both"/>
        <w:rPr/>
      </w:pPr>
      <w:r>
        <w:rPr>
          <w:rFonts w:eastAsia="Times New Roman" w:cs="Times New Roman" w:ascii="Times New Roman" w:hAnsi="Times New Roman"/>
          <w:color w:val="111111"/>
          <w:sz w:val="28"/>
          <w:szCs w:val="28"/>
          <w:lang w:val="en-US"/>
        </w:rPr>
        <w:t xml:space="preserve">(34) Di antara ayat-ayat yang menggandengkan keimanan kepada  kedua objek tersebut, antara lain, QS 2:8,126, 177, 228, 232  « </w:t>
      </w:r>
      <w:r>
        <w:rPr>
          <w:rFonts w:ascii="Amiri" w:hAnsi="Amiri" w:eastAsia="Amiri" w:cs="Amiri"/>
          <w:color w:val="111111"/>
          <w:sz w:val="28"/>
          <w:sz w:val="28"/>
          <w:szCs w:val="28"/>
          <w:rtl w:val="true"/>
          <w:lang w:bidi="ar-SA"/>
        </w:rPr>
        <w:t>لِلَّذِینَ اتَّقَوْا عِنْدَ رَبِّهِمْ جَنَّاتٌ تَجْرِی مِنْ تَحْتِهَا الْأَنْهَارُ خَالِدِینَ فِیهَا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248 </w:t>
      </w:r>
    </w:p>
    <w:p>
      <w:pPr>
        <w:pStyle w:val="BookText"/>
        <w:bidi w:val="0"/>
        <w:rPr/>
      </w:pPr>
      <w:r>
        <w:rPr>
          <w:rFonts w:eastAsia="Times New Roman" w:cs="Times New Roman" w:ascii="Times New Roman" w:hAnsi="Times New Roman"/>
          <w:color w:val="111111"/>
          <w:sz w:val="28"/>
          <w:szCs w:val="28"/>
          <w:lang w:val="en-US"/>
        </w:rPr>
        <w:t>dst.</w:t>
      </w:r>
    </w:p>
    <w:p>
      <w:pPr>
        <w:pStyle w:val="BookText"/>
        <w:bidi w:val="0"/>
        <w:jc w:val="both"/>
        <w:rPr/>
      </w:pPr>
      <w:r>
        <w:rPr>
          <w:rFonts w:eastAsia="Times New Roman" w:cs="Times New Roman" w:ascii="Times New Roman" w:hAnsi="Times New Roman"/>
          <w:color w:val="111111"/>
          <w:sz w:val="28"/>
          <w:szCs w:val="28"/>
          <w:lang w:val="en-US"/>
        </w:rPr>
        <w:t>(35) Hasan Al-Mustavawi, Al-Tahqiq fi Kalimat Alquran Al-Karim  (Tehran: Wizarat Tsaqafah va Irsyade Islomi, 1368), J. 9, hlm.345.</w:t>
      </w:r>
    </w:p>
    <w:p>
      <w:pPr>
        <w:pStyle w:val="BookText"/>
        <w:bidi w:val="0"/>
        <w:jc w:val="both"/>
        <w:rPr/>
      </w:pPr>
      <w:r>
        <w:rPr>
          <w:rFonts w:eastAsia="Times New Roman" w:cs="Times New Roman" w:ascii="Times New Roman" w:hAnsi="Times New Roman"/>
          <w:color w:val="111111"/>
          <w:sz w:val="28"/>
          <w:szCs w:val="28"/>
          <w:lang w:val="en-US"/>
        </w:rPr>
        <w:t>(36) QS. 82:19.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لَا تَمْلِکُ نَفْسٌ لِنَفْسٍ شَیْئًا وَالْأَمْرُ یَوْمَئِذٍ 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yaitu) Hari (ketika) seseorang tidak berdaya sedikitpun  untuk menolong orang lain, dan segala urusan pada hari itu  dalam kekuasaan Allah."  (37) Al-Ghāzali mengumpulkan 101 nama Kiamat antara lain:</w:t>
      </w:r>
    </w:p>
    <w:p>
      <w:pPr>
        <w:pStyle w:val="BookText"/>
        <w:bidi w:val="0"/>
        <w:jc w:val="both"/>
        <w:rPr/>
      </w:pPr>
      <w:r>
        <w:rPr>
          <w:rFonts w:eastAsia="Times New Roman" w:cs="Times New Roman" w:ascii="Times New Roman" w:hAnsi="Times New Roman"/>
          <w:color w:val="111111"/>
          <w:sz w:val="28"/>
          <w:szCs w:val="28"/>
          <w:lang w:val="en-US"/>
        </w:rPr>
        <w:t>Yawm al-Qiyāmah (Hari Kiamat), Yawm al-Hasrah (Hari  Penyesalan), Yawm al-Nadāmah (Hari Menyesal), Yawm al-  Muhāsabah (Hari Perhitungan), Yawm al-Musā'alah (Hari  Pertanyaan), Yawm al-Musābaqah (Hari perlombaan), Yawm  al-Munāqasyah (Hari Perdebatan), Yawm al-Munāfasah (Hari  Perlombaan), Yawm al-Zilzalah (Hari Kegoncangan), Yawm  al-Damdamah (Hari Kebinasaan), Iqa Yawm al-Sā'h (Hari  Halilintar), Yawm al-Wāqi'ah (Hari Kegoncangan yang sulit),  Yawm al-Qāri'ah (Hari Peristiwa Besar), Yawm al-Rājifah (Hari  Bumi Bergoncang), Yawm al-Rādifah (Hari yang Mengiringi  Kegoncangan), Yawm al-Gāsyiyah (Hari Peristiwa yang  Menyelubungi), Yawm al-Dāhiyah (Hari Bencana), Yawm al-  Āzifah (Hari yang Sudah Dekat Waktunya), Yawm al-Haqqah  (Hari Kebenaran), Yawm al-Tammah (Hari Bahaya), Yawm  al-Sākhkhah (Hari yang Memekakan telinga), Yawm al-  Talāq (Hari Pertemuan dengan Tuhan), Yawm al-Firāq (Hari  Perpisahan), Yawm al-Masāq (Hari Dihalaukan), Yawm al-</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249 </w:t>
      </w:r>
    </w:p>
    <w:p>
      <w:pPr>
        <w:pStyle w:val="BookText"/>
        <w:bidi w:val="0"/>
        <w:rPr/>
      </w:pPr>
      <w:r>
        <w:rPr>
          <w:rFonts w:eastAsia="Times New Roman" w:cs="Times New Roman" w:ascii="Times New Roman" w:hAnsi="Times New Roman"/>
          <w:color w:val="111111"/>
          <w:sz w:val="28"/>
          <w:szCs w:val="28"/>
          <w:lang w:val="en-US"/>
        </w:rPr>
        <w:t>Qisās (Hari Qisas), Yawm al-Tanad (Hari Saling Memanggil),  Yawm al Hisab (Hari Perhitungan Amal), Yawm al-Ma'āb (Hari  Kembali), Yawm al-´Azāb (Hari Penyiksaan), Yawm al-Firār  (Hari Lari), Yawm al-Qarār (Hari Tetap), Yawm al-Liqā' (Hari  Pertemuan), Yawm al-Baqā' (Hari Keabadian), Yawm al-Fadā'  (Hari Keterbukaan), Yawm al-Jazā' (Hari Pembalasan), Yawm al-  Balā' (Hari Percobaan), Yawm al-Bukā' (Hari Menangis), Yawm  al-Hasyr (Hari Berkumpul), Yawm al-wa'id (Hari Perjanjian  [siksa]), Yawm al-'Arad (Hari Datang), Yawm al-Wazn (Hari  Timbangan), Yawm al-Haqq (Hari Kebenaran), Yawm al-Hukm  (Hari Hukuman), Yawm al-Fasl (Hari Pemisahan), Yawm al-  Jam' (Hari Berkumpul), Yawm al-Ba'ts (Hari Kebangkitan),  Yawm al-Fath (Hari kemenangan), Yawm al-Khizy (Hari  Kehinaan), Yawm al-'Azim (Hari Keagungan), Yawm al-'Aqim  (Hari sial), Yawm al-Asīr (Hari Sukar), Yawm al-Dīn (Hari  Agama), Yawm al-Yaqīn (Hari Keyakinan), Yawm al-Nusyūr  (Hari Berserak-serak), Yawm al-Masīr (Hari Tempat Kembali),  Yawm al-Nafkhah (Hari Tiupan), Yawm al Sihah (Hari Teriakan  ), Yawm al-Rajfah (Hari Kegoncangan), Yawm al-Rajjah (Hari  Bergerak), Yawm al-Zajrah (Hari yang menakuti), Yawm al-  Sakrah ( Hari kemabukan), Yawm al- Faz' (Hari ketakutan),  Yawm al- Jaz' Hari kegundahan), Yawm al-Muntahā (Hari  Kesudahan), Yawm al-Ma'wā (Hari Tempat Tinggal), Yawm  al-Miqāt (Hari Tepat Waktu), Yawm al-Miād (Hari Tempat  Kembali), Yawm al-Mirsad (Hari Menanti), Yawm al-Qalaq  (Hari Kekacauan), Yawm al-'Araq (Hari Keringat), Yawm al-  Iftiqār (Hari Keperluan), Yawm al-Inkidār (Hari Kekeruhan),  Yawm al-Intisyar (Hari Bertebaran), Yawm al-Insyiqā (Hari  Terbelahnya Langit), Yawm al-Wuquf (Hari Berhenti), Yawm</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250 </w:t>
      </w:r>
    </w:p>
    <w:p>
      <w:pPr>
        <w:pStyle w:val="BookText"/>
        <w:bidi w:val="0"/>
        <w:rPr/>
      </w:pPr>
      <w:r>
        <w:rPr>
          <w:rFonts w:eastAsia="Times New Roman" w:cs="Times New Roman" w:ascii="Times New Roman" w:hAnsi="Times New Roman"/>
          <w:color w:val="111111"/>
          <w:sz w:val="28"/>
          <w:szCs w:val="28"/>
          <w:lang w:val="en-US"/>
        </w:rPr>
        <w:t>al-Khurūj (Hari Keluar), Yawm al-Khulūd (Hari Kekekalan),  Yawm al-Taqābun (Hari Terpedaya), Yawm al-“Abūs (Hari  Kesukaran), Yawm Ma'lum (Hari yang Diketahui), Yawm al-  Maw'ūd (Hari yang Dijanjikan), Yawm al-Masyhūd (Hari yang  Disaksikan), Yawm Lākayb Fih (Hari yang Tiada Keraguan  Padanya), Yawm Tublā al-Sarā'ir (Hari yang Dicobakan Segala  Rahasia), Yawm Lālajzi Nafs'an Nafs Syai'an (Hari yang Tidak  Dapat SatuDiri Menggantikan Diri Lain), Yawm Tasykhas fih  al-Absār (Hari yang Memandang Padanya Semua Mata), Yawm  lā yugnīmaulan ‘an maulan syai'an (Hari yang seorang sahabat  tidak dapat menolong sahabatnya sedikitpun), Yawm Yudda'ün  ilā Nāri Jahannam Da'an (Hari yang digiring ke Neraka dengan  kekerasan), Yawm Yushabūn fī Nār Jahannam 'alā Wujūhihim  (Hari yang mereka ditarik ke Neraka atas mukanya), Yawm  Tuqallab Wujūhuhum fi an-Nār (Hari yang muka mereka  dibolak-balik dalam Neraka), Yawm là Yajzi Walid'an Waladih  (Hari yang tidak dapat bapak menolong anaknya), Yawm Yafirr  Mar'min Akhih wa Ummih wa Abih (Hari yang manusia lari  dari saudara, ibu dan bapaknya), Yawm là Yantiqūn wa lā  Yuʼzan lahum fa Ya'tažirūn (Hari yang mereka tidak bercakap-  cakap, tidak diizinkan, lalu mereka pun minta kemaafan),  Yawm lā Maradda lah min Allāh (Hari yang tiada penolakan  baginya dari Allah), Yawm hum Bārizūn (Hari yang mereka  datang ke muka, Yawm hum ‘alā an-Nār Yuftanūn (Hari yang  mereka dicoba atas Neraka), Yawm là Yanfa' Māl wa lā Banūn  (Hari yang tiada bermanfaat harta dan anak), Yawm lāYanfa'al-  zālimīma maʼżiratuhum wa lahum al la'nah wa lahum sū' al-  dār (Hari yang tidak bermanfaat bagi orang-orang zalim akan  dalih mereka dan bagi mereka kutukan dan tempat tinggal</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251 </w:t>
      </w:r>
    </w:p>
    <w:p>
      <w:pPr>
        <w:pStyle w:val="BookText"/>
        <w:bidi w:val="0"/>
        <w:rPr/>
      </w:pPr>
      <w:r>
        <w:rPr>
          <w:rFonts w:eastAsia="Times New Roman" w:cs="Times New Roman" w:ascii="Times New Roman" w:hAnsi="Times New Roman"/>
          <w:color w:val="111111"/>
          <w:sz w:val="28"/>
          <w:szCs w:val="28"/>
          <w:lang w:val="en-US"/>
        </w:rPr>
        <w:t>yang buruk), Yawm turadd fih al-ma'āžīr wa tublā al-sarā'ir  wa tuzhar al-damā'ir wa tuksyaf al-astāruh (Hari yang tertolak  padanya segala dalih, dicoba segala rahasia, dilahirkan segala  isi hati dan disingkapkan segala tirai), Yawm takhsya' fihal-  absār wa taskun al-aswāt wa yaqill fih al-tifāt wa tabruz al-  khafiyyāt wa tazhar al-khatīāt (Hari yang tetap padanya segala  penglihatan,tenang segala suara, sedikit padanya berpaling,  lahir segala yang tersembunyi, dan tampak segala kesalahan),  dan Yawm Yusāq al-'ibād wa ma'ahum al- Asyhād wa Yasyīb  al-Sagīr wa Yaskar al-Kabīr (Hari yang dihalau seorang hamba,  yang bersama mereka anggota badannya yang menjadi saksi,  anak kecil menjadi beruban, orang tua menjadi mabuk). Lihat  al-Gazālī, Ihya' Ulum al-Din, J. IV hal. 549-550.</w:t>
      </w:r>
    </w:p>
    <w:p>
      <w:pPr>
        <w:pStyle w:val="BookText"/>
        <w:bidi w:val="0"/>
        <w:jc w:val="both"/>
        <w:rPr/>
      </w:pPr>
      <w:r>
        <w:rPr>
          <w:rFonts w:eastAsia="Times New Roman" w:cs="Times New Roman" w:ascii="Times New Roman" w:hAnsi="Times New Roman"/>
          <w:color w:val="111111"/>
          <w:sz w:val="28"/>
          <w:szCs w:val="28"/>
          <w:lang w:val="en-US"/>
        </w:rPr>
        <w:t>(38) QS 81:1. Teks ayat tersebut sebagai berikut:</w:t>
      </w:r>
    </w:p>
    <w:p>
      <w:pPr>
        <w:pStyle w:val="BookText"/>
        <w:bidi w:val="0"/>
        <w:jc w:val="both"/>
        <w:rPr/>
      </w:pP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83:18. Teks ayat tersebut sebagai berikut:</w:t>
      </w:r>
    </w:p>
    <w:p>
      <w:pPr>
        <w:pStyle w:val="BookText"/>
        <w:bidi w:val="0"/>
        <w:jc w:val="both"/>
        <w:rPr/>
      </w:pPr>
      <w:r>
        <w:rPr>
          <w:rFonts w:ascii="IRNazanin" w:hAnsi="IRNazanin" w:eastAsia="IRNazanin"/>
          <w:color w:val="111111"/>
          <w:sz w:val="28"/>
          <w:sz w:val="28"/>
          <w:szCs w:val="28"/>
          <w:rtl w:val="true"/>
          <w:lang w:bidi="fa-IR"/>
        </w:rPr>
        <w:t xml:space="preserve">کما إن کتاب الأبرار یلف علیین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81:2. Teks ayat tersebut sebagai berikut:</w:t>
      </w:r>
    </w:p>
    <w:p>
      <w:pPr>
        <w:pStyle w:val="BookText"/>
        <w:bidi w:val="0"/>
        <w:jc w:val="both"/>
        <w:rPr/>
      </w:pPr>
      <w:r>
        <w:rPr>
          <w:rFonts w:ascii="IRNazanin" w:hAnsi="IRNazanin" w:eastAsia="IRNazanin"/>
          <w:color w:val="111111"/>
          <w:sz w:val="28"/>
          <w:sz w:val="28"/>
          <w:szCs w:val="28"/>
          <w:rtl w:val="true"/>
          <w:lang w:bidi="fa-IR"/>
        </w:rPr>
        <w:t xml:space="preserve">وإذا التجوم انکدرت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70:9. Teks ayat tersebut sebagai berikut:</w:t>
      </w:r>
    </w:p>
    <w:p>
      <w:pPr>
        <w:pStyle w:val="BookText"/>
        <w:bidi w:val="0"/>
        <w:jc w:val="both"/>
        <w:rPr/>
      </w:pPr>
      <w:r>
        <w:rPr>
          <w:rFonts w:ascii="IRNazanin" w:hAnsi="IRNazanin" w:eastAsia="IRNazanin"/>
          <w:color w:val="111111"/>
          <w:sz w:val="28"/>
          <w:sz w:val="28"/>
          <w:szCs w:val="28"/>
          <w:rtl w:val="true"/>
          <w:lang w:bidi="fa-IR"/>
        </w:rPr>
        <w:t xml:space="preserve">وتکون الجبال کالعهن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6:32, 29:54.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وَمَا الْحَیَاةُ الدُّنْیَا إِلَّا لَعِبٌ وَلَهْوٌ وَلَلدَّارُ الْآخِرَةُ خَیْرٌ لِلَّذِینَ یَتَّقُونَ أَفَلَا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الْحَیَاةُ الدُّنْیَا إِلَّا لَهْوٌ وَلَعِبٌ وَإِنَّ الدَّارَ الْآخِرَةَ لَهِیَ الْحَیَوَانُ لَوْ کَانُوا یَعْلَمُونَ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252 </w:t>
      </w:r>
    </w:p>
    <w:p>
      <w:pPr>
        <w:pStyle w:val="BookText"/>
        <w:bidi w:val="0"/>
        <w:rPr/>
      </w:pPr>
      <w:r>
        <w:rPr>
          <w:rFonts w:eastAsia="Times New Roman" w:cs="Times New Roman" w:ascii="Times New Roman" w:hAnsi="Times New Roman"/>
          <w:color w:val="111111"/>
          <w:sz w:val="28"/>
          <w:szCs w:val="28"/>
          <w:lang w:val="en-US"/>
        </w:rPr>
        <w:t>Al-Ghazali menggambarkan kehidupan akhirat sebagai  kehidupan yang hakiki dan abadi, sedangkan kehidupan  duniawi hanyalah kehidupan yang sekilas dan sementara.</w:t>
      </w:r>
    </w:p>
    <w:p>
      <w:pPr>
        <w:pStyle w:val="BookText"/>
        <w:bidi w:val="0"/>
        <w:jc w:val="both"/>
        <w:rPr/>
      </w:pPr>
      <w:r>
        <w:rPr>
          <w:rFonts w:eastAsia="Times New Roman" w:cs="Times New Roman" w:ascii="Times New Roman" w:hAnsi="Times New Roman"/>
          <w:color w:val="111111"/>
          <w:sz w:val="28"/>
          <w:szCs w:val="28"/>
          <w:lang w:val="en-US"/>
        </w:rPr>
        <w:t>Lihat: Al-Ghazali, Ihya', J. IV, hlm. 539.</w:t>
      </w:r>
    </w:p>
    <w:p>
      <w:pPr>
        <w:pStyle w:val="BookText"/>
        <w:bidi w:val="0"/>
        <w:jc w:val="both"/>
        <w:rPr/>
      </w:pPr>
      <w:r>
        <w:rPr>
          <w:rFonts w:eastAsia="Times New Roman" w:cs="Times New Roman" w:ascii="Times New Roman" w:hAnsi="Times New Roman"/>
          <w:color w:val="111111"/>
          <w:sz w:val="28"/>
          <w:szCs w:val="28"/>
          <w:lang w:val="en-US"/>
        </w:rPr>
        <w:t>(43) Lihat: Mulla Sadra, al-Asfār, J. 9 hal. 278.</w:t>
      </w:r>
    </w:p>
    <w:p>
      <w:pPr>
        <w:pStyle w:val="BookText"/>
        <w:bidi w:val="0"/>
        <w:jc w:val="both"/>
        <w:rPr/>
      </w:pPr>
      <w:r>
        <w:rPr>
          <w:rFonts w:eastAsia="Times New Roman" w:cs="Times New Roman" w:ascii="Times New Roman" w:hAnsi="Times New Roman"/>
          <w:color w:val="111111"/>
          <w:sz w:val="28"/>
          <w:szCs w:val="28"/>
          <w:lang w:val="en-US"/>
        </w:rPr>
        <w:t>(44) Lihat: Mulla Sadra, al-Asfār, J. 9 hal. 278.</w:t>
      </w:r>
    </w:p>
    <w:p>
      <w:pPr>
        <w:pStyle w:val="BookText"/>
        <w:bidi w:val="0"/>
        <w:jc w:val="both"/>
        <w:rPr/>
      </w:pPr>
      <w:r>
        <w:rPr>
          <w:rFonts w:eastAsia="Times New Roman" w:cs="Times New Roman" w:ascii="Times New Roman" w:hAnsi="Times New Roman"/>
          <w:color w:val="111111"/>
          <w:sz w:val="28"/>
          <w:szCs w:val="28"/>
          <w:lang w:val="en-US"/>
        </w:rPr>
        <w:t>(45) Lihat: Mulla Sadra, Al-Asfār, J.9, hlm. 279.</w:t>
      </w:r>
    </w:p>
    <w:p>
      <w:pPr>
        <w:pStyle w:val="BookText"/>
        <w:bidi w:val="0"/>
        <w:jc w:val="both"/>
        <w:rPr/>
      </w:pPr>
      <w:r>
        <w:rPr>
          <w:rFonts w:eastAsia="Times New Roman" w:cs="Times New Roman" w:ascii="Times New Roman" w:hAnsi="Times New Roman"/>
          <w:color w:val="111111"/>
          <w:sz w:val="28"/>
          <w:szCs w:val="28"/>
          <w:lang w:val="en-US"/>
        </w:rPr>
        <w:t>(46) Kita melihat keberatan dan jawaban yang diberikan Allah atas  keberatan tersebut pada QS 36:78.</w:t>
      </w:r>
    </w:p>
    <w:p>
      <w:pPr>
        <w:pStyle w:val="BookText"/>
        <w:bidi w:val="0"/>
        <w:jc w:val="both"/>
        <w:rPr/>
      </w:pPr>
      <w:r>
        <w:rPr>
          <w:rFonts w:eastAsia="Times New Roman" w:cs="Times New Roman" w:ascii="Times New Roman" w:hAnsi="Times New Roman"/>
          <w:color w:val="111111"/>
          <w:sz w:val="28"/>
          <w:szCs w:val="28"/>
          <w:lang w:val="en-US"/>
        </w:rPr>
        <w:t>Berkaitan dengan ayat ini, Mulla Sadra menolak  menjadikan ayat ini sebagai bukti kebangkitan karena  menurutnya, ayat ini hanya menunjukkan kemampuan  Allah untuk menyusun kembali tulang-tulang yang telah  hancur. Lihat: Mulla Sadra, Al-Asfar, J. 9, hlm. 48.</w:t>
      </w:r>
    </w:p>
    <w:p>
      <w:pPr>
        <w:pStyle w:val="BookText"/>
        <w:bidi w:val="0"/>
        <w:jc w:val="both"/>
        <w:rPr/>
      </w:pPr>
      <w:r>
        <w:rPr>
          <w:rFonts w:eastAsia="Times New Roman" w:cs="Times New Roman" w:ascii="Times New Roman" w:hAnsi="Times New Roman"/>
          <w:color w:val="111111"/>
          <w:sz w:val="28"/>
          <w:szCs w:val="28"/>
          <w:lang w:val="en-US"/>
        </w:rPr>
        <w:t>(47) Mulla Sadra, Al-Asfār, J. 9, hlm. 224, 225. Teks aslinya sebagai  berikut:</w:t>
      </w:r>
    </w:p>
    <w:p>
      <w:pPr>
        <w:pStyle w:val="BookText"/>
        <w:bidi w:val="0"/>
        <w:jc w:val="both"/>
        <w:rPr/>
      </w:pPr>
      <w:r>
        <w:rPr>
          <w:rFonts w:ascii="IRNazanin" w:hAnsi="IRNazanin" w:eastAsia="IRNazanin"/>
          <w:color w:val="111111"/>
          <w:sz w:val="28"/>
          <w:sz w:val="28"/>
          <w:szCs w:val="28"/>
          <w:rtl w:val="true"/>
          <w:lang w:bidi="fa-IR"/>
        </w:rPr>
        <w:t>عن غبار هذه الهیئات المحیطة بها کما یخرج  أما البعث فهوخروج النفس  الجنین من القرار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الإشارة إلی أن القبر الحقیقی هو انغمار  النفس وانحصارها بعد موت البدن فی تلک الهیئات المکتفنة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بین الموت  و البعث بمنزلة الجنین أو النائم لم تقوقواها ومشاعرها لإدراک المدرکات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وقت القیام انبعث الإنسان من هذ الا نغمار قادما إلی الله  تعالی متوجها إلی الحضرة الالهیة إما مطلقا حرا عن قید التعلقات واسر  الشهوات فرحانا بذاته مسرورا بلقائه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أحب لقاء الله أحب الله  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مقبوضا مأ سورا بأیدی الزاجرات القاسرات کارها للقائه تعالی  و من کره لقاءالله کره الله لقائه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Mulla Sadra, Al-Asfār, J. 9, hlm. 225. Hal yang sama juga  disebutkan Alquran pada QS 17:72.</w:t>
      </w:r>
    </w:p>
    <w:p>
      <w:pPr>
        <w:pStyle w:val="BookText"/>
        <w:bidi w:val="0"/>
        <w:jc w:val="both"/>
        <w:rPr/>
      </w:pPr>
      <w:r>
        <w:rPr>
          <w:rFonts w:eastAsia="Times New Roman" w:cs="Times New Roman" w:ascii="Times New Roman" w:hAnsi="Times New Roman"/>
          <w:color w:val="111111"/>
          <w:sz w:val="28"/>
          <w:szCs w:val="28"/>
          <w:lang w:val="en-US"/>
        </w:rPr>
        <w:t>(49) QS 78:18.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QS 19:85.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نَحْشُرُ الْمُتَّقِینَ إِلَی الرَّحْمَنِ وَفْدًا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253 </w:t>
      </w:r>
    </w:p>
    <w:p>
      <w:pPr>
        <w:pStyle w:val="BookText"/>
        <w:bidi w:val="0"/>
        <w:rPr/>
      </w:pPr>
      <w:r>
        <w:rPr>
          <w:rFonts w:eastAsia="Times New Roman" w:cs="Times New Roman" w:ascii="Times New Roman" w:hAnsi="Times New Roman"/>
          <w:color w:val="111111"/>
          <w:sz w:val="28"/>
          <w:szCs w:val="28"/>
          <w:lang w:val="en-US"/>
        </w:rPr>
        <w:t>(51) QS 41:19.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وَنَحْشُرُهُ یَوْمَ الْقِیَامَةِ أَعْمَی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(ingatlah) hari (ketika) musuh-musuh Allah di  giring ke dalam neraka."  (52) QS 20:124. Teks ayat tersebut sebagai berikut :</w:t>
      </w:r>
    </w:p>
    <w:p>
      <w:pPr>
        <w:pStyle w:val="BookText"/>
        <w:bidi w:val="0"/>
        <w:jc w:val="both"/>
        <w:rPr/>
      </w:pPr>
      <w:r>
        <w:rPr>
          <w:rFonts w:ascii="IRNazanin" w:hAnsi="IRNazanin" w:eastAsia="IRNazanin"/>
          <w:color w:val="111111"/>
          <w:sz w:val="28"/>
          <w:sz w:val="28"/>
          <w:szCs w:val="28"/>
          <w:rtl w:val="true"/>
          <w:lang w:bidi="fa-IR"/>
        </w:rPr>
        <w:t>وشهد یوم القیﺎمة أعمی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Dan Kami akan menghimpunkannya pada hari kiamat  dalam keadaan buta."  Juga, lihat: Mulla Sadra, Al-Asfār, J. 9, hlm. 227.</w:t>
      </w:r>
    </w:p>
    <w:p>
      <w:pPr>
        <w:pStyle w:val="BookText"/>
        <w:bidi w:val="0"/>
        <w:jc w:val="both"/>
        <w:rPr/>
      </w:pPr>
      <w:r>
        <w:rPr>
          <w:rFonts w:eastAsia="Times New Roman" w:cs="Times New Roman" w:ascii="Times New Roman" w:hAnsi="Times New Roman"/>
          <w:color w:val="111111"/>
          <w:sz w:val="28"/>
          <w:szCs w:val="28"/>
          <w:lang w:val="en-US"/>
        </w:rPr>
        <w:t>(53) Mulla Sadra, Al-Asfār, J. 9, hlm. 232. Teks aslinya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الانسان أنواعا من الحشر</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menolak kebangkitan fisik yang seperti ini karena  menurutnya akan menyebabkan reinkarnasi. Namun menurut  Sayid Radhi, pernyataan Syaikh ini lebih dalam upaya menjaga  pada umumnya keyakinan kaum muslimin.</w:t>
      </w:r>
    </w:p>
    <w:p>
      <w:pPr>
        <w:pStyle w:val="BookText"/>
        <w:bidi w:val="0"/>
        <w:jc w:val="both"/>
        <w:rPr/>
      </w:pPr>
      <w:r>
        <w:rPr>
          <w:rFonts w:eastAsia="Times New Roman" w:cs="Times New Roman" w:ascii="Times New Roman" w:hAnsi="Times New Roman"/>
          <w:color w:val="111111"/>
          <w:sz w:val="28"/>
          <w:szCs w:val="28"/>
          <w:lang w:val="en-US"/>
        </w:rPr>
        <w:t>(55) Citra pasar di surge, pada umumnya, muncul pada karya-  karya Eskatologi abad pertengahan, seperti yang digambarkan  oleh Al-Samarkandi dalam Ahwal Al-Qiyamah hlm. 34 sebagai  berikut: “Pada hari Jumat, mereka akan keluar ke pasar-  pasar di surga dan mendapatkan pakaian yang paling indah  yang belum pernah mereka kenakan sebelumnya". Hal ini  kemungkinan besar didasarkan kepada riwayat-riwayat, tetapi  apa makna yang sesungguhnya di balik hal tersebut, penulis  belum menemukan penjelasan yang khusus.</w:t>
      </w:r>
    </w:p>
    <w:p>
      <w:pPr>
        <w:pStyle w:val="BookText"/>
        <w:bidi w:val="0"/>
        <w:jc w:val="both"/>
        <w:rPr/>
      </w:pPr>
      <w:r>
        <w:rPr>
          <w:rFonts w:eastAsia="Times New Roman" w:cs="Times New Roman" w:ascii="Times New Roman" w:hAnsi="Times New Roman"/>
          <w:color w:val="111111"/>
          <w:sz w:val="28"/>
          <w:szCs w:val="28"/>
          <w:lang w:val="en-US"/>
        </w:rPr>
        <w:t>(56) Mulla Sadra, Al-Asfar J. 9, hlm. 233-234. Ibn 'Arabi, Al-  Futuhat, J. 3, hlm. 267 – 268. Teks aslinya sebagai berikut: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254 </w:t>
      </w:r>
    </w:p>
    <w:p>
      <w:pPr>
        <w:pStyle w:val="BookText"/>
        <w:bidi w:val="0"/>
        <w:rPr/>
      </w:pPr>
      <w:r>
        <w:rPr>
          <w:rFonts w:ascii="IRNazanin" w:hAnsi="IRNazanin" w:eastAsia="IRNazanin"/>
          <w:color w:val="111111"/>
          <w:sz w:val="28"/>
          <w:sz w:val="28"/>
          <w:szCs w:val="28"/>
          <w:rtl w:val="true"/>
          <w:lang w:bidi="fa-IR"/>
        </w:rPr>
        <w:t>اعلم أن الروح الإنسانی أوجده الله مدبرا لصورة حسیة سواء کان فی الدنیا  أو فی البرزخ أو فی الدار الآخرة أو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صورة لبسها الصورة  التی أخذ علیه فیها المیثاق بالا قرار بربوبیة الحق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حشر من  تلک الصورة إلی هذه الصورة الجسمیة الدنیا ویه و حبس بها فی رابع شهر  من تکون صورة جسده فی بطن أمة إلی ساعة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حشرإلی  صورة أخری من حین موته إلی وقت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وقت سؤاله حشر من  تلک الصورة إلی صورة جسده الموصوف بالموت فیحیی به ویؤخذ بأسماع  الناس وأبصاو هم عن حیاته بذلک الروح إلأ من خصه الله با لکشف من نبی  أوولی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یحشر بعد السؤال إلی صورة أخری فی البرزخ یمسک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تلک  الصورة عین البرزخ والنوم والموت فی ذلک علی السواء إلی نفخة البعث  فیبعث من تلک الصورة ویحشر إلی الصورة التی کان فإرق 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بقی علیه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من أهل ذلک الصنف حشر فی الصورة التی  یدخل بها الجنة أو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النار کلهم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الجنة واستقروا  فیها ثم دعوا إلی الرؤیة ونودوا حشروا فی صوره لا تصلح إلا للرؤیة  فإذا عادوا حشروا فی صورة تصلح للجنة و فی کل صورة تنسی صورته التی  کان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حکمه إلی حکم الصورة التی انتقل إلیها و حشر فیها فإذا  دخل سوق الجنة و رآی مافیه من الصورفأی صورة رآها و استحسنها حشر  فیها فلا یزال فی الجنة دائما یحشر من صورة إلی مالا نهایة له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James Winston Morris, “Mafhum Barzakh dar Nazd Mulla  Sadra" dalam Majmu'ah Maqolehye Mulla Sadro (Tehran:</w:t>
      </w:r>
    </w:p>
    <w:p>
      <w:pPr>
        <w:pStyle w:val="BookText"/>
        <w:bidi w:val="0"/>
        <w:jc w:val="both"/>
        <w:rPr/>
      </w:pPr>
      <w:r>
        <w:rPr>
          <w:rFonts w:eastAsia="Times New Roman" w:cs="Times New Roman" w:ascii="Times New Roman" w:hAnsi="Times New Roman"/>
          <w:color w:val="111111"/>
          <w:sz w:val="28"/>
          <w:szCs w:val="28"/>
          <w:lang w:val="en-US"/>
        </w:rPr>
        <w:t>Siprin, 2007), hlm. 95.</w:t>
      </w:r>
    </w:p>
    <w:p>
      <w:pPr>
        <w:pStyle w:val="BookText"/>
        <w:bidi w:val="0"/>
        <w:jc w:val="both"/>
        <w:rPr/>
      </w:pPr>
      <w:r>
        <w:rPr>
          <w:rFonts w:eastAsia="Times New Roman" w:cs="Times New Roman" w:ascii="Times New Roman" w:hAnsi="Times New Roman"/>
          <w:color w:val="111111"/>
          <w:sz w:val="28"/>
          <w:szCs w:val="28"/>
          <w:lang w:val="en-US"/>
        </w:rPr>
        <w:t>(58) Mulla Sadra, Al-Asfār, J. 9, hlm. 198. Teks aslinya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ولنا رسالة علی حدة فی هذا الباب بینا فیها حشر جمیع الأشیاء الکائنة حتی  الجماد والنبات إلی الدار الآخرة وحشر الکل إلیه تعالی</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Mulla Sadra, Al-Asfar, J. 9, him. 256.</w:t>
      </w:r>
    </w:p>
    <w:p>
      <w:pPr>
        <w:pStyle w:val="BookText"/>
        <w:bidi w:val="0"/>
        <w:jc w:val="both"/>
        <w:rPr/>
      </w:pPr>
      <w:r>
        <w:rPr>
          <w:rFonts w:eastAsia="Times New Roman" w:cs="Times New Roman" w:ascii="Times New Roman" w:hAnsi="Times New Roman"/>
          <w:color w:val="111111"/>
          <w:sz w:val="28"/>
          <w:szCs w:val="28"/>
          <w:lang w:val="en-US"/>
        </w:rPr>
        <w:t>(60) Mulla Sadra, Mafātīh al-Ghaib (Tehran: Muasasah Mutala'at  va Tahqiqat Farhangge, 1363), him. 612 - 613.</w:t>
      </w:r>
    </w:p>
    <w:p>
      <w:pPr>
        <w:pStyle w:val="BookText"/>
        <w:bidi w:val="0"/>
        <w:jc w:val="both"/>
        <w:rPr/>
      </w:pPr>
      <w:r>
        <w:rPr>
          <w:rFonts w:eastAsia="Times New Roman" w:cs="Times New Roman" w:ascii="Times New Roman" w:hAnsi="Times New Roman"/>
          <w:color w:val="111111"/>
          <w:sz w:val="28"/>
          <w:szCs w:val="28"/>
          <w:lang w:val="en-US"/>
        </w:rPr>
        <w:t>(61) QS 18:47.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255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(ingatlah) akan hari (yang ketika itu) Kami  perjalankan gunung-gunung dan kamu akan dapat melihat  bumi itu datar dan kami kumpulkan seluruh manusia, dan  tidak Kami tinggalkan seorangpun dari mereka."  (62) QS 81:5.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الْوُحُوشُ حُشِرَتْ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apabila binatang-binatang liar dikumpulkan."  (63) QS 24:24.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Pada hari (ketika), lidah, tangan dan kaki mereka  menjadi saksi atas mereka terhadap apa yang dahulu  mereka kerjakan."  (64) Dalam Syarh Fushūs Al-Hikam yang ditulis oleh Qaysari, pada  bagian Muqaddimah, Qaysari menjelaskan pandangan Syaikh  Ibn 'Arabī yang meyakini bahwa segala sesuatu adalah hidup  dan pandangan ini di dasari ayat Alquran: QS 17:44.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Langit yang tujuh, bumi dan semua yang ada di  dalamnya bertasbih kepada Allah. dan tak ada suatupun  melainkan bertasbih dengan memuji-Nya, tetapi kamu  sekalian tidak mengerti tasbih mereka. Sesungguhnya Dia  adalah Maha Penyantun lagi Maha Pengampun."  (65) Al-Mustavawi, Al-Tahqiq fi Kalimat Alquran Al-Karim, J. I, hlm.87.</w:t>
      </w:r>
    </w:p>
    <w:p>
      <w:pPr>
        <w:pStyle w:val="BookText"/>
        <w:bidi w:val="0"/>
        <w:jc w:val="both"/>
        <w:rPr/>
      </w:pPr>
      <w:r>
        <w:rPr>
          <w:rFonts w:eastAsia="Times New Roman" w:cs="Times New Roman" w:ascii="Times New Roman" w:hAnsi="Times New Roman"/>
          <w:color w:val="111111"/>
          <w:sz w:val="28"/>
          <w:szCs w:val="28"/>
          <w:lang w:val="en-US"/>
        </w:rPr>
        <w:t>(66) Di antara pemikir Eskatologi yang meyakini bahwa surga dan</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256 </w:t>
      </w:r>
    </w:p>
    <w:p>
      <w:pPr>
        <w:pStyle w:val="BookText"/>
        <w:bidi w:val="0"/>
        <w:rPr/>
      </w:pPr>
      <w:r>
        <w:rPr>
          <w:rFonts w:eastAsia="Times New Roman" w:cs="Times New Roman" w:ascii="Times New Roman" w:hAnsi="Times New Roman"/>
          <w:color w:val="111111"/>
          <w:sz w:val="28"/>
          <w:szCs w:val="28"/>
          <w:lang w:val="en-US"/>
        </w:rPr>
        <w:t>neraka berada di alam dunia ini, juga yang di kreasi ulang,  Jane Idelman menyebutkan pandangan Al-Ghazali tersebut.</w:t>
      </w:r>
    </w:p>
    <w:p>
      <w:pPr>
        <w:pStyle w:val="BookText"/>
        <w:bidi w:val="0"/>
        <w:jc w:val="both"/>
        <w:rPr/>
      </w:pPr>
      <w:r>
        <w:rPr>
          <w:rFonts w:eastAsia="Times New Roman" w:cs="Times New Roman" w:ascii="Times New Roman" w:hAnsi="Times New Roman"/>
          <w:color w:val="111111"/>
          <w:sz w:val="28"/>
          <w:szCs w:val="28"/>
          <w:lang w:val="en-US"/>
        </w:rPr>
        <w:t>Al-Ghazali menyatakan, “Pada akhirnya, Allah akan membuka  salah satu tempat simpanan barang yang berharga di 'Arsy, dan  dari situ, lautan kehidupan akan menghujani tanah yang kering  dan tandus, yang membuatnya bergetar karena munculnya  kehidupan yang baru. Ketika seluruh bumi tertutup oleh empat  hasta air, pertumbuhan ulang yang sesungguhnya dari jasad  individu akan mulai, diawali dengan tulang sulbi. Jasad-jasad  kemudian akan tumbuh dalam kubur mereka masing-masing,  seperti tumbuhnya pepohonan, sampai semuanya mencapai  bentuk seperti dulu ketika kematian menimpanya, anak kecil  berbentuk anak kecil, orang dewasa berbentuk dewasa". Jane  Idelman, The Islamic Understanding of Death, hlm. 117. Salah  seorang filsuf kontemporer di Qom, Iran, Fayazi menyatakan  hal yang sama. Baginya, setelah terjadi Kiamat, Allah akan  merekonstruksi ulang alam semesta ini, termasuk bumi, dan  kemudian manusia dibangkitkan kembali di bumi yang dahulu  dia tinggali, tetapi dalam forma yang baru (wawancara pribadi,  Qom: 17 Mei 2007).</w:t>
      </w:r>
    </w:p>
    <w:p>
      <w:pPr>
        <w:pStyle w:val="BookText"/>
        <w:bidi w:val="0"/>
        <w:jc w:val="both"/>
        <w:rPr/>
      </w:pPr>
      <w:r>
        <w:rPr>
          <w:rFonts w:eastAsia="Times New Roman" w:cs="Times New Roman" w:ascii="Times New Roman" w:hAnsi="Times New Roman"/>
          <w:color w:val="111111"/>
          <w:sz w:val="28"/>
          <w:szCs w:val="28"/>
          <w:lang w:val="en-US"/>
        </w:rPr>
        <w:t>(67) Lihat: Mulla Sadra, Al-Asfār, J.9, hlm. 223.</w:t>
      </w:r>
    </w:p>
    <w:p>
      <w:pPr>
        <w:pStyle w:val="BookText"/>
        <w:bidi w:val="0"/>
        <w:jc w:val="both"/>
        <w:rPr/>
      </w:pPr>
      <w:r>
        <w:rPr>
          <w:rFonts w:eastAsia="Times New Roman" w:cs="Times New Roman" w:ascii="Times New Roman" w:hAnsi="Times New Roman"/>
          <w:color w:val="111111"/>
          <w:sz w:val="28"/>
          <w:szCs w:val="28"/>
          <w:lang w:val="en-US"/>
        </w:rPr>
        <w:t>(68) Lihat: Al-Ghazali, Ihya', J. IV, hlm. 545.</w:t>
      </w:r>
    </w:p>
    <w:p>
      <w:pPr>
        <w:pStyle w:val="BookText"/>
        <w:bidi w:val="0"/>
        <w:jc w:val="both"/>
        <w:rPr/>
      </w:pPr>
      <w:r>
        <w:rPr>
          <w:rFonts w:eastAsia="Times New Roman" w:cs="Times New Roman" w:ascii="Times New Roman" w:hAnsi="Times New Roman"/>
          <w:color w:val="111111"/>
          <w:sz w:val="28"/>
          <w:szCs w:val="28"/>
          <w:lang w:val="en-US"/>
        </w:rPr>
        <w:t>(69) Pandangan ini berasal dari Asy'ariyyah dan filsuf Skolastik  yang menyatakan bahwa jiwa tidaklah memiliki karakter  spiritual, melainkan bergantung pada raga. Teori atom yang  dikembangkan Asy'ari menyatakan bahwa kehidupan tetap  kontinu dalam atom-atom tersebut, sekalipun telah terurai  dan kebangkitan terjadi dengan tersusunnya kembali atom-  atom yang telah terpisah tersebut. Lihat: Fazlur Rahman, The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257 </w:t>
      </w:r>
    </w:p>
    <w:p>
      <w:pPr>
        <w:pStyle w:val="BookText"/>
        <w:bidi w:val="0"/>
        <w:rPr/>
      </w:pPr>
      <w:r>
        <w:rPr>
          <w:rFonts w:eastAsia="Times New Roman" w:cs="Times New Roman" w:ascii="Times New Roman" w:hAnsi="Times New Roman"/>
          <w:color w:val="111111"/>
          <w:sz w:val="28"/>
          <w:szCs w:val="28"/>
          <w:lang w:val="en-US"/>
        </w:rPr>
        <w:t>Philosophy of Mulla Sadra, hlm. 335.</w:t>
      </w:r>
    </w:p>
    <w:p>
      <w:pPr>
        <w:pStyle w:val="BookText"/>
        <w:bidi w:val="0"/>
        <w:jc w:val="both"/>
        <w:rPr/>
      </w:pPr>
      <w:r>
        <w:rPr>
          <w:rFonts w:eastAsia="Times New Roman" w:cs="Times New Roman" w:ascii="Times New Roman" w:hAnsi="Times New Roman"/>
          <w:color w:val="111111"/>
          <w:sz w:val="28"/>
          <w:szCs w:val="28"/>
          <w:lang w:val="en-US"/>
        </w:rPr>
        <w:t>(70) Argumentasi Ibn Sina, dalam hal ini, sebagai berikut: “Jika  demikian (terjadinya reinkarnasi), maka tidaklah mungkin  terjadi jiwa yang telah terpisah dari raga kembali dan masuk  kedalam raga manusia yang lain. Karena raga yang baru  memunculkan jiwa yang baru bersamanya, maka (jika terjadi  reinkarnasi) akan terjadi pada raga yang baru jiwa yang lain  sehingga menyebabkan seorang manusia memiliki dua  jiwa sekaligus, akan tetapi seluruh manusia sesungguhnya  hanyalah memiliki satu jiwa semata, tidak dapat terpikirkan  kecuali jiwa yang satu semata. Sekalipun ada jiwa yang lain  pada sebuah raga maka tidaklah berfungsi bersamanya dan  tidak juga memunculkan manfaat bagi raga, maka pastilah  jiwa tersebut bukanlah jiwa dirinya karena jiwa di dalam  raga tidaklah menempati hanya satu bagian tertentu atau  menempel sebagai zat bagi bagian tertentu dari raga, tetapi  jiwa merupakan pengendali dan terfungsikan melalui raga.</w:t>
      </w:r>
    </w:p>
    <w:p>
      <w:pPr>
        <w:pStyle w:val="BookText"/>
        <w:bidi w:val="0"/>
        <w:jc w:val="both"/>
        <w:rPr/>
      </w:pPr>
      <w:r>
        <w:rPr>
          <w:rFonts w:eastAsia="Times New Roman" w:cs="Times New Roman" w:ascii="Times New Roman" w:hAnsi="Times New Roman"/>
          <w:color w:val="111111"/>
          <w:sz w:val="28"/>
          <w:szCs w:val="28"/>
          <w:lang w:val="en-US"/>
        </w:rPr>
        <w:t>Maka jelas dan benderanglah bahwa jiwa-jiwa manusia adalah  sesuatu yang baru dan tetap setelah (kehancuran) materi dan  tidak tinggal di dalam raga-raga tersebut dan tidak juga terjadi  reinkarnasi" Ibn Sina, Al-Mabda' wa Al-Ma'ād, 108–109.</w:t>
      </w:r>
    </w:p>
    <w:p>
      <w:pPr>
        <w:pStyle w:val="BookText"/>
        <w:bidi w:val="0"/>
        <w:jc w:val="both"/>
        <w:rPr/>
      </w:pPr>
      <w:r>
        <w:rPr>
          <w:rFonts w:eastAsia="Times New Roman" w:cs="Times New Roman" w:ascii="Times New Roman" w:hAnsi="Times New Roman"/>
          <w:color w:val="111111"/>
          <w:sz w:val="28"/>
          <w:szCs w:val="28"/>
          <w:lang w:val="en-US"/>
        </w:rPr>
        <w:t>(71) Al-Ghazali mengemukakan argumentasinya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Ketika kehidupan dan raga telah hancur, penciptaan  kembalinya akan merupakan penciptaan yang semisal  dengan apa yang ada sebelumnya. Namun, makna “kembali”,  sebagaiamana yang kami pahami,, mengimplikasikan  pengandaiaan keabadian sesuatu dan barunya sesuatu yang  lain. Sebagaimana jika dikatakan bahwa seseorang kembali  pada kenikmatan, yang dimaksud tidak lain, bahwa orang</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258 </w:t>
      </w:r>
    </w:p>
    <w:p>
      <w:pPr>
        <w:pStyle w:val="BookText"/>
        <w:bidi w:val="0"/>
        <w:rPr/>
      </w:pPr>
      <w:r>
        <w:rPr>
          <w:rFonts w:eastAsia="Times New Roman" w:cs="Times New Roman" w:ascii="Times New Roman" w:hAnsi="Times New Roman"/>
          <w:color w:val="111111"/>
          <w:sz w:val="28"/>
          <w:szCs w:val="28"/>
          <w:lang w:val="en-US"/>
        </w:rPr>
        <w:t>yang mendapatkan kenikmatan tersebut bersifat tetap dan  abadi; dia telah meninggalkan kenikmatan tersebut kemudian  kembali merasakannya; yaitu, dia kembali pada apa yang  secara jenerik sama dengan apa yang dia rasakan sebelumnya  akan tetapi berbeda dalam kuantitasnya. Maka tidak lain  makna kembali adalah kembali kepada yang semisalnya."  Al-Ghazali, Tahāfut Al-Falāsifah (Beirut: Dar Al-Maktabah Al-  Hilal), hlm. 289–290. Selanjutnya disebut: Tahafut.</w:t>
      </w:r>
    </w:p>
    <w:p>
      <w:pPr>
        <w:pStyle w:val="BookText"/>
        <w:bidi w:val="0"/>
        <w:jc w:val="both"/>
        <w:rPr/>
      </w:pPr>
      <w:r>
        <w:rPr>
          <w:rFonts w:eastAsia="Times New Roman" w:cs="Times New Roman" w:ascii="Times New Roman" w:hAnsi="Times New Roman"/>
          <w:color w:val="111111"/>
          <w:sz w:val="28"/>
          <w:szCs w:val="28"/>
          <w:lang w:val="en-US"/>
        </w:rPr>
        <w:t>(72) Jane Idelman Smith adalah Profesor Studi Islam dan Wakil  Direktur Pusat Studi Islam dan Hubungan Muslim-Kristen  Macdonald pada Hartford Seminary, penulis buku The Islamic  Understanding of Death and Resurrection.</w:t>
      </w:r>
    </w:p>
    <w:p>
      <w:pPr>
        <w:pStyle w:val="BookText"/>
        <w:bidi w:val="0"/>
        <w:jc w:val="both"/>
        <w:rPr/>
      </w:pPr>
      <w:r>
        <w:rPr>
          <w:rFonts w:eastAsia="Times New Roman" w:cs="Times New Roman" w:ascii="Times New Roman" w:hAnsi="Times New Roman"/>
          <w:color w:val="111111"/>
          <w:sz w:val="28"/>
          <w:szCs w:val="28"/>
          <w:lang w:val="en-US"/>
        </w:rPr>
        <w:t>(73) Jane Idelman Smith, The Islamic Understanding of Death and  Resurrection, hlm.62.</w:t>
      </w:r>
    </w:p>
    <w:p>
      <w:pPr>
        <w:pStyle w:val="BookText"/>
        <w:bidi w:val="0"/>
        <w:jc w:val="both"/>
        <w:rPr/>
      </w:pPr>
      <w:r>
        <w:rPr>
          <w:rFonts w:eastAsia="Times New Roman" w:cs="Times New Roman" w:ascii="Times New Roman" w:hAnsi="Times New Roman"/>
          <w:color w:val="111111"/>
          <w:sz w:val="28"/>
          <w:szCs w:val="28"/>
          <w:lang w:val="en-US"/>
        </w:rPr>
        <w:t>(74) Lihat: Mulla Sadra, Al-Asfar, J. 9, hlm. 199–217  (75) Baca kembali Bab IV pada bagian Kritik terhadap Pandangan  Eskatologi Pemikir Muslim.</w:t>
      </w:r>
    </w:p>
    <w:p>
      <w:pPr>
        <w:pStyle w:val="BookText"/>
        <w:bidi w:val="0"/>
        <w:jc w:val="both"/>
        <w:rPr/>
      </w:pPr>
      <w:r>
        <w:rPr>
          <w:rFonts w:eastAsia="Times New Roman" w:cs="Times New Roman" w:ascii="Times New Roman" w:hAnsi="Times New Roman"/>
          <w:color w:val="111111"/>
          <w:sz w:val="28"/>
          <w:szCs w:val="28"/>
          <w:lang w:val="en-US"/>
        </w:rPr>
        <w:t>(76) Karena, bagaimanapun dan dari jenis apa pun, raga yang  terbentuk secara eksternal dari jiwa manusia, dalam pandangan  Mulla Sadra, masuk kategori reinkarnasi.</w:t>
      </w:r>
    </w:p>
    <w:p>
      <w:pPr>
        <w:pStyle w:val="BookText"/>
        <w:bidi w:val="0"/>
        <w:jc w:val="both"/>
        <w:rPr/>
      </w:pPr>
      <w:r>
        <w:rPr>
          <w:rFonts w:eastAsia="Times New Roman" w:cs="Times New Roman" w:ascii="Times New Roman" w:hAnsi="Times New Roman"/>
          <w:color w:val="111111"/>
          <w:sz w:val="28"/>
          <w:szCs w:val="28"/>
          <w:lang w:val="en-US"/>
        </w:rPr>
        <w:t>(77) Lihat: Mulla Sadra, Al-Asfar, J.9, hlm. 197.</w:t>
      </w:r>
    </w:p>
    <w:p>
      <w:pPr>
        <w:pStyle w:val="BookText"/>
        <w:bidi w:val="0"/>
        <w:jc w:val="both"/>
        <w:rPr/>
      </w:pPr>
      <w:r>
        <w:rPr>
          <w:rFonts w:eastAsia="Times New Roman" w:cs="Times New Roman" w:ascii="Times New Roman" w:hAnsi="Times New Roman"/>
          <w:color w:val="111111"/>
          <w:sz w:val="28"/>
          <w:szCs w:val="28"/>
          <w:lang w:val="en-US"/>
        </w:rPr>
        <w:t>(78) Alam imajinal mutlak atau terpisah (Munfasyl) adalah alam  imajinal independen dan hakiki yang merupakan forma dari  segala sesuatu yang terwujud dalam satu kondisi yang sama  antara kehalusan ruhaniah dan kepadatan materi, sedangkan  alam imajinal tidak mutlak atau bersambung (Muttasy/)  merupakan alam imajinal yang tidak terpisah dari jiwa  seseorang dan menampilkan beragam forma yang berasal  dari alam imajinal mutlak atau terpisah. Lihat: Malikeh Sobiri,</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259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 Mitsal va Tajarude Khiyol" dalam jurnal Kherad Nomeh  Sadra, Vol. 15, him. 72-73.</w:t>
      </w:r>
    </w:p>
    <w:p>
      <w:pPr>
        <w:pStyle w:val="BookText"/>
        <w:bidi w:val="0"/>
        <w:jc w:val="both"/>
        <w:rPr/>
      </w:pPr>
      <w:r>
        <w:rPr>
          <w:rFonts w:eastAsia="Times New Roman" w:cs="Times New Roman" w:ascii="Times New Roman" w:hAnsi="Times New Roman"/>
          <w:color w:val="111111"/>
          <w:sz w:val="28"/>
          <w:szCs w:val="28"/>
          <w:lang w:val="en-US"/>
        </w:rPr>
        <w:t>(79) Kyosamsaki, Rozee, hlm. 261. Teks aslinya sebagai berikut:</w:t>
      </w:r>
    </w:p>
    <w:p>
      <w:pPr>
        <w:pStyle w:val="BookText"/>
        <w:bidi w:val="0"/>
        <w:jc w:val="both"/>
        <w:rPr/>
      </w:pPr>
      <w:r>
        <w:rPr>
          <w:rFonts w:ascii="IRNazanin" w:hAnsi="IRNazanin" w:eastAsia="IRNazanin"/>
          <w:color w:val="111111"/>
          <w:sz w:val="28"/>
          <w:sz w:val="28"/>
          <w:szCs w:val="28"/>
          <w:rtl w:val="true"/>
          <w:lang w:bidi="fa-IR"/>
        </w:rPr>
        <w:t>اما دیدیم که بدن مذکورنه می تواند مادی باشد و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موجودی است مثالی به هر روی این پایان راه نیست زیرا چنانچه بدن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مثالی و متعلق به عالم مثال منفضل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تکوینی  خاصی با هیچ نفس خاصی نخواهد داشت تا بدن آن به شمار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توازی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 ای نیست جز اینکه بپذیریم بدن اخروی بدنی است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در مثال مطلق ومنفضل بلکه در مثال مقید ومتصل یا همان  قوه خیال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Al-Asfar, J. 9, him. 183.</w:t>
      </w:r>
    </w:p>
    <w:p>
      <w:pPr>
        <w:pStyle w:val="BookText"/>
        <w:bidi w:val="0"/>
        <w:jc w:val="both"/>
        <w:rPr/>
      </w:pPr>
      <w:r>
        <w:rPr>
          <w:rFonts w:eastAsia="Times New Roman" w:cs="Times New Roman" w:ascii="Times New Roman" w:hAnsi="Times New Roman"/>
          <w:color w:val="111111"/>
          <w:sz w:val="28"/>
          <w:szCs w:val="28"/>
          <w:lang w:val="en-US"/>
        </w:rPr>
        <w:t>(81) Lihat: Mulla Sadra, Al-Asfar, J. 9, him. 176.</w:t>
      </w:r>
    </w:p>
    <w:p>
      <w:pPr>
        <w:pStyle w:val="BookText"/>
        <w:bidi w:val="0"/>
        <w:jc w:val="both"/>
        <w:rPr/>
      </w:pPr>
      <w:r>
        <w:rPr>
          <w:rFonts w:eastAsia="Times New Roman" w:cs="Times New Roman" w:ascii="Times New Roman" w:hAnsi="Times New Roman"/>
          <w:color w:val="111111"/>
          <w:sz w:val="28"/>
          <w:szCs w:val="28"/>
          <w:lang w:val="en-US"/>
        </w:rPr>
        <w:t>(82) Muhammad Husayn Thabathaba'i, Al-Mizān fi Tafsir Alquran  (Qom: Muasasah Matbu'ati Ismailiyyon, 1412), J. XVII, hlm.114. Teks aslinya sebagai berikut:</w:t>
      </w:r>
    </w:p>
    <w:p>
      <w:pPr>
        <w:pStyle w:val="BookText"/>
        <w:bidi w:val="0"/>
        <w:jc w:val="both"/>
        <w:rPr/>
      </w:pPr>
      <w:r>
        <w:rPr>
          <w:rFonts w:ascii="IRNazanin" w:hAnsi="IRNazanin" w:eastAsia="IRNazanin"/>
          <w:color w:val="111111"/>
          <w:sz w:val="28"/>
          <w:sz w:val="28"/>
          <w:szCs w:val="28"/>
          <w:rtl w:val="true"/>
          <w:lang w:bidi="fa-IR"/>
        </w:rPr>
        <w:t xml:space="preserve">البدن اللاحق من الإنسان إذا اعتبر بالقیاس إلی البدن السابق منه کان مثله  لا عینه لکن الإنسان ذا البدن اللاحق إذا قیس إلی الإنسان ذی البدن السابق  کا عینه لا مثله لان الشخصیة بالنفس وهی واحدة بعینها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Tentang pengkafiran para filsuf ini dapat dilihat pada: Fazlur  Rahman, Islam (Chicago and London: University of Chicago  Press, 1979), him. 120.</w:t>
      </w:r>
    </w:p>
    <w:p>
      <w:pPr>
        <w:pStyle w:val="BookText"/>
        <w:bidi w:val="0"/>
        <w:jc w:val="both"/>
        <w:rPr/>
      </w:pPr>
      <w:r>
        <w:rPr>
          <w:rFonts w:eastAsia="Times New Roman" w:cs="Times New Roman" w:ascii="Times New Roman" w:hAnsi="Times New Roman"/>
          <w:color w:val="111111"/>
          <w:sz w:val="28"/>
          <w:szCs w:val="28"/>
          <w:lang w:val="en-US"/>
        </w:rPr>
        <w:t>(84) Banyak kisah Sufi yang menunjukkan bahwa para Sufi  tersebut dapat menyaksikan raga batin seseorang di balik  raga materinya yang terbentuk dari perilaku manusia tersebut.</w:t>
      </w:r>
    </w:p>
    <w:p>
      <w:pPr>
        <w:pStyle w:val="BookText"/>
        <w:bidi w:val="0"/>
        <w:jc w:val="both"/>
        <w:rPr/>
      </w:pPr>
      <w:r>
        <w:rPr>
          <w:rFonts w:eastAsia="Times New Roman" w:cs="Times New Roman" w:ascii="Times New Roman" w:hAnsi="Times New Roman"/>
          <w:color w:val="111111"/>
          <w:sz w:val="28"/>
          <w:szCs w:val="28"/>
          <w:lang w:val="en-US"/>
        </w:rPr>
        <w:t>Sebagai contoh, apa yang terjadi pada Abu Basyir, “Suatu saat  aku menunaikan ibadah haji bersama Muhammad Al-Baqir,  kemudian Imam Al-Baqir berkata, “Sungguh banyak talbiyah  yang terucap, tapi sedikit sekali yang haji”. Kemudian yang  mulia mengusapkan tangannya ke wajahku dan aku melihat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260 </w:t>
      </w:r>
    </w:p>
    <w:p>
      <w:pPr>
        <w:pStyle w:val="BookText"/>
        <w:bidi w:val="0"/>
        <w:rPr/>
      </w:pPr>
      <w:r>
        <w:rPr>
          <w:rFonts w:eastAsia="Times New Roman" w:cs="Times New Roman" w:ascii="Times New Roman" w:hAnsi="Times New Roman"/>
          <w:color w:val="111111"/>
          <w:sz w:val="28"/>
          <w:szCs w:val="28"/>
          <w:lang w:val="en-US"/>
        </w:rPr>
        <w:t>sebuah pemandangan ajaib. Sebagian besar manusia yang  aku saksikan berbentuk binatang yang bermacam-macam,  sebagian berbentuk monyet dan sebagian lagi berbentuk babi  dan aku melihat orang-orang yang beriman di antara mereka  seperti gemintang yang menerangi kegelapan". Faid Al-  Kasyani, Mahajjat al-Bayda' (Qom: Muasasah Nashr Al-Islami, 1383), J.1, him. 132.</w:t>
      </w:r>
    </w:p>
    <w:p>
      <w:pPr>
        <w:pStyle w:val="BookText"/>
        <w:bidi w:val="0"/>
        <w:jc w:val="both"/>
        <w:rPr/>
      </w:pPr>
      <w:r>
        <w:rPr>
          <w:rFonts w:eastAsia="Times New Roman" w:cs="Times New Roman" w:ascii="Times New Roman" w:hAnsi="Times New Roman"/>
          <w:color w:val="111111"/>
          <w:sz w:val="28"/>
          <w:szCs w:val="28"/>
          <w:lang w:val="en-US"/>
        </w:rPr>
        <w:t>(85) Lihat: Abd Al-Razzaq Al-Kasyāni, Istilāhāt Al-Sufiyyah (Tehran:</w:t>
      </w:r>
    </w:p>
    <w:p>
      <w:pPr>
        <w:pStyle w:val="BookText"/>
        <w:bidi w:val="0"/>
        <w:jc w:val="both"/>
        <w:rPr/>
      </w:pPr>
      <w:r>
        <w:rPr>
          <w:rFonts w:eastAsia="Times New Roman" w:cs="Times New Roman" w:ascii="Times New Roman" w:hAnsi="Times New Roman"/>
          <w:color w:val="111111"/>
          <w:sz w:val="28"/>
          <w:szCs w:val="28"/>
          <w:lang w:val="en-US"/>
        </w:rPr>
        <w:t>Hauzehye Hunar, 1376), Bab Jim, hal.79.</w:t>
      </w:r>
    </w:p>
    <w:p>
      <w:pPr>
        <w:pStyle w:val="BookText"/>
        <w:bidi w:val="0"/>
        <w:jc w:val="both"/>
        <w:rPr/>
      </w:pPr>
      <w:r>
        <w:rPr>
          <w:rFonts w:eastAsia="Times New Roman" w:cs="Times New Roman" w:ascii="Times New Roman" w:hAnsi="Times New Roman"/>
          <w:color w:val="111111"/>
          <w:sz w:val="28"/>
          <w:szCs w:val="28"/>
          <w:lang w:val="en-US"/>
        </w:rPr>
        <w:t>(86) Husain Mazahiri, Dirasat fi al-Akhlak (Qom: Dar Al-Syafaq, 1413), hlm. 47. Teks Aslinya sebagai berikut:</w:t>
      </w:r>
    </w:p>
    <w:p>
      <w:pPr>
        <w:pStyle w:val="BookText"/>
        <w:bidi w:val="0"/>
        <w:jc w:val="both"/>
        <w:rPr/>
      </w:pPr>
      <w:r>
        <w:rPr>
          <w:rFonts w:ascii="IRNazanin" w:hAnsi="IRNazanin" w:eastAsia="IRNazanin"/>
          <w:color w:val="111111"/>
          <w:sz w:val="28"/>
          <w:sz w:val="28"/>
          <w:szCs w:val="28"/>
          <w:rtl w:val="true"/>
          <w:lang w:bidi="fa-IR"/>
        </w:rPr>
        <w:t>إن الملکات، رذیلة کانت أو فضیلة تحصل من الأفعال والأقوال والأفکار،  وهویة الانسان وحقیقیته تحصل من تلک الملکات، فالعفة والشجاعة والعدالة  علی الأعمال، کما أن ضدها من الشره والتهور والطغیان یکون کذلک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تتوقف  وتلک الملکات، رذیلة کانت أو فضیلة، توثر تأثیرا بالغا فی هویة الانسان  وحقیقته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فحقیقة الانسان وهویته تتصور بتناسب الملکات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Mulla Sadra, Al-Asfar, J. 9, hlm. 176.</w:t>
      </w:r>
    </w:p>
    <w:p>
      <w:pPr>
        <w:pStyle w:val="BookText"/>
        <w:bidi w:val="0"/>
        <w:jc w:val="both"/>
        <w:rPr/>
      </w:pPr>
      <w:r>
        <w:rPr>
          <w:rFonts w:eastAsia="Times New Roman" w:cs="Times New Roman" w:ascii="Times New Roman" w:hAnsi="Times New Roman"/>
          <w:color w:val="111111"/>
          <w:sz w:val="28"/>
          <w:szCs w:val="28"/>
          <w:lang w:val="en-US"/>
        </w:rPr>
        <w:t>(88) QS 81:5.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الْوُحُوشُ حُشِرَتْ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apabila binatang-binatang liar dikumpulkan."  (89) Hadis tersebut berbunyi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یحشر بعض الناس علی صوة تحسن عندها القردة و الخنازیر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Fazlur Rahman, Health and Medicine, hlm.172.</w:t>
      </w:r>
    </w:p>
    <w:p>
      <w:pPr>
        <w:pStyle w:val="BookText"/>
        <w:bidi w:val="0"/>
        <w:jc w:val="both"/>
        <w:rPr/>
      </w:pPr>
      <w:r>
        <w:rPr>
          <w:rFonts w:eastAsia="Times New Roman" w:cs="Times New Roman" w:ascii="Times New Roman" w:hAnsi="Times New Roman"/>
          <w:color w:val="111111"/>
          <w:sz w:val="28"/>
          <w:szCs w:val="28"/>
          <w:lang w:val="en-US"/>
        </w:rPr>
        <w:t>(91) Syaikh Soduq menyebutkan bahwa Sirāt, tidak lain, adalah  syari'at (lihat: Syarh kitab Al-Tawhid Soduq, J. 9, hlm. 387).</w:t>
      </w:r>
    </w:p>
    <w:p>
      <w:pPr>
        <w:pStyle w:val="BookText"/>
        <w:bidi w:val="0"/>
        <w:jc w:val="both"/>
        <w:rPr/>
      </w:pPr>
      <w:r>
        <w:rPr>
          <w:rFonts w:eastAsia="Times New Roman" w:cs="Times New Roman" w:ascii="Times New Roman" w:hAnsi="Times New Roman"/>
          <w:color w:val="111111"/>
          <w:sz w:val="28"/>
          <w:szCs w:val="28"/>
          <w:lang w:val="en-US"/>
        </w:rPr>
        <w:t>Al-Ghazali memaknai Sirāt sebagai jalan yang memisahkan  antara surga dan neraka (lihat: Al-Durrah, hlm. 263). Ayat-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261 </w:t>
      </w:r>
    </w:p>
    <w:p>
      <w:pPr>
        <w:pStyle w:val="BookText"/>
        <w:bidi w:val="0"/>
        <w:rPr/>
      </w:pPr>
      <w:r>
        <w:rPr>
          <w:rFonts w:eastAsia="Times New Roman" w:cs="Times New Roman" w:ascii="Times New Roman" w:hAnsi="Times New Roman"/>
          <w:color w:val="111111"/>
          <w:sz w:val="28"/>
          <w:szCs w:val="28"/>
          <w:lang w:val="en-US"/>
        </w:rPr>
        <w:t>ayat Alquran banyak berbicara tentang Sirāt. Paling tidak ada45 ayat yang secara khusus menyebutkan kata Sirat dengan  beragam sandingannya.</w:t>
      </w:r>
    </w:p>
    <w:p>
      <w:pPr>
        <w:pStyle w:val="BookText"/>
        <w:bidi w:val="0"/>
        <w:jc w:val="both"/>
        <w:rPr/>
      </w:pPr>
      <w:r>
        <w:rPr>
          <w:rFonts w:eastAsia="Times New Roman" w:cs="Times New Roman" w:ascii="Times New Roman" w:hAnsi="Times New Roman"/>
          <w:color w:val="111111"/>
          <w:sz w:val="28"/>
          <w:szCs w:val="28"/>
          <w:lang w:val="en-US"/>
        </w:rPr>
        <w:t>(92) Hadis Nabi Saw. tentang Sirāt pada hari kiamat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 الصراط یظهر یوم القیامة للابصار علی قدر الما رین علیه فیکون دقیقا  فی حق بعض و جلیلا فی حق أخرین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Faidh Al-Kasyani, Ilmu Al-Yaqin fi Ushul Al-Din (Qom:</w:t>
      </w:r>
    </w:p>
    <w:p>
      <w:pPr>
        <w:pStyle w:val="BookText"/>
        <w:bidi w:val="0"/>
        <w:jc w:val="both"/>
        <w:rPr/>
      </w:pPr>
      <w:r>
        <w:rPr>
          <w:rFonts w:eastAsia="Times New Roman" w:cs="Times New Roman" w:ascii="Times New Roman" w:hAnsi="Times New Roman"/>
          <w:color w:val="111111"/>
          <w:sz w:val="28"/>
          <w:szCs w:val="28"/>
          <w:lang w:val="en-US"/>
        </w:rPr>
        <w:t>Intisyarat Bidor, 1418) hlm. 1184. Selanjutnya disebut:</w:t>
      </w:r>
    </w:p>
    <w:p>
      <w:pPr>
        <w:pStyle w:val="BookText"/>
        <w:bidi w:val="0"/>
        <w:jc w:val="both"/>
        <w:rPr/>
      </w:pPr>
      <w:r>
        <w:rPr>
          <w:rFonts w:eastAsia="Times New Roman" w:cs="Times New Roman" w:ascii="Times New Roman" w:hAnsi="Times New Roman"/>
          <w:color w:val="111111"/>
          <w:sz w:val="28"/>
          <w:szCs w:val="28"/>
          <w:lang w:val="en-US"/>
        </w:rPr>
        <w:t>Faidh Al-Kasyani, Ilmu Al-Yaqin.</w:t>
      </w:r>
    </w:p>
    <w:p>
      <w:pPr>
        <w:pStyle w:val="BookText"/>
        <w:bidi w:val="0"/>
        <w:jc w:val="both"/>
        <w:rPr/>
      </w:pPr>
      <w:r>
        <w:rPr>
          <w:rFonts w:eastAsia="Times New Roman" w:cs="Times New Roman" w:ascii="Times New Roman" w:hAnsi="Times New Roman"/>
          <w:color w:val="111111"/>
          <w:sz w:val="28"/>
          <w:szCs w:val="28"/>
          <w:lang w:val="en-US"/>
        </w:rPr>
        <w:t>(93) Lihat Makarim Syirazi, Al-Amtsāl fi Tafsir Kitabullah Al-Munzāl  (Beirut: Muasasah Al-Bi'tsah, 1413), J. 1, hlm. 25.</w:t>
      </w:r>
    </w:p>
    <w:p>
      <w:pPr>
        <w:pStyle w:val="BookText"/>
        <w:bidi w:val="0"/>
        <w:jc w:val="both"/>
        <w:rPr/>
      </w:pPr>
      <w:r>
        <w:rPr>
          <w:rFonts w:eastAsia="Times New Roman" w:cs="Times New Roman" w:ascii="Times New Roman" w:hAnsi="Times New Roman"/>
          <w:color w:val="111111"/>
          <w:sz w:val="28"/>
          <w:szCs w:val="28"/>
          <w:lang w:val="en-US"/>
        </w:rPr>
        <w:t>(94) Berbeda dengan gerakan transubstansial, gerakan zati  merupakan gerakan yang terjadi pada diri makhluk atau  manusia sebagai akibat dari ketaatan atau ketundukan terhadap  perintah atau larangan, baik secara alamiah (Takwinī) maupun  secara syari'at (Tasyri'i).</w:t>
      </w:r>
    </w:p>
    <w:p>
      <w:pPr>
        <w:pStyle w:val="BookText"/>
        <w:bidi w:val="0"/>
        <w:jc w:val="both"/>
        <w:rPr/>
      </w:pPr>
      <w:r>
        <w:rPr>
          <w:rFonts w:eastAsia="Times New Roman" w:cs="Times New Roman" w:ascii="Times New Roman" w:hAnsi="Times New Roman"/>
          <w:color w:val="111111"/>
          <w:sz w:val="28"/>
          <w:szCs w:val="28"/>
          <w:lang w:val="en-US"/>
        </w:rPr>
        <w:t>(95) Yang dimaksud Mulla Sadra dengan kualitas diri di sini bukan  Maʼqūlat (Kategori) sebagai Kaif al-Nafsani, tetapi ‘kondisi,  karakter, pengetahuan pada diri manusia yang didorong oleh  keinginan untuk mendekatkan diri kepada Allah Swt.'.</w:t>
      </w:r>
    </w:p>
    <w:p>
      <w:pPr>
        <w:pStyle w:val="BookText"/>
        <w:bidi w:val="0"/>
        <w:jc w:val="both"/>
        <w:rPr/>
      </w:pPr>
      <w:r>
        <w:rPr>
          <w:rFonts w:eastAsia="Times New Roman" w:cs="Times New Roman" w:ascii="Times New Roman" w:hAnsi="Times New Roman"/>
          <w:color w:val="111111"/>
          <w:sz w:val="28"/>
          <w:szCs w:val="28"/>
          <w:lang w:val="en-US"/>
        </w:rPr>
        <w:t>(96) Mulla Sadra, Al-Asfār, J. 9, hlm. 284.</w:t>
      </w:r>
    </w:p>
    <w:p>
      <w:pPr>
        <w:pStyle w:val="BookText"/>
        <w:bidi w:val="0"/>
        <w:jc w:val="both"/>
        <w:rPr/>
      </w:pPr>
      <w:r>
        <w:rPr>
          <w:rFonts w:eastAsia="Times New Roman" w:cs="Times New Roman" w:ascii="Times New Roman" w:hAnsi="Times New Roman"/>
          <w:color w:val="111111"/>
          <w:sz w:val="28"/>
          <w:szCs w:val="28"/>
          <w:lang w:val="en-US"/>
        </w:rPr>
        <w:t>(97) Teks hadis tersebut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الصراط أدق من الشعر وأ هد من السیف</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Faidh Al-Kasyani, Ilmu Al-Yaqin fi Ushul Al-Din (Qom:</w:t>
      </w:r>
    </w:p>
    <w:p>
      <w:pPr>
        <w:pStyle w:val="BookText"/>
        <w:bidi w:val="0"/>
        <w:jc w:val="both"/>
        <w:rPr/>
      </w:pPr>
      <w:r>
        <w:rPr>
          <w:rFonts w:eastAsia="Times New Roman" w:cs="Times New Roman" w:ascii="Times New Roman" w:hAnsi="Times New Roman"/>
          <w:color w:val="111111"/>
          <w:sz w:val="28"/>
          <w:szCs w:val="28"/>
          <w:lang w:val="en-US"/>
        </w:rPr>
        <w:t>Intisyarat Bidor, 1418), hlm. 1184.</w:t>
      </w:r>
    </w:p>
    <w:p>
      <w:pPr>
        <w:pStyle w:val="BookText"/>
        <w:bidi w:val="0"/>
        <w:jc w:val="both"/>
        <w:rPr/>
      </w:pPr>
      <w:r>
        <w:rPr>
          <w:rFonts w:eastAsia="Times New Roman" w:cs="Times New Roman" w:ascii="Times New Roman" w:hAnsi="Times New Roman"/>
          <w:color w:val="111111"/>
          <w:sz w:val="28"/>
          <w:szCs w:val="28"/>
          <w:lang w:val="en-US"/>
        </w:rPr>
        <w:t>(98) Al-Gazhali, Al-Madnūn, hlm.353.</w:t>
      </w:r>
    </w:p>
    <w:p>
      <w:pPr>
        <w:pStyle w:val="BookText"/>
        <w:bidi w:val="0"/>
        <w:jc w:val="both"/>
        <w:rPr/>
      </w:pPr>
      <w:r>
        <w:rPr>
          <w:rFonts w:eastAsia="Times New Roman" w:cs="Times New Roman" w:ascii="Times New Roman" w:hAnsi="Times New Roman"/>
          <w:color w:val="111111"/>
          <w:sz w:val="28"/>
          <w:szCs w:val="28"/>
          <w:lang w:val="en-US"/>
        </w:rPr>
        <w:t>(99) Lihat: Sibawaihi, Eskatologi Al-Gazāli dan Fazlur Rahman, hlm.127.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262 </w:t>
      </w:r>
    </w:p>
    <w:p>
      <w:pPr>
        <w:pStyle w:val="BookText"/>
        <w:bidi w:val="0"/>
        <w:rPr/>
      </w:pPr>
      <w:r>
        <w:rPr>
          <w:rFonts w:eastAsia="Times New Roman" w:cs="Times New Roman" w:ascii="Times New Roman" w:hAnsi="Times New Roman"/>
          <w:color w:val="111111"/>
          <w:sz w:val="28"/>
          <w:szCs w:val="28"/>
          <w:lang w:val="en-US"/>
        </w:rPr>
        <w:t>(100) QS 57:12. Teks ayat tersebut sebagai berikut :</w:t>
      </w:r>
    </w:p>
    <w:p>
      <w:pPr>
        <w:pStyle w:val="BookText"/>
        <w:bidi w:val="0"/>
        <w:jc w:val="both"/>
        <w:rPr/>
      </w:pPr>
      <w:r>
        <w:rPr>
          <w:rFonts w:eastAsia="Times New Roman" w:cs="Times New Roman" w:ascii="Times New Roman" w:hAnsi="Times New Roman"/>
          <w:color w:val="111111"/>
          <w:sz w:val="28"/>
          <w:szCs w:val="28"/>
          <w:lang w:val="en-US"/>
        </w:rPr>
        <w:t>"(yaitu) Pada hari ketika kamu melihat orang mukmin  laki-laki dan perempuan, sedang cahaya mereka bersinar di  hadapan dan di sebelah kanan mereka.</w:t>
      </w:r>
    </w:p>
    <w:p>
      <w:pPr>
        <w:pStyle w:val="BookText"/>
        <w:bidi w:val="0"/>
        <w:jc w:val="both"/>
        <w:rPr/>
      </w:pPr>
      <w:r>
        <w:rPr>
          <w:rFonts w:eastAsia="Times New Roman" w:cs="Times New Roman" w:ascii="Times New Roman" w:hAnsi="Times New Roman"/>
          <w:color w:val="111111"/>
          <w:sz w:val="28"/>
          <w:szCs w:val="28"/>
          <w:lang w:val="en-US"/>
        </w:rPr>
        <w:t>(101) Lihat: Mulla Sadra, Al-Asfar, J. 9, him. 290.</w:t>
      </w:r>
    </w:p>
    <w:p>
      <w:pPr>
        <w:pStyle w:val="BookText"/>
        <w:bidi w:val="0"/>
        <w:jc w:val="both"/>
        <w:rPr/>
      </w:pPr>
      <w:r>
        <w:rPr>
          <w:rFonts w:eastAsia="Times New Roman" w:cs="Times New Roman" w:ascii="Times New Roman" w:hAnsi="Times New Roman"/>
          <w:color w:val="111111"/>
          <w:sz w:val="28"/>
          <w:szCs w:val="28"/>
          <w:lang w:val="en-US"/>
        </w:rPr>
        <w:t>(102) Mulla Sadra, Al-Asfār, J. 9, hlm. 291. Teks aslinya sebagai  berikut:</w:t>
      </w:r>
    </w:p>
    <w:p>
      <w:pPr>
        <w:pStyle w:val="BookText"/>
        <w:bidi w:val="0"/>
        <w:jc w:val="both"/>
        <w:rPr/>
      </w:pPr>
      <w:r>
        <w:rPr>
          <w:rFonts w:ascii="IRNazanin" w:hAnsi="IRNazanin" w:eastAsia="IRNazanin"/>
          <w:color w:val="111111"/>
          <w:sz w:val="28"/>
          <w:sz w:val="28"/>
          <w:szCs w:val="28"/>
          <w:rtl w:val="true"/>
          <w:lang w:bidi="fa-IR"/>
        </w:rPr>
        <w:t xml:space="preserve">والکتاب لمثل هذه الکتابة النوریة هم الکرام الکاتبون لکرامة ذواتهم وأفعالهم  عن دناءة الجسمیة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QS 38:16 dan 53, 40:27, Teks ayat tersebut sebagai beriku  </w:t>
      </w:r>
      <w:r>
        <w:rPr>
          <w:rFonts w:ascii="Amiri" w:hAnsi="Amiri" w:eastAsia="Amiri" w:cs="Amiri"/>
          <w:color w:val="111111"/>
          <w:sz w:val="28"/>
          <w:sz w:val="28"/>
          <w:szCs w:val="28"/>
          <w:rtl w:val="true"/>
          <w:lang w:bidi="ar-SA"/>
        </w:rPr>
        <w:t xml:space="preserve">الحسابیؤمقبل قطنا لنا عجلربناو قالوا  الحساب لیوم توعدون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مُوسَی إِنِّی عُذْتُ بِرَبِّی وَرَبِّکُمْ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Pada umumnya, di dalam Alquran, Allah Swt. menyebutkan  kata al-Mizan dalam bentuk pluralnya, yaitu al-Mawazin.</w:t>
      </w:r>
    </w:p>
    <w:p>
      <w:pPr>
        <w:pStyle w:val="BookText"/>
        <w:bidi w:val="0"/>
        <w:jc w:val="both"/>
        <w:rPr/>
      </w:pPr>
      <w:r>
        <w:rPr>
          <w:rFonts w:eastAsia="Times New Roman" w:cs="Times New Roman" w:ascii="Times New Roman" w:hAnsi="Times New Roman"/>
          <w:color w:val="111111"/>
          <w:sz w:val="28"/>
          <w:szCs w:val="28"/>
          <w:lang w:val="en-US"/>
        </w:rPr>
        <w:t>Ayat-ayat yang berbicara tentang hal tersebut, antara lain, QS21:47; 7:8-9; 23:102 - 103; 101 :6 dan 8.</w:t>
      </w:r>
    </w:p>
    <w:p>
      <w:pPr>
        <w:pStyle w:val="BookText"/>
        <w:bidi w:val="0"/>
        <w:jc w:val="both"/>
        <w:rPr/>
      </w:pPr>
      <w:r>
        <w:rPr>
          <w:rFonts w:eastAsia="Times New Roman" w:cs="Times New Roman" w:ascii="Times New Roman" w:hAnsi="Times New Roman"/>
          <w:color w:val="111111"/>
          <w:sz w:val="28"/>
          <w:szCs w:val="28"/>
          <w:lang w:val="en-US"/>
        </w:rPr>
        <w:t>(105) Lihat: Jane Idelman Smith, The Islamic Understanding of  Death, him. 214 - 220.</w:t>
      </w:r>
    </w:p>
    <w:p>
      <w:pPr>
        <w:pStyle w:val="BookText"/>
        <w:bidi w:val="0"/>
        <w:jc w:val="both"/>
        <w:rPr/>
      </w:pPr>
      <w:r>
        <w:rPr>
          <w:rFonts w:eastAsia="Times New Roman" w:cs="Times New Roman" w:ascii="Times New Roman" w:hAnsi="Times New Roman"/>
          <w:color w:val="111111"/>
          <w:sz w:val="28"/>
          <w:szCs w:val="28"/>
          <w:lang w:val="en-US"/>
        </w:rPr>
        <w:t>(106) QS 50:29. Ayat tersebut sebagai berikut :</w:t>
      </w:r>
    </w:p>
    <w:p>
      <w:pPr>
        <w:pStyle w:val="BookText"/>
        <w:bidi w:val="0"/>
        <w:jc w:val="both"/>
        <w:rPr/>
      </w:pPr>
      <w:r>
        <w:rPr>
          <w:rFonts w:ascii="IRNazanin" w:hAnsi="IRNazanin" w:eastAsia="IRNazanin"/>
          <w:color w:val="111111"/>
          <w:sz w:val="28"/>
          <w:sz w:val="28"/>
          <w:szCs w:val="28"/>
          <w:rtl w:val="true"/>
          <w:lang w:bidi="fa-IR"/>
        </w:rPr>
        <w:t>وما أنا بظلم للعبید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Dan Aku sekali-kali tidak menganiaya hamba-hamba-  Ku."  (107) Lihat: Suhrawardi, “Yazdhon Snokht", dalam Majmu'ah, J.III,  him. 438.</w:t>
      </w:r>
    </w:p>
    <w:p>
      <w:pPr>
        <w:pStyle w:val="BookText"/>
        <w:bidi w:val="0"/>
        <w:jc w:val="both"/>
        <w:rPr/>
      </w:pPr>
      <w:r>
        <w:rPr>
          <w:rFonts w:eastAsia="Times New Roman" w:cs="Times New Roman" w:ascii="Times New Roman" w:hAnsi="Times New Roman"/>
          <w:color w:val="111111"/>
          <w:sz w:val="28"/>
          <w:szCs w:val="28"/>
          <w:lang w:val="en-US"/>
        </w:rPr>
        <w:t>(108) QS 11:16. Ayat tersebut sebagai berikut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وَحَبِطَ مَا صَنَعُوا فِیهَا وَبَاطِلٌ مَا کَانُوا یَعْمَلُونَ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263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Itulah orang-orang yang tidak memperoleh di akhirat,  kecuali neraka dan lenyaplah di akhirat itu apa yang telah  mereka usahakan di dunia dan sia-sialah apa yang telah  mereka kerjakan."  (109) Al-Ghazali, Al-Durrah, hlm. 172.</w:t>
      </w:r>
    </w:p>
    <w:p>
      <w:pPr>
        <w:pStyle w:val="BookText"/>
        <w:bidi w:val="0"/>
        <w:jc w:val="both"/>
        <w:rPr/>
      </w:pPr>
      <w:r>
        <w:rPr>
          <w:rFonts w:eastAsia="Times New Roman" w:cs="Times New Roman" w:ascii="Times New Roman" w:hAnsi="Times New Roman"/>
          <w:color w:val="111111"/>
          <w:sz w:val="28"/>
          <w:szCs w:val="28"/>
          <w:lang w:val="en-US"/>
        </w:rPr>
        <w:t>(110) Syaikh Al-Mufid, Syarh Tawhid Al-Shoduq (Iran: Wizarat  Tsaqafat va Irsyad, 1999), J. 3, hlm. 622.</w:t>
      </w:r>
    </w:p>
    <w:p>
      <w:pPr>
        <w:pStyle w:val="BookText"/>
        <w:bidi w:val="0"/>
        <w:jc w:val="both"/>
        <w:rPr/>
      </w:pPr>
      <w:r>
        <w:rPr>
          <w:rFonts w:eastAsia="Times New Roman" w:cs="Times New Roman" w:ascii="Times New Roman" w:hAnsi="Times New Roman"/>
          <w:color w:val="111111"/>
          <w:sz w:val="28"/>
          <w:szCs w:val="28"/>
          <w:lang w:val="en-US"/>
        </w:rPr>
        <w:t>(111) Ada istilah khusus yang juga digunakan untuk istilah surga dan  neraka. Untuk surga, antara lain, Al-Ma'wa, Al-Firdaws, Adn,  Illiyin dan untuk neraka, antara lain, Al-Jahim, Al-Jahannam,  Al-Saqar, Hawiyyah, Ladza, dan Hutamah.</w:t>
      </w:r>
    </w:p>
    <w:p>
      <w:pPr>
        <w:pStyle w:val="BookText"/>
        <w:bidi w:val="0"/>
        <w:jc w:val="both"/>
        <w:rPr/>
      </w:pPr>
      <w:r>
        <w:rPr>
          <w:rFonts w:eastAsia="Times New Roman" w:cs="Times New Roman" w:ascii="Times New Roman" w:hAnsi="Times New Roman"/>
          <w:color w:val="111111"/>
          <w:sz w:val="28"/>
          <w:szCs w:val="28"/>
          <w:lang w:val="en-US"/>
        </w:rPr>
        <w:t>(112) Lihat: Sachiko Murata and W.C.Chittick, The Vission of Islam  (London and New York: I.B. Tauris Publisher, 1996), hlm. 211  (113) Jane Idelman Smith, The Islamic Understanding of Death, hlm.133.</w:t>
      </w:r>
    </w:p>
    <w:p>
      <w:pPr>
        <w:pStyle w:val="BookText"/>
        <w:bidi w:val="0"/>
        <w:jc w:val="both"/>
        <w:rPr/>
      </w:pPr>
      <w:r>
        <w:rPr>
          <w:rFonts w:eastAsia="Times New Roman" w:cs="Times New Roman" w:ascii="Times New Roman" w:hAnsi="Times New Roman"/>
          <w:color w:val="111111"/>
          <w:sz w:val="28"/>
          <w:szCs w:val="28"/>
          <w:lang w:val="en-US"/>
        </w:rPr>
        <w:t>(114) Penggambaran Alquran tentang surga yang demikian dapat  kita temukan pada QS 2:25 dan penggambaran alquran  tentang neraka yang seperti ini dapat kita temukan pada QS  : 104: 5–9.</w:t>
      </w:r>
    </w:p>
    <w:p>
      <w:pPr>
        <w:pStyle w:val="BookText"/>
        <w:bidi w:val="0"/>
        <w:jc w:val="both"/>
        <w:rPr/>
      </w:pPr>
      <w:r>
        <w:rPr>
          <w:rFonts w:eastAsia="Times New Roman" w:cs="Times New Roman" w:ascii="Times New Roman" w:hAnsi="Times New Roman"/>
          <w:color w:val="111111"/>
          <w:sz w:val="28"/>
          <w:szCs w:val="28"/>
          <w:lang w:val="en-US"/>
        </w:rPr>
        <w:t>(115) Lihat: Jane Idelman Smith, The Islamic Understanding of  Death, hlm. 138.</w:t>
      </w:r>
    </w:p>
    <w:p>
      <w:pPr>
        <w:pStyle w:val="BookText"/>
        <w:bidi w:val="0"/>
        <w:jc w:val="both"/>
        <w:rPr/>
      </w:pPr>
      <w:r>
        <w:rPr>
          <w:rFonts w:eastAsia="Times New Roman" w:cs="Times New Roman" w:ascii="Times New Roman" w:hAnsi="Times New Roman"/>
          <w:color w:val="111111"/>
          <w:sz w:val="28"/>
          <w:szCs w:val="28"/>
          <w:lang w:val="en-US"/>
        </w:rPr>
        <w:t>(116) Yang dimaksud adalah imam-imam Syi'ah. a.l, Ali bin Abi  Thalib, Al-Hasan ibn Ali, Al-Husain Ibn Ali, Ali Ibn Al-Husain,  Muhammad Ibn Ali, Ja'far Ibn Muhammad, Musa Ibn Jaʼfar, Ali  Ibn Muhammad, Muhammad Ibn Ali, Ali Ibn Muhammad, Al-  Hasan Ibn Ali dan Muhammad Al-Mahdi Al-Muntazar.</w:t>
      </w:r>
    </w:p>
    <w:p>
      <w:pPr>
        <w:pStyle w:val="BookText"/>
        <w:bidi w:val="0"/>
        <w:jc w:val="both"/>
        <w:rPr/>
      </w:pPr>
      <w:r>
        <w:rPr>
          <w:rFonts w:eastAsia="Times New Roman" w:cs="Times New Roman" w:ascii="Times New Roman" w:hAnsi="Times New Roman"/>
          <w:color w:val="111111"/>
          <w:sz w:val="28"/>
          <w:szCs w:val="28"/>
          <w:lang w:val="en-US"/>
        </w:rPr>
        <w:t>(117) Mulla Sadra, Al-Asfār, J. 9, hlm. 319.</w:t>
      </w:r>
    </w:p>
    <w:p>
      <w:pPr>
        <w:pStyle w:val="BookText"/>
        <w:bidi w:val="0"/>
        <w:jc w:val="both"/>
        <w:rPr/>
      </w:pPr>
      <w:r>
        <w:rPr>
          <w:rFonts w:eastAsia="Times New Roman" w:cs="Times New Roman" w:ascii="Times New Roman" w:hAnsi="Times New Roman"/>
          <w:color w:val="111111"/>
          <w:sz w:val="28"/>
          <w:szCs w:val="28"/>
          <w:lang w:val="en-US"/>
        </w:rPr>
        <w:t>(118) Intelektual yang dimaksud Mulla Sadra di sini adalah bersifat  nonmateri.</w:t>
      </w:r>
    </w:p>
    <w:p>
      <w:pPr>
        <w:pStyle w:val="BookText"/>
        <w:bidi w:val="0"/>
        <w:jc w:val="both"/>
        <w:rPr/>
      </w:pPr>
      <w:r>
        <w:rPr>
          <w:rFonts w:eastAsia="Times New Roman" w:cs="Times New Roman" w:ascii="Times New Roman" w:hAnsi="Times New Roman"/>
          <w:color w:val="111111"/>
          <w:sz w:val="28"/>
          <w:szCs w:val="28"/>
          <w:lang w:val="en-US"/>
        </w:rPr>
        <w:t>(119) Mulla Sadra, Al-Asfar, J. 9, hlm. 321.</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264 </w:t>
      </w:r>
    </w:p>
    <w:p>
      <w:pPr>
        <w:pStyle w:val="BookText"/>
        <w:bidi w:val="0"/>
        <w:rPr/>
      </w:pPr>
      <w:r>
        <w:rPr>
          <w:rFonts w:eastAsia="Times New Roman" w:cs="Times New Roman" w:ascii="Times New Roman" w:hAnsi="Times New Roman"/>
          <w:color w:val="111111"/>
          <w:sz w:val="28"/>
          <w:szCs w:val="28"/>
          <w:lang w:val="en-US"/>
        </w:rPr>
        <w:t>(120) Mulla Sadra, Al-Asfar, J.9, him. 320.</w:t>
      </w:r>
    </w:p>
    <w:p>
      <w:pPr>
        <w:pStyle w:val="BookText"/>
        <w:bidi w:val="0"/>
        <w:jc w:val="both"/>
        <w:rPr/>
      </w:pPr>
      <w:r>
        <w:rPr>
          <w:rFonts w:eastAsia="Times New Roman" w:cs="Times New Roman" w:ascii="Times New Roman" w:hAnsi="Times New Roman"/>
          <w:color w:val="111111"/>
          <w:sz w:val="28"/>
          <w:szCs w:val="28"/>
          <w:lang w:val="en-US"/>
        </w:rPr>
        <w:t>(121) Diantara teolog yang utama di kalangan Syi'ah adalah Syaikh  Tusi dan hadis yang menjadi sandaran: “Tidak seorang dari  ahli Tauhid yang akan ditimpa penderitaan neraka sekiranya  mereka dimasukkan kedalamnya akan tetapi mereka akan  menderita ketika dilepaskan dari neraka sebagai balasan bagi  dosa-dosa mereka." Mulla Sadra, Al-Asfār, J. 9, hlm. 320.</w:t>
      </w:r>
    </w:p>
    <w:p>
      <w:pPr>
        <w:pStyle w:val="BookText"/>
        <w:bidi w:val="0"/>
        <w:jc w:val="both"/>
        <w:rPr/>
      </w:pPr>
      <w:r>
        <w:rPr>
          <w:rFonts w:eastAsia="Times New Roman" w:cs="Times New Roman" w:ascii="Times New Roman" w:hAnsi="Times New Roman"/>
          <w:color w:val="111111"/>
          <w:sz w:val="28"/>
          <w:szCs w:val="28"/>
          <w:lang w:val="en-US"/>
        </w:rPr>
        <w:t>(122) Mulla Sadra, Al-Asfār, J. 9, hlm. 320. Teks aslinya sebagai  berikut:</w:t>
      </w:r>
    </w:p>
    <w:p>
      <w:pPr>
        <w:pStyle w:val="BookText"/>
        <w:bidi w:val="0"/>
        <w:jc w:val="both"/>
        <w:rPr/>
      </w:pPr>
      <w:r>
        <w:rPr>
          <w:rFonts w:ascii="IRNazanin" w:hAnsi="IRNazanin" w:eastAsia="IRNazanin"/>
          <w:color w:val="111111"/>
          <w:sz w:val="28"/>
          <w:sz w:val="28"/>
          <w:szCs w:val="28"/>
          <w:rtl w:val="true"/>
          <w:lang w:bidi="fa-IR"/>
        </w:rPr>
        <w:t xml:space="preserve">لأن العارف بالتوحید یکون نفسه منورة بنور الحق والیقین مرتفعة عن العالم  الأسفل إلی مقام العلویین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3:15. Teks ayat tersebut sebagai berikut:</w:t>
      </w:r>
    </w:p>
    <w:p>
      <w:pPr>
        <w:pStyle w:val="BookText"/>
        <w:bidi w:val="0"/>
        <w:jc w:val="both"/>
        <w:rPr/>
      </w:pPr>
      <w:r>
        <w:rPr>
          <w:rFonts w:eastAsia="Times New Roman" w:cs="Times New Roman" w:ascii="Times New Roman" w:hAnsi="Times New Roman"/>
          <w:color w:val="111111"/>
          <w:sz w:val="28"/>
          <w:szCs w:val="28"/>
          <w:lang w:val="en-US"/>
        </w:rPr>
        <w:t>(124) Mulla Sadra, Al-Asfar, J. 9, him. 320.</w:t>
      </w:r>
    </w:p>
    <w:p>
      <w:pPr>
        <w:pStyle w:val="BookText"/>
        <w:bidi w:val="0"/>
        <w:jc w:val="both"/>
        <w:rPr/>
      </w:pPr>
      <w:r>
        <w:rPr>
          <w:rFonts w:eastAsia="Times New Roman" w:cs="Times New Roman" w:ascii="Times New Roman" w:hAnsi="Times New Roman"/>
          <w:color w:val="111111"/>
          <w:sz w:val="28"/>
          <w:szCs w:val="28"/>
          <w:lang w:val="en-US"/>
        </w:rPr>
        <w:t>(125) QS 55:46.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وَلِمَنْ خَافَ مَقَامَ رَبِّهِ جَنَّتَانِ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 bagi orang yang takut akan saat menghadap  Tuhannya, ada dua surga."  (126) Mulla Sadra, Al-Asfar, J.9, hlm. 322.</w:t>
      </w:r>
    </w:p>
    <w:p>
      <w:pPr>
        <w:pStyle w:val="BookText"/>
        <w:bidi w:val="0"/>
        <w:jc w:val="both"/>
        <w:rPr/>
      </w:pPr>
      <w:r>
        <w:rPr>
          <w:rFonts w:eastAsia="Times New Roman" w:cs="Times New Roman" w:ascii="Times New Roman" w:hAnsi="Times New Roman"/>
          <w:color w:val="111111"/>
          <w:sz w:val="28"/>
          <w:szCs w:val="28"/>
          <w:lang w:val="en-US"/>
        </w:rPr>
        <w:t>(127) Mulla Sadra, Al-Asfar, J. 9, him. 322.</w:t>
      </w:r>
    </w:p>
    <w:p>
      <w:pPr>
        <w:pStyle w:val="BookText"/>
        <w:bidi w:val="0"/>
        <w:jc w:val="both"/>
        <w:rPr/>
      </w:pPr>
      <w:r>
        <w:rPr>
          <w:rFonts w:eastAsia="Times New Roman" w:cs="Times New Roman" w:ascii="Times New Roman" w:hAnsi="Times New Roman"/>
          <w:color w:val="111111"/>
          <w:sz w:val="28"/>
          <w:szCs w:val="28"/>
          <w:lang w:val="en-US"/>
        </w:rPr>
        <w:t>(128) QS 7:156.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وَرَحْمَتِی وَسِعَتْ کُلَّ شَیْءٍ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Rahmat-Ku meliputi segala sesuatu."  (129) Mulla Sadra, Al-Asfār, J. 9, hlm. 219. (Lihat kembali pembahasan  “Hakikat Kematian dan Alam Kubur”).</w:t>
      </w:r>
    </w:p>
    <w:p>
      <w:pPr>
        <w:pStyle w:val="BookText"/>
        <w:bidi w:val="0"/>
        <w:jc w:val="both"/>
        <w:rPr/>
      </w:pPr>
      <w:r>
        <w:rPr>
          <w:rFonts w:eastAsia="Times New Roman" w:cs="Times New Roman" w:ascii="Times New Roman" w:hAnsi="Times New Roman"/>
          <w:color w:val="111111"/>
          <w:sz w:val="28"/>
          <w:szCs w:val="28"/>
          <w:lang w:val="en-US"/>
        </w:rPr>
        <w:t>(130) Mulla Sadra, Al-Asfār, J. 9, hlm. 322. Teks aslinya sebagai  berikut:</w:t>
      </w:r>
    </w:p>
    <w:p>
      <w:pPr>
        <w:pStyle w:val="BookText"/>
        <w:bidi w:val="0"/>
        <w:jc w:val="both"/>
        <w:rPr/>
      </w:pPr>
      <w:r>
        <w:rPr>
          <w:rFonts w:ascii="IRNazanin" w:hAnsi="IRNazanin" w:eastAsia="IRNazanin"/>
          <w:color w:val="111111"/>
          <w:sz w:val="28"/>
          <w:sz w:val="28"/>
          <w:szCs w:val="28"/>
          <w:rtl w:val="true"/>
          <w:lang w:bidi="fa-IR"/>
        </w:rPr>
        <w:t>وقد علمت أن لیس للاخرة مکان فی هذا العالم لا فی علوه ولا فی سفله لأن  جمیع مافی أمکنة هذا العالم متجددة دائرة مستحیلة 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ماهو کذلک فهو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265 </w:t>
      </w:r>
    </w:p>
    <w:p>
      <w:pPr>
        <w:pStyle w:val="BookText"/>
        <w:bidi w:val="0"/>
        <w:rPr/>
      </w:pPr>
      <w:r>
        <w:rPr>
          <w:rFonts w:ascii="IRNazanin" w:hAnsi="IRNazanin" w:eastAsia="IRNazanin"/>
          <w:color w:val="111111"/>
          <w:sz w:val="28"/>
          <w:sz w:val="28"/>
          <w:szCs w:val="28"/>
          <w:rtl w:val="true"/>
          <w:lang w:bidi="fa-IR"/>
        </w:rPr>
        <w:t>من الدنیا والآخرة عقبی الدار لیست دار البو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داخل هذا العالم  وفی با طن حجب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منزلتها من الدنیا منزلة الجنین من  رحم الأم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لکل من الجنة والنار مظا هر ومرائی فی هذا العالم  بحسب رقائفها و نشئاتها الجزئیة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Al-Asfār, J. 9, hlm. 322. Teks hadis tersebut  sebagai berikut:</w:t>
      </w:r>
    </w:p>
    <w:p>
      <w:pPr>
        <w:pStyle w:val="BookText"/>
        <w:bidi w:val="0"/>
        <w:jc w:val="both"/>
        <w:rPr/>
      </w:pPr>
      <w:r>
        <w:rPr>
          <w:rFonts w:ascii="IRNazanin" w:hAnsi="IRNazanin" w:eastAsia="IRNazanin"/>
          <w:color w:val="111111"/>
          <w:sz w:val="28"/>
          <w:sz w:val="28"/>
          <w:szCs w:val="28"/>
          <w:rtl w:val="true"/>
          <w:lang w:bidi="fa-IR"/>
        </w:rPr>
        <w:t xml:space="preserve">قبرالمؤمن روضة من ریاض الجنة وقبر المنا فق حفر النیران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Mulla Sadra, Al-Asfar, J. 9, him. 338.</w:t>
      </w:r>
    </w:p>
    <w:p>
      <w:pPr>
        <w:pStyle w:val="BookText"/>
        <w:bidi w:val="0"/>
        <w:jc w:val="both"/>
        <w:rPr/>
      </w:pPr>
      <w:r>
        <w:rPr>
          <w:rFonts w:eastAsia="Times New Roman" w:cs="Times New Roman" w:ascii="Times New Roman" w:hAnsi="Times New Roman"/>
          <w:color w:val="111111"/>
          <w:sz w:val="28"/>
          <w:szCs w:val="28"/>
          <w:lang w:val="en-US"/>
        </w:rPr>
        <w:t>(133) Lihat: Fazlur Rahman, The Philosophy of Mulla Sadra, hlm.258.</w:t>
      </w:r>
    </w:p>
    <w:p>
      <w:pPr>
        <w:pStyle w:val="BookText"/>
        <w:bidi w:val="0"/>
        <w:jc w:val="both"/>
        <w:rPr/>
      </w:pPr>
      <w:r>
        <w:rPr>
          <w:rFonts w:eastAsia="Times New Roman" w:cs="Times New Roman" w:ascii="Times New Roman" w:hAnsi="Times New Roman"/>
          <w:color w:val="111111"/>
          <w:sz w:val="28"/>
          <w:szCs w:val="28"/>
          <w:lang w:val="en-US"/>
        </w:rPr>
        <w:t>(134) Lihat: Mulla Sadra, Al-Asfar, J. 9, him. 122.</w:t>
      </w:r>
    </w:p>
    <w:p>
      <w:pPr>
        <w:pStyle w:val="BookText"/>
        <w:bidi w:val="0"/>
        <w:jc w:val="both"/>
        <w:rPr/>
      </w:pPr>
      <w:r>
        <w:rPr>
          <w:rFonts w:eastAsia="Times New Roman" w:cs="Times New Roman" w:ascii="Times New Roman" w:hAnsi="Times New Roman"/>
          <w:color w:val="111111"/>
          <w:sz w:val="28"/>
          <w:szCs w:val="28"/>
          <w:lang w:val="en-US"/>
        </w:rPr>
        <w:t>(135) Ibn Sina, Mabda' wa Al-Ma'ād, hlm. 109–114.</w:t>
      </w:r>
    </w:p>
    <w:p>
      <w:pPr>
        <w:pStyle w:val="BookText"/>
        <w:bidi w:val="0"/>
        <w:jc w:val="both"/>
        <w:rPr/>
      </w:pPr>
      <w:r>
        <w:rPr>
          <w:rFonts w:eastAsia="Times New Roman" w:cs="Times New Roman" w:ascii="Times New Roman" w:hAnsi="Times New Roman"/>
          <w:color w:val="111111"/>
          <w:sz w:val="28"/>
          <w:szCs w:val="28"/>
          <w:lang w:val="en-US"/>
        </w:rPr>
        <w:t>(136) Mulla Sadra, Al-Asfar, J. 9, him. 162.</w:t>
      </w:r>
    </w:p>
    <w:p>
      <w:pPr>
        <w:pStyle w:val="BookText"/>
        <w:bidi w:val="0"/>
        <w:jc w:val="both"/>
        <w:rPr/>
      </w:pPr>
      <w:r>
        <w:rPr>
          <w:rFonts w:eastAsia="Times New Roman" w:cs="Times New Roman" w:ascii="Times New Roman" w:hAnsi="Times New Roman"/>
          <w:color w:val="111111"/>
          <w:sz w:val="28"/>
          <w:szCs w:val="28"/>
          <w:lang w:val="en-US"/>
        </w:rPr>
        <w:t>(137) Untuk lebih jelasnya dapat dilihat pada Kholid Al-Walid,  Tasawuf Mulla Sadra pandangan Ittihad Al-'Āqil wa Al-Ma'qul  (Bandung: Muthahari Press, 2005).</w:t>
      </w:r>
    </w:p>
    <w:p>
      <w:pPr>
        <w:pStyle w:val="BookText"/>
        <w:bidi w:val="0"/>
        <w:jc w:val="both"/>
        <w:rPr/>
      </w:pPr>
      <w:r>
        <w:rPr>
          <w:rFonts w:eastAsia="Times New Roman" w:cs="Times New Roman" w:ascii="Times New Roman" w:hAnsi="Times New Roman"/>
          <w:color w:val="111111"/>
          <w:sz w:val="28"/>
          <w:szCs w:val="28"/>
          <w:lang w:val="en-US"/>
        </w:rPr>
        <w:t>(138) Mulla Sadra, al-Asfār, J. 9, hlm. 123. Teks aslinya sebagai  berikut:</w:t>
      </w:r>
    </w:p>
    <w:p>
      <w:pPr>
        <w:pStyle w:val="BookText"/>
        <w:bidi w:val="0"/>
        <w:jc w:val="both"/>
        <w:rPr/>
      </w:pPr>
      <w:r>
        <w:rPr>
          <w:rFonts w:ascii="IRNazanin" w:hAnsi="IRNazanin" w:eastAsia="IRNazanin"/>
          <w:color w:val="111111"/>
          <w:sz w:val="28"/>
          <w:sz w:val="28"/>
          <w:szCs w:val="28"/>
          <w:rtl w:val="true"/>
          <w:lang w:bidi="fa-IR"/>
        </w:rPr>
        <w:t>أن المعرفة بدر المشا 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الحجاب بیننا وبین العقلیات إما عدم  التفطن لها و هو الجهل وإما الاشتغال بغیرها کالبدن والمواد الحسیة و قواها  المنطبعة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Al-Asfār, J.9, hlm. 131. Teks aslinya sebagai  berikut:</w:t>
      </w:r>
    </w:p>
    <w:p>
      <w:pPr>
        <w:pStyle w:val="BookText"/>
        <w:bidi w:val="0"/>
        <w:jc w:val="both"/>
        <w:rPr/>
      </w:pPr>
      <w:r>
        <w:rPr>
          <w:rFonts w:ascii="IRNazanin" w:hAnsi="IRNazanin" w:eastAsia="IRNazanin"/>
          <w:color w:val="111111"/>
          <w:sz w:val="28"/>
          <w:sz w:val="28"/>
          <w:szCs w:val="28"/>
          <w:rtl w:val="true"/>
          <w:lang w:bidi="fa-IR"/>
        </w:rPr>
        <w:t xml:space="preserve">أن الشرف والسعادة با لحقیقة إنما یحصل للنفس من جهة جزئها النظری  الذی هو أصل ذا تها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Mulla Sadra, Al-Asfār, J. 9, hlm. 133. Teks aslinya sebagai  berikut: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266 </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ومن أعظم الآلآم لهم إنهم عن ربهم لمحجو بون</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2:6-7.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کَفَرُوا سَوَاءٌ عَلَیْهِمْ أَأَنْذَرْتَهُمْ أَمْ لَمْ تُنْذِرْهُمْ لَا یُؤْمِنُونَ خَتَمَ اللَّهُ عَلَی قُلُوبِهِمْ وَعَلَی سَمْعِهِمْ وَعَلَی أَبْصَارِهِمْ غِشَاوَةٌ وَلَهُمْ عَذَابٌ عَظِیمٌ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Sesungguhnya orang-orang kafir, sama saja bagi mereka,  kamu beri peringatan atau tidak kamu beri peringatan,  mereka tidak juga akan beriman. Allah telah mengunci-mati  hati dan pendengaran mereka, dan penglihatan mereka  ditutup. Dan bagi mereka siksa yang amat berat."  (142) Mulla Sadra, Al-Asfar, J.9, hlm. 134-135.</w:t>
      </w:r>
    </w:p>
    <w:p>
      <w:pPr>
        <w:pStyle w:val="BookText"/>
        <w:bidi w:val="0"/>
        <w:jc w:val="both"/>
        <w:rPr/>
      </w:pPr>
      <w:r>
        <w:rPr>
          <w:rFonts w:eastAsia="Times New Roman" w:cs="Times New Roman" w:ascii="Times New Roman" w:hAnsi="Times New Roman"/>
          <w:color w:val="111111"/>
          <w:sz w:val="28"/>
          <w:szCs w:val="28"/>
          <w:lang w:val="en-US"/>
        </w:rPr>
        <w:t>(143) Ayat-ayat yang menunjukkan indikasi keabadian tersebut  antara lain QS : 2 : 82, 217 dst.</w:t>
      </w:r>
    </w:p>
    <w:p>
      <w:pPr>
        <w:pStyle w:val="BookText"/>
        <w:bidi w:val="0"/>
        <w:jc w:val="both"/>
        <w:rPr/>
      </w:pPr>
      <w:r>
        <w:rPr>
          <w:rFonts w:eastAsia="Times New Roman" w:cs="Times New Roman" w:ascii="Times New Roman" w:hAnsi="Times New Roman"/>
          <w:color w:val="111111"/>
          <w:sz w:val="28"/>
          <w:szCs w:val="28"/>
          <w:lang w:val="en-US"/>
        </w:rPr>
        <w:t>(144) Di antara teolog yang berpandangan seperti ini, a.l., Al-  Fachrurrazi al-Samarkandi dan hal ini di dasari ayat Alquran,  antara lain, QS 28:88.</w:t>
      </w:r>
    </w:p>
    <w:p>
      <w:pPr>
        <w:pStyle w:val="BookText"/>
        <w:bidi w:val="0"/>
        <w:jc w:val="both"/>
        <w:rPr/>
      </w:pPr>
      <w:r>
        <w:rPr>
          <w:rFonts w:eastAsia="Times New Roman" w:cs="Times New Roman" w:ascii="Times New Roman" w:hAnsi="Times New Roman"/>
          <w:color w:val="111111"/>
          <w:sz w:val="28"/>
          <w:szCs w:val="28"/>
          <w:lang w:val="en-US"/>
        </w:rPr>
        <w:t>(145) QS 4:56.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Setiap kali kulit mereka hangus, Kami ganti kulit mereka  dengan kulit yang lain, supaya mereka merasakan azab."  (146) QS 4:56. Teks ayat tersebut sebagai berikut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Mulla Sadra, Al-Asfar, J.9, hlm. 381. Teks aslinya sebagai  berikut: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حکم النار وأهلها قریب من حکم الدنیا وأهلها</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QS 20:74. Teks ayat tersebut sabagai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لَا یَمُوتُ فِیهَا وَلَا یَحْیَی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267 </w:t>
      </w:r>
    </w:p>
    <w:p>
      <w:pPr>
        <w:pStyle w:val="BookText"/>
        <w:bidi w:val="0"/>
        <w:rPr/>
      </w:pPr>
      <w:r>
        <w:rPr>
          <w:rFonts w:eastAsia="Times New Roman" w:cs="Times New Roman" w:ascii="Times New Roman" w:hAnsi="Times New Roman"/>
          <w:color w:val="111111"/>
          <w:sz w:val="28"/>
          <w:szCs w:val="28"/>
          <w:lang w:val="en-US"/>
        </w:rPr>
        <w:t>(149) Mulla Sadra, Al-Asfār, J. 9, hlm. 357. Penolakan Mulla Sadra  tersebut mengacu pada pernyataan Ibn 'Arabī di dalam  kitabnya, Al-Futuhat Al-Makiyyah, sebagai berikut: “Maka  ditunjukkan baginya kepada Kursyi yang memiliki dua kaki  hingga terbagi padanya kalimat ruhaniah...Keduanya memiliki  bentuk pada fisik general alami. Hal ini menunjukkan dua kaki  yang setiap kaki tersebut menetap pada satu tempat, yang satu  bernama neraka dan yang lain bernama surga. Tidak ada lagi  tempat di atas kedua kedua tempat kaki tersebut. Keduanya  tidak lain berasal dari Zat Maha Pengasih yang duduk  diatas Arsyi dan tidak keluar dari-Nya, kecuali kasih sayang.</w:t>
      </w:r>
    </w:p>
    <w:p>
      <w:pPr>
        <w:pStyle w:val="BookText"/>
        <w:bidi w:val="0"/>
        <w:jc w:val="both"/>
        <w:rPr/>
      </w:pPr>
      <w:r>
        <w:rPr>
          <w:rFonts w:eastAsia="Times New Roman" w:cs="Times New Roman" w:ascii="Times New Roman" w:hAnsi="Times New Roman"/>
          <w:color w:val="111111"/>
          <w:sz w:val="28"/>
          <w:szCs w:val="28"/>
          <w:lang w:val="en-US"/>
        </w:rPr>
        <w:t>Sesungguhnya, yang akhir akan kembali kepada permulaan  dengan kebijaksanaan... karena perjalanan penurunan sebagai  perjalanan penderitaan menyebabkan dunia, akhirat, dan  barzakh. Dan ketika berakhir pada puncak kediaman para  pelaku maksiat akan mendapatkan ketenangan dan terjadi  kepada mereka kenikmatan pada alam keabadian” (Ibn 'Arabī,  Al-Al-Futuhat al-Makiyyah (Beirut: Dar Sadir, tth.), J. 3, hlm. 462).</w:t>
      </w:r>
    </w:p>
    <w:p>
      <w:pPr>
        <w:pStyle w:val="BookText"/>
        <w:bidi w:val="0"/>
        <w:jc w:val="both"/>
        <w:rPr/>
      </w:pPr>
      <w:r>
        <w:rPr>
          <w:rFonts w:eastAsia="Times New Roman" w:cs="Times New Roman" w:ascii="Times New Roman" w:hAnsi="Times New Roman"/>
          <w:color w:val="111111"/>
          <w:sz w:val="28"/>
          <w:szCs w:val="28"/>
          <w:lang w:val="en-US"/>
        </w:rPr>
        <w:t>(150) Yang dimaksud Mulla Sadra dengan memiliki makna tersendiri  adalah bahwa kekekalan yang terjadi antar penghuni surga  dan neraka memiliki makna berbeda dan spesifik.</w:t>
      </w:r>
    </w:p>
    <w:p>
      <w:pPr>
        <w:pStyle w:val="BookText"/>
        <w:bidi w:val="0"/>
        <w:jc w:val="both"/>
        <w:rPr/>
      </w:pPr>
      <w:r>
        <w:rPr>
          <w:rFonts w:eastAsia="Times New Roman" w:cs="Times New Roman" w:ascii="Times New Roman" w:hAnsi="Times New Roman"/>
          <w:color w:val="111111"/>
          <w:sz w:val="28"/>
          <w:szCs w:val="28"/>
          <w:lang w:val="en-US"/>
        </w:rPr>
        <w:t>(151) QS 34:54. Teks ayat tersebut sebagai berikut: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وَحِیلَ بَیْنَهُمْ وَبَیْنَ مَا یَشْتَهُونَ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Mulla Sadra, Al-Syawāhid, hlm. 314, 315. Teks aslinya  sebagai berikut:</w:t>
      </w:r>
    </w:p>
    <w:p>
      <w:pPr>
        <w:pStyle w:val="BookText"/>
        <w:bidi w:val="0"/>
        <w:jc w:val="both"/>
        <w:rPr/>
      </w:pPr>
      <w:r>
        <w:rPr>
          <w:rFonts w:ascii="IRNazanin" w:hAnsi="IRNazanin" w:eastAsia="IRNazanin"/>
          <w:color w:val="111111"/>
          <w:sz w:val="28"/>
          <w:sz w:val="28"/>
          <w:szCs w:val="28"/>
          <w:rtl w:val="true"/>
          <w:lang w:bidi="fa-IR"/>
        </w:rPr>
        <w:t>و عندنا ایضا اصول دالته علی أن الجحیم و آلامها وشرورها دایمة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کماان الجنة و نعیمها و خیراتها دایمه با هلها الا ان الدوام لکل منهما علی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268 </w:t>
      </w:r>
    </w:p>
    <w:p>
      <w:pPr>
        <w:pStyle w:val="BookText"/>
        <w:bidi w:val="0"/>
        <w:rPr/>
      </w:pPr>
      <w:r>
        <w:rPr>
          <w:rFonts w:ascii="IRNazanin" w:hAnsi="IRNazanin" w:eastAsia="IRNazanin"/>
          <w:color w:val="111111"/>
          <w:sz w:val="28"/>
          <w:sz w:val="28"/>
          <w:szCs w:val="28"/>
          <w:rtl w:val="true"/>
          <w:lang w:bidi="fa-IR"/>
        </w:rPr>
        <w:t>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نظام الدنیا لا ینصلح الا بنفوس غلیظة و قلوب  قاسیة ولو کان الناس کلهم سعداء بنفوس خائفة من عذاب الله وقلوب خاشیة  الاختل النظام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فاذا کان و جود کل طائفة بحسب قضاء الهی و مقتض ظهور اسم ربانی  فیکون لها غایات طبیعیة ومنازل ذاتیة والأمور الذاتیة التی جبلت علیها الأ  شیاء اذا وقع الرجوع الیها یکون ملا یمة لذیذة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وقعت المفارقة عنها امدا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والحیلولة عن السکون الیها والاستقرار لها زمانا مدیدا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وحیل بینهم وبین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متجل بجمیع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 فی جمیع  المقامات والمراتب فهو الرحیم وهوالعزیز القهار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Lihat: Hasan Zadeh Amuli, Mumid Al-Himmam dar Syarh  Fushūs Al-Hikam (Tehran: Wezarate Farhangge va Irsyode  Islomi, 1378), him. 161.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269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 270 </w:t>
      </w:r>
      <w:bookmarkStart w:id="153" w:name="pg6434_60811"/>
    </w:p>
    <w:p>
      <w:pPr>
        <w:pStyle w:val="Heading2"/>
        <w:numPr>
          <w:ilvl w:val="1"/>
          <w:numId w:val="1"/>
        </w:numPr>
        <w:bidi w:val="0"/>
        <w:jc w:val="left"/>
        <w:rPr/>
      </w:pPr>
      <w:bookmarkStart w:id="154" w:name="__RefHeading___Toc808244_653776707"/>
      <w:bookmarkStart w:id="155" w:name="_Toc51"/>
      <w:bookmarkEnd w:id="153"/>
      <w:bookmarkEnd w:id="154"/>
      <w:r>
        <w:rPr/>
        <w:t>Indeks</w:t>
      </w:r>
      <w:bookmarkEnd w:id="155"/>
    </w:p>
    <w:p>
      <w:pPr>
        <w:pStyle w:val="BookText"/>
        <w:bidi w:val="0"/>
        <w:jc w:val="both"/>
        <w:rPr/>
      </w:pPr>
      <w:r>
        <w:rPr>
          <w:rFonts w:eastAsia="Times New Roman" w:cs="Times New Roman" w:ascii="Times New Roman" w:hAnsi="Times New Roman"/>
          <w:color w:val="111111"/>
          <w:sz w:val="28"/>
          <w:szCs w:val="28"/>
          <w:lang w:val="en-US"/>
        </w:rPr>
        <w:t>Barzakh 129. 185, 245, 255</w:t>
      </w:r>
    </w:p>
    <w:p>
      <w:pPr>
        <w:pStyle w:val="BookText"/>
        <w:bidi w:val="0"/>
        <w:jc w:val="both"/>
        <w:rPr/>
      </w:pPr>
      <w:r>
        <w:rPr>
          <w:rFonts w:eastAsia="Times New Roman" w:cs="Times New Roman" w:ascii="Times New Roman" w:hAnsi="Times New Roman"/>
          <w:color w:val="111111"/>
          <w:sz w:val="28"/>
          <w:szCs w:val="28"/>
          <w:lang w:val="en-US"/>
        </w:rPr>
        <w:t>Corbin 1.5, 24, 3033</w:t>
      </w:r>
    </w:p>
    <w:p>
      <w:pPr>
        <w:pStyle w:val="BookText"/>
        <w:bidi w:val="0"/>
        <w:jc w:val="both"/>
        <w:rPr/>
      </w:pPr>
      <w:r>
        <w:rPr>
          <w:rFonts w:eastAsia="Times New Roman" w:cs="Times New Roman" w:ascii="Times New Roman" w:hAnsi="Times New Roman"/>
          <w:color w:val="111111"/>
          <w:sz w:val="28"/>
          <w:szCs w:val="28"/>
          <w:lang w:val="en-US"/>
        </w:rPr>
        <w:t>daya emosional 96:234 237</w:t>
      </w:r>
    </w:p>
    <w:p>
      <w:pPr>
        <w:pStyle w:val="BookText"/>
        <w:bidi w:val="0"/>
        <w:jc w:val="both"/>
        <w:rPr/>
      </w:pPr>
      <w:r>
        <w:rPr>
          <w:rFonts w:eastAsia="Times New Roman" w:cs="Times New Roman" w:ascii="Times New Roman" w:hAnsi="Times New Roman"/>
          <w:color w:val="111111"/>
          <w:sz w:val="28"/>
          <w:szCs w:val="28"/>
          <w:lang w:val="en-US"/>
        </w:rPr>
        <w:t>dava estimasi hewani 97</w:t>
      </w:r>
    </w:p>
    <w:p>
      <w:pPr>
        <w:pStyle w:val="BookText"/>
        <w:bidi w:val="0"/>
        <w:jc w:val="both"/>
        <w:rPr/>
      </w:pPr>
      <w:r>
        <w:rPr>
          <w:rFonts w:eastAsia="Times New Roman" w:cs="Times New Roman" w:ascii="Times New Roman" w:hAnsi="Times New Roman"/>
          <w:color w:val="111111"/>
          <w:sz w:val="28"/>
          <w:szCs w:val="28"/>
          <w:lang w:val="en-US"/>
        </w:rPr>
        <w:t>daya intelek 97' 215 216 233</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daya kerinduan 95</w:t>
      </w:r>
    </w:p>
    <w:p>
      <w:pPr>
        <w:pStyle w:val="BookText"/>
        <w:bidi w:val="0"/>
        <w:jc w:val="both"/>
        <w:rPr/>
      </w:pPr>
      <w:r>
        <w:rPr>
          <w:rFonts w:eastAsia="Times New Roman" w:cs="Times New Roman" w:ascii="Times New Roman" w:hAnsi="Times New Roman"/>
          <w:color w:val="111111"/>
          <w:sz w:val="28"/>
          <w:szCs w:val="28"/>
          <w:lang w:val="en-US"/>
        </w:rPr>
        <w:t>daya penggerak 96</w:t>
      </w:r>
    </w:p>
    <w:p>
      <w:pPr>
        <w:pStyle w:val="BookText"/>
        <w:bidi w:val="0"/>
        <w:jc w:val="both"/>
        <w:rPr/>
      </w:pPr>
      <w:r>
        <w:rPr>
          <w:rFonts w:eastAsia="Times New Roman" w:cs="Times New Roman" w:ascii="Times New Roman" w:hAnsi="Times New Roman"/>
          <w:color w:val="111111"/>
          <w:sz w:val="28"/>
          <w:szCs w:val="28"/>
          <w:lang w:val="en-US"/>
        </w:rPr>
        <w:t>daya persepsi 96 136' 178 179</w:t>
      </w:r>
    </w:p>
    <w:p>
      <w:pPr>
        <w:pStyle w:val="BookText"/>
        <w:bidi w:val="0"/>
        <w:jc w:val="both"/>
        <w:rPr/>
      </w:pPr>
      <w:r>
        <w:rPr>
          <w:rFonts w:eastAsia="Times New Roman" w:cs="Times New Roman" w:ascii="Times New Roman" w:hAnsi="Times New Roman"/>
          <w:color w:val="111111"/>
          <w:sz w:val="28"/>
          <w:szCs w:val="28"/>
          <w:lang w:val="en-US"/>
        </w:rPr>
        <w:t>daya syahwat 96</w:t>
      </w:r>
    </w:p>
    <w:p>
      <w:pPr>
        <w:pStyle w:val="BookText"/>
        <w:bidi w:val="0"/>
        <w:jc w:val="both"/>
        <w:rPr/>
      </w:pPr>
      <w:r>
        <w:rPr>
          <w:rFonts w:eastAsia="Times New Roman" w:cs="Times New Roman" w:ascii="Times New Roman" w:hAnsi="Times New Roman"/>
          <w:color w:val="111111"/>
          <w:sz w:val="28"/>
          <w:szCs w:val="28"/>
          <w:lang w:val="en-US"/>
        </w:rPr>
        <w:t>Abu Abdillah Zanjani 21:32</w:t>
      </w:r>
    </w:p>
    <w:p>
      <w:pPr>
        <w:pStyle w:val="BookText"/>
        <w:bidi w:val="0"/>
        <w:jc w:val="both"/>
        <w:rPr/>
      </w:pPr>
      <w:r>
        <w:rPr>
          <w:rFonts w:eastAsia="Times New Roman" w:cs="Times New Roman" w:ascii="Times New Roman" w:hAnsi="Times New Roman"/>
          <w:color w:val="111111"/>
          <w:sz w:val="28"/>
          <w:szCs w:val="28"/>
          <w:lang w:val="en-US"/>
        </w:rPr>
        <w:t>Agha Jani 15</w:t>
      </w:r>
    </w:p>
    <w:p>
      <w:pPr>
        <w:pStyle w:val="BookText"/>
        <w:bidi w:val="0"/>
        <w:jc w:val="both"/>
        <w:rPr/>
      </w:pPr>
      <w:r>
        <w:rPr>
          <w:rFonts w:eastAsia="Times New Roman" w:cs="Times New Roman" w:ascii="Times New Roman" w:hAnsi="Times New Roman"/>
          <w:color w:val="111111"/>
          <w:sz w:val="28"/>
          <w:szCs w:val="28"/>
          <w:lang w:val="en-US"/>
        </w:rPr>
        <w:t>Aktualisasi daya intelek 215</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aktualisasi daya tindakan 215</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Al-Asfār xxxii' xxxix: 5 16 17</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155212223243 244</w:t>
      </w:r>
    </w:p>
    <w:p>
      <w:pPr>
        <w:pStyle w:val="BookText"/>
        <w:bidi w:val="0"/>
        <w:jc w:val="both"/>
        <w:rPr/>
      </w:pPr>
      <w:r>
        <w:rPr>
          <w:rFonts w:eastAsia="Times New Roman" w:cs="Times New Roman" w:ascii="Times New Roman" w:hAnsi="Times New Roman"/>
          <w:color w:val="111111"/>
          <w:sz w:val="28"/>
          <w:szCs w:val="28"/>
          <w:lang w:val="en-US"/>
        </w:rPr>
        <w:t>5'212223243 244</w:t>
      </w:r>
    </w:p>
    <w:p>
      <w:pPr>
        <w:pStyle w:val="BookText"/>
        <w:bidi w:val="0"/>
        <w:jc w:val="both"/>
        <w:rPr/>
      </w:pPr>
      <w:r>
        <w:rPr>
          <w:rFonts w:eastAsia="Times New Roman" w:cs="Times New Roman" w:ascii="Times New Roman" w:hAnsi="Times New Roman"/>
          <w:color w:val="111111"/>
          <w:sz w:val="28"/>
          <w:szCs w:val="28"/>
          <w:lang w:val="en-US"/>
        </w:rPr>
        <w:t>247 248 253, 254255</w:t>
      </w:r>
    </w:p>
    <w:p>
      <w:pPr>
        <w:pStyle w:val="BookText"/>
        <w:bidi w:val="0"/>
        <w:jc w:val="both"/>
        <w:rPr/>
      </w:pPr>
      <w:r>
        <w:rPr>
          <w:rFonts w:eastAsia="Times New Roman" w:cs="Times New Roman" w:ascii="Times New Roman" w:hAnsi="Times New Roman"/>
          <w:color w:val="111111"/>
          <w:sz w:val="28"/>
          <w:szCs w:val="28"/>
          <w:lang w:val="en-US"/>
        </w:rPr>
        <w:t>257 260 261 262 263</w:t>
      </w:r>
    </w:p>
    <w:p>
      <w:pPr>
        <w:pStyle w:val="BookText"/>
        <w:bidi w:val="0"/>
        <w:jc w:val="both"/>
        <w:rPr/>
      </w:pPr>
      <w:r>
        <w:rPr>
          <w:rFonts w:eastAsia="Times New Roman" w:cs="Times New Roman" w:ascii="Times New Roman" w:hAnsi="Times New Roman"/>
          <w:color w:val="111111"/>
          <w:sz w:val="28"/>
          <w:szCs w:val="28"/>
          <w:lang w:val="en-US"/>
        </w:rPr>
        <w:t>264 265 266 267 268</w:t>
      </w:r>
    </w:p>
    <w:p>
      <w:pPr>
        <w:pStyle w:val="BookText"/>
        <w:bidi w:val="0"/>
        <w:jc w:val="both"/>
        <w:rPr/>
      </w:pPr>
      <w:r>
        <w:rPr>
          <w:rFonts w:eastAsia="Times New Roman" w:cs="Times New Roman" w:ascii="Times New Roman" w:hAnsi="Times New Roman"/>
          <w:color w:val="111111"/>
          <w:sz w:val="28"/>
          <w:szCs w:val="28"/>
          <w:lang w:val="en-US"/>
        </w:rPr>
        <w:t>Al-Farabi 158</w:t>
      </w:r>
    </w:p>
    <w:p>
      <w:pPr>
        <w:pStyle w:val="BookText"/>
        <w:bidi w:val="0"/>
        <w:jc w:val="both"/>
        <w:rPr/>
      </w:pPr>
      <w:r>
        <w:rPr>
          <w:rFonts w:eastAsia="Times New Roman" w:cs="Times New Roman" w:ascii="Times New Roman" w:hAnsi="Times New Roman"/>
          <w:color w:val="111111"/>
          <w:sz w:val="28"/>
          <w:szCs w:val="28"/>
          <w:lang w:val="en-US"/>
        </w:rPr>
        <w:t>Al-Ghazali xxx: 44: 50 70 177</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185, 186, 192: 205</w:t>
      </w:r>
    </w:p>
    <w:p>
      <w:pPr>
        <w:pStyle w:val="BookText"/>
        <w:bidi w:val="0"/>
        <w:jc w:val="both"/>
        <w:rPr/>
      </w:pPr>
      <w:r>
        <w:rPr>
          <w:rFonts w:eastAsia="Times New Roman" w:cs="Times New Roman" w:ascii="Times New Roman" w:hAnsi="Times New Roman"/>
          <w:color w:val="111111"/>
          <w:sz w:val="28"/>
          <w:szCs w:val="28"/>
          <w:lang w:val="en-US"/>
        </w:rPr>
        <w:t>206 207 208 211, 216</w:t>
      </w:r>
    </w:p>
    <w:p>
      <w:pPr>
        <w:pStyle w:val="BookText"/>
        <w:bidi w:val="0"/>
        <w:jc w:val="both"/>
        <w:rPr/>
      </w:pPr>
      <w:r>
        <w:rPr>
          <w:rFonts w:eastAsia="Times New Roman" w:cs="Times New Roman" w:ascii="Times New Roman" w:hAnsi="Times New Roman"/>
          <w:color w:val="111111"/>
          <w:sz w:val="28"/>
          <w:szCs w:val="28"/>
          <w:lang w:val="en-US"/>
        </w:rPr>
        <w:t>217 225 243 262</w:t>
      </w:r>
    </w:p>
    <w:p>
      <w:pPr>
        <w:pStyle w:val="BookText"/>
        <w:bidi w:val="0"/>
        <w:jc w:val="both"/>
        <w:rPr/>
      </w:pPr>
      <w:r>
        <w:rPr>
          <w:rFonts w:eastAsia="Times New Roman" w:cs="Times New Roman" w:ascii="Times New Roman" w:hAnsi="Times New Roman"/>
          <w:color w:val="111111"/>
          <w:sz w:val="28"/>
          <w:szCs w:val="28"/>
          <w:lang w:val="en-US"/>
        </w:rPr>
        <w:t>al-Hikmah al-Muta'āliyyah xxxi</w:t>
      </w:r>
    </w:p>
    <w:p>
      <w:pPr>
        <w:pStyle w:val="BookText"/>
        <w:bidi w:val="0"/>
        <w:jc w:val="both"/>
        <w:rPr/>
      </w:pPr>
      <w:r>
        <w:rPr>
          <w:rFonts w:eastAsia="Times New Roman" w:cs="Times New Roman" w:ascii="Times New Roman" w:hAnsi="Times New Roman"/>
          <w:color w:val="111111"/>
          <w:sz w:val="28"/>
          <w:szCs w:val="28"/>
          <w:lang w:val="en-US"/>
        </w:rPr>
        <w:t>14 16:21:22:23:24: 25</w:t>
      </w:r>
    </w:p>
    <w:p>
      <w:pPr>
        <w:pStyle w:val="BookText"/>
        <w:bidi w:val="0"/>
        <w:jc w:val="both"/>
        <w:rPr/>
      </w:pPr>
      <w:r>
        <w:rPr>
          <w:rFonts w:eastAsia="Times New Roman" w:cs="Times New Roman" w:ascii="Times New Roman" w:hAnsi="Times New Roman"/>
          <w:color w:val="111111"/>
          <w:sz w:val="28"/>
          <w:szCs w:val="28"/>
          <w:lang w:val="en-US"/>
        </w:rPr>
        <w:t>35 36</w:t>
      </w:r>
    </w:p>
    <w:p>
      <w:pPr>
        <w:pStyle w:val="BookText"/>
        <w:bidi w:val="0"/>
        <w:jc w:val="both"/>
        <w:rPr/>
      </w:pPr>
      <w:r>
        <w:rPr>
          <w:rFonts w:eastAsia="Times New Roman" w:cs="Times New Roman" w:ascii="Times New Roman" w:hAnsi="Times New Roman"/>
          <w:color w:val="111111"/>
          <w:sz w:val="28"/>
          <w:szCs w:val="28"/>
          <w:lang w:val="en-US"/>
        </w:rPr>
        <w:t>Ali bin Abi Thalib r.a xxxi</w:t>
      </w:r>
    </w:p>
    <w:p>
      <w:pPr>
        <w:pStyle w:val="BookText"/>
        <w:bidi w:val="0"/>
        <w:jc w:val="both"/>
        <w:rPr/>
      </w:pPr>
      <w:r>
        <w:rPr>
          <w:rFonts w:eastAsia="Times New Roman" w:cs="Times New Roman" w:ascii="Times New Roman" w:hAnsi="Times New Roman"/>
          <w:color w:val="111111"/>
          <w:sz w:val="28"/>
          <w:szCs w:val="28"/>
          <w:lang w:val="en-US"/>
        </w:rPr>
        <w:t>Allamah Thabathaba'i 1</w:t>
      </w:r>
    </w:p>
    <w:p>
      <w:pPr>
        <w:pStyle w:val="BookText"/>
        <w:bidi w:val="0"/>
        <w:jc w:val="both"/>
        <w:rPr/>
      </w:pPr>
      <w:r>
        <w:rPr>
          <w:rFonts w:eastAsia="Times New Roman" w:cs="Times New Roman" w:ascii="Times New Roman" w:hAnsi="Times New Roman"/>
          <w:color w:val="111111"/>
          <w:sz w:val="28"/>
          <w:szCs w:val="28"/>
          <w:lang w:val="en-US"/>
        </w:rPr>
        <w:t>al-Ruj'ah 112 113</w:t>
      </w:r>
    </w:p>
    <w:p>
      <w:pPr>
        <w:pStyle w:val="BookText"/>
        <w:bidi w:val="0"/>
        <w:jc w:val="both"/>
        <w:rPr/>
      </w:pPr>
      <w:r>
        <w:rPr>
          <w:rFonts w:eastAsia="Times New Roman" w:cs="Times New Roman" w:ascii="Times New Roman" w:hAnsi="Times New Roman"/>
          <w:color w:val="111111"/>
          <w:sz w:val="28"/>
          <w:szCs w:val="28"/>
          <w:lang w:val="en-US"/>
        </w:rPr>
        <w:t>Al-Taftazana xxvii' xxxvi</w:t>
      </w:r>
    </w:p>
    <w:p>
      <w:pPr>
        <w:pStyle w:val="BookText"/>
        <w:bidi w:val="0"/>
        <w:jc w:val="both"/>
        <w:rPr/>
      </w:pPr>
      <w:r>
        <w:rPr>
          <w:rFonts w:eastAsia="Times New Roman" w:cs="Times New Roman" w:ascii="Times New Roman" w:hAnsi="Times New Roman"/>
          <w:color w:val="111111"/>
          <w:sz w:val="28"/>
          <w:szCs w:val="28"/>
          <w:lang w:val="en-US"/>
        </w:rPr>
        <w:t>Argumentasi Eskatologis x: 75</w:t>
      </w:r>
    </w:p>
    <w:p>
      <w:pPr>
        <w:pStyle w:val="BookText"/>
        <w:bidi w:val="0"/>
        <w:jc w:val="both"/>
        <w:rPr/>
      </w:pPr>
      <w:r>
        <w:rPr>
          <w:rFonts w:eastAsia="Times New Roman" w:cs="Times New Roman" w:ascii="Times New Roman" w:hAnsi="Times New Roman"/>
          <w:color w:val="111111"/>
          <w:sz w:val="28"/>
          <w:szCs w:val="28"/>
          <w:lang w:val="en-US"/>
        </w:rPr>
        <w:t>Aristoteles 4,9. 4767 103.165</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Aristotelian 9.23</w:t>
      </w:r>
    </w:p>
    <w:p>
      <w:pPr>
        <w:pStyle w:val="BookText"/>
        <w:bidi w:val="0"/>
        <w:jc w:val="both"/>
        <w:rPr/>
      </w:pPr>
      <w:r>
        <w:rPr>
          <w:rFonts w:eastAsia="Times New Roman" w:cs="Times New Roman" w:ascii="Times New Roman" w:hAnsi="Times New Roman"/>
          <w:color w:val="111111"/>
          <w:sz w:val="28"/>
          <w:szCs w:val="28"/>
          <w:lang w:val="en-US"/>
        </w:rPr>
        <w:t>Arsyiyyah 91</w:t>
      </w:r>
    </w:p>
    <w:p>
      <w:pPr>
        <w:pStyle w:val="BookText"/>
        <w:bidi w:val="0"/>
        <w:jc w:val="both"/>
        <w:rPr/>
      </w:pPr>
      <w:r>
        <w:rPr>
          <w:rFonts w:eastAsia="Times New Roman" w:cs="Times New Roman" w:ascii="Times New Roman" w:hAnsi="Times New Roman"/>
          <w:color w:val="111111"/>
          <w:sz w:val="28"/>
          <w:szCs w:val="28"/>
          <w:lang w:val="en-US"/>
        </w:rPr>
        <w:t>Asālat al-Māhiyyah 269</w:t>
      </w:r>
    </w:p>
    <w:p>
      <w:pPr>
        <w:pStyle w:val="BookText"/>
        <w:bidi w:val="0"/>
        <w:jc w:val="both"/>
        <w:rPr/>
      </w:pPr>
      <w:r>
        <w:rPr>
          <w:rFonts w:eastAsia="Times New Roman" w:cs="Times New Roman" w:ascii="Times New Roman" w:hAnsi="Times New Roman"/>
          <w:color w:val="111111"/>
          <w:sz w:val="28"/>
          <w:szCs w:val="28"/>
          <w:lang w:val="en-US"/>
        </w:rPr>
        <w:t>Asālat al-Wujud 35</w:t>
      </w:r>
    </w:p>
    <w:p>
      <w:pPr>
        <w:pStyle w:val="BookText"/>
        <w:bidi w:val="0"/>
        <w:jc w:val="both"/>
        <w:rPr/>
      </w:pPr>
      <w:r>
        <w:rPr>
          <w:rFonts w:eastAsia="Times New Roman" w:cs="Times New Roman" w:ascii="Times New Roman" w:hAnsi="Times New Roman"/>
          <w:color w:val="111111"/>
          <w:sz w:val="28"/>
          <w:szCs w:val="28"/>
          <w:lang w:val="en-US"/>
        </w:rPr>
        <w:t>Ekuivok 68</w:t>
      </w:r>
    </w:p>
    <w:p>
      <w:pPr>
        <w:pStyle w:val="BookText"/>
        <w:bidi w:val="0"/>
        <w:jc w:val="both"/>
        <w:rPr/>
      </w:pPr>
      <w:r>
        <w:rPr>
          <w:rFonts w:eastAsia="Times New Roman" w:cs="Times New Roman" w:ascii="Times New Roman" w:hAnsi="Times New Roman"/>
          <w:color w:val="111111"/>
          <w:sz w:val="28"/>
          <w:szCs w:val="28"/>
          <w:lang w:val="en-US"/>
        </w:rPr>
        <w:t>Emanasi ix. 18, 35, 46, 50</w:t>
      </w:r>
    </w:p>
    <w:p>
      <w:pPr>
        <w:pStyle w:val="BookText"/>
        <w:bidi w:val="0"/>
        <w:jc w:val="both"/>
        <w:rPr/>
      </w:pPr>
      <w:r>
        <w:rPr>
          <w:rFonts w:eastAsia="Times New Roman" w:cs="Times New Roman" w:ascii="Times New Roman" w:hAnsi="Times New Roman"/>
          <w:color w:val="111111"/>
          <w:sz w:val="28"/>
          <w:szCs w:val="28"/>
          <w:lang w:val="en-US"/>
        </w:rPr>
        <w:t>Eskatologi v Vİ'X' XXI' XXV' XXVİ'</w:t>
      </w:r>
    </w:p>
    <w:p>
      <w:pPr>
        <w:pStyle w:val="BookText"/>
        <w:bidi w:val="0"/>
        <w:jc w:val="both"/>
        <w:rPr/>
      </w:pPr>
      <w:r>
        <w:rPr>
          <w:rFonts w:eastAsia="Times New Roman" w:cs="Times New Roman" w:ascii="Times New Roman" w:hAnsi="Times New Roman"/>
          <w:color w:val="111111"/>
          <w:sz w:val="28"/>
          <w:szCs w:val="28"/>
          <w:lang w:val="en-US"/>
        </w:rPr>
        <w:t>XXVII' XXX' XXXIV XXXVI' XXX-</w:t>
      </w:r>
    </w:p>
    <w:p>
      <w:pPr>
        <w:pStyle w:val="BookText"/>
        <w:bidi w:val="0"/>
        <w:jc w:val="both"/>
        <w:rPr/>
      </w:pPr>
      <w:r>
        <w:rPr>
          <w:rFonts w:eastAsia="Times New Roman" w:cs="Times New Roman" w:ascii="Times New Roman" w:hAnsi="Times New Roman"/>
          <w:color w:val="111111"/>
          <w:sz w:val="28"/>
          <w:szCs w:val="28"/>
          <w:lang w:val="en-US"/>
        </w:rPr>
        <w:t>vii: 35 66 72 75 80 101</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114131.</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147 188 192 198; 201</w:t>
      </w:r>
    </w:p>
    <w:p>
      <w:pPr>
        <w:pStyle w:val="BookText"/>
        <w:bidi w:val="0"/>
        <w:jc w:val="both"/>
        <w:rPr/>
      </w:pPr>
      <w:r>
        <w:rPr>
          <w:rFonts w:eastAsia="Times New Roman" w:cs="Times New Roman" w:ascii="Times New Roman" w:hAnsi="Times New Roman"/>
          <w:color w:val="111111"/>
          <w:sz w:val="28"/>
          <w:szCs w:val="28"/>
          <w:lang w:val="en-US"/>
        </w:rPr>
        <w:t>202 206,208 211 212</w:t>
      </w:r>
    </w:p>
    <w:p>
      <w:pPr>
        <w:pStyle w:val="BookText"/>
        <w:bidi w:val="0"/>
        <w:jc w:val="both"/>
        <w:rPr/>
      </w:pPr>
      <w:r>
        <w:rPr>
          <w:rFonts w:eastAsia="Times New Roman" w:cs="Times New Roman" w:ascii="Times New Roman" w:hAnsi="Times New Roman"/>
          <w:color w:val="111111"/>
          <w:sz w:val="28"/>
          <w:szCs w:val="28"/>
          <w:lang w:val="en-US"/>
        </w:rPr>
        <w:t>223.225233 238 245,</w:t>
      </w:r>
    </w:p>
    <w:p>
      <w:pPr>
        <w:pStyle w:val="BookText"/>
        <w:bidi w:val="0"/>
        <w:jc w:val="both"/>
        <w:rPr/>
      </w:pPr>
      <w:r>
        <w:rPr>
          <w:rFonts w:eastAsia="Times New Roman" w:cs="Times New Roman" w:ascii="Times New Roman" w:hAnsi="Times New Roman"/>
          <w:color w:val="111111"/>
          <w:sz w:val="28"/>
          <w:szCs w:val="28"/>
          <w:lang w:val="en-US"/>
        </w:rPr>
        <w:t>254, 256, 259, 262</w:t>
      </w:r>
    </w:p>
    <w:p>
      <w:pPr>
        <w:pStyle w:val="BookText"/>
        <w:bidi w:val="0"/>
        <w:jc w:val="both"/>
        <w:rPr/>
      </w:pPr>
      <w:r>
        <w:rPr>
          <w:rFonts w:eastAsia="Times New Roman" w:cs="Times New Roman" w:ascii="Times New Roman" w:hAnsi="Times New Roman"/>
          <w:color w:val="111111"/>
          <w:sz w:val="28"/>
          <w:szCs w:val="28"/>
          <w:lang w:val="en-US"/>
        </w:rPr>
        <w:t>Faid Kasyani 12</w:t>
      </w:r>
    </w:p>
    <w:p>
      <w:pPr>
        <w:pStyle w:val="BookText"/>
        <w:bidi w:val="0"/>
        <w:jc w:val="both"/>
        <w:rPr/>
      </w:pPr>
      <w:r>
        <w:rPr>
          <w:rFonts w:eastAsia="Times New Roman" w:cs="Times New Roman" w:ascii="Times New Roman" w:hAnsi="Times New Roman"/>
          <w:color w:val="111111"/>
          <w:sz w:val="28"/>
          <w:szCs w:val="28"/>
          <w:lang w:val="en-US"/>
        </w:rPr>
        <w:t>Fazlur Rahman xxxvi: 30-67: 71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271 </w:t>
      </w:r>
    </w:p>
    <w:p>
      <w:pPr>
        <w:pStyle w:val="BookText"/>
        <w:bidi w:val="0"/>
        <w:rPr/>
      </w:pPr>
      <w:r>
        <w:rPr>
          <w:rFonts w:eastAsia="Times New Roman" w:cs="Times New Roman" w:ascii="Times New Roman" w:hAnsi="Times New Roman"/>
          <w:color w:val="111111"/>
          <w:sz w:val="28"/>
          <w:szCs w:val="28"/>
          <w:lang w:val="en-US"/>
        </w:rPr>
        <w:t>91.100 157 158 159 181 184</w:t>
      </w:r>
    </w:p>
    <w:p>
      <w:pPr>
        <w:pStyle w:val="BookText"/>
        <w:bidi w:val="0"/>
        <w:jc w:val="both"/>
        <w:rPr/>
      </w:pPr>
      <w:r>
        <w:rPr>
          <w:rFonts w:eastAsia="Times New Roman" w:cs="Times New Roman" w:ascii="Times New Roman" w:hAnsi="Times New Roman"/>
          <w:color w:val="111111"/>
          <w:sz w:val="28"/>
          <w:szCs w:val="28"/>
          <w:lang w:val="en-US"/>
        </w:rPr>
        <w:t>185 211214: 232 246</w:t>
      </w:r>
    </w:p>
    <w:p>
      <w:pPr>
        <w:pStyle w:val="BookText"/>
        <w:bidi w:val="0"/>
        <w:jc w:val="both"/>
        <w:rPr/>
      </w:pPr>
      <w:r>
        <w:rPr>
          <w:rFonts w:eastAsia="Times New Roman" w:cs="Times New Roman" w:ascii="Times New Roman" w:hAnsi="Times New Roman"/>
          <w:color w:val="111111"/>
          <w:sz w:val="28"/>
          <w:szCs w:val="28"/>
          <w:lang w:val="en-US"/>
        </w:rPr>
        <w:t>247 257 260 261 262</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Filsafat v. Vi' ix' XİX' XXİ' XXV. XXIX</w:t>
      </w:r>
    </w:p>
    <w:p>
      <w:pPr>
        <w:pStyle w:val="BookText"/>
        <w:bidi w:val="0"/>
        <w:jc w:val="both"/>
        <w:rPr/>
      </w:pPr>
      <w:r>
        <w:rPr>
          <w:rFonts w:eastAsia="Times New Roman" w:cs="Times New Roman" w:ascii="Times New Roman" w:hAnsi="Times New Roman"/>
          <w:color w:val="111111"/>
          <w:sz w:val="28"/>
          <w:szCs w:val="28"/>
          <w:lang w:val="en-US"/>
        </w:rPr>
        <w:t>XXXi' XXXVii' xxxviii: 4.619</w:t>
      </w:r>
    </w:p>
    <w:p>
      <w:pPr>
        <w:pStyle w:val="BookText"/>
        <w:bidi w:val="0"/>
        <w:jc w:val="both"/>
        <w:rPr/>
      </w:pPr>
      <w:r>
        <w:rPr>
          <w:rFonts w:eastAsia="Times New Roman" w:cs="Times New Roman" w:ascii="Times New Roman" w:hAnsi="Times New Roman"/>
          <w:color w:val="111111"/>
          <w:sz w:val="28"/>
          <w:szCs w:val="28"/>
          <w:lang w:val="en-US"/>
        </w:rPr>
        <w:t>21:29 30 35 68 69 70 71</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filsafat Iluminasi xxv 15</w:t>
      </w:r>
    </w:p>
    <w:p>
      <w:pPr>
        <w:pStyle w:val="BookText"/>
        <w:bidi w:val="0"/>
        <w:jc w:val="both"/>
        <w:rPr/>
      </w:pPr>
      <w:r>
        <w:rPr>
          <w:rFonts w:eastAsia="Times New Roman" w:cs="Times New Roman" w:ascii="Times New Roman" w:hAnsi="Times New Roman"/>
          <w:color w:val="111111"/>
          <w:sz w:val="28"/>
          <w:szCs w:val="28"/>
          <w:lang w:val="en-US"/>
        </w:rPr>
        <w:t>Filsafat Isyrāqiyyah xxxi</w:t>
      </w:r>
    </w:p>
    <w:p>
      <w:pPr>
        <w:pStyle w:val="BookText"/>
        <w:bidi w:val="0"/>
        <w:jc w:val="both"/>
        <w:rPr/>
      </w:pPr>
      <w:r>
        <w:rPr>
          <w:rFonts w:eastAsia="Times New Roman" w:cs="Times New Roman" w:ascii="Times New Roman" w:hAnsi="Times New Roman"/>
          <w:color w:val="111111"/>
          <w:sz w:val="28"/>
          <w:szCs w:val="28"/>
          <w:lang w:val="en-US"/>
        </w:rPr>
        <w:t>filsafat Peripatetik 11:21:26: 79</w:t>
      </w:r>
    </w:p>
    <w:p>
      <w:pPr>
        <w:pStyle w:val="BookText"/>
        <w:bidi w:val="0"/>
        <w:jc w:val="both"/>
        <w:rPr/>
      </w:pPr>
      <w:r>
        <w:rPr>
          <w:rFonts w:eastAsia="Times New Roman" w:cs="Times New Roman" w:ascii="Times New Roman" w:hAnsi="Times New Roman"/>
          <w:color w:val="111111"/>
          <w:sz w:val="28"/>
          <w:szCs w:val="28"/>
          <w:lang w:val="en-US"/>
        </w:rPr>
        <w:t>131206</w:t>
      </w:r>
    </w:p>
    <w:p>
      <w:pPr>
        <w:pStyle w:val="BookText"/>
        <w:bidi w:val="0"/>
        <w:jc w:val="both"/>
        <w:rPr/>
      </w:pPr>
      <w:r>
        <w:rPr>
          <w:rFonts w:eastAsia="Times New Roman" w:cs="Times New Roman" w:ascii="Times New Roman" w:hAnsi="Times New Roman"/>
          <w:color w:val="111111"/>
          <w:sz w:val="28"/>
          <w:szCs w:val="28"/>
          <w:lang w:val="en-US"/>
        </w:rPr>
        <w:t>forma parsial 96</w:t>
      </w:r>
    </w:p>
    <w:p>
      <w:pPr>
        <w:pStyle w:val="BookText"/>
        <w:bidi w:val="0"/>
        <w:jc w:val="both"/>
        <w:rPr/>
      </w:pPr>
      <w:r>
        <w:rPr>
          <w:rFonts w:eastAsia="Times New Roman" w:cs="Times New Roman" w:ascii="Times New Roman" w:hAnsi="Times New Roman"/>
          <w:color w:val="111111"/>
          <w:sz w:val="28"/>
          <w:szCs w:val="28"/>
          <w:lang w:val="en-US"/>
        </w:rPr>
        <w:t>lluminasi xxv: 4: 15:26102122</w:t>
      </w:r>
    </w:p>
    <w:p>
      <w:pPr>
        <w:pStyle w:val="BookText"/>
        <w:bidi w:val="0"/>
        <w:jc w:val="both"/>
        <w:rPr/>
      </w:pPr>
      <w:r>
        <w:rPr>
          <w:rFonts w:eastAsia="Times New Roman" w:cs="Times New Roman" w:ascii="Times New Roman" w:hAnsi="Times New Roman"/>
          <w:color w:val="111111"/>
          <w:sz w:val="28"/>
          <w:szCs w:val="28"/>
          <w:lang w:val="en-US"/>
        </w:rPr>
        <w:t>188207</w:t>
      </w:r>
    </w:p>
    <w:p>
      <w:pPr>
        <w:pStyle w:val="BookText"/>
        <w:bidi w:val="0"/>
        <w:jc w:val="both"/>
        <w:rPr/>
      </w:pPr>
      <w:r>
        <w:rPr>
          <w:rFonts w:eastAsia="Times New Roman" w:cs="Times New Roman" w:ascii="Times New Roman" w:hAnsi="Times New Roman"/>
          <w:color w:val="111111"/>
          <w:sz w:val="28"/>
          <w:szCs w:val="28"/>
          <w:lang w:val="en-US"/>
        </w:rPr>
        <w:t>Imajinasi 212</w:t>
      </w:r>
    </w:p>
    <w:p>
      <w:pPr>
        <w:pStyle w:val="BookText"/>
        <w:bidi w:val="0"/>
        <w:jc w:val="both"/>
        <w:rPr/>
      </w:pPr>
      <w:r>
        <w:rPr>
          <w:rFonts w:eastAsia="Times New Roman" w:cs="Times New Roman" w:ascii="Times New Roman" w:hAnsi="Times New Roman"/>
          <w:color w:val="111111"/>
          <w:sz w:val="28"/>
          <w:szCs w:val="28"/>
          <w:lang w:val="en-US"/>
        </w:rPr>
        <w:t>indra bersama 96 97</w:t>
      </w:r>
    </w:p>
    <w:p>
      <w:pPr>
        <w:pStyle w:val="BookText"/>
        <w:bidi w:val="0"/>
        <w:jc w:val="both"/>
        <w:rPr/>
      </w:pPr>
      <w:r>
        <w:rPr>
          <w:rFonts w:eastAsia="Times New Roman" w:cs="Times New Roman" w:ascii="Times New Roman" w:hAnsi="Times New Roman"/>
          <w:color w:val="111111"/>
          <w:sz w:val="28"/>
          <w:szCs w:val="28"/>
          <w:lang w:val="en-US"/>
        </w:rPr>
        <w:t>Indra mental 96</w:t>
      </w:r>
    </w:p>
    <w:p>
      <w:pPr>
        <w:pStyle w:val="BookText"/>
        <w:bidi w:val="0"/>
        <w:jc w:val="both"/>
        <w:rPr/>
      </w:pPr>
      <w:r>
        <w:rPr>
          <w:rFonts w:eastAsia="Times New Roman" w:cs="Times New Roman" w:ascii="Times New Roman" w:hAnsi="Times New Roman"/>
          <w:color w:val="111111"/>
          <w:sz w:val="28"/>
          <w:szCs w:val="28"/>
          <w:lang w:val="en-US"/>
        </w:rPr>
        <w:t>irfan xviii: 207</w:t>
      </w:r>
    </w:p>
    <w:p>
      <w:pPr>
        <w:pStyle w:val="BookText"/>
        <w:bidi w:val="0"/>
        <w:jc w:val="both"/>
        <w:rPr/>
      </w:pPr>
      <w:r>
        <w:rPr>
          <w:rFonts w:eastAsia="Times New Roman" w:cs="Times New Roman" w:ascii="Times New Roman" w:hAnsi="Times New Roman"/>
          <w:color w:val="111111"/>
          <w:sz w:val="28"/>
          <w:szCs w:val="28"/>
          <w:lang w:val="en-US"/>
        </w:rPr>
        <w:t>Isa a.s. 154</w:t>
      </w:r>
    </w:p>
    <w:p>
      <w:pPr>
        <w:pStyle w:val="BookText"/>
        <w:bidi w:val="0"/>
        <w:jc w:val="both"/>
        <w:rPr/>
      </w:pPr>
      <w:r>
        <w:rPr>
          <w:rFonts w:eastAsia="Times New Roman" w:cs="Times New Roman" w:ascii="Times New Roman" w:hAnsi="Times New Roman"/>
          <w:color w:val="111111"/>
          <w:sz w:val="28"/>
          <w:szCs w:val="28"/>
          <w:lang w:val="en-US"/>
        </w:rPr>
        <w:t>Isyrāqiyyin 21</w:t>
      </w:r>
    </w:p>
    <w:p>
      <w:pPr>
        <w:pStyle w:val="BookText"/>
        <w:bidi w:val="0"/>
        <w:jc w:val="both"/>
        <w:rPr/>
      </w:pPr>
      <w:r>
        <w:rPr>
          <w:rFonts w:eastAsia="Times New Roman" w:cs="Times New Roman" w:ascii="Times New Roman" w:hAnsi="Times New Roman"/>
          <w:color w:val="111111"/>
          <w:sz w:val="28"/>
          <w:szCs w:val="28"/>
          <w:lang w:val="en-US"/>
        </w:rPr>
        <w:t>Jalaluddin Astiyani 61</w:t>
      </w:r>
    </w:p>
    <w:p>
      <w:pPr>
        <w:pStyle w:val="BookText"/>
        <w:bidi w:val="0"/>
        <w:jc w:val="both"/>
        <w:rPr/>
      </w:pPr>
      <w:r>
        <w:rPr>
          <w:rFonts w:eastAsia="Times New Roman" w:cs="Times New Roman" w:ascii="Times New Roman" w:hAnsi="Times New Roman"/>
          <w:color w:val="111111"/>
          <w:sz w:val="28"/>
          <w:szCs w:val="28"/>
          <w:lang w:val="en-US"/>
        </w:rPr>
        <w:t>James Winston 29. 198: 255</w:t>
      </w:r>
    </w:p>
    <w:p>
      <w:pPr>
        <w:pStyle w:val="BookText"/>
        <w:bidi w:val="0"/>
        <w:jc w:val="both"/>
        <w:rPr/>
      </w:pPr>
      <w:r>
        <w:rPr>
          <w:rFonts w:eastAsia="Times New Roman" w:cs="Times New Roman" w:ascii="Times New Roman" w:hAnsi="Times New Roman"/>
          <w:color w:val="111111"/>
          <w:sz w:val="28"/>
          <w:szCs w:val="28"/>
          <w:lang w:val="en-US"/>
        </w:rPr>
        <w:t>Jawadi Amuli 75, 79. 156</w:t>
      </w:r>
    </w:p>
    <w:p>
      <w:pPr>
        <w:pStyle w:val="BookText"/>
        <w:bidi w:val="0"/>
        <w:jc w:val="both"/>
        <w:rPr/>
      </w:pPr>
      <w:r>
        <w:rPr>
          <w:rFonts w:eastAsia="Times New Roman" w:cs="Times New Roman" w:ascii="Times New Roman" w:hAnsi="Times New Roman"/>
          <w:color w:val="111111"/>
          <w:sz w:val="28"/>
          <w:szCs w:val="28"/>
          <w:lang w:val="en-US"/>
        </w:rPr>
        <w:t>jiwa hewani 53.95: 234</w:t>
      </w:r>
    </w:p>
    <w:p>
      <w:pPr>
        <w:pStyle w:val="BookText"/>
        <w:bidi w:val="0"/>
        <w:jc w:val="both"/>
        <w:rPr/>
      </w:pPr>
      <w:r>
        <w:rPr>
          <w:rFonts w:eastAsia="Times New Roman" w:cs="Times New Roman" w:ascii="Times New Roman" w:hAnsi="Times New Roman"/>
          <w:color w:val="111111"/>
          <w:sz w:val="28"/>
          <w:szCs w:val="28"/>
          <w:lang w:val="en-US"/>
        </w:rPr>
        <w:t>jiwa tumbuh-tumbuhan 95.97</w:t>
      </w:r>
    </w:p>
    <w:p>
      <w:pPr>
        <w:pStyle w:val="BookText"/>
        <w:bidi w:val="0"/>
        <w:jc w:val="both"/>
        <w:rPr/>
      </w:pPr>
      <w:r>
        <w:rPr>
          <w:rFonts w:eastAsia="Times New Roman" w:cs="Times New Roman" w:ascii="Times New Roman" w:hAnsi="Times New Roman"/>
          <w:color w:val="111111"/>
          <w:sz w:val="28"/>
          <w:szCs w:val="28"/>
          <w:lang w:val="en-US"/>
        </w:rPr>
        <w:t>100 157. 199</w:t>
      </w:r>
    </w:p>
    <w:p>
      <w:pPr>
        <w:pStyle w:val="BookText"/>
        <w:bidi w:val="0"/>
        <w:jc w:val="both"/>
        <w:rPr/>
      </w:pPr>
      <w:r>
        <w:rPr>
          <w:rFonts w:eastAsia="Times New Roman" w:cs="Times New Roman" w:ascii="Times New Roman" w:hAnsi="Times New Roman"/>
          <w:color w:val="111111"/>
          <w:sz w:val="28"/>
          <w:szCs w:val="28"/>
          <w:lang w:val="en-US"/>
        </w:rPr>
        <w:t>Gnostik xxxi xxxii: 4:25</w:t>
      </w:r>
    </w:p>
    <w:p>
      <w:pPr>
        <w:pStyle w:val="BookText"/>
        <w:bidi w:val="0"/>
        <w:jc w:val="both"/>
        <w:rPr/>
      </w:pPr>
      <w:r>
        <w:rPr>
          <w:rFonts w:eastAsia="Times New Roman" w:cs="Times New Roman" w:ascii="Times New Roman" w:hAnsi="Times New Roman"/>
          <w:color w:val="111111"/>
          <w:sz w:val="28"/>
          <w:szCs w:val="28"/>
          <w:lang w:val="en-US"/>
        </w:rPr>
        <w:t>Н</w:t>
      </w:r>
    </w:p>
    <w:p>
      <w:pPr>
        <w:pStyle w:val="BookText"/>
        <w:bidi w:val="0"/>
        <w:jc w:val="both"/>
        <w:rPr/>
      </w:pPr>
      <w:r>
        <w:rPr>
          <w:rFonts w:eastAsia="Times New Roman" w:cs="Times New Roman" w:ascii="Times New Roman" w:hAnsi="Times New Roman"/>
          <w:color w:val="111111"/>
          <w:sz w:val="28"/>
          <w:szCs w:val="28"/>
          <w:lang w:val="en-US"/>
        </w:rPr>
        <w:t>hudūri 90</w:t>
      </w:r>
    </w:p>
    <w:p>
      <w:pPr>
        <w:pStyle w:val="BookText"/>
        <w:bidi w:val="0"/>
        <w:jc w:val="both"/>
        <w:rPr/>
      </w:pPr>
      <w:r>
        <w:rPr>
          <w:rFonts w:eastAsia="Times New Roman" w:cs="Times New Roman" w:ascii="Times New Roman" w:hAnsi="Times New Roman"/>
          <w:color w:val="111111"/>
          <w:sz w:val="28"/>
          <w:szCs w:val="28"/>
          <w:lang w:val="en-US"/>
        </w:rPr>
        <w:t>Ibn 'Arabi 24:25:42</w:t>
      </w:r>
    </w:p>
    <w:p>
      <w:pPr>
        <w:pStyle w:val="BookText"/>
        <w:bidi w:val="0"/>
        <w:jc w:val="both"/>
        <w:rPr/>
      </w:pPr>
      <w:r>
        <w:rPr>
          <w:rFonts w:eastAsia="Times New Roman" w:cs="Times New Roman" w:ascii="Times New Roman" w:hAnsi="Times New Roman"/>
          <w:color w:val="111111"/>
          <w:sz w:val="28"/>
          <w:szCs w:val="28"/>
          <w:lang w:val="en-US"/>
        </w:rPr>
        <w:t>Ibn Rusyd xXx' xxxviii: 44: 47.49,</w:t>
      </w:r>
    </w:p>
    <w:p>
      <w:pPr>
        <w:pStyle w:val="BookText"/>
        <w:bidi w:val="0"/>
        <w:jc w:val="both"/>
        <w:rPr/>
      </w:pPr>
      <w:r>
        <w:rPr>
          <w:rFonts w:eastAsia="Times New Roman" w:cs="Times New Roman" w:ascii="Times New Roman" w:hAnsi="Times New Roman"/>
          <w:color w:val="111111"/>
          <w:sz w:val="28"/>
          <w:szCs w:val="28"/>
          <w:lang w:val="en-US"/>
        </w:rPr>
        <w:t>51.6971. 185</w:t>
      </w:r>
    </w:p>
    <w:p>
      <w:pPr>
        <w:pStyle w:val="BookText"/>
        <w:bidi w:val="0"/>
        <w:jc w:val="both"/>
        <w:rPr/>
      </w:pPr>
      <w:r>
        <w:rPr>
          <w:rFonts w:eastAsia="Times New Roman" w:cs="Times New Roman" w:ascii="Times New Roman" w:hAnsi="Times New Roman"/>
          <w:color w:val="111111"/>
          <w:sz w:val="28"/>
          <w:szCs w:val="28"/>
          <w:lang w:val="en-US"/>
        </w:rPr>
        <w:t>Ibn Sina XXV. XXX: 9. 11' 14, 1516</w:t>
      </w:r>
    </w:p>
    <w:p>
      <w:pPr>
        <w:pStyle w:val="BookText"/>
        <w:bidi w:val="0"/>
        <w:jc w:val="both"/>
        <w:rPr/>
      </w:pPr>
      <w:r>
        <w:rPr>
          <w:rFonts w:eastAsia="Times New Roman" w:cs="Times New Roman" w:ascii="Times New Roman" w:hAnsi="Times New Roman"/>
          <w:color w:val="111111"/>
          <w:sz w:val="28"/>
          <w:szCs w:val="28"/>
          <w:lang w:val="en-US"/>
        </w:rPr>
        <w:t>18 2223. 24: 37:41:47:48</w:t>
      </w:r>
    </w:p>
    <w:p>
      <w:pPr>
        <w:pStyle w:val="BookText"/>
        <w:bidi w:val="0"/>
        <w:jc w:val="both"/>
        <w:rPr/>
      </w:pPr>
      <w:r>
        <w:rPr>
          <w:rFonts w:eastAsia="Times New Roman" w:cs="Times New Roman" w:ascii="Times New Roman" w:hAnsi="Times New Roman"/>
          <w:color w:val="111111"/>
          <w:sz w:val="28"/>
          <w:szCs w:val="28"/>
          <w:lang w:val="en-US"/>
        </w:rPr>
        <w:t>49, 51, 52, 54, 92 94 100</w:t>
      </w:r>
    </w:p>
    <w:p>
      <w:pPr>
        <w:pStyle w:val="BookText"/>
        <w:bidi w:val="0"/>
        <w:jc w:val="both"/>
        <w:rPr/>
      </w:pPr>
      <w:r>
        <w:rPr>
          <w:rFonts w:eastAsia="Times New Roman" w:cs="Times New Roman" w:ascii="Times New Roman" w:hAnsi="Times New Roman"/>
          <w:color w:val="111111"/>
          <w:sz w:val="28"/>
          <w:szCs w:val="28"/>
          <w:lang w:val="en-US"/>
        </w:rPr>
        <w:t>101 103. 111 117 119</w:t>
      </w:r>
    </w:p>
    <w:p>
      <w:pPr>
        <w:pStyle w:val="BookText"/>
        <w:bidi w:val="0"/>
        <w:jc w:val="both"/>
        <w:rPr/>
      </w:pPr>
      <w:r>
        <w:rPr>
          <w:rFonts w:eastAsia="Times New Roman" w:cs="Times New Roman" w:ascii="Times New Roman" w:hAnsi="Times New Roman"/>
          <w:color w:val="111111"/>
          <w:sz w:val="28"/>
          <w:szCs w:val="28"/>
          <w:lang w:val="en-US"/>
        </w:rPr>
        <w:t>131 132 133 134 135</w:t>
      </w:r>
    </w:p>
    <w:p>
      <w:pPr>
        <w:pStyle w:val="BookText"/>
        <w:bidi w:val="0"/>
        <w:jc w:val="both"/>
        <w:rPr/>
      </w:pPr>
      <w:r>
        <w:rPr>
          <w:rFonts w:eastAsia="Times New Roman" w:cs="Times New Roman" w:ascii="Times New Roman" w:hAnsi="Times New Roman"/>
          <w:color w:val="111111"/>
          <w:sz w:val="28"/>
          <w:szCs w:val="28"/>
          <w:lang w:val="en-US"/>
        </w:rPr>
        <w:t>136 137 138 139 140</w:t>
      </w:r>
    </w:p>
    <w:p>
      <w:pPr>
        <w:pStyle w:val="BookText"/>
        <w:bidi w:val="0"/>
        <w:jc w:val="both"/>
        <w:rPr/>
      </w:pPr>
      <w:r>
        <w:rPr>
          <w:rFonts w:eastAsia="Times New Roman" w:cs="Times New Roman" w:ascii="Times New Roman" w:hAnsi="Times New Roman"/>
          <w:color w:val="111111"/>
          <w:sz w:val="28"/>
          <w:szCs w:val="28"/>
          <w:lang w:val="en-US"/>
        </w:rPr>
        <w:t>144 163 167 168 169</w:t>
      </w:r>
    </w:p>
    <w:p>
      <w:pPr>
        <w:pStyle w:val="BookText"/>
        <w:bidi w:val="0"/>
        <w:jc w:val="both"/>
        <w:rPr/>
      </w:pPr>
      <w:r>
        <w:rPr>
          <w:rFonts w:eastAsia="Times New Roman" w:cs="Times New Roman" w:ascii="Times New Roman" w:hAnsi="Times New Roman"/>
          <w:color w:val="111111"/>
          <w:sz w:val="28"/>
          <w:szCs w:val="28"/>
          <w:lang w:val="en-US"/>
        </w:rPr>
        <w:t>176 185 188 209 232</w:t>
      </w:r>
    </w:p>
    <w:p>
      <w:pPr>
        <w:pStyle w:val="BookText"/>
        <w:bidi w:val="0"/>
        <w:jc w:val="both"/>
        <w:rPr/>
      </w:pPr>
      <w:r>
        <w:rPr>
          <w:rFonts w:eastAsia="Times New Roman" w:cs="Times New Roman" w:ascii="Times New Roman" w:hAnsi="Times New Roman"/>
          <w:color w:val="111111"/>
          <w:sz w:val="28"/>
          <w:szCs w:val="28"/>
          <w:lang w:val="en-US"/>
        </w:rPr>
        <w:t>234: 244 258 266</w:t>
      </w:r>
    </w:p>
    <w:p>
      <w:pPr>
        <w:pStyle w:val="BookText"/>
        <w:bidi w:val="0"/>
        <w:jc w:val="both"/>
        <w:rPr/>
      </w:pPr>
      <w:r>
        <w:rPr>
          <w:rFonts w:eastAsia="Times New Roman" w:cs="Times New Roman" w:ascii="Times New Roman" w:hAnsi="Times New Roman"/>
          <w:color w:val="111111"/>
          <w:sz w:val="28"/>
          <w:szCs w:val="28"/>
          <w:lang w:val="en-US"/>
        </w:rPr>
        <w:t>Idea Plato 65</w:t>
      </w:r>
    </w:p>
    <w:p>
      <w:pPr>
        <w:pStyle w:val="BookText"/>
        <w:bidi w:val="0"/>
        <w:jc w:val="both"/>
        <w:rPr/>
      </w:pPr>
      <w:r>
        <w:rPr>
          <w:rFonts w:eastAsia="Times New Roman" w:cs="Times New Roman" w:ascii="Times New Roman" w:hAnsi="Times New Roman"/>
          <w:color w:val="111111"/>
          <w:sz w:val="28"/>
          <w:szCs w:val="28"/>
          <w:lang w:val="en-US"/>
        </w:rPr>
        <w:t>Khwaja Ibrahim 1:2</w:t>
      </w:r>
    </w:p>
    <w:p>
      <w:pPr>
        <w:pStyle w:val="BookText"/>
        <w:bidi w:val="0"/>
        <w:jc w:val="both"/>
        <w:rPr/>
      </w:pPr>
      <w:r>
        <w:rPr>
          <w:rFonts w:eastAsia="Times New Roman" w:cs="Times New Roman" w:ascii="Times New Roman" w:hAnsi="Times New Roman"/>
          <w:color w:val="111111"/>
          <w:sz w:val="28"/>
          <w:szCs w:val="28"/>
          <w:lang w:val="en-US"/>
        </w:rPr>
        <w:t>kiamat besar xi</w:t>
      </w:r>
    </w:p>
    <w:p>
      <w:pPr>
        <w:pStyle w:val="BookText"/>
        <w:bidi w:val="0"/>
        <w:jc w:val="both"/>
        <w:rPr/>
      </w:pPr>
      <w:r>
        <w:rPr>
          <w:rFonts w:eastAsia="Times New Roman" w:cs="Times New Roman" w:ascii="Times New Roman" w:hAnsi="Times New Roman"/>
          <w:color w:val="111111"/>
          <w:sz w:val="28"/>
          <w:szCs w:val="28"/>
          <w:lang w:val="en-US"/>
        </w:rPr>
        <w:t>kiamat kecil xi</w:t>
      </w:r>
    </w:p>
    <w:p>
      <w:pPr>
        <w:pStyle w:val="BookText"/>
        <w:bidi w:val="0"/>
        <w:jc w:val="both"/>
        <w:rPr/>
      </w:pPr>
      <w:r>
        <w:rPr>
          <w:rFonts w:eastAsia="Times New Roman" w:cs="Times New Roman" w:ascii="Times New Roman" w:hAnsi="Times New Roman"/>
          <w:color w:val="111111"/>
          <w:sz w:val="28"/>
          <w:szCs w:val="28"/>
          <w:lang w:val="en-US"/>
        </w:rPr>
        <w:t>Kitab 17 18 20 31. 32. 158 166</w:t>
      </w:r>
    </w:p>
    <w:p>
      <w:pPr>
        <w:pStyle w:val="BookText"/>
        <w:bidi w:val="0"/>
        <w:jc w:val="both"/>
        <w:rPr/>
      </w:pPr>
      <w:r>
        <w:rPr>
          <w:rFonts w:eastAsia="Times New Roman" w:cs="Times New Roman" w:ascii="Times New Roman" w:hAnsi="Times New Roman"/>
          <w:color w:val="111111"/>
          <w:sz w:val="28"/>
          <w:szCs w:val="28"/>
          <w:lang w:val="en-US"/>
        </w:rPr>
        <w:t>175 218 219 223 243</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Kontinuitas ix' x' 3543. 238</w:t>
      </w:r>
    </w:p>
    <w:p>
      <w:pPr>
        <w:pStyle w:val="BookText"/>
        <w:bidi w:val="0"/>
        <w:jc w:val="both"/>
        <w:rPr/>
      </w:pPr>
      <w:r>
        <w:rPr>
          <w:rFonts w:eastAsia="Times New Roman" w:cs="Times New Roman" w:ascii="Times New Roman" w:hAnsi="Times New Roman"/>
          <w:color w:val="111111"/>
          <w:sz w:val="28"/>
          <w:szCs w:val="28"/>
          <w:lang w:val="en-US"/>
        </w:rPr>
        <w:t>kuiditas 18:36 37 38 39 40 41</w:t>
      </w:r>
    </w:p>
    <w:p>
      <w:pPr>
        <w:pStyle w:val="BookText"/>
        <w:bidi w:val="0"/>
        <w:jc w:val="both"/>
        <w:rPr/>
      </w:pPr>
      <w:r>
        <w:rPr>
          <w:rFonts w:eastAsia="Times New Roman" w:cs="Times New Roman" w:ascii="Times New Roman" w:hAnsi="Times New Roman"/>
          <w:color w:val="111111"/>
          <w:sz w:val="28"/>
          <w:szCs w:val="28"/>
          <w:lang w:val="en-US"/>
        </w:rPr>
        <w:t>44:49:51:52:5683114</w:t>
      </w:r>
    </w:p>
    <w:p>
      <w:pPr>
        <w:pStyle w:val="BookText"/>
        <w:bidi w:val="0"/>
        <w:jc w:val="both"/>
        <w:rPr/>
      </w:pPr>
      <w:r>
        <w:rPr>
          <w:rFonts w:eastAsia="Times New Roman" w:cs="Times New Roman" w:ascii="Times New Roman" w:hAnsi="Times New Roman"/>
          <w:color w:val="111111"/>
          <w:sz w:val="28"/>
          <w:szCs w:val="28"/>
          <w:lang w:val="en-US"/>
        </w:rPr>
        <w:t>115 116 117 120 121</w:t>
      </w:r>
    </w:p>
    <w:p>
      <w:pPr>
        <w:pStyle w:val="BookText"/>
        <w:bidi w:val="0"/>
        <w:jc w:val="both"/>
        <w:rPr/>
      </w:pPr>
      <w:r>
        <w:rPr>
          <w:rFonts w:eastAsia="Times New Roman" w:cs="Times New Roman" w:ascii="Times New Roman" w:hAnsi="Times New Roman"/>
          <w:color w:val="111111"/>
          <w:sz w:val="28"/>
          <w:szCs w:val="28"/>
          <w:lang w:val="en-US"/>
        </w:rPr>
        <w:t>122 134 144 156: 200</w:t>
      </w:r>
    </w:p>
    <w:p>
      <w:pPr>
        <w:pStyle w:val="BookText"/>
        <w:bidi w:val="0"/>
        <w:jc w:val="both"/>
        <w:rPr/>
      </w:pPr>
      <w:r>
        <w:rPr>
          <w:rFonts w:eastAsia="Times New Roman" w:cs="Times New Roman" w:ascii="Times New Roman" w:hAnsi="Times New Roman"/>
          <w:color w:val="111111"/>
          <w:sz w:val="28"/>
          <w:szCs w:val="28"/>
          <w:lang w:val="en-US"/>
        </w:rPr>
        <w:t>Kyosamsaki xxiii: 101161 163,</w:t>
      </w:r>
    </w:p>
    <w:p>
      <w:pPr>
        <w:pStyle w:val="BookText"/>
        <w:bidi w:val="0"/>
        <w:jc w:val="both"/>
        <w:rPr/>
      </w:pPr>
      <w:r>
        <w:rPr>
          <w:rFonts w:eastAsia="Times New Roman" w:cs="Times New Roman" w:ascii="Times New Roman" w:hAnsi="Times New Roman"/>
          <w:color w:val="111111"/>
          <w:sz w:val="28"/>
          <w:szCs w:val="28"/>
          <w:lang w:val="en-US"/>
        </w:rPr>
        <w:t>209, 260</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Lembaran x 175214, 218 219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272 </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Qazwin 3.48 26</w:t>
      </w:r>
    </w:p>
    <w:p>
      <w:pPr>
        <w:pStyle w:val="BookText"/>
        <w:bidi w:val="0"/>
        <w:jc w:val="both"/>
        <w:rPr/>
      </w:pPr>
      <w:r>
        <w:rPr>
          <w:rFonts w:eastAsia="Times New Roman" w:cs="Times New Roman" w:ascii="Times New Roman" w:hAnsi="Times New Roman"/>
          <w:color w:val="111111"/>
          <w:sz w:val="28"/>
          <w:szCs w:val="28"/>
          <w:lang w:val="en-US"/>
        </w:rPr>
        <w:t>Qom 5. 14, 15, 29, 30, 31, 3267</w:t>
      </w:r>
    </w:p>
    <w:p>
      <w:pPr>
        <w:pStyle w:val="BookText"/>
        <w:bidi w:val="0"/>
        <w:jc w:val="both"/>
        <w:rPr/>
      </w:pPr>
      <w:r>
        <w:rPr>
          <w:rFonts w:eastAsia="Times New Roman" w:cs="Times New Roman" w:ascii="Times New Roman" w:hAnsi="Times New Roman"/>
          <w:color w:val="111111"/>
          <w:sz w:val="28"/>
          <w:szCs w:val="28"/>
          <w:lang w:val="en-US"/>
        </w:rPr>
        <w:t>69 70 71 72 156 158</w:t>
      </w:r>
    </w:p>
    <w:p>
      <w:pPr>
        <w:pStyle w:val="BookText"/>
        <w:bidi w:val="0"/>
        <w:jc w:val="both"/>
        <w:rPr/>
      </w:pPr>
      <w:r>
        <w:rPr>
          <w:rFonts w:eastAsia="Times New Roman" w:cs="Times New Roman" w:ascii="Times New Roman" w:hAnsi="Times New Roman"/>
          <w:color w:val="111111"/>
          <w:sz w:val="28"/>
          <w:szCs w:val="28"/>
          <w:lang w:val="en-US"/>
        </w:rPr>
        <w:t>160 161 164, 168, 244,</w:t>
      </w:r>
    </w:p>
    <w:p>
      <w:pPr>
        <w:pStyle w:val="BookText"/>
        <w:bidi w:val="0"/>
        <w:jc w:val="both"/>
        <w:rPr/>
      </w:pPr>
      <w:r>
        <w:rPr>
          <w:rFonts w:eastAsia="Times New Roman" w:cs="Times New Roman" w:ascii="Times New Roman" w:hAnsi="Times New Roman"/>
          <w:color w:val="111111"/>
          <w:sz w:val="28"/>
          <w:szCs w:val="28"/>
          <w:lang w:val="en-US"/>
        </w:rPr>
        <w:t>257 260 261 262 277</w:t>
      </w:r>
    </w:p>
    <w:p>
      <w:pPr>
        <w:pStyle w:val="BookText"/>
        <w:bidi w:val="0"/>
        <w:jc w:val="both"/>
        <w:rPr/>
      </w:pPr>
      <w:r>
        <w:rPr>
          <w:rFonts w:eastAsia="Times New Roman" w:cs="Times New Roman" w:ascii="Times New Roman" w:hAnsi="Times New Roman"/>
          <w:color w:val="111111"/>
          <w:sz w:val="28"/>
          <w:szCs w:val="28"/>
          <w:lang w:val="en-US"/>
        </w:rPr>
        <w:t>Ma'ād xxvii' XXXİV' 17138 167</w:t>
      </w:r>
    </w:p>
    <w:p>
      <w:pPr>
        <w:pStyle w:val="BookText"/>
        <w:bidi w:val="0"/>
        <w:jc w:val="both"/>
        <w:rPr/>
      </w:pPr>
      <w:r>
        <w:rPr>
          <w:rFonts w:eastAsia="Times New Roman" w:cs="Times New Roman" w:ascii="Times New Roman" w:hAnsi="Times New Roman"/>
          <w:color w:val="111111"/>
          <w:sz w:val="28"/>
          <w:szCs w:val="28"/>
          <w:lang w:val="en-US"/>
        </w:rPr>
        <w:t>192234 258 266</w:t>
      </w:r>
    </w:p>
    <w:p>
      <w:pPr>
        <w:pStyle w:val="BookText"/>
        <w:bidi w:val="0"/>
        <w:jc w:val="both"/>
        <w:rPr/>
      </w:pPr>
      <w:r>
        <w:rPr>
          <w:rFonts w:eastAsia="Times New Roman" w:cs="Times New Roman" w:ascii="Times New Roman" w:hAnsi="Times New Roman"/>
          <w:color w:val="111111"/>
          <w:sz w:val="28"/>
          <w:szCs w:val="28"/>
          <w:lang w:val="en-US"/>
        </w:rPr>
        <w:t>magnum opus xxxi: 617</w:t>
      </w:r>
    </w:p>
    <w:p>
      <w:pPr>
        <w:pStyle w:val="BookText"/>
        <w:bidi w:val="0"/>
        <w:jc w:val="both"/>
        <w:rPr/>
      </w:pPr>
      <w:r>
        <w:rPr>
          <w:rFonts w:eastAsia="Times New Roman" w:cs="Times New Roman" w:ascii="Times New Roman" w:hAnsi="Times New Roman"/>
          <w:color w:val="111111"/>
          <w:sz w:val="28"/>
          <w:szCs w:val="28"/>
          <w:lang w:val="en-US"/>
        </w:rPr>
        <w:t>makna parsial 96' 177</w:t>
      </w:r>
    </w:p>
    <w:p>
      <w:pPr>
        <w:pStyle w:val="BookText"/>
        <w:bidi w:val="0"/>
        <w:jc w:val="both"/>
        <w:rPr/>
      </w:pPr>
      <w:r>
        <w:rPr>
          <w:rFonts w:eastAsia="Times New Roman" w:cs="Times New Roman" w:ascii="Times New Roman" w:hAnsi="Times New Roman"/>
          <w:color w:val="111111"/>
          <w:sz w:val="28"/>
          <w:szCs w:val="28"/>
          <w:lang w:val="en-US"/>
        </w:rPr>
        <w:t>Ma'sumah 8:30</w:t>
      </w:r>
    </w:p>
    <w:p>
      <w:pPr>
        <w:pStyle w:val="BookText"/>
        <w:bidi w:val="0"/>
        <w:jc w:val="both"/>
        <w:rPr/>
      </w:pPr>
      <w:r>
        <w:rPr>
          <w:rFonts w:eastAsia="Times New Roman" w:cs="Times New Roman" w:ascii="Times New Roman" w:hAnsi="Times New Roman"/>
          <w:color w:val="111111"/>
          <w:sz w:val="28"/>
          <w:szCs w:val="28"/>
          <w:lang w:val="en-US"/>
        </w:rPr>
        <w:t>Masyāiyyīn 21</w:t>
      </w:r>
    </w:p>
    <w:p>
      <w:pPr>
        <w:pStyle w:val="BookText"/>
        <w:bidi w:val="0"/>
        <w:jc w:val="both"/>
        <w:rPr/>
      </w:pPr>
      <w:r>
        <w:rPr>
          <w:rFonts w:eastAsia="Times New Roman" w:cs="Times New Roman" w:ascii="Times New Roman" w:hAnsi="Times New Roman"/>
          <w:color w:val="111111"/>
          <w:sz w:val="28"/>
          <w:szCs w:val="28"/>
          <w:lang w:val="en-US"/>
        </w:rPr>
        <w:t>Mental ix: 3544:45</w:t>
      </w:r>
    </w:p>
    <w:p>
      <w:pPr>
        <w:pStyle w:val="BookText"/>
        <w:bidi w:val="0"/>
        <w:jc w:val="both"/>
        <w:rPr/>
      </w:pPr>
      <w:r>
        <w:rPr>
          <w:rFonts w:eastAsia="Times New Roman" w:cs="Times New Roman" w:ascii="Times New Roman" w:hAnsi="Times New Roman"/>
          <w:color w:val="111111"/>
          <w:sz w:val="28"/>
          <w:szCs w:val="28"/>
          <w:lang w:val="en-US"/>
        </w:rPr>
        <w:t>Mir Damad 3.4.9. 2051'71</w:t>
      </w:r>
    </w:p>
    <w:p>
      <w:pPr>
        <w:pStyle w:val="BookText"/>
        <w:bidi w:val="0"/>
        <w:jc w:val="both"/>
        <w:rPr/>
      </w:pPr>
      <w:r>
        <w:rPr>
          <w:rFonts w:eastAsia="Times New Roman" w:cs="Times New Roman" w:ascii="Times New Roman" w:hAnsi="Times New Roman"/>
          <w:color w:val="111111"/>
          <w:sz w:val="28"/>
          <w:szCs w:val="28"/>
          <w:lang w:val="en-US"/>
        </w:rPr>
        <w:t>Mir Findiriski 11 12</w:t>
      </w:r>
    </w:p>
    <w:p>
      <w:pPr>
        <w:pStyle w:val="BookText"/>
        <w:bidi w:val="0"/>
        <w:jc w:val="both"/>
        <w:rPr/>
      </w:pPr>
      <w:r>
        <w:rPr>
          <w:rFonts w:eastAsia="Times New Roman" w:cs="Times New Roman" w:ascii="Times New Roman" w:hAnsi="Times New Roman"/>
          <w:color w:val="111111"/>
          <w:sz w:val="28"/>
          <w:szCs w:val="28"/>
          <w:lang w:val="en-US"/>
        </w:rPr>
        <w:t>Muhammad Khamenei 16:27</w:t>
      </w:r>
    </w:p>
    <w:p>
      <w:pPr>
        <w:pStyle w:val="BookText"/>
        <w:bidi w:val="0"/>
        <w:jc w:val="both"/>
        <w:rPr/>
      </w:pPr>
      <w:r>
        <w:rPr>
          <w:rFonts w:eastAsia="Times New Roman" w:cs="Times New Roman" w:ascii="Times New Roman" w:hAnsi="Times New Roman"/>
          <w:color w:val="111111"/>
          <w:sz w:val="28"/>
          <w:szCs w:val="28"/>
          <w:lang w:val="en-US"/>
        </w:rPr>
        <w:t>Muhammad Sadruddin bin Ibra-</w:t>
      </w:r>
    </w:p>
    <w:p>
      <w:pPr>
        <w:pStyle w:val="BookText"/>
        <w:bidi w:val="0"/>
        <w:jc w:val="both"/>
        <w:rPr/>
      </w:pPr>
      <w:r>
        <w:rPr>
          <w:rFonts w:eastAsia="Times New Roman" w:cs="Times New Roman" w:ascii="Times New Roman" w:hAnsi="Times New Roman"/>
          <w:color w:val="111111"/>
          <w:sz w:val="28"/>
          <w:szCs w:val="28"/>
          <w:lang w:val="en-US"/>
        </w:rPr>
        <w:t>him Yahya Qawwāmi 2</w:t>
      </w:r>
    </w:p>
    <w:p>
      <w:pPr>
        <w:pStyle w:val="BookText"/>
        <w:bidi w:val="0"/>
        <w:jc w:val="both"/>
        <w:rPr/>
      </w:pPr>
      <w:r>
        <w:rPr>
          <w:rFonts w:eastAsia="Times New Roman" w:cs="Times New Roman" w:ascii="Times New Roman" w:hAnsi="Times New Roman"/>
          <w:color w:val="111111"/>
          <w:sz w:val="28"/>
          <w:szCs w:val="28"/>
          <w:lang w:val="en-US"/>
        </w:rPr>
        <w:t>Mulla Abdul Razāq Lahiji 6:7</w:t>
      </w:r>
    </w:p>
    <w:p>
      <w:pPr>
        <w:pStyle w:val="BookText"/>
        <w:bidi w:val="0"/>
        <w:jc w:val="both"/>
        <w:rPr/>
      </w:pPr>
      <w:r>
        <w:rPr>
          <w:rFonts w:eastAsia="Times New Roman" w:cs="Times New Roman" w:ascii="Times New Roman" w:hAnsi="Times New Roman"/>
          <w:color w:val="111111"/>
          <w:sz w:val="28"/>
          <w:szCs w:val="28"/>
          <w:lang w:val="en-US"/>
        </w:rPr>
        <w:t>Mulla Husain Tankobani 15</w:t>
      </w:r>
    </w:p>
    <w:p>
      <w:pPr>
        <w:pStyle w:val="BookText"/>
        <w:bidi w:val="0"/>
        <w:jc w:val="both"/>
        <w:rPr/>
      </w:pPr>
      <w:r>
        <w:rPr>
          <w:rFonts w:eastAsia="Times New Roman" w:cs="Times New Roman" w:ascii="Times New Roman" w:hAnsi="Times New Roman"/>
          <w:color w:val="111111"/>
          <w:sz w:val="28"/>
          <w:szCs w:val="28"/>
          <w:lang w:val="en-US"/>
        </w:rPr>
        <w:t>Mulla Ibrahim 7</w:t>
      </w:r>
    </w:p>
    <w:p>
      <w:pPr>
        <w:pStyle w:val="BookText"/>
        <w:bidi w:val="0"/>
        <w:jc w:val="both"/>
        <w:rPr/>
      </w:pPr>
      <w:r>
        <w:rPr>
          <w:rFonts w:eastAsia="Times New Roman" w:cs="Times New Roman" w:ascii="Times New Roman" w:hAnsi="Times New Roman"/>
          <w:color w:val="111111"/>
          <w:sz w:val="28"/>
          <w:szCs w:val="28"/>
          <w:lang w:val="en-US"/>
        </w:rPr>
        <w:t>Mulyadhi Kartanegara xxii' xxvi'</w:t>
      </w:r>
    </w:p>
    <w:p>
      <w:pPr>
        <w:pStyle w:val="BookText"/>
        <w:bidi w:val="0"/>
        <w:jc w:val="both"/>
        <w:rPr/>
      </w:pPr>
      <w:r>
        <w:rPr>
          <w:rFonts w:eastAsia="Times New Roman" w:cs="Times New Roman" w:ascii="Times New Roman" w:hAnsi="Times New Roman"/>
          <w:color w:val="111111"/>
          <w:sz w:val="28"/>
          <w:szCs w:val="28"/>
          <w:lang w:val="en-US"/>
        </w:rPr>
        <w:t>Xxxvi</w:t>
      </w:r>
    </w:p>
    <w:p>
      <w:pPr>
        <w:pStyle w:val="BookText"/>
        <w:bidi w:val="0"/>
        <w:jc w:val="both"/>
        <w:rPr/>
      </w:pPr>
      <w:r>
        <w:rPr>
          <w:rFonts w:eastAsia="Times New Roman" w:cs="Times New Roman" w:ascii="Times New Roman" w:hAnsi="Times New Roman"/>
          <w:color w:val="111111"/>
          <w:sz w:val="28"/>
          <w:szCs w:val="28"/>
          <w:lang w:val="en-US"/>
        </w:rPr>
        <w:t>Realitas Jiwa x: 75 80</w:t>
      </w:r>
    </w:p>
    <w:p>
      <w:pPr>
        <w:pStyle w:val="BookText"/>
        <w:bidi w:val="0"/>
        <w:jc w:val="both"/>
        <w:rPr/>
      </w:pPr>
      <w:r>
        <w:rPr>
          <w:rFonts w:eastAsia="Times New Roman" w:cs="Times New Roman" w:ascii="Times New Roman" w:hAnsi="Times New Roman"/>
          <w:color w:val="111111"/>
          <w:sz w:val="28"/>
          <w:szCs w:val="28"/>
          <w:lang w:val="en-US"/>
        </w:rPr>
        <w:t>Reinkarnasi x:75 100 101 102</w:t>
      </w:r>
    </w:p>
    <w:p>
      <w:pPr>
        <w:pStyle w:val="BookText"/>
        <w:bidi w:val="0"/>
        <w:jc w:val="both"/>
        <w:rPr/>
      </w:pPr>
      <w:r>
        <w:rPr>
          <w:rFonts w:eastAsia="Times New Roman" w:cs="Times New Roman" w:ascii="Times New Roman" w:hAnsi="Times New Roman"/>
          <w:color w:val="111111"/>
          <w:sz w:val="28"/>
          <w:szCs w:val="28"/>
          <w:lang w:val="en-US"/>
        </w:rPr>
        <w:t>103 104 105</w:t>
      </w:r>
    </w:p>
    <w:p>
      <w:pPr>
        <w:pStyle w:val="BookText"/>
        <w:bidi w:val="0"/>
        <w:jc w:val="both"/>
        <w:rPr/>
      </w:pPr>
      <w:r>
        <w:rPr>
          <w:rFonts w:eastAsia="Times New Roman" w:cs="Times New Roman" w:ascii="Times New Roman" w:hAnsi="Times New Roman"/>
          <w:color w:val="111111"/>
          <w:sz w:val="28"/>
          <w:szCs w:val="28"/>
          <w:lang w:val="en-US"/>
        </w:rPr>
        <w:t>reinkarnasi bersambung 102</w:t>
      </w:r>
    </w:p>
    <w:p>
      <w:pPr>
        <w:pStyle w:val="BookText"/>
        <w:bidi w:val="0"/>
        <w:jc w:val="both"/>
        <w:rPr/>
      </w:pPr>
      <w:r>
        <w:rPr>
          <w:rFonts w:eastAsia="Times New Roman" w:cs="Times New Roman" w:ascii="Times New Roman" w:hAnsi="Times New Roman"/>
          <w:color w:val="111111"/>
          <w:sz w:val="28"/>
          <w:szCs w:val="28"/>
          <w:lang w:val="en-US"/>
        </w:rPr>
        <w:t>reinkarnasi kemalaikatan 102</w:t>
      </w:r>
    </w:p>
    <w:p>
      <w:pPr>
        <w:pStyle w:val="BookText"/>
        <w:bidi w:val="0"/>
        <w:jc w:val="both"/>
        <w:rPr/>
      </w:pPr>
      <w:r>
        <w:rPr>
          <w:rFonts w:eastAsia="Times New Roman" w:cs="Times New Roman" w:ascii="Times New Roman" w:hAnsi="Times New Roman"/>
          <w:color w:val="111111"/>
          <w:sz w:val="28"/>
          <w:szCs w:val="28"/>
          <w:lang w:val="en-US"/>
        </w:rPr>
        <w:t>reinkarnasi penguasaan 102</w:t>
      </w:r>
    </w:p>
    <w:p>
      <w:pPr>
        <w:pStyle w:val="BookText"/>
        <w:bidi w:val="0"/>
        <w:jc w:val="both"/>
        <w:rPr/>
      </w:pPr>
      <w:r>
        <w:rPr>
          <w:rFonts w:eastAsia="Times New Roman" w:cs="Times New Roman" w:ascii="Times New Roman" w:hAnsi="Times New Roman"/>
          <w:color w:val="111111"/>
          <w:sz w:val="28"/>
          <w:szCs w:val="28"/>
          <w:lang w:val="en-US"/>
        </w:rPr>
        <w:t>reinkarnasi terpisah 102 103</w:t>
      </w:r>
    </w:p>
    <w:p>
      <w:pPr>
        <w:pStyle w:val="BookText"/>
        <w:bidi w:val="0"/>
        <w:jc w:val="both"/>
        <w:rPr/>
      </w:pPr>
      <w:r>
        <w:rPr>
          <w:rFonts w:eastAsia="Times New Roman" w:cs="Times New Roman" w:ascii="Times New Roman" w:hAnsi="Times New Roman"/>
          <w:color w:val="111111"/>
          <w:sz w:val="28"/>
          <w:szCs w:val="28"/>
          <w:lang w:val="en-US"/>
        </w:rPr>
        <w:t>reinkarnasi turun 102</w:t>
      </w:r>
    </w:p>
    <w:p>
      <w:pPr>
        <w:pStyle w:val="BookText"/>
        <w:bidi w:val="0"/>
        <w:jc w:val="both"/>
        <w:rPr/>
      </w:pPr>
      <w:r>
        <w:rPr>
          <w:rFonts w:eastAsia="Times New Roman" w:cs="Times New Roman" w:ascii="Times New Roman" w:hAnsi="Times New Roman"/>
          <w:color w:val="111111"/>
          <w:sz w:val="28"/>
          <w:szCs w:val="28"/>
          <w:lang w:val="en-US"/>
        </w:rPr>
        <w:t>Rene Descartes 3.29</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Nizamuddin Ahmad 8</w:t>
      </w:r>
    </w:p>
    <w:p>
      <w:pPr>
        <w:pStyle w:val="BookText"/>
        <w:bidi w:val="0"/>
        <w:jc w:val="both"/>
        <w:rPr/>
      </w:pPr>
      <w:r>
        <w:rPr>
          <w:rFonts w:eastAsia="Times New Roman" w:cs="Times New Roman" w:ascii="Times New Roman" w:hAnsi="Times New Roman"/>
          <w:color w:val="111111"/>
          <w:sz w:val="28"/>
          <w:szCs w:val="28"/>
          <w:lang w:val="en-US"/>
        </w:rPr>
        <w:t>Nurcholis Madjid xxx</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Perhitungan 175: 223 249 250</w:t>
      </w:r>
    </w:p>
    <w:p>
      <w:pPr>
        <w:pStyle w:val="BookText"/>
        <w:bidi w:val="0"/>
        <w:jc w:val="both"/>
        <w:rPr/>
      </w:pPr>
      <w:r>
        <w:rPr>
          <w:rFonts w:eastAsia="Times New Roman" w:cs="Times New Roman" w:ascii="Times New Roman" w:hAnsi="Times New Roman"/>
          <w:color w:val="111111"/>
          <w:sz w:val="28"/>
          <w:szCs w:val="28"/>
          <w:lang w:val="en-US"/>
        </w:rPr>
        <w:t>Peripatetik xxv: 4:9, 11' 17' 21</w:t>
      </w:r>
    </w:p>
    <w:p>
      <w:pPr>
        <w:pStyle w:val="BookText"/>
        <w:bidi w:val="0"/>
        <w:jc w:val="both"/>
        <w:rPr/>
      </w:pPr>
      <w:r>
        <w:rPr>
          <w:rFonts w:eastAsia="Times New Roman" w:cs="Times New Roman" w:ascii="Times New Roman" w:hAnsi="Times New Roman"/>
          <w:color w:val="111111"/>
          <w:sz w:val="28"/>
          <w:szCs w:val="28"/>
          <w:lang w:val="en-US"/>
        </w:rPr>
        <w:t>22 23 24 26 28 35 60 61</w:t>
      </w:r>
    </w:p>
    <w:p>
      <w:pPr>
        <w:pStyle w:val="BookText"/>
        <w:bidi w:val="0"/>
        <w:jc w:val="both"/>
        <w:rPr/>
      </w:pPr>
      <w:r>
        <w:rPr>
          <w:rFonts w:eastAsia="Times New Roman" w:cs="Times New Roman" w:ascii="Times New Roman" w:hAnsi="Times New Roman"/>
          <w:color w:val="111111"/>
          <w:sz w:val="28"/>
          <w:szCs w:val="28"/>
          <w:lang w:val="en-US"/>
        </w:rPr>
        <w:t>79 100 102 103 120 131</w:t>
      </w:r>
    </w:p>
    <w:p>
      <w:pPr>
        <w:pStyle w:val="BookText"/>
        <w:bidi w:val="0"/>
        <w:jc w:val="both"/>
        <w:rPr/>
      </w:pPr>
      <w:r>
        <w:rPr>
          <w:rFonts w:eastAsia="Times New Roman" w:cs="Times New Roman" w:ascii="Times New Roman" w:hAnsi="Times New Roman"/>
          <w:color w:val="111111"/>
          <w:sz w:val="28"/>
          <w:szCs w:val="28"/>
          <w:lang w:val="en-US"/>
        </w:rPr>
        <w:t>148 159 180 185 188</w:t>
      </w:r>
    </w:p>
    <w:p>
      <w:pPr>
        <w:pStyle w:val="BookText"/>
        <w:bidi w:val="0"/>
        <w:jc w:val="both"/>
        <w:rPr/>
      </w:pPr>
      <w:r>
        <w:rPr>
          <w:rFonts w:eastAsia="Times New Roman" w:cs="Times New Roman" w:ascii="Times New Roman" w:hAnsi="Times New Roman"/>
          <w:color w:val="111111"/>
          <w:sz w:val="28"/>
          <w:szCs w:val="28"/>
          <w:lang w:val="en-US"/>
        </w:rPr>
        <w:t>206209, 244</w:t>
      </w:r>
    </w:p>
    <w:p>
      <w:pPr>
        <w:pStyle w:val="BookText"/>
        <w:bidi w:val="0"/>
        <w:jc w:val="both"/>
        <w:rPr/>
      </w:pPr>
      <w:r>
        <w:rPr>
          <w:rFonts w:eastAsia="Times New Roman" w:cs="Times New Roman" w:ascii="Times New Roman" w:hAnsi="Times New Roman"/>
          <w:color w:val="111111"/>
          <w:sz w:val="28"/>
          <w:szCs w:val="28"/>
          <w:lang w:val="en-US"/>
        </w:rPr>
        <w:t>Plato 47, 65, 91 127 166</w:t>
      </w:r>
    </w:p>
    <w:p>
      <w:pPr>
        <w:pStyle w:val="BookText"/>
        <w:bidi w:val="0"/>
        <w:jc w:val="both"/>
        <w:rPr/>
      </w:pPr>
      <w:r>
        <w:rPr>
          <w:rFonts w:eastAsia="Times New Roman" w:cs="Times New Roman" w:ascii="Times New Roman" w:hAnsi="Times New Roman"/>
          <w:color w:val="111111"/>
          <w:sz w:val="28"/>
          <w:szCs w:val="28"/>
          <w:lang w:val="en-US"/>
        </w:rPr>
        <w:t>Sabzawari 54</w:t>
      </w:r>
    </w:p>
    <w:p>
      <w:pPr>
        <w:pStyle w:val="BookText"/>
        <w:bidi w:val="0"/>
        <w:jc w:val="both"/>
        <w:rPr/>
      </w:pPr>
      <w:r>
        <w:rPr>
          <w:rFonts w:eastAsia="Times New Roman" w:cs="Times New Roman" w:ascii="Times New Roman" w:hAnsi="Times New Roman"/>
          <w:color w:val="111111"/>
          <w:sz w:val="28"/>
          <w:szCs w:val="28"/>
          <w:lang w:val="en-US"/>
        </w:rPr>
        <w:t>Sayyed Muhammad Khamenei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Sirāth 86.223</w:t>
      </w:r>
    </w:p>
    <w:p>
      <w:pPr>
        <w:pStyle w:val="BookText"/>
        <w:bidi w:val="0"/>
        <w:jc w:val="both"/>
        <w:rPr/>
      </w:pPr>
      <w:r>
        <w:rPr>
          <w:rFonts w:eastAsia="Times New Roman" w:cs="Times New Roman" w:ascii="Times New Roman" w:hAnsi="Times New Roman"/>
          <w:color w:val="111111"/>
          <w:sz w:val="28"/>
          <w:szCs w:val="28"/>
          <w:lang w:val="en-US"/>
        </w:rPr>
        <w:t>Suhrawardi xxxi 14:23 6061</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172 247 248 263</w:t>
      </w:r>
    </w:p>
    <w:p>
      <w:pPr>
        <w:pStyle w:val="BookText"/>
        <w:bidi w:val="0"/>
        <w:jc w:val="both"/>
        <w:rPr/>
      </w:pPr>
      <w:r>
        <w:rPr>
          <w:rFonts w:eastAsia="Times New Roman" w:cs="Times New Roman" w:ascii="Times New Roman" w:hAnsi="Times New Roman"/>
          <w:color w:val="111111"/>
          <w:sz w:val="28"/>
          <w:szCs w:val="28"/>
          <w:lang w:val="en-US"/>
        </w:rPr>
        <w:t>Surga indrawi 229</w:t>
      </w:r>
    </w:p>
    <w:p>
      <w:pPr>
        <w:pStyle w:val="BookText"/>
        <w:bidi w:val="0"/>
        <w:jc w:val="both"/>
        <w:rPr/>
      </w:pPr>
      <w:r>
        <w:rPr>
          <w:rFonts w:eastAsia="Times New Roman" w:cs="Times New Roman" w:ascii="Times New Roman" w:hAnsi="Times New Roman"/>
          <w:color w:val="111111"/>
          <w:sz w:val="28"/>
          <w:szCs w:val="28"/>
          <w:lang w:val="en-US"/>
        </w:rPr>
        <w:t>Syaikh Baha'i 3,5</w:t>
      </w:r>
    </w:p>
    <w:p>
      <w:pPr>
        <w:pStyle w:val="BookText"/>
        <w:bidi w:val="0"/>
        <w:jc w:val="both"/>
        <w:rPr/>
      </w:pPr>
      <w:r>
        <w:rPr>
          <w:rFonts w:eastAsia="Times New Roman" w:cs="Times New Roman" w:ascii="Times New Roman" w:hAnsi="Times New Roman"/>
          <w:color w:val="111111"/>
          <w:sz w:val="28"/>
          <w:szCs w:val="28"/>
          <w:lang w:val="en-US"/>
        </w:rPr>
        <w:t>Syaikh Isyraq xxv: 37: 38: 60 61</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104143 144 145 146</w:t>
      </w:r>
    </w:p>
    <w:p>
      <w:pPr>
        <w:pStyle w:val="BookText"/>
        <w:bidi w:val="0"/>
        <w:jc w:val="both"/>
        <w:rPr/>
      </w:pPr>
      <w:r>
        <w:rPr>
          <w:rFonts w:eastAsia="Times New Roman" w:cs="Times New Roman" w:ascii="Times New Roman" w:hAnsi="Times New Roman"/>
          <w:color w:val="111111"/>
          <w:sz w:val="28"/>
          <w:szCs w:val="28"/>
          <w:lang w:val="en-US"/>
        </w:rPr>
        <w:t>184 185 188 208 209,</w:t>
      </w:r>
    </w:p>
    <w:p>
      <w:pPr>
        <w:pStyle w:val="BookText"/>
        <w:bidi w:val="0"/>
        <w:jc w:val="both"/>
        <w:rPr/>
      </w:pPr>
      <w:r>
        <w:rPr>
          <w:rFonts w:eastAsia="Times New Roman" w:cs="Times New Roman" w:ascii="Times New Roman" w:hAnsi="Times New Roman"/>
          <w:color w:val="111111"/>
          <w:sz w:val="28"/>
          <w:szCs w:val="28"/>
          <w:lang w:val="en-US"/>
        </w:rPr>
        <w:t>211.224</w:t>
      </w:r>
    </w:p>
    <w:p>
      <w:pPr>
        <w:pStyle w:val="BookText"/>
        <w:bidi w:val="0"/>
        <w:jc w:val="both"/>
        <w:rPr/>
      </w:pPr>
      <w:r>
        <w:rPr>
          <w:rFonts w:eastAsia="Times New Roman" w:cs="Times New Roman" w:ascii="Times New Roman" w:hAnsi="Times New Roman"/>
          <w:color w:val="111111"/>
          <w:sz w:val="28"/>
          <w:szCs w:val="28"/>
          <w:lang w:val="en-US"/>
        </w:rPr>
        <w:t>Syirāz 1:23:5, 6:8 13' 14 26:29</w:t>
      </w:r>
    </w:p>
    <w:p>
      <w:pPr>
        <w:pStyle w:val="BookText"/>
        <w:bidi w:val="0"/>
        <w:jc w:val="both"/>
        <w:rPr/>
      </w:pPr>
      <w:r>
        <w:rPr>
          <w:rFonts w:eastAsia="Times New Roman" w:cs="Times New Roman" w:ascii="Times New Roman" w:hAnsi="Times New Roman"/>
          <w:color w:val="111111"/>
          <w:sz w:val="28"/>
          <w:szCs w:val="28"/>
          <w:lang w:val="en-US"/>
        </w:rPr>
        <w:t>Syirazi 2.8. 103</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Qali Khan 6</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273 </w:t>
      </w:r>
    </w:p>
    <w:p>
      <w:pPr>
        <w:pStyle w:val="BookText"/>
        <w:bidi w:val="0"/>
        <w:rPr/>
      </w:pPr>
      <w:r>
        <w:rPr>
          <w:rFonts w:eastAsia="Times New Roman" w:cs="Times New Roman" w:ascii="Times New Roman" w:hAnsi="Times New Roman"/>
          <w:color w:val="111111"/>
          <w:sz w:val="28"/>
          <w:szCs w:val="28"/>
          <w:lang w:val="en-US"/>
        </w:rPr>
        <w:t>Tamistius 47</w:t>
      </w:r>
    </w:p>
    <w:p>
      <w:pPr>
        <w:pStyle w:val="BookText"/>
        <w:bidi w:val="0"/>
        <w:jc w:val="both"/>
        <w:rPr/>
      </w:pPr>
      <w:r>
        <w:rPr>
          <w:rFonts w:eastAsia="Times New Roman" w:cs="Times New Roman" w:ascii="Times New Roman" w:hAnsi="Times New Roman"/>
          <w:color w:val="111111"/>
          <w:sz w:val="28"/>
          <w:szCs w:val="28"/>
          <w:lang w:val="en-US"/>
        </w:rPr>
        <w:t>Tasawuf xxxi' xxxvii: 73,266</w:t>
      </w:r>
    </w:p>
    <w:p>
      <w:pPr>
        <w:pStyle w:val="BookText"/>
        <w:bidi w:val="0"/>
        <w:jc w:val="both"/>
        <w:rPr/>
      </w:pPr>
      <w:r>
        <w:rPr>
          <w:rFonts w:eastAsia="Times New Roman" w:cs="Times New Roman" w:ascii="Times New Roman" w:hAnsi="Times New Roman"/>
          <w:color w:val="111111"/>
          <w:sz w:val="28"/>
          <w:szCs w:val="28"/>
          <w:lang w:val="en-US"/>
        </w:rPr>
        <w:t>Teologi xxxi26173</w:t>
      </w:r>
    </w:p>
    <w:p>
      <w:pPr>
        <w:pStyle w:val="BookText"/>
        <w:bidi w:val="0"/>
        <w:jc w:val="both"/>
        <w:rPr/>
      </w:pPr>
      <w:r>
        <w:rPr>
          <w:rFonts w:eastAsia="Times New Roman" w:cs="Times New Roman" w:ascii="Times New Roman" w:hAnsi="Times New Roman"/>
          <w:color w:val="111111"/>
          <w:sz w:val="28"/>
          <w:szCs w:val="28"/>
          <w:lang w:val="en-US"/>
        </w:rPr>
        <w:t>Timbangan 175: 220 221 223</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Transubstansial ix' 19.35: 71</w:t>
      </w:r>
    </w:p>
    <w:p>
      <w:pPr>
        <w:pStyle w:val="BookText"/>
        <w:bidi w:val="0"/>
        <w:jc w:val="both"/>
        <w:rPr/>
      </w:pPr>
      <w:r>
        <w:rPr>
          <w:rFonts w:eastAsia="Times New Roman" w:cs="Times New Roman" w:ascii="Times New Roman" w:hAnsi="Times New Roman"/>
          <w:color w:val="111111"/>
          <w:sz w:val="28"/>
          <w:szCs w:val="28"/>
          <w:lang w:val="en-US"/>
        </w:rPr>
        <w:t>Ummu Kaltsum 8</w:t>
      </w:r>
    </w:p>
    <w:p>
      <w:pPr>
        <w:pStyle w:val="BookText"/>
        <w:bidi w:val="0"/>
        <w:jc w:val="both"/>
        <w:rPr/>
      </w:pPr>
      <w:r>
        <w:rPr>
          <w:rFonts w:eastAsia="Times New Roman" w:cs="Times New Roman" w:ascii="Times New Roman" w:hAnsi="Times New Roman"/>
          <w:color w:val="111111"/>
          <w:sz w:val="28"/>
          <w:szCs w:val="28"/>
          <w:lang w:val="en-US"/>
        </w:rPr>
        <w:t>Univok 68</w:t>
      </w:r>
    </w:p>
    <w:p>
      <w:pPr>
        <w:pStyle w:val="BookText"/>
        <w:bidi w:val="0"/>
        <w:jc w:val="both"/>
        <w:rPr/>
      </w:pPr>
      <w:r>
        <w:rPr>
          <w:rFonts w:eastAsia="Times New Roman" w:cs="Times New Roman" w:ascii="Times New Roman" w:hAnsi="Times New Roman"/>
          <w:color w:val="111111"/>
          <w:sz w:val="28"/>
          <w:szCs w:val="28"/>
          <w:lang w:val="en-US"/>
        </w:rPr>
        <w:t>Uzair a.s. 113. 164</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Wujud ix 18 27:35, 36, 37, 38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41:43, 44, 45, 47-49,55</w:t>
      </w:r>
    </w:p>
    <w:p>
      <w:pPr>
        <w:pStyle w:val="BookText"/>
        <w:bidi w:val="0"/>
        <w:jc w:val="both"/>
        <w:rPr/>
      </w:pPr>
      <w:r>
        <w:rPr>
          <w:rFonts w:eastAsia="Times New Roman" w:cs="Times New Roman" w:ascii="Times New Roman" w:hAnsi="Times New Roman"/>
          <w:color w:val="111111"/>
          <w:sz w:val="28"/>
          <w:szCs w:val="28"/>
          <w:lang w:val="en-US"/>
        </w:rPr>
        <w:t>56,59 68' 80' 81' 114 115</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Xenon 47</w:t>
      </w:r>
    </w:p>
    <w:p>
      <w:pPr>
        <w:pStyle w:val="BookText"/>
        <w:bidi w:val="0"/>
        <w:jc w:val="both"/>
        <w:rPr/>
      </w:pPr>
      <w:r>
        <w:rPr>
          <w:rFonts w:eastAsia="Times New Roman" w:cs="Times New Roman" w:ascii="Times New Roman" w:hAnsi="Times New Roman"/>
          <w:color w:val="111111"/>
          <w:sz w:val="28"/>
          <w:szCs w:val="28"/>
          <w:lang w:val="en-US"/>
        </w:rPr>
        <w:t>Zoroaster 184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274 </w:t>
      </w:r>
    </w:p>
    <w:p>
      <w:pPr>
        <w:pStyle w:val="BookText"/>
        <w:bidi w:val="0"/>
        <w:rPr/>
      </w:pPr>
      <w:r>
        <w:rPr>
          <w:rFonts w:eastAsia="Times New Roman" w:cs="Times New Roman" w:ascii="Times New Roman" w:hAnsi="Times New Roman"/>
          <w:color w:val="111111"/>
          <w:sz w:val="28"/>
          <w:szCs w:val="28"/>
          <w:lang w:val="en-US"/>
        </w:rPr>
        <w:t>Sekilas Tentang Penulis</w:t>
      </w:r>
    </w:p>
    <w:p>
      <w:pPr>
        <w:pStyle w:val="BookText"/>
        <w:bidi w:val="0"/>
        <w:jc w:val="both"/>
        <w:rPr/>
      </w:pPr>
      <w:r>
        <w:rPr>
          <w:rFonts w:eastAsia="Times New Roman" w:cs="Times New Roman" w:ascii="Times New Roman" w:hAnsi="Times New Roman"/>
          <w:color w:val="111111"/>
          <w:sz w:val="28"/>
          <w:szCs w:val="28"/>
          <w:lang w:val="en-US"/>
        </w:rPr>
        <w:t>Dr. Kholid Al-Walid, M.Ag lahir di Palembang, 20 September</w:t>
      </w:r>
    </w:p>
    <w:p>
      <w:pPr>
        <w:pStyle w:val="BookText"/>
        <w:bidi w:val="0"/>
        <w:jc w:val="both"/>
        <w:rPr/>
      </w:pPr>
      <w:r>
        <w:rPr>
          <w:rFonts w:eastAsia="Times New Roman" w:cs="Times New Roman" w:ascii="Times New Roman" w:hAnsi="Times New Roman"/>
          <w:color w:val="111111"/>
          <w:sz w:val="28"/>
          <w:szCs w:val="28"/>
          <w:lang w:val="en-US"/>
        </w:rPr>
        <w:t>1970 dari pasangan Amir Sopian dan Zuhroh H.S. Tradisi klasik</w:t>
      </w:r>
    </w:p>
    <w:p>
      <w:pPr>
        <w:pStyle w:val="BookText"/>
        <w:bidi w:val="0"/>
        <w:jc w:val="both"/>
        <w:rPr/>
      </w:pPr>
      <w:r>
        <w:rPr>
          <w:rFonts w:eastAsia="Times New Roman" w:cs="Times New Roman" w:ascii="Times New Roman" w:hAnsi="Times New Roman"/>
          <w:color w:val="111111"/>
          <w:sz w:val="28"/>
          <w:szCs w:val="28"/>
          <w:lang w:val="en-US"/>
        </w:rPr>
        <w:t>keislaman didapat dari kakek beliau, K. H. Abdul Hamid Siddiq, yang</w:t>
      </w:r>
    </w:p>
    <w:p>
      <w:pPr>
        <w:pStyle w:val="BookText"/>
        <w:bidi w:val="0"/>
        <w:jc w:val="both"/>
        <w:rPr/>
      </w:pPr>
      <w:r>
        <w:rPr>
          <w:rFonts w:eastAsia="Times New Roman" w:cs="Times New Roman" w:ascii="Times New Roman" w:hAnsi="Times New Roman"/>
          <w:color w:val="111111"/>
          <w:sz w:val="28"/>
          <w:szCs w:val="28"/>
          <w:lang w:val="en-US"/>
        </w:rPr>
        <w:t>merupakan ulama tradisional di Kota Palembang masa itu.</w:t>
      </w:r>
    </w:p>
    <w:p>
      <w:pPr>
        <w:pStyle w:val="BookText"/>
        <w:bidi w:val="0"/>
        <w:jc w:val="both"/>
        <w:rPr/>
      </w:pPr>
      <w:r>
        <w:rPr>
          <w:rFonts w:eastAsia="Times New Roman" w:cs="Times New Roman" w:ascii="Times New Roman" w:hAnsi="Times New Roman"/>
          <w:color w:val="111111"/>
          <w:sz w:val="28"/>
          <w:szCs w:val="28"/>
          <w:lang w:val="en-US"/>
        </w:rPr>
        <w:t>Latar belakang pendidikan S1 di IAIN Raden Fatah, Palembang</w:t>
      </w:r>
    </w:p>
    <w:p>
      <w:pPr>
        <w:pStyle w:val="BookText"/>
        <w:bidi w:val="0"/>
        <w:jc w:val="both"/>
        <w:rPr/>
      </w:pPr>
      <w:r>
        <w:rPr>
          <w:rFonts w:eastAsia="Times New Roman" w:cs="Times New Roman" w:ascii="Times New Roman" w:hAnsi="Times New Roman"/>
          <w:color w:val="111111"/>
          <w:sz w:val="28"/>
          <w:szCs w:val="28"/>
          <w:lang w:val="en-US"/>
        </w:rPr>
        <w:t>dan kecintaan kepada filsafat mengantarkannya untuk mendalami</w:t>
      </w:r>
    </w:p>
    <w:p>
      <w:pPr>
        <w:pStyle w:val="BookText"/>
        <w:bidi w:val="0"/>
        <w:jc w:val="both"/>
        <w:rPr/>
      </w:pPr>
      <w:r>
        <w:rPr>
          <w:rFonts w:eastAsia="Times New Roman" w:cs="Times New Roman" w:ascii="Times New Roman" w:hAnsi="Times New Roman"/>
          <w:color w:val="111111"/>
          <w:sz w:val="28"/>
          <w:szCs w:val="28"/>
          <w:lang w:val="en-US"/>
        </w:rPr>
        <w:t>Filsafat Islam di Hauzeh Ilmiyyeh Hujjatiyyeh, Qom, Republik Islam Iran</w:t>
      </w:r>
    </w:p>
    <w:p>
      <w:pPr>
        <w:pStyle w:val="BookText"/>
        <w:bidi w:val="0"/>
        <w:jc w:val="both"/>
        <w:rPr/>
      </w:pPr>
      <w:r>
        <w:rPr>
          <w:rFonts w:eastAsia="Times New Roman" w:cs="Times New Roman" w:ascii="Times New Roman" w:hAnsi="Times New Roman"/>
          <w:color w:val="111111"/>
          <w:sz w:val="28"/>
          <w:szCs w:val="28"/>
          <w:lang w:val="en-US"/>
        </w:rPr>
        <w:t>selama lebih kurang tujuh tahun. Kemudian, ia mengambil magister</w:t>
      </w:r>
    </w:p>
    <w:p>
      <w:pPr>
        <w:pStyle w:val="BookText"/>
        <w:bidi w:val="0"/>
        <w:jc w:val="both"/>
        <w:rPr/>
      </w:pPr>
      <w:r>
        <w:rPr>
          <w:rFonts w:eastAsia="Times New Roman" w:cs="Times New Roman" w:ascii="Times New Roman" w:hAnsi="Times New Roman"/>
          <w:color w:val="111111"/>
          <w:sz w:val="28"/>
          <w:szCs w:val="28"/>
          <w:lang w:val="en-US"/>
        </w:rPr>
        <w:t>di IAIN Sunan Gunung Djati, Bandung dan selanjutnya menyelesaikan</w:t>
      </w:r>
    </w:p>
    <w:p>
      <w:pPr>
        <w:pStyle w:val="BookText"/>
        <w:bidi w:val="0"/>
        <w:jc w:val="both"/>
        <w:rPr/>
      </w:pPr>
      <w:r>
        <w:rPr>
          <w:rFonts w:eastAsia="Times New Roman" w:cs="Times New Roman" w:ascii="Times New Roman" w:hAnsi="Times New Roman"/>
          <w:color w:val="111111"/>
          <w:sz w:val="28"/>
          <w:szCs w:val="28"/>
          <w:lang w:val="en-US"/>
        </w:rPr>
        <w:t>program doktoral di UIN Syarif Hidayatullah, Jakarta pada 18 April 2008</w:t>
      </w:r>
    </w:p>
    <w:p>
      <w:pPr>
        <w:pStyle w:val="BookText"/>
        <w:bidi w:val="0"/>
        <w:jc w:val="both"/>
        <w:rPr/>
      </w:pPr>
      <w:r>
        <w:rPr>
          <w:rFonts w:eastAsia="Times New Roman" w:cs="Times New Roman" w:ascii="Times New Roman" w:hAnsi="Times New Roman"/>
          <w:color w:val="111111"/>
          <w:sz w:val="28"/>
          <w:szCs w:val="28"/>
          <w:lang w:val="en-US"/>
        </w:rPr>
        <w:t>dan dinobatkan sebagai doktor terbaik.</w:t>
      </w:r>
    </w:p>
    <w:p>
      <w:pPr>
        <w:pStyle w:val="BookText"/>
        <w:bidi w:val="0"/>
        <w:jc w:val="both"/>
        <w:rPr/>
      </w:pPr>
      <w:r>
        <w:rPr>
          <w:rFonts w:eastAsia="Times New Roman" w:cs="Times New Roman" w:ascii="Times New Roman" w:hAnsi="Times New Roman"/>
          <w:color w:val="111111"/>
          <w:sz w:val="28"/>
          <w:szCs w:val="28"/>
          <w:lang w:val="en-US"/>
        </w:rPr>
        <w:t>Beliau adalah dosen Filsafat Islam di UIN Sunan Gunung Djati,</w:t>
      </w:r>
    </w:p>
    <w:p>
      <w:pPr>
        <w:pStyle w:val="BookText"/>
        <w:bidi w:val="0"/>
        <w:jc w:val="both"/>
        <w:rPr/>
      </w:pPr>
      <w:r>
        <w:rPr>
          <w:rFonts w:eastAsia="Times New Roman" w:cs="Times New Roman" w:ascii="Times New Roman" w:hAnsi="Times New Roman"/>
          <w:color w:val="111111"/>
          <w:sz w:val="28"/>
          <w:szCs w:val="28"/>
          <w:lang w:val="en-US"/>
        </w:rPr>
        <w:t>Bandung dan Pembantu Rektor | di Islamic College For Advanced</w:t>
      </w:r>
    </w:p>
    <w:p>
      <w:pPr>
        <w:pStyle w:val="BookText"/>
        <w:bidi w:val="0"/>
        <w:jc w:val="both"/>
        <w:rPr/>
      </w:pPr>
      <w:r>
        <w:rPr>
          <w:rFonts w:eastAsia="Times New Roman" w:cs="Times New Roman" w:ascii="Times New Roman" w:hAnsi="Times New Roman"/>
          <w:color w:val="111111"/>
          <w:sz w:val="28"/>
          <w:szCs w:val="28"/>
          <w:lang w:val="en-US"/>
        </w:rPr>
        <w:t>Studies (ICAS), Jakarta Branch of London, serta duduk sebagai Wakil</w:t>
      </w:r>
    </w:p>
    <w:p>
      <w:pPr>
        <w:pStyle w:val="BookText"/>
        <w:bidi w:val="0"/>
        <w:jc w:val="both"/>
        <w:rPr/>
      </w:pPr>
      <w:r>
        <w:rPr>
          <w:rFonts w:eastAsia="Times New Roman" w:cs="Times New Roman" w:ascii="Times New Roman" w:hAnsi="Times New Roman"/>
          <w:color w:val="111111"/>
          <w:sz w:val="28"/>
          <w:szCs w:val="28"/>
          <w:lang w:val="en-US"/>
        </w:rPr>
        <w:t>Ketua Komisi Ukhuwah Islamiyyah MUI Pusat.</w:t>
      </w:r>
    </w:p>
    <w:p>
      <w:pPr>
        <w:pStyle w:val="BookText"/>
        <w:bidi w:val="0"/>
        <w:jc w:val="both"/>
        <w:rPr/>
      </w:pPr>
      <w:r>
        <w:rPr>
          <w:rFonts w:eastAsia="Times New Roman" w:cs="Times New Roman" w:ascii="Times New Roman" w:hAnsi="Times New Roman"/>
          <w:color w:val="111111"/>
          <w:sz w:val="28"/>
          <w:szCs w:val="28"/>
          <w:lang w:val="en-US"/>
        </w:rPr>
        <w:t>Saat ini, beliau tinggal di Puri Bali Sawangan, Depok bersama</w:t>
      </w:r>
    </w:p>
    <w:p>
      <w:pPr>
        <w:pStyle w:val="BookText"/>
        <w:bidi w:val="0"/>
        <w:jc w:val="both"/>
        <w:rPr/>
      </w:pPr>
      <w:r>
        <w:rPr>
          <w:rFonts w:eastAsia="Times New Roman" w:cs="Times New Roman" w:ascii="Times New Roman" w:hAnsi="Times New Roman"/>
          <w:color w:val="111111"/>
          <w:sz w:val="28"/>
          <w:szCs w:val="28"/>
          <w:lang w:val="en-US"/>
        </w:rPr>
        <w:t>istri, Hj. Renny Ariany, Msc. dan ketiga putri jelita beliau, Nargis</w:t>
      </w:r>
    </w:p>
    <w:p>
      <w:pPr>
        <w:pStyle w:val="BookText"/>
        <w:bidi w:val="0"/>
        <w:jc w:val="both"/>
        <w:rPr/>
      </w:pPr>
      <w:r>
        <w:rPr>
          <w:rFonts w:eastAsia="Times New Roman" w:cs="Times New Roman" w:ascii="Times New Roman" w:hAnsi="Times New Roman"/>
          <w:color w:val="111111"/>
          <w:sz w:val="28"/>
          <w:szCs w:val="28"/>
          <w:lang w:val="en-US"/>
        </w:rPr>
        <w:t>Fathimah Behesyti, Nabila Syirin Thowusyi, dan Najwa Feresteh Zahra.</w:t>
      </w:r>
    </w:p>
    <w:p>
      <w:pPr>
        <w:pStyle w:val="BookText"/>
        <w:bidi w:val="0"/>
        <w:jc w:val="both"/>
        <w:rPr/>
      </w:pPr>
      <w:r>
        <w:rPr>
          <w:rFonts w:eastAsia="Times New Roman" w:cs="Times New Roman" w:ascii="Times New Roman" w:hAnsi="Times New Roman"/>
          <w:color w:val="111111"/>
          <w:sz w:val="28"/>
          <w:szCs w:val="28"/>
          <w:lang w:val="en-US"/>
        </w:rPr>
        <w:t>Beberapa buku beliau, baik dalam bidang filsafat dan tasawuf</w:t>
      </w:r>
    </w:p>
    <w:p>
      <w:pPr>
        <w:pStyle w:val="BookText"/>
        <w:bidi w:val="0"/>
        <w:jc w:val="both"/>
        <w:rPr/>
      </w:pPr>
      <w:r>
        <w:rPr>
          <w:rFonts w:eastAsia="Times New Roman" w:cs="Times New Roman" w:ascii="Times New Roman" w:hAnsi="Times New Roman"/>
          <w:color w:val="111111"/>
          <w:sz w:val="28"/>
          <w:szCs w:val="28"/>
          <w:lang w:val="en-US"/>
        </w:rPr>
        <w:t>serta tulisan-tulisan lepas, telah diterbitkan oleh beberapa penerbit,</w:t>
      </w:r>
    </w:p>
    <w:p>
      <w:pPr>
        <w:pStyle w:val="BookText"/>
        <w:bidi w:val="0"/>
        <w:jc w:val="both"/>
        <w:rPr/>
      </w:pPr>
      <w:r>
        <w:rPr>
          <w:rFonts w:eastAsia="Times New Roman" w:cs="Times New Roman" w:ascii="Times New Roman" w:hAnsi="Times New Roman"/>
          <w:color w:val="111111"/>
          <w:sz w:val="28"/>
          <w:szCs w:val="28"/>
          <w:lang w:val="en-US"/>
        </w:rPr>
        <w:t>jurnal, dan media. Saat ini, beliau tengah menulis peta Filsafat "Hikmah</w:t>
      </w:r>
    </w:p>
    <w:p>
      <w:pPr>
        <w:pStyle w:val="BookText"/>
        <w:bidi w:val="0"/>
        <w:jc w:val="both"/>
        <w:rPr/>
      </w:pPr>
      <w:r>
        <w:rPr>
          <w:rFonts w:eastAsia="Times New Roman" w:cs="Times New Roman" w:ascii="Times New Roman" w:hAnsi="Times New Roman"/>
          <w:color w:val="111111"/>
          <w:sz w:val="28"/>
          <w:szCs w:val="28"/>
          <w:lang w:val="en-US"/>
        </w:rPr>
        <w:t>Muta'aliyyah” karena obsesi beliau memperkenalkan Madrasah ke-III</w:t>
      </w:r>
    </w:p>
    <w:p>
      <w:pPr>
        <w:pStyle w:val="BookText"/>
        <w:bidi w:val="0"/>
        <w:jc w:val="both"/>
        <w:rPr/>
      </w:pPr>
      <w:r>
        <w:rPr>
          <w:rFonts w:eastAsia="Times New Roman" w:cs="Times New Roman" w:ascii="Times New Roman" w:hAnsi="Times New Roman"/>
          <w:color w:val="111111"/>
          <w:sz w:val="28"/>
          <w:szCs w:val="28"/>
          <w:lang w:val="en-US"/>
        </w:rPr>
        <w:t>filsafat ini ke tengah pemikir Islam Indonesia.</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275 </w:t>
      </w:r>
    </w:p>
    <w:p>
      <w:pPr>
        <w:pStyle w:val="BookText"/>
        <w:bidi w:val="0"/>
        <w:rPr/>
      </w:pPr>
      <w:r>
        <w:rPr>
          <w:rFonts w:eastAsia="Times New Roman" w:cs="Times New Roman" w:ascii="Times New Roman" w:hAnsi="Times New Roman"/>
          <w:color w:val="111111"/>
          <w:sz w:val="28"/>
          <w:szCs w:val="28"/>
          <w:lang w:val="en-US"/>
        </w:rPr>
        <w:t>1392 25. Human Rights from The Viewpoint of Islam,</w:t>
      </w:r>
    </w:p>
    <w:p>
      <w:pPr>
        <w:pStyle w:val="BookText"/>
        <w:bidi w:val="0"/>
        <w:jc w:val="both"/>
        <w:rPr/>
      </w:pPr>
      <w:r>
        <w:rPr>
          <w:rFonts w:eastAsia="Times New Roman" w:cs="Times New Roman" w:ascii="Times New Roman" w:hAnsi="Times New Roman"/>
          <w:color w:val="111111"/>
          <w:sz w:val="28"/>
          <w:szCs w:val="28"/>
          <w:lang w:val="en-US"/>
        </w:rPr>
        <w:t>persian</w:t>
      </w:r>
    </w:p>
    <w:p>
      <w:pPr>
        <w:pStyle w:val="BookText"/>
        <w:bidi w:val="0"/>
        <w:jc w:val="both"/>
        <w:rPr/>
      </w:pPr>
      <w:r>
        <w:rPr>
          <w:rFonts w:eastAsia="Times New Roman" w:cs="Times New Roman" w:ascii="Times New Roman" w:hAnsi="Times New Roman"/>
          <w:color w:val="111111"/>
          <w:sz w:val="28"/>
          <w:szCs w:val="28"/>
          <w:lang w:val="en-US"/>
        </w:rPr>
        <w:t>Textbook/Abdul Hakim Salimi</w:t>
      </w:r>
    </w:p>
    <w:p>
      <w:pPr>
        <w:pStyle w:val="BookText"/>
        <w:bidi w:val="0"/>
        <w:jc w:val="both"/>
        <w:rPr/>
      </w:pPr>
      <w:r>
        <w:rPr>
          <w:rFonts w:eastAsia="Times New Roman" w:cs="Times New Roman" w:ascii="Times New Roman" w:hAnsi="Times New Roman"/>
          <w:color w:val="111111"/>
          <w:sz w:val="28"/>
          <w:szCs w:val="28"/>
          <w:lang w:val="en-US"/>
        </w:rPr>
        <w:t>1 Abstract of Articles Presented in national Confer- 26. Impact of the soul of The Holy Prophet (p.b.u.h)</w:t>
      </w:r>
    </w:p>
    <w:p>
      <w:pPr>
        <w:pStyle w:val="BookText"/>
        <w:bidi w:val="0"/>
        <w:jc w:val="both"/>
        <w:rPr/>
      </w:pPr>
      <w:r>
        <w:rPr>
          <w:rFonts w:eastAsia="Times New Roman" w:cs="Times New Roman" w:ascii="Times New Roman" w:hAnsi="Times New Roman"/>
          <w:color w:val="111111"/>
          <w:sz w:val="28"/>
          <w:szCs w:val="28"/>
          <w:lang w:val="en-US"/>
        </w:rPr>
        <w:t>ence of Islamic Ethics and economy/Islamic econ- in World of being with The Approach of implora-</w:t>
      </w:r>
    </w:p>
    <w:p>
      <w:pPr>
        <w:pStyle w:val="BookText"/>
        <w:bidi w:val="0"/>
        <w:jc w:val="both"/>
        <w:rPr/>
      </w:pPr>
      <w:r>
        <w:rPr>
          <w:rFonts w:eastAsia="Times New Roman" w:cs="Times New Roman" w:ascii="Times New Roman" w:hAnsi="Times New Roman"/>
          <w:color w:val="111111"/>
          <w:sz w:val="28"/>
          <w:szCs w:val="28"/>
          <w:lang w:val="en-US"/>
        </w:rPr>
        <w:t>omy council of Islamic seminry</w:t>
      </w:r>
    </w:p>
    <w:p>
      <w:pPr>
        <w:pStyle w:val="BookText"/>
        <w:bidi w:val="0"/>
        <w:jc w:val="both"/>
        <w:rPr/>
      </w:pPr>
      <w:r>
        <w:rPr>
          <w:rFonts w:eastAsia="Times New Roman" w:cs="Times New Roman" w:ascii="Times New Roman" w:hAnsi="Times New Roman"/>
          <w:color w:val="111111"/>
          <w:sz w:val="28"/>
          <w:szCs w:val="28"/>
          <w:lang w:val="en-US"/>
        </w:rPr>
        <w:t>tion issue)/Ma'asooma Gul Guli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Advanced writing, from paragraph to article/Ha- 27. Introduction of authorities Science/Syed Moham-</w:t>
      </w:r>
    </w:p>
    <w:p>
      <w:pPr>
        <w:pStyle w:val="BookText"/>
        <w:bidi w:val="0"/>
        <w:jc w:val="both"/>
        <w:rPr/>
      </w:pPr>
      <w:r>
        <w:rPr>
          <w:rFonts w:eastAsia="Times New Roman" w:cs="Times New Roman" w:ascii="Times New Roman" w:hAnsi="Times New Roman"/>
          <w:color w:val="111111"/>
          <w:sz w:val="28"/>
          <w:szCs w:val="28"/>
          <w:lang w:val="en-US"/>
        </w:rPr>
        <w:t>mid Basiriyan</w:t>
      </w:r>
    </w:p>
    <w:p>
      <w:pPr>
        <w:pStyle w:val="BookText"/>
        <w:bidi w:val="0"/>
        <w:jc w:val="both"/>
        <w:rPr/>
      </w:pPr>
      <w:r>
        <w:rPr>
          <w:rFonts w:eastAsia="Times New Roman" w:cs="Times New Roman" w:ascii="Times New Roman" w:hAnsi="Times New Roman"/>
          <w:color w:val="111111"/>
          <w:sz w:val="28"/>
          <w:szCs w:val="28"/>
          <w:lang w:val="en-US"/>
        </w:rPr>
        <w:t>mad Najafi Yazdi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Approach to Political Science and contempo- 28. Introduction of Sahifa-e-Sajjadiya/Mohammad</w:t>
      </w:r>
    </w:p>
    <w:p>
      <w:pPr>
        <w:pStyle w:val="BookText"/>
        <w:bidi w:val="0"/>
        <w:jc w:val="both"/>
        <w:rPr/>
      </w:pPr>
      <w:r>
        <w:rPr>
          <w:rFonts w:eastAsia="Times New Roman" w:cs="Times New Roman" w:ascii="Times New Roman" w:hAnsi="Times New Roman"/>
          <w:color w:val="111111"/>
          <w:sz w:val="28"/>
          <w:szCs w:val="28"/>
          <w:lang w:val="en-US"/>
        </w:rPr>
        <w:t>rary Islamic movements/Abdul Wahhab Furati Ali Majd Faqihi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Analysis of The historiography of Mohammad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Introduction of Shia Studies/Ali Rabbani Gul-</w:t>
      </w:r>
    </w:p>
    <w:p>
      <w:pPr>
        <w:pStyle w:val="BookText"/>
        <w:bidi w:val="0"/>
        <w:jc w:val="both"/>
        <w:rPr/>
      </w:pPr>
      <w:r>
        <w:rPr>
          <w:rFonts w:eastAsia="Times New Roman" w:cs="Times New Roman" w:ascii="Times New Roman" w:hAnsi="Times New Roman"/>
          <w:color w:val="111111"/>
          <w:sz w:val="28"/>
          <w:szCs w:val="28"/>
          <w:lang w:val="en-US"/>
        </w:rPr>
        <w:t>Abid Aljabiri/Syed Mohammad Ali Noori paigani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Basic Teachings of Ethics, Vol.1/Mohammad Fath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Islamic Religions and Theological Schools/Ali</w:t>
      </w:r>
    </w:p>
    <w:p>
      <w:pPr>
        <w:pStyle w:val="BookText"/>
        <w:bidi w:val="0"/>
        <w:jc w:val="both"/>
        <w:rPr/>
      </w:pPr>
      <w:r>
        <w:rPr>
          <w:rFonts w:eastAsia="Times New Roman" w:cs="Times New Roman" w:ascii="Times New Roman" w:hAnsi="Times New Roman"/>
          <w:color w:val="111111"/>
          <w:sz w:val="28"/>
          <w:szCs w:val="28"/>
          <w:lang w:val="en-US"/>
        </w:rPr>
        <w:t>Ali Khani</w:t>
      </w:r>
    </w:p>
    <w:p>
      <w:pPr>
        <w:pStyle w:val="BookText"/>
        <w:bidi w:val="0"/>
        <w:jc w:val="both"/>
        <w:rPr/>
      </w:pPr>
      <w:r>
        <w:rPr>
          <w:rFonts w:eastAsia="Times New Roman" w:cs="Times New Roman" w:ascii="Times New Roman" w:hAnsi="Times New Roman"/>
          <w:color w:val="111111"/>
          <w:sz w:val="28"/>
          <w:szCs w:val="28"/>
          <w:lang w:val="en-US"/>
        </w:rPr>
        <w:t>rabbani Gulpaigani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Basics of Eschatology of History in Quran/Qam- 31. Jurisprudence and Wisdom/Abul Qasim Ali Dost</w:t>
      </w:r>
    </w:p>
    <w:p>
      <w:pPr>
        <w:pStyle w:val="BookText"/>
        <w:bidi w:val="0"/>
        <w:jc w:val="both"/>
        <w:rPr/>
      </w:pPr>
      <w:r>
        <w:rPr>
          <w:rFonts w:eastAsia="Times New Roman" w:cs="Times New Roman" w:ascii="Times New Roman" w:hAnsi="Times New Roman"/>
          <w:color w:val="111111"/>
          <w:sz w:val="28"/>
          <w:szCs w:val="28"/>
          <w:lang w:val="en-US"/>
        </w:rPr>
        <w:t>bar Ali Samadi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Jurisprudence of Quran, verses of The revealed</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Chandelier of Friday prayer(forty Narratives about prescripts/Mohammad Fakir Maibodi</w:t>
      </w:r>
    </w:p>
    <w:p>
      <w:pPr>
        <w:pStyle w:val="BookText"/>
        <w:bidi w:val="0"/>
        <w:jc w:val="both"/>
        <w:rPr/>
      </w:pPr>
      <w:r>
        <w:rPr>
          <w:rFonts w:eastAsia="Times New Roman" w:cs="Times New Roman" w:ascii="Times New Roman" w:hAnsi="Times New Roman"/>
          <w:color w:val="111111"/>
          <w:sz w:val="28"/>
          <w:szCs w:val="28"/>
          <w:lang w:val="en-US"/>
        </w:rPr>
        <w:t>Friday prayer) Mohammad Arif Haider Qizalbash 33. Legal issues in an organization/Mohsin Mantiqui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Cognitive geography of The World of Islam (col- 34. Lexicology of The Holy Quran/Shahid Ghulam Ali</w:t>
      </w:r>
    </w:p>
    <w:p>
      <w:pPr>
        <w:pStyle w:val="BookText"/>
        <w:bidi w:val="0"/>
        <w:jc w:val="both"/>
        <w:rPr/>
      </w:pPr>
      <w:r>
        <w:rPr>
          <w:rFonts w:eastAsia="Times New Roman" w:cs="Times New Roman" w:ascii="Times New Roman" w:hAnsi="Times New Roman"/>
          <w:color w:val="111111"/>
          <w:sz w:val="28"/>
          <w:szCs w:val="28"/>
          <w:lang w:val="en-US"/>
        </w:rPr>
        <w:t>lection of Articles Presented in 16th sheikh Tousi Humai</w:t>
      </w:r>
    </w:p>
    <w:p>
      <w:pPr>
        <w:pStyle w:val="BookText"/>
        <w:bidi w:val="0"/>
        <w:jc w:val="both"/>
        <w:rPr/>
      </w:pPr>
      <w:r>
        <w:rPr>
          <w:rFonts w:eastAsia="Times New Roman" w:cs="Times New Roman" w:ascii="Times New Roman" w:hAnsi="Times New Roman"/>
          <w:color w:val="111111"/>
          <w:sz w:val="28"/>
          <w:szCs w:val="28"/>
          <w:lang w:val="en-US"/>
        </w:rPr>
        <w:t>international festival)/Group of Authors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Light of Research, Vol.3/ Fiqh High Education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Comparative Study of the imaginary from The Complex</w:t>
      </w:r>
    </w:p>
    <w:p>
      <w:pPr>
        <w:pStyle w:val="BookText"/>
        <w:bidi w:val="0"/>
        <w:jc w:val="both"/>
        <w:rPr/>
      </w:pPr>
      <w:r>
        <w:rPr>
          <w:rFonts w:eastAsia="Times New Roman" w:cs="Times New Roman" w:ascii="Times New Roman" w:hAnsi="Times New Roman"/>
          <w:color w:val="111111"/>
          <w:sz w:val="28"/>
          <w:szCs w:val="28"/>
          <w:lang w:val="en-US"/>
        </w:rPr>
        <w:t>Viewpoint of Ibn-e-Sina. Shiekh Ishraque and 36. Literary Analysis of Nehjul Balagha and Sahi-</w:t>
      </w:r>
    </w:p>
    <w:p>
      <w:pPr>
        <w:pStyle w:val="BookText"/>
        <w:bidi w:val="0"/>
        <w:jc w:val="both"/>
        <w:rPr/>
      </w:pPr>
      <w:r>
        <w:rPr>
          <w:rFonts w:eastAsia="Times New Roman" w:cs="Times New Roman" w:ascii="Times New Roman" w:hAnsi="Times New Roman"/>
          <w:color w:val="111111"/>
          <w:sz w:val="28"/>
          <w:szCs w:val="28"/>
          <w:lang w:val="en-US"/>
        </w:rPr>
        <w:t>Mulla Sadra/Mohammad Khan Kazimi</w:t>
      </w:r>
    </w:p>
    <w:p>
      <w:pPr>
        <w:pStyle w:val="BookText"/>
        <w:bidi w:val="0"/>
        <w:jc w:val="both"/>
        <w:rPr/>
      </w:pPr>
      <w:r>
        <w:rPr>
          <w:rFonts w:eastAsia="Times New Roman" w:cs="Times New Roman" w:ascii="Times New Roman" w:hAnsi="Times New Roman"/>
          <w:color w:val="111111"/>
          <w:sz w:val="28"/>
          <w:szCs w:val="28"/>
          <w:lang w:val="en-US"/>
        </w:rPr>
        <w:t>fa-e-Sajjadiye/Rehmet Abidi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Cultural anthropology with Approach of interna- 37. Logic of The Interpretation of Holy Quranl(Ba-</w:t>
      </w:r>
    </w:p>
    <w:p>
      <w:pPr>
        <w:pStyle w:val="BookText"/>
        <w:bidi w:val="0"/>
        <w:jc w:val="both"/>
        <w:rPr/>
      </w:pPr>
      <w:r>
        <w:rPr>
          <w:rFonts w:eastAsia="Times New Roman" w:cs="Times New Roman" w:ascii="Times New Roman" w:hAnsi="Times New Roman"/>
          <w:color w:val="111111"/>
          <w:sz w:val="28"/>
          <w:szCs w:val="28"/>
          <w:lang w:val="en-US"/>
        </w:rPr>
        <w:t>tional propagation/Mohammad Raza Aqai</w:t>
      </w:r>
    </w:p>
    <w:p>
      <w:pPr>
        <w:pStyle w:val="BookText"/>
        <w:bidi w:val="0"/>
        <w:jc w:val="both"/>
        <w:rPr/>
      </w:pPr>
      <w:r>
        <w:rPr>
          <w:rFonts w:eastAsia="Times New Roman" w:cs="Times New Roman" w:ascii="Times New Roman" w:hAnsi="Times New Roman"/>
          <w:color w:val="111111"/>
          <w:sz w:val="28"/>
          <w:szCs w:val="28"/>
          <w:lang w:val="en-US"/>
        </w:rPr>
        <w:t>sics and Rules of The Interpretation of Holy Qu-</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Different perceptions from The proximity of Is-</w:t>
      </w:r>
    </w:p>
    <w:p>
      <w:pPr>
        <w:pStyle w:val="BookText"/>
        <w:bidi w:val="0"/>
        <w:jc w:val="both"/>
        <w:rPr/>
      </w:pPr>
      <w:r>
        <w:rPr>
          <w:rFonts w:eastAsia="Times New Roman" w:cs="Times New Roman" w:ascii="Times New Roman" w:hAnsi="Times New Roman"/>
          <w:color w:val="111111"/>
          <w:sz w:val="28"/>
          <w:szCs w:val="28"/>
          <w:lang w:val="en-US"/>
        </w:rPr>
        <w:t>ran)/ Mohammad Ali Rizai Isfahani</w:t>
      </w:r>
    </w:p>
    <w:p>
      <w:pPr>
        <w:pStyle w:val="BookText"/>
        <w:bidi w:val="0"/>
        <w:jc w:val="both"/>
        <w:rPr/>
      </w:pPr>
      <w:r>
        <w:rPr>
          <w:rFonts w:eastAsia="Times New Roman" w:cs="Times New Roman" w:ascii="Times New Roman" w:hAnsi="Times New Roman"/>
          <w:color w:val="111111"/>
          <w:sz w:val="28"/>
          <w:szCs w:val="28"/>
          <w:lang w:val="en-US"/>
        </w:rPr>
        <w:t>lamic Schools of Thought/Mohammad Tahir Iqbali 38. Logic of The Interpretation of Holy Quran2 (In-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terpretational Methods and trends) / Mohammad</w:t>
      </w:r>
    </w:p>
    <w:p>
      <w:pPr>
        <w:pStyle w:val="BookText"/>
        <w:bidi w:val="0"/>
        <w:jc w:val="both"/>
        <w:rPr/>
      </w:pPr>
      <w:r>
        <w:rPr>
          <w:rFonts w:eastAsia="Times New Roman" w:cs="Times New Roman" w:ascii="Times New Roman" w:hAnsi="Times New Roman"/>
          <w:color w:val="111111"/>
          <w:sz w:val="28"/>
          <w:szCs w:val="28"/>
          <w:lang w:val="en-US"/>
        </w:rPr>
        <w:t>The Holy Quran/Vol.1/ Ali Beman Malik Ahmadi Ali Rizai Isfahani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39. Logic of The Interpretation of Holy Quran 2 (Qu-</w:t>
      </w:r>
    </w:p>
    <w:p>
      <w:pPr>
        <w:pStyle w:val="BookText"/>
        <w:bidi w:val="0"/>
        <w:jc w:val="both"/>
        <w:rPr/>
      </w:pPr>
      <w:r>
        <w:rPr>
          <w:rFonts w:eastAsia="Times New Roman" w:cs="Times New Roman" w:ascii="Times New Roman" w:hAnsi="Times New Roman"/>
          <w:color w:val="111111"/>
          <w:sz w:val="28"/>
          <w:szCs w:val="28"/>
          <w:lang w:val="en-US"/>
        </w:rPr>
        <w:t>The Holy Quran/Vol.2) Ali Beman Malik Ahmadi</w:t>
      </w:r>
    </w:p>
    <w:p>
      <w:pPr>
        <w:pStyle w:val="BookText"/>
        <w:bidi w:val="0"/>
        <w:jc w:val="both"/>
        <w:rPr/>
      </w:pPr>
      <w:r>
        <w:rPr>
          <w:rFonts w:eastAsia="Times New Roman" w:cs="Times New Roman" w:ascii="Times New Roman" w:hAnsi="Times New Roman"/>
          <w:color w:val="111111"/>
          <w:sz w:val="28"/>
          <w:szCs w:val="28"/>
          <w:lang w:val="en-US"/>
        </w:rPr>
        <w:t>alik Ahmadi ran's Interpretational Methods and tendencies /</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w:t>
      </w:r>
    </w:p>
    <w:p>
      <w:pPr>
        <w:pStyle w:val="BookText"/>
        <w:bidi w:val="0"/>
        <w:jc w:val="both"/>
        <w:rPr/>
      </w:pPr>
      <w:r>
        <w:rPr>
          <w:rFonts w:eastAsia="Times New Roman" w:cs="Times New Roman" w:ascii="Times New Roman" w:hAnsi="Times New Roman"/>
          <w:color w:val="111111"/>
          <w:sz w:val="28"/>
          <w:szCs w:val="28"/>
          <w:lang w:val="en-US"/>
        </w:rPr>
        <w:t>f The Translation and concents of Mohammad Ali Rizai Isfehani</w:t>
      </w:r>
    </w:p>
    <w:p>
      <w:pPr>
        <w:pStyle w:val="BookText"/>
        <w:bidi w:val="0"/>
        <w:jc w:val="both"/>
        <w:rPr/>
      </w:pPr>
      <w:r>
        <w:rPr>
          <w:rFonts w:eastAsia="Times New Roman" w:cs="Times New Roman" w:ascii="Times New Roman" w:hAnsi="Times New Roman"/>
          <w:color w:val="111111"/>
          <w:sz w:val="28"/>
          <w:szCs w:val="28"/>
          <w:lang w:val="en-US"/>
        </w:rPr>
        <w:t>The Holy Quran/Vol.3/ Ali Beman Malik Ahmadi 40. Logic of The Interpretation of Holy Quran 3(Qu-</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ran's Interpretational Methods and tendencies) /</w:t>
      </w:r>
    </w:p>
    <w:p>
      <w:pPr>
        <w:pStyle w:val="BookText"/>
        <w:bidi w:val="0"/>
        <w:jc w:val="both"/>
        <w:rPr/>
      </w:pPr>
      <w:r>
        <w:rPr>
          <w:rFonts w:eastAsia="Times New Roman" w:cs="Times New Roman" w:ascii="Times New Roman" w:hAnsi="Times New Roman"/>
          <w:color w:val="111111"/>
          <w:sz w:val="28"/>
          <w:szCs w:val="28"/>
          <w:lang w:val="en-US"/>
        </w:rPr>
        <w:t>The Holy Quran/Vol.4/ Ali Beman Malik Ahmadi Mohammad Ali Rizai Isfehani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41. Logic of The Interpretation of Holy Quran 4(mod-</w:t>
      </w:r>
    </w:p>
    <w:p>
      <w:pPr>
        <w:pStyle w:val="BookText"/>
        <w:bidi w:val="0"/>
        <w:jc w:val="both"/>
        <w:rPr/>
      </w:pPr>
      <w:r>
        <w:rPr>
          <w:rFonts w:eastAsia="Times New Roman" w:cs="Times New Roman" w:ascii="Times New Roman" w:hAnsi="Times New Roman"/>
          <w:color w:val="111111"/>
          <w:sz w:val="28"/>
          <w:szCs w:val="28"/>
          <w:lang w:val="en-US"/>
        </w:rPr>
        <w:t>The Holy Quran/V05/ Ali Beman Malik Ahmadi ern discussions of The Interpretation/Moham-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Education of The Translation and concepts of mad Ali Rizai Isfel</w:t>
      </w:r>
    </w:p>
    <w:p>
      <w:pPr>
        <w:pStyle w:val="BookText"/>
        <w:bidi w:val="0"/>
        <w:jc w:val="both"/>
        <w:rPr/>
      </w:pPr>
      <w:r>
        <w:rPr>
          <w:rFonts w:eastAsia="Times New Roman" w:cs="Times New Roman" w:ascii="Times New Roman" w:hAnsi="Times New Roman"/>
          <w:color w:val="111111"/>
          <w:sz w:val="28"/>
          <w:szCs w:val="28"/>
          <w:lang w:val="en-US"/>
        </w:rPr>
        <w:t>mad Ali Rizai Isfehani</w:t>
      </w:r>
    </w:p>
    <w:p>
      <w:pPr>
        <w:pStyle w:val="BookText"/>
        <w:bidi w:val="0"/>
        <w:jc w:val="both"/>
        <w:rPr/>
      </w:pPr>
      <w:r>
        <w:rPr>
          <w:rFonts w:eastAsia="Times New Roman" w:cs="Times New Roman" w:ascii="Times New Roman" w:hAnsi="Times New Roman"/>
          <w:color w:val="111111"/>
          <w:sz w:val="28"/>
          <w:szCs w:val="28"/>
          <w:lang w:val="en-US"/>
        </w:rPr>
        <w:t>The Holy Quran/Vol.6/ Ali Beman Malik Ahmadi 42. Logic of The Interpretation of Holy Quran5(Qu-</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Embodiment of deeds from The Viewpoint of</w:t>
      </w:r>
    </w:p>
    <w:p>
      <w:pPr>
        <w:pStyle w:val="BookText"/>
        <w:bidi w:val="0"/>
        <w:jc w:val="both"/>
        <w:rPr/>
      </w:pPr>
      <w:r>
        <w:rPr>
          <w:rFonts w:eastAsia="Times New Roman" w:cs="Times New Roman" w:ascii="Times New Roman" w:hAnsi="Times New Roman"/>
          <w:color w:val="111111"/>
          <w:sz w:val="28"/>
          <w:szCs w:val="28"/>
          <w:lang w:val="en-US"/>
        </w:rPr>
        <w:t>ran and Human and natural Sciences)/Moham-</w:t>
      </w:r>
    </w:p>
    <w:p>
      <w:pPr>
        <w:pStyle w:val="BookText"/>
        <w:bidi w:val="0"/>
        <w:jc w:val="both"/>
        <w:rPr/>
      </w:pPr>
      <w:r>
        <w:rPr>
          <w:rFonts w:eastAsia="Times New Roman" w:cs="Times New Roman" w:ascii="Times New Roman" w:hAnsi="Times New Roman"/>
          <w:color w:val="111111"/>
          <w:sz w:val="28"/>
          <w:szCs w:val="28"/>
          <w:lang w:val="en-US"/>
        </w:rPr>
        <w:t>Allama Tabatabai. Rashid Raza in Almizan and Al- mad Ali Rizal Isfehani</w:t>
      </w:r>
    </w:p>
    <w:p>
      <w:pPr>
        <w:pStyle w:val="BookText"/>
        <w:bidi w:val="0"/>
        <w:jc w:val="both"/>
        <w:rPr/>
      </w:pPr>
      <w:r>
        <w:rPr>
          <w:rFonts w:eastAsia="Times New Roman" w:cs="Times New Roman" w:ascii="Times New Roman" w:hAnsi="Times New Roman"/>
          <w:color w:val="111111"/>
          <w:sz w:val="28"/>
          <w:szCs w:val="28"/>
          <w:lang w:val="en-US"/>
        </w:rPr>
        <w:t>manar/Siddiqah Faqihi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Mechanisms of Islamic banking/Mohammad</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Explanation and Analysis of The Attributes of acts Jawad Tawakkuli</w:t>
      </w:r>
    </w:p>
    <w:p>
      <w:pPr>
        <w:pStyle w:val="BookText"/>
        <w:bidi w:val="0"/>
        <w:jc w:val="both"/>
        <w:rPr/>
      </w:pPr>
      <w:r>
        <w:rPr>
          <w:rFonts w:eastAsia="Times New Roman" w:cs="Times New Roman" w:ascii="Times New Roman" w:hAnsi="Times New Roman"/>
          <w:color w:val="111111"/>
          <w:sz w:val="28"/>
          <w:szCs w:val="28"/>
          <w:lang w:val="en-US"/>
        </w:rPr>
        <w:t>of God in Ashura visitation/Syeda Zahra Ahmadi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Mothers of fourteen innocents/Haider Muzaf-</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Four Articles and limit-controlling/Mohammad fari Warsi</w:t>
      </w:r>
    </w:p>
    <w:p>
      <w:pPr>
        <w:pStyle w:val="BookText"/>
        <w:bidi w:val="0"/>
        <w:jc w:val="both"/>
        <w:rPr/>
      </w:pPr>
      <w:r>
        <w:rPr>
          <w:rFonts w:eastAsia="Times New Roman" w:cs="Times New Roman" w:ascii="Times New Roman" w:hAnsi="Times New Roman"/>
          <w:color w:val="111111"/>
          <w:sz w:val="28"/>
          <w:szCs w:val="28"/>
          <w:lang w:val="en-US"/>
        </w:rPr>
        <w:t>Raza Yusufi, Ruqayya Ibrahimi Shehrabad</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Necessity of Islamic Government in The Absence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Hadith and modern Sciences (Logic of under- period/Bismillah Hassani</w:t>
      </w:r>
    </w:p>
    <w:p>
      <w:pPr>
        <w:pStyle w:val="BookText"/>
        <w:bidi w:val="0"/>
        <w:jc w:val="both"/>
        <w:rPr/>
      </w:pPr>
      <w:r>
        <w:rPr>
          <w:rFonts w:eastAsia="Times New Roman" w:cs="Times New Roman" w:ascii="Times New Roman" w:hAnsi="Times New Roman"/>
          <w:color w:val="111111"/>
          <w:sz w:val="28"/>
          <w:szCs w:val="28"/>
          <w:lang w:val="en-US"/>
        </w:rPr>
        <w:t>standing scientific Narratives)/Mohammad Ali 46. Orientalists and The Holy Prophet (p.b.u.h)/Hus-</w:t>
      </w:r>
    </w:p>
    <w:p>
      <w:pPr>
        <w:pStyle w:val="BookText"/>
        <w:bidi w:val="0"/>
        <w:jc w:val="both"/>
        <w:rPr/>
      </w:pPr>
      <w:r>
        <w:rPr>
          <w:rFonts w:eastAsia="Times New Roman" w:cs="Times New Roman" w:ascii="Times New Roman" w:hAnsi="Times New Roman"/>
          <w:color w:val="111111"/>
          <w:sz w:val="28"/>
          <w:szCs w:val="28"/>
          <w:lang w:val="en-US"/>
        </w:rPr>
        <w:t>Rizai Isfehani</w:t>
      </w:r>
    </w:p>
    <w:p>
      <w:pPr>
        <w:pStyle w:val="BookText"/>
        <w:bidi w:val="0"/>
        <w:jc w:val="both"/>
        <w:rPr/>
      </w:pPr>
      <w:r>
        <w:rPr>
          <w:rFonts w:eastAsia="Times New Roman" w:cs="Times New Roman" w:ascii="Times New Roman" w:hAnsi="Times New Roman"/>
          <w:color w:val="111111"/>
          <w:sz w:val="28"/>
          <w:szCs w:val="28"/>
          <w:lang w:val="en-US"/>
        </w:rPr>
        <w:t>sain Abdul Mohammadi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History of Islamic Culture and Civilization/Mo- 47. Persian Education by Persian , Workbook, Vol.6/</w:t>
      </w:r>
    </w:p>
    <w:p>
      <w:pPr>
        <w:pStyle w:val="BookText"/>
        <w:bidi w:val="0"/>
        <w:jc w:val="both"/>
        <w:rPr/>
      </w:pPr>
      <w:r>
        <w:rPr>
          <w:rFonts w:eastAsia="Times New Roman" w:cs="Times New Roman" w:ascii="Times New Roman" w:hAnsi="Times New Roman"/>
          <w:color w:val="111111"/>
          <w:sz w:val="28"/>
          <w:szCs w:val="28"/>
          <w:lang w:val="en-US"/>
        </w:rPr>
        <w:t>hammad Raza Kashifi</w:t>
      </w:r>
    </w:p>
    <w:p>
      <w:pPr>
        <w:pStyle w:val="BookText"/>
        <w:bidi w:val="0"/>
        <w:jc w:val="both"/>
        <w:rPr/>
      </w:pPr>
      <w:r>
        <w:rPr>
          <w:rFonts w:eastAsia="Times New Roman" w:cs="Times New Roman" w:ascii="Times New Roman" w:hAnsi="Times New Roman"/>
          <w:color w:val="111111"/>
          <w:sz w:val="28"/>
          <w:szCs w:val="28"/>
          <w:lang w:val="en-US"/>
        </w:rPr>
        <w:t>Asghar Fardi, Ahmad Zahrai, Ja'afar Momini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History of organization/Mohammad Raza Shahidi 48. Persian Education by Persian , Workbook, Vol.77</w:t>
      </w:r>
    </w:p>
    <w:p>
      <w:pPr>
        <w:pStyle w:val="BookText"/>
        <w:bidi w:val="0"/>
        <w:jc w:val="both"/>
        <w:rPr/>
      </w:pPr>
      <w:r>
        <w:rPr>
          <w:rFonts w:eastAsia="Times New Roman" w:cs="Times New Roman" w:ascii="Times New Roman" w:hAnsi="Times New Roman"/>
          <w:color w:val="111111"/>
          <w:sz w:val="28"/>
          <w:szCs w:val="28"/>
          <w:lang w:val="en-US"/>
        </w:rPr>
        <w:t>Pak</w:t>
      </w:r>
    </w:p>
    <w:p>
      <w:pPr>
        <w:pStyle w:val="BookText"/>
        <w:bidi w:val="0"/>
        <w:jc w:val="both"/>
        <w:rPr/>
      </w:pPr>
      <w:r>
        <w:rPr>
          <w:rFonts w:eastAsia="Times New Roman" w:cs="Times New Roman" w:ascii="Times New Roman" w:hAnsi="Times New Roman"/>
          <w:color w:val="111111"/>
          <w:sz w:val="28"/>
          <w:szCs w:val="28"/>
          <w:lang w:val="en-US"/>
        </w:rPr>
        <w:t>Asghar Fardi, Ahmad Zahrai, Ja'afar Momini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History of Shia’ism1, Textbook/Syed Lutfullah 49. Persian Education by Persian Book4/Asghar</w:t>
      </w:r>
    </w:p>
    <w:p>
      <w:pPr>
        <w:pStyle w:val="BookText"/>
        <w:bidi w:val="0"/>
        <w:jc w:val="both"/>
        <w:rPr/>
      </w:pPr>
      <w:r>
        <w:rPr>
          <w:rFonts w:eastAsia="Times New Roman" w:cs="Times New Roman" w:ascii="Times New Roman" w:hAnsi="Times New Roman"/>
          <w:color w:val="111111"/>
          <w:sz w:val="28"/>
          <w:szCs w:val="28"/>
          <w:lang w:val="en-US"/>
        </w:rPr>
        <w:t>Jalali</w:t>
      </w:r>
    </w:p>
    <w:p>
      <w:pPr>
        <w:pStyle w:val="BookText"/>
        <w:bidi w:val="0"/>
        <w:jc w:val="both"/>
        <w:rPr/>
      </w:pPr>
      <w:r>
        <w:rPr>
          <w:rFonts w:eastAsia="Times New Roman" w:cs="Times New Roman" w:ascii="Times New Roman" w:hAnsi="Times New Roman"/>
          <w:color w:val="111111"/>
          <w:sz w:val="28"/>
          <w:szCs w:val="28"/>
          <w:lang w:val="en-US"/>
        </w:rPr>
        <w:t>Fardi, Ahmad Zahrai</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276 </w:t>
      </w:r>
    </w:p>
    <w:p>
      <w:pPr>
        <w:pStyle w:val="BookText"/>
        <w:bidi w:val="0"/>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Persian Education by Persian, (preliminary d ence, Vol.2/Syed Mir Taqi Hussaini Gurgani</w:t>
      </w:r>
    </w:p>
    <w:p>
      <w:pPr>
        <w:pStyle w:val="BookText"/>
        <w:bidi w:val="0"/>
        <w:jc w:val="both"/>
        <w:rPr/>
      </w:pPr>
      <w:r>
        <w:rPr>
          <w:rFonts w:eastAsia="Times New Roman" w:cs="Times New Roman" w:ascii="Times New Roman" w:hAnsi="Times New Roman"/>
          <w:color w:val="111111"/>
          <w:sz w:val="28"/>
          <w:szCs w:val="28"/>
          <w:lang w:val="en-US"/>
        </w:rPr>
        <w:t>book1/1)/Ahmad Zahrai and Asghar Fardi 77. Divine social laws in The Holy Quran Ahmad</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Philosophy of Ethics/Mohammad Fath Ali Khani</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Philosophy of History/Jawad Sunalimani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Endowment in Islamic shariyyah, jurisprudential</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Place of “Urf"(common Culture) in “Istinbat" (ju- Study comparing five Schools of though/Syed Adil</w:t>
      </w:r>
    </w:p>
    <w:p>
      <w:pPr>
        <w:pStyle w:val="BookText"/>
        <w:bidi w:val="0"/>
        <w:jc w:val="both"/>
        <w:rPr/>
      </w:pPr>
      <w:r>
        <w:rPr>
          <w:rFonts w:eastAsia="Times New Roman" w:cs="Times New Roman" w:ascii="Times New Roman" w:hAnsi="Times New Roman"/>
          <w:color w:val="111111"/>
          <w:sz w:val="28"/>
          <w:szCs w:val="28"/>
          <w:lang w:val="en-US"/>
        </w:rPr>
        <w:t>ridical deduction)/Taqavi al Kanai</w:t>
      </w:r>
    </w:p>
    <w:p>
      <w:pPr>
        <w:pStyle w:val="BookText"/>
        <w:bidi w:val="0"/>
        <w:jc w:val="both"/>
        <w:rPr/>
      </w:pPr>
      <w:r>
        <w:rPr>
          <w:rFonts w:eastAsia="Times New Roman" w:cs="Times New Roman" w:ascii="Times New Roman" w:hAnsi="Times New Roman"/>
          <w:color w:val="111111"/>
          <w:sz w:val="28"/>
          <w:szCs w:val="28"/>
          <w:lang w:val="en-US"/>
        </w:rPr>
        <w:t>Mousavi al Khirsan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Principles and Methods of Teaching youth Reli- 79. Essence of creation (for knowing the right Be-</w:t>
      </w:r>
    </w:p>
    <w:p>
      <w:pPr>
        <w:pStyle w:val="BookText"/>
        <w:bidi w:val="0"/>
        <w:jc w:val="both"/>
        <w:rPr/>
      </w:pPr>
      <w:r>
        <w:rPr>
          <w:rFonts w:eastAsia="Times New Roman" w:cs="Times New Roman" w:ascii="Times New Roman" w:hAnsi="Times New Roman"/>
          <w:color w:val="111111"/>
          <w:sz w:val="28"/>
          <w:szCs w:val="28"/>
          <w:lang w:val="en-US"/>
        </w:rPr>
        <w:t>gious concepts/Hamidullah Rizai</w:t>
      </w:r>
    </w:p>
    <w:p>
      <w:pPr>
        <w:pStyle w:val="BookText"/>
        <w:bidi w:val="0"/>
        <w:jc w:val="both"/>
        <w:rPr/>
      </w:pPr>
      <w:r>
        <w:rPr>
          <w:rFonts w:eastAsia="Times New Roman" w:cs="Times New Roman" w:ascii="Times New Roman" w:hAnsi="Times New Roman"/>
          <w:color w:val="111111"/>
          <w:sz w:val="28"/>
          <w:szCs w:val="28"/>
          <w:lang w:val="en-US"/>
        </w:rPr>
        <w:t>lief)mohammad Mehdi Hairipur, Mehdi Yusufi-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Quranic movement communal duty/Ali Raza yan, Mohammad Amin Baladastiyan</w:t>
      </w:r>
    </w:p>
    <w:p>
      <w:pPr>
        <w:pStyle w:val="BookText"/>
        <w:bidi w:val="0"/>
        <w:jc w:val="both"/>
        <w:rPr/>
      </w:pPr>
      <w:r>
        <w:rPr>
          <w:rFonts w:eastAsia="Times New Roman" w:cs="Times New Roman" w:ascii="Times New Roman" w:hAnsi="Times New Roman"/>
          <w:color w:val="111111"/>
          <w:sz w:val="28"/>
          <w:szCs w:val="28"/>
          <w:lang w:val="en-US"/>
        </w:rPr>
        <w:t>A'arafi</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Family Planning/Mohammad Hussain Khalique</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Quranic Sciences 2 (absolute inimitablity of The 81. From jihad to jihad/Syed Hassan Firouz Abadi</w:t>
      </w:r>
    </w:p>
    <w:p>
      <w:pPr>
        <w:pStyle w:val="BookText"/>
        <w:bidi w:val="0"/>
        <w:jc w:val="both"/>
        <w:rPr/>
      </w:pPr>
      <w:r>
        <w:rPr>
          <w:rFonts w:eastAsia="Times New Roman" w:cs="Times New Roman" w:ascii="Times New Roman" w:hAnsi="Times New Roman"/>
          <w:color w:val="111111"/>
          <w:sz w:val="28"/>
          <w:szCs w:val="28"/>
          <w:lang w:val="en-US"/>
        </w:rPr>
        <w:t>Holy Quran in Human and natural Sciences )/Mo- 82. Guiding Syntax/Hussain Sher Afkan</w:t>
      </w:r>
    </w:p>
    <w:p>
      <w:pPr>
        <w:pStyle w:val="BookText"/>
        <w:bidi w:val="0"/>
        <w:jc w:val="both"/>
        <w:rPr/>
      </w:pPr>
      <w:r>
        <w:rPr>
          <w:rFonts w:eastAsia="Times New Roman" w:cs="Times New Roman" w:ascii="Times New Roman" w:hAnsi="Times New Roman"/>
          <w:color w:val="111111"/>
          <w:sz w:val="28"/>
          <w:szCs w:val="28"/>
          <w:lang w:val="en-US"/>
        </w:rPr>
        <w:t>hammad Ali Rizai Isfehani</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Guiding Syntax/Hussain Sher Afkan</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Revelation issue and answer to Their doubts / 84. History of Islamic Culture and Civilization/Mo-</w:t>
      </w:r>
    </w:p>
    <w:p>
      <w:pPr>
        <w:pStyle w:val="BookText"/>
        <w:bidi w:val="0"/>
        <w:jc w:val="both"/>
        <w:rPr/>
      </w:pPr>
      <w:r>
        <w:rPr>
          <w:rFonts w:eastAsia="Times New Roman" w:cs="Times New Roman" w:ascii="Times New Roman" w:hAnsi="Times New Roman"/>
          <w:color w:val="111111"/>
          <w:sz w:val="28"/>
          <w:szCs w:val="28"/>
          <w:lang w:val="en-US"/>
        </w:rPr>
        <w:t>Questions/ Hassan Alavi Mehr</w:t>
      </w:r>
    </w:p>
    <w:p>
      <w:pPr>
        <w:pStyle w:val="BookText"/>
        <w:bidi w:val="0"/>
        <w:jc w:val="both"/>
        <w:rPr/>
      </w:pPr>
      <w:r>
        <w:rPr>
          <w:rFonts w:eastAsia="Times New Roman" w:cs="Times New Roman" w:ascii="Times New Roman" w:hAnsi="Times New Roman"/>
          <w:color w:val="111111"/>
          <w:sz w:val="28"/>
          <w:szCs w:val="28"/>
          <w:lang w:val="en-US"/>
        </w:rPr>
        <w:t>hammad Raza Kashifi</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Sovereignty and governance in Nehjul Balagha/ 85. Imamate before Hilli and Qushaji between "nass"</w:t>
      </w:r>
    </w:p>
    <w:p>
      <w:pPr>
        <w:pStyle w:val="BookText"/>
        <w:bidi w:val="0"/>
        <w:jc w:val="both"/>
        <w:rPr/>
      </w:pPr>
      <w:r>
        <w:rPr>
          <w:rFonts w:eastAsia="Times New Roman" w:cs="Times New Roman" w:ascii="Times New Roman" w:hAnsi="Times New Roman"/>
          <w:color w:val="111111"/>
          <w:sz w:val="28"/>
          <w:szCs w:val="28"/>
          <w:lang w:val="en-US"/>
        </w:rPr>
        <w:t>Mohammad Mehdi Babapur Gul Afshani</w:t>
      </w:r>
    </w:p>
    <w:p>
      <w:pPr>
        <w:pStyle w:val="BookText"/>
        <w:bidi w:val="0"/>
        <w:jc w:val="both"/>
        <w:rPr/>
      </w:pPr>
      <w:r>
        <w:rPr>
          <w:rFonts w:eastAsia="Times New Roman" w:cs="Times New Roman" w:ascii="Times New Roman" w:hAnsi="Times New Roman"/>
          <w:color w:val="111111"/>
          <w:sz w:val="28"/>
          <w:szCs w:val="28"/>
          <w:lang w:val="en-US"/>
        </w:rPr>
        <w:t>(clear injunction) and "Ikhtiyar" (ligerty)/Umair</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Textbook for single words of Holy Quran/Shahid Jamil Sharara</w:t>
      </w:r>
    </w:p>
    <w:p>
      <w:pPr>
        <w:pStyle w:val="BookText"/>
        <w:bidi w:val="0"/>
        <w:jc w:val="both"/>
        <w:rPr/>
      </w:pPr>
      <w:r>
        <w:rPr>
          <w:rFonts w:eastAsia="Times New Roman" w:cs="Times New Roman" w:ascii="Times New Roman" w:hAnsi="Times New Roman"/>
          <w:color w:val="111111"/>
          <w:sz w:val="28"/>
          <w:szCs w:val="28"/>
          <w:lang w:val="en-US"/>
        </w:rPr>
        <w:t>Ghulam Ali Humai</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Introduction of important Islamic Religions and</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Textbook of analytical History of Ahl-e-Bait Theological Schools/Shakib bin Badira Al Tubaili</w:t>
      </w:r>
    </w:p>
    <w:p>
      <w:pPr>
        <w:pStyle w:val="BookText"/>
        <w:bidi w:val="0"/>
        <w:jc w:val="both"/>
        <w:rPr/>
      </w:pPr>
      <w:r>
        <w:rPr>
          <w:rFonts w:eastAsia="Times New Roman" w:cs="Times New Roman" w:ascii="Times New Roman" w:hAnsi="Times New Roman"/>
          <w:color w:val="111111"/>
          <w:sz w:val="28"/>
          <w:szCs w:val="28"/>
          <w:lang w:val="en-US"/>
        </w:rPr>
        <w:t>(p.b.u.t)/Majid Haideri Niek</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Introduction of The History of The interpreters</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Textbook of The Basics and Rules of The Inter- and The Interpretations/Hussain Alavi Mehr</w:t>
      </w:r>
    </w:p>
    <w:p>
      <w:pPr>
        <w:pStyle w:val="BookText"/>
        <w:bidi w:val="0"/>
        <w:jc w:val="both"/>
        <w:rPr/>
      </w:pPr>
      <w:r>
        <w:rPr>
          <w:rFonts w:eastAsia="Times New Roman" w:cs="Times New Roman" w:ascii="Times New Roman" w:hAnsi="Times New Roman"/>
          <w:color w:val="111111"/>
          <w:sz w:val="28"/>
          <w:szCs w:val="28"/>
          <w:lang w:val="en-US"/>
        </w:rPr>
        <w:t>pretation(a summery of The Logic of The Inter- 88. Introductory Lessons of Imami Jurisprudence/</w:t>
      </w:r>
    </w:p>
    <w:p>
      <w:pPr>
        <w:pStyle w:val="BookText"/>
        <w:bidi w:val="0"/>
        <w:jc w:val="both"/>
        <w:rPr/>
      </w:pPr>
      <w:r>
        <w:rPr>
          <w:rFonts w:eastAsia="Times New Roman" w:cs="Times New Roman" w:ascii="Times New Roman" w:hAnsi="Times New Roman"/>
          <w:color w:val="111111"/>
          <w:sz w:val="28"/>
          <w:szCs w:val="28"/>
          <w:lang w:val="en-US"/>
        </w:rPr>
        <w:t>pretation of Quran1) Mohammad Ali Rizai Isfehani Syed Mohammad Yazdi Najafi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constitution of The Islamic republic of Iran/ 89. 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Group of Authors</w:t>
      </w:r>
    </w:p>
    <w:p>
      <w:pPr>
        <w:pStyle w:val="BookText"/>
        <w:bidi w:val="0"/>
        <w:jc w:val="both"/>
        <w:rPr/>
      </w:pPr>
      <w:r>
        <w:rPr>
          <w:rFonts w:eastAsia="Times New Roman" w:cs="Times New Roman" w:ascii="Times New Roman" w:hAnsi="Times New Roman"/>
          <w:color w:val="111111"/>
          <w:sz w:val="28"/>
          <w:szCs w:val="28"/>
          <w:lang w:val="en-US"/>
        </w:rPr>
        <w:t>Jurisprudence bilateral contracts and onesided</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stratigies being protected from interest dispositions))Vol.3/ Shiekh Baqir Irwani</w:t>
      </w:r>
    </w:p>
    <w:p>
      <w:pPr>
        <w:pStyle w:val="BookText"/>
        <w:bidi w:val="0"/>
        <w:jc w:val="both"/>
        <w:rPr/>
      </w:pPr>
      <w:r>
        <w:rPr>
          <w:rFonts w:eastAsia="Times New Roman" w:cs="Times New Roman" w:ascii="Times New Roman" w:hAnsi="Times New Roman"/>
          <w:color w:val="111111"/>
          <w:sz w:val="28"/>
          <w:szCs w:val="28"/>
          <w:lang w:val="en-US"/>
        </w:rPr>
        <w:t>deals/Ghulam Murtaza Ansari</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Towards Quran (reading and familiarity with Qu- Jurisprudence(Islamic Duties) Vol.1/ Shiekh</w:t>
      </w:r>
    </w:p>
    <w:p>
      <w:pPr>
        <w:pStyle w:val="BookText"/>
        <w:bidi w:val="0"/>
        <w:jc w:val="both"/>
        <w:rPr/>
      </w:pPr>
      <w:r>
        <w:rPr>
          <w:rFonts w:eastAsia="Times New Roman" w:cs="Times New Roman" w:ascii="Times New Roman" w:hAnsi="Times New Roman"/>
          <w:color w:val="111111"/>
          <w:sz w:val="28"/>
          <w:szCs w:val="28"/>
          <w:lang w:val="en-US"/>
        </w:rPr>
        <w:t>ran) Abul Fadhl Khosh Manish/French</w:t>
      </w:r>
    </w:p>
    <w:p>
      <w:pPr>
        <w:pStyle w:val="BookText"/>
        <w:bidi w:val="0"/>
        <w:jc w:val="both"/>
        <w:rPr/>
      </w:pPr>
      <w:r>
        <w:rPr>
          <w:rFonts w:eastAsia="Times New Roman" w:cs="Times New Roman" w:ascii="Times New Roman" w:hAnsi="Times New Roman"/>
          <w:color w:val="111111"/>
          <w:sz w:val="28"/>
          <w:szCs w:val="28"/>
          <w:lang w:val="en-US"/>
        </w:rPr>
        <w:t>Baqir Irwani</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Translation and explanation of Halqa Thalaitha 91. 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of Ayatollah Shahid Syed Mohammad Baqir Sadr, Jurisprudence(Islamic laws))Vol.4/ Shiekh Baqir</w:t>
      </w:r>
    </w:p>
    <w:p>
      <w:pPr>
        <w:pStyle w:val="BookText"/>
        <w:bidi w:val="0"/>
        <w:jc w:val="both"/>
        <w:rPr/>
      </w:pPr>
      <w:r>
        <w:rPr>
          <w:rFonts w:eastAsia="Times New Roman" w:cs="Times New Roman" w:ascii="Times New Roman" w:hAnsi="Times New Roman"/>
          <w:color w:val="111111"/>
          <w:sz w:val="28"/>
          <w:szCs w:val="28"/>
          <w:lang w:val="en-US"/>
        </w:rPr>
        <w:t>Vol.1/Ahmad Murad Khani/</w:t>
      </w:r>
    </w:p>
    <w:p>
      <w:pPr>
        <w:pStyle w:val="BookText"/>
        <w:bidi w:val="0"/>
        <w:jc w:val="both"/>
        <w:rPr/>
      </w:pPr>
      <w:r>
        <w:rPr>
          <w:rFonts w:eastAsia="Times New Roman" w:cs="Times New Roman" w:ascii="Times New Roman" w:hAnsi="Times New Roman"/>
          <w:color w:val="111111"/>
          <w:sz w:val="28"/>
          <w:szCs w:val="28"/>
          <w:lang w:val="en-US"/>
        </w:rPr>
        <w:t>Irwani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Type of friendship from The View point of Islam) 92. Introductory Lessons of The Demonstrative</w:t>
      </w:r>
    </w:p>
    <w:p>
      <w:pPr>
        <w:pStyle w:val="BookText"/>
        <w:bidi w:val="0"/>
        <w:jc w:val="both"/>
        <w:rPr/>
      </w:pPr>
      <w:r>
        <w:rPr>
          <w:rFonts w:eastAsia="Times New Roman" w:cs="Times New Roman" w:ascii="Times New Roman" w:hAnsi="Times New Roman"/>
          <w:color w:val="111111"/>
          <w:sz w:val="28"/>
          <w:szCs w:val="28"/>
          <w:lang w:val="en-US"/>
        </w:rPr>
        <w:t>Ainullah Noruzi</w:t>
      </w:r>
    </w:p>
    <w:p>
      <w:pPr>
        <w:pStyle w:val="BookText"/>
        <w:bidi w:val="0"/>
        <w:jc w:val="both"/>
        <w:rPr/>
      </w:pPr>
      <w:r>
        <w:rPr>
          <w:rFonts w:eastAsia="Times New Roman" w:cs="Times New Roman" w:ascii="Times New Roman" w:hAnsi="Times New Roman"/>
          <w:color w:val="111111"/>
          <w:sz w:val="28"/>
          <w:szCs w:val="28"/>
          <w:lang w:val="en-US"/>
        </w:rPr>
        <w:t>Jurisprudence Vol.2 (bilateral contracts)/ Shiekh</w:t>
      </w:r>
    </w:p>
    <w:p>
      <w:pPr>
        <w:pStyle w:val="BookText"/>
        <w:bidi w:val="0"/>
        <w:jc w:val="both"/>
        <w:rPr/>
      </w:pPr>
      <w:r>
        <w:rPr>
          <w:rFonts w:eastAsia="Times New Roman" w:cs="Times New Roman" w:ascii="Times New Roman" w:hAnsi="Times New Roman"/>
          <w:color w:val="111111"/>
          <w:sz w:val="28"/>
          <w:szCs w:val="28"/>
          <w:lang w:val="en-US"/>
        </w:rPr>
        <w:t>Arabic</w:t>
      </w:r>
    </w:p>
    <w:p>
      <w:pPr>
        <w:pStyle w:val="BookText"/>
        <w:bidi w:val="0"/>
        <w:jc w:val="both"/>
        <w:rPr/>
      </w:pPr>
      <w:r>
        <w:rPr>
          <w:rFonts w:eastAsia="Times New Roman" w:cs="Times New Roman" w:ascii="Times New Roman" w:hAnsi="Times New Roman"/>
          <w:color w:val="111111"/>
          <w:sz w:val="28"/>
          <w:szCs w:val="28"/>
          <w:lang w:val="en-US"/>
        </w:rPr>
        <w:t>Baqir Irwani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 brief History of Islam, part1/Syed Munzair 93. Introductory Lessons of Theology Sadique Sa'adi</w:t>
      </w:r>
    </w:p>
    <w:p>
      <w:pPr>
        <w:pStyle w:val="BookText"/>
        <w:bidi w:val="0"/>
        <w:jc w:val="both"/>
        <w:rPr/>
      </w:pPr>
      <w:r>
        <w:rPr>
          <w:rFonts w:eastAsia="Times New Roman" w:cs="Times New Roman" w:ascii="Times New Roman" w:hAnsi="Times New Roman"/>
          <w:color w:val="111111"/>
          <w:sz w:val="28"/>
          <w:szCs w:val="28"/>
          <w:lang w:val="en-US"/>
        </w:rPr>
        <w:t>Hakim/ summarized by Mehmood al Saif 94. Islamic Etiquettes, Vol. 2/Muhammad Andalib</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 brief History of Islam, part2/Syed Munzair 95. Islamic Etiquettes,Vol.1/Muhammad Andalib</w:t>
      </w:r>
    </w:p>
    <w:p>
      <w:pPr>
        <w:pStyle w:val="BookText"/>
        <w:bidi w:val="0"/>
        <w:jc w:val="both"/>
        <w:rPr/>
      </w:pPr>
      <w:r>
        <w:rPr>
          <w:rFonts w:eastAsia="Times New Roman" w:cs="Times New Roman" w:ascii="Times New Roman" w:hAnsi="Times New Roman"/>
          <w:color w:val="111111"/>
          <w:sz w:val="28"/>
          <w:szCs w:val="28"/>
          <w:lang w:val="en-US"/>
        </w:rPr>
        <w:t>Hakim/ summarized by Mehmood al Saif 96. Lessons of eloquence/Shiekh Moeen Daçique Al</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 brief History of Islam, part3/Syed Munzair Amili</w:t>
      </w:r>
    </w:p>
    <w:p>
      <w:pPr>
        <w:pStyle w:val="BookText"/>
        <w:bidi w:val="0"/>
        <w:jc w:val="both"/>
        <w:rPr/>
      </w:pPr>
      <w:r>
        <w:rPr>
          <w:rFonts w:eastAsia="Times New Roman" w:cs="Times New Roman" w:ascii="Times New Roman" w:hAnsi="Times New Roman"/>
          <w:color w:val="111111"/>
          <w:sz w:val="28"/>
          <w:szCs w:val="28"/>
          <w:lang w:val="en-US"/>
        </w:rPr>
        <w:t>Hakim/ summarized by Mehmood al Saif 97. Lessons of eloquence/Shiekh Moeen Daqique</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 brief History of Islam, part4/Syed Munzair 98. Lessons of Shia and Shiaism/Ali Rabbani Gul-</w:t>
      </w:r>
    </w:p>
    <w:p>
      <w:pPr>
        <w:pStyle w:val="BookText"/>
        <w:bidi w:val="0"/>
        <w:jc w:val="both"/>
        <w:rPr/>
      </w:pPr>
      <w:r>
        <w:rPr>
          <w:rFonts w:eastAsia="Times New Roman" w:cs="Times New Roman" w:ascii="Times New Roman" w:hAnsi="Times New Roman"/>
          <w:color w:val="111111"/>
          <w:sz w:val="28"/>
          <w:szCs w:val="28"/>
          <w:lang w:val="en-US"/>
        </w:rPr>
        <w:t>Hakim/ summarized by Mehmood al Saif paigani</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Application book1/ Shakir Mahmood Afzali, 99. Logic of The Interpretation of Quran1 (Introduc-</w:t>
      </w:r>
    </w:p>
    <w:p>
      <w:pPr>
        <w:pStyle w:val="BookText"/>
        <w:bidi w:val="0"/>
        <w:jc w:val="both"/>
        <w:rPr/>
      </w:pPr>
      <w:r>
        <w:rPr>
          <w:rFonts w:eastAsia="Times New Roman" w:cs="Times New Roman" w:ascii="Times New Roman" w:hAnsi="Times New Roman"/>
          <w:color w:val="111111"/>
          <w:sz w:val="28"/>
          <w:szCs w:val="28"/>
          <w:lang w:val="en-US"/>
        </w:rPr>
        <w:t>Mietham Rab'ei Arabi</w:t>
      </w:r>
    </w:p>
    <w:p>
      <w:pPr>
        <w:pStyle w:val="BookText"/>
        <w:bidi w:val="0"/>
        <w:jc w:val="both"/>
        <w:rPr/>
      </w:pPr>
      <w:r>
        <w:rPr>
          <w:rFonts w:eastAsia="Times New Roman" w:cs="Times New Roman" w:ascii="Times New Roman" w:hAnsi="Times New Roman"/>
          <w:color w:val="111111"/>
          <w:sz w:val="28"/>
          <w:szCs w:val="28"/>
          <w:lang w:val="en-US"/>
        </w:rPr>
        <w:t>tion of Principles and Methods of The Interpreta-</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Application book2/ Shakir Mahmood Afzali, tion of Holy Quran / Mohammad Ali Rizai Isfahani</w:t>
      </w:r>
    </w:p>
    <w:p>
      <w:pPr>
        <w:pStyle w:val="BookText"/>
        <w:bidi w:val="0"/>
        <w:jc w:val="both"/>
        <w:rPr/>
      </w:pPr>
      <w:r>
        <w:rPr>
          <w:rFonts w:eastAsia="Times New Roman" w:cs="Times New Roman" w:ascii="Times New Roman" w:hAnsi="Times New Roman"/>
          <w:color w:val="111111"/>
          <w:sz w:val="28"/>
          <w:szCs w:val="28"/>
          <w:lang w:val="en-US"/>
        </w:rPr>
        <w:t>Mietham Rab'ei Arabi</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Personal status (Nikah-Marriage)/Syed Mo-</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Arabic Language book2/Shakir Mahmood Afzali, hammad Najafi Yazdi</w:t>
      </w:r>
    </w:p>
    <w:p>
      <w:pPr>
        <w:pStyle w:val="BookText"/>
        <w:bidi w:val="0"/>
        <w:jc w:val="both"/>
        <w:rPr/>
      </w:pPr>
      <w:r>
        <w:rPr>
          <w:rFonts w:eastAsia="Times New Roman" w:cs="Times New Roman" w:ascii="Times New Roman" w:hAnsi="Times New Roman"/>
          <w:color w:val="111111"/>
          <w:sz w:val="28"/>
          <w:szCs w:val="28"/>
          <w:lang w:val="en-US"/>
        </w:rPr>
        <w:t>Mietham Rab'ei</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Regulations of breastfeeding, Vol.1/Syed Mo-</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Arabic Language book3/Shakir Mahmood Afzali, hammad Baqir Damad, editing:Syed Mujtaba Mir-</w:t>
      </w:r>
    </w:p>
    <w:p>
      <w:pPr>
        <w:pStyle w:val="BookText"/>
        <w:bidi w:val="0"/>
        <w:jc w:val="both"/>
        <w:rPr/>
      </w:pPr>
      <w:r>
        <w:rPr>
          <w:rFonts w:eastAsia="Times New Roman" w:cs="Times New Roman" w:ascii="Times New Roman" w:hAnsi="Times New Roman"/>
          <w:color w:val="111111"/>
          <w:sz w:val="28"/>
          <w:szCs w:val="28"/>
          <w:lang w:val="en-US"/>
        </w:rPr>
        <w:t>Mietham Rab'ei</w:t>
      </w:r>
    </w:p>
    <w:p>
      <w:pPr>
        <w:pStyle w:val="BookText"/>
        <w:bidi w:val="0"/>
        <w:jc w:val="both"/>
        <w:rPr/>
      </w:pPr>
      <w:r>
        <w:rPr>
          <w:rFonts w:eastAsia="Times New Roman" w:cs="Times New Roman" w:ascii="Times New Roman" w:hAnsi="Times New Roman"/>
          <w:color w:val="111111"/>
          <w:sz w:val="28"/>
          <w:szCs w:val="28"/>
          <w:lang w:val="en-US"/>
        </w:rPr>
        <w:t>damad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Beacon of mind in Close Theoretical Jurispru- 102. Regulations of breastfeeding, Vol.2/Syed Mo-</w:t>
      </w:r>
    </w:p>
    <w:p>
      <w:pPr>
        <w:pStyle w:val="BookText"/>
        <w:bidi w:val="0"/>
        <w:jc w:val="both"/>
        <w:rPr/>
      </w:pPr>
      <w:r>
        <w:rPr>
          <w:rFonts w:eastAsia="Times New Roman" w:cs="Times New Roman" w:ascii="Times New Roman" w:hAnsi="Times New Roman"/>
          <w:color w:val="111111"/>
          <w:sz w:val="28"/>
          <w:szCs w:val="28"/>
          <w:lang w:val="en-US"/>
        </w:rPr>
        <w:t>dence, Vol.1/Syed Mir Taqi Hussaini Gurgani hammad Baqir Damad, editing:Syed Mujtaba Mir-</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Beacon of mind in Close Theoretical Jurispru damad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277 </w:t>
      </w:r>
    </w:p>
    <w:p>
      <w:pPr>
        <w:pStyle w:val="BookText"/>
        <w:bidi w:val="0"/>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Start of Theroretical Jurisprudence/Syed Raza 130. History of The absence period, Textbook/Mo-</w:t>
      </w:r>
    </w:p>
    <w:p>
      <w:pPr>
        <w:pStyle w:val="BookText"/>
        <w:bidi w:val="0"/>
        <w:jc w:val="both"/>
        <w:rPr/>
      </w:pPr>
      <w:r>
        <w:rPr>
          <w:rFonts w:eastAsia="Times New Roman" w:cs="Times New Roman" w:ascii="Times New Roman" w:hAnsi="Times New Roman"/>
          <w:color w:val="111111"/>
          <w:sz w:val="28"/>
          <w:szCs w:val="28"/>
          <w:lang w:val="en-US"/>
        </w:rPr>
        <w:t>Payambar Pur</w:t>
      </w:r>
    </w:p>
    <w:p>
      <w:pPr>
        <w:pStyle w:val="BookText"/>
        <w:bidi w:val="0"/>
        <w:jc w:val="both"/>
        <w:rPr/>
      </w:pPr>
      <w:r>
        <w:rPr>
          <w:rFonts w:eastAsia="Times New Roman" w:cs="Times New Roman" w:ascii="Times New Roman" w:hAnsi="Times New Roman"/>
          <w:color w:val="111111"/>
          <w:sz w:val="28"/>
          <w:szCs w:val="28"/>
          <w:lang w:val="en-US"/>
        </w:rPr>
        <w:t>hammad Pur Syed Aqai, Mohammad Raza Jabbari,</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Study and Arabic Texts (for non-arabics Syed Hassan Ashurai, Syed Munzir Hakim</w:t>
      </w:r>
    </w:p>
    <w:p>
      <w:pPr>
        <w:pStyle w:val="BookText"/>
        <w:bidi w:val="0"/>
        <w:jc w:val="both"/>
        <w:rPr/>
      </w:pPr>
      <w:r>
        <w:rPr>
          <w:rFonts w:eastAsia="Times New Roman" w:cs="Times New Roman" w:ascii="Times New Roman" w:hAnsi="Times New Roman"/>
          <w:color w:val="111111"/>
          <w:sz w:val="28"/>
          <w:szCs w:val="28"/>
          <w:lang w:val="en-US"/>
        </w:rPr>
        <w:t>Abdul Hadi al Sharifi</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Law of Wisdom and Divine Revelation/Hassan</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Teaching program for Halqa Thania, Vol.1] Mehdi Zadeh</w:t>
      </w:r>
    </w:p>
    <w:p>
      <w:pPr>
        <w:pStyle w:val="BookText"/>
        <w:bidi w:val="0"/>
        <w:jc w:val="both"/>
        <w:rPr/>
      </w:pPr>
      <w:r>
        <w:rPr>
          <w:rFonts w:eastAsia="Times New Roman" w:cs="Times New Roman" w:ascii="Times New Roman" w:hAnsi="Times New Roman"/>
          <w:color w:val="111111"/>
          <w:sz w:val="28"/>
          <w:szCs w:val="28"/>
          <w:lang w:val="en-US"/>
        </w:rPr>
        <w:t>Mehmood al Aidani</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Laws of Hijab and chastity/Hamid Jalfai</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Teaching program for Halqa Thania, Vol.1/ 133. Laws of permanent and temporary marriage ac-</w:t>
      </w:r>
    </w:p>
    <w:p>
      <w:pPr>
        <w:pStyle w:val="BookText"/>
        <w:bidi w:val="0"/>
        <w:jc w:val="both"/>
        <w:rPr/>
      </w:pPr>
      <w:r>
        <w:rPr>
          <w:rFonts w:eastAsia="Times New Roman" w:cs="Times New Roman" w:ascii="Times New Roman" w:hAnsi="Times New Roman"/>
          <w:color w:val="111111"/>
          <w:sz w:val="28"/>
          <w:szCs w:val="28"/>
          <w:lang w:val="en-US"/>
        </w:rPr>
        <w:t>Mehmood al Aidani</w:t>
      </w:r>
    </w:p>
    <w:p>
      <w:pPr>
        <w:pStyle w:val="BookText"/>
        <w:bidi w:val="0"/>
        <w:jc w:val="both"/>
        <w:rPr/>
      </w:pPr>
      <w:r>
        <w:rPr>
          <w:rFonts w:eastAsia="Times New Roman" w:cs="Times New Roman" w:ascii="Times New Roman" w:hAnsi="Times New Roman"/>
          <w:color w:val="111111"/>
          <w:sz w:val="28"/>
          <w:szCs w:val="28"/>
          <w:lang w:val="en-US"/>
        </w:rPr>
        <w:t>cording to The decrees of honorable legal author-</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The family in The practical life of The Holy ities/Syed Hujjat Mousavi Khoi</w:t>
      </w:r>
    </w:p>
    <w:p>
      <w:pPr>
        <w:pStyle w:val="BookText"/>
        <w:bidi w:val="0"/>
        <w:jc w:val="both"/>
        <w:rPr/>
      </w:pPr>
      <w:r>
        <w:rPr>
          <w:rFonts w:eastAsia="Times New Roman" w:cs="Times New Roman" w:ascii="Times New Roman" w:hAnsi="Times New Roman"/>
          <w:color w:val="111111"/>
          <w:sz w:val="28"/>
          <w:szCs w:val="28"/>
          <w:lang w:val="en-US"/>
        </w:rPr>
        <w:t>Prophet(p.b.u.h) and Ahl-e-Bait (p.b.u.t)/Moham- 134. Sahifa-e-Shahadat (scripture of martyrdom)</w:t>
      </w:r>
    </w:p>
    <w:p>
      <w:pPr>
        <w:pStyle w:val="BookText"/>
        <w:bidi w:val="0"/>
        <w:jc w:val="both"/>
        <w:rPr/>
      </w:pPr>
      <w:r>
        <w:rPr>
          <w:rFonts w:eastAsia="Times New Roman" w:cs="Times New Roman" w:ascii="Times New Roman" w:hAnsi="Times New Roman"/>
          <w:color w:val="111111"/>
          <w:sz w:val="28"/>
          <w:szCs w:val="28"/>
          <w:lang w:val="en-US"/>
        </w:rPr>
        <w:t>mad Juma Zadeh</w:t>
      </w:r>
    </w:p>
    <w:p>
      <w:pPr>
        <w:pStyle w:val="BookText"/>
        <w:bidi w:val="0"/>
        <w:jc w:val="both"/>
        <w:rPr/>
      </w:pPr>
      <w:r>
        <w:rPr>
          <w:rFonts w:eastAsia="Times New Roman" w:cs="Times New Roman" w:ascii="Times New Roman" w:hAnsi="Times New Roman"/>
          <w:color w:val="111111"/>
          <w:sz w:val="28"/>
          <w:szCs w:val="28"/>
          <w:lang w:val="en-US"/>
        </w:rPr>
        <w:t>sayings of Imam Hussain (p.b.u.h)/Mohammad</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migration and The migrants in The Holy Sadique Najmi</w:t>
      </w:r>
    </w:p>
    <w:p>
      <w:pPr>
        <w:pStyle w:val="BookText"/>
        <w:bidi w:val="0"/>
        <w:jc w:val="both"/>
        <w:rPr/>
      </w:pPr>
      <w:r>
        <w:rPr>
          <w:rFonts w:eastAsia="Times New Roman" w:cs="Times New Roman" w:ascii="Times New Roman" w:hAnsi="Times New Roman"/>
          <w:color w:val="111111"/>
          <w:sz w:val="28"/>
          <w:szCs w:val="28"/>
          <w:lang w:val="en-US"/>
        </w:rPr>
        <w:t>Quran/Mariam Ali Hassan Hashimi</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Sermon of The Holy Lady Zainab in Yazid's pal-</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The value of a paper currency(comparative Stud- ace/Syed Toqeer Abbas Kazimi</w:t>
      </w:r>
    </w:p>
    <w:p>
      <w:pPr>
        <w:pStyle w:val="BookText"/>
        <w:bidi w:val="0"/>
        <w:jc w:val="both"/>
        <w:rPr/>
      </w:pPr>
      <w:r>
        <w:rPr>
          <w:rFonts w:eastAsia="Times New Roman" w:cs="Times New Roman" w:ascii="Times New Roman" w:hAnsi="Times New Roman"/>
          <w:color w:val="111111"/>
          <w:sz w:val="28"/>
          <w:szCs w:val="28"/>
          <w:lang w:val="en-US"/>
        </w:rPr>
        <w:t>ies between Shia Jurisprudence and four Schools of 136. Shia Studies/Ali Rabbani Gulpaigani</w:t>
      </w:r>
    </w:p>
    <w:p>
      <w:pPr>
        <w:pStyle w:val="BookText"/>
        <w:bidi w:val="0"/>
        <w:jc w:val="both"/>
        <w:rPr/>
      </w:pPr>
      <w:r>
        <w:rPr>
          <w:rFonts w:eastAsia="Times New Roman" w:cs="Times New Roman" w:ascii="Times New Roman" w:hAnsi="Times New Roman"/>
          <w:color w:val="111111"/>
          <w:sz w:val="28"/>
          <w:szCs w:val="28"/>
          <w:lang w:val="en-US"/>
        </w:rPr>
        <w:t>Thoughts)/Riaz Abdul Samad Addaghir</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Step by step towards The peak of Knowledge/</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Times of Ijtehad (Intellectual effort) before Ima Mohammad Abidi</w:t>
      </w:r>
    </w:p>
    <w:p>
      <w:pPr>
        <w:pStyle w:val="BookText"/>
        <w:bidi w:val="0"/>
        <w:jc w:val="both"/>
        <w:rPr/>
      </w:pPr>
      <w:r>
        <w:rPr>
          <w:rFonts w:eastAsia="Times New Roman" w:cs="Times New Roman" w:ascii="Times New Roman" w:hAnsi="Times New Roman"/>
          <w:color w:val="111111"/>
          <w:sz w:val="28"/>
          <w:szCs w:val="28"/>
          <w:lang w:val="en-US"/>
        </w:rPr>
        <w:t>mi Shias/Adnan Farhan Tanha</w:t>
      </w:r>
    </w:p>
    <w:p>
      <w:pPr>
        <w:pStyle w:val="BookText"/>
        <w:bidi w:val="0"/>
        <w:jc w:val="both"/>
        <w:rPr/>
      </w:pPr>
      <w:r>
        <w:rPr>
          <w:rFonts w:eastAsia="Times New Roman" w:cs="Times New Roman" w:ascii="Times New Roman" w:hAnsi="Times New Roman"/>
          <w:color w:val="111111"/>
          <w:sz w:val="28"/>
          <w:szCs w:val="28"/>
          <w:lang w:val="en-US"/>
        </w:rPr>
        <w:t>Bengali</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Being married/Ibrahim Amini</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Watching over the Holy Sepulchers of the Proph- 139. Forty Narratives about life of The Prophet</w:t>
      </w:r>
    </w:p>
    <w:p>
      <w:pPr>
        <w:pStyle w:val="BookText"/>
        <w:bidi w:val="0"/>
        <w:jc w:val="both"/>
        <w:rPr/>
      </w:pPr>
      <w:r>
        <w:rPr>
          <w:rFonts w:eastAsia="Times New Roman" w:cs="Times New Roman" w:ascii="Times New Roman" w:hAnsi="Times New Roman"/>
          <w:color w:val="111111"/>
          <w:sz w:val="28"/>
          <w:szCs w:val="28"/>
          <w:lang w:val="en-US"/>
        </w:rPr>
        <w:t>ets and the Illustrious Imams (as) /Jafar Sob'hani (p.b.u.h)/Jawad Mohadithi</w:t>
      </w:r>
    </w:p>
    <w:p>
      <w:pPr>
        <w:pStyle w:val="BookText"/>
        <w:bidi w:val="0"/>
        <w:jc w:val="both"/>
        <w:rPr/>
      </w:pPr>
      <w:r>
        <w:rPr>
          <w:rFonts w:eastAsia="Times New Roman" w:cs="Times New Roman" w:ascii="Times New Roman" w:hAnsi="Times New Roman"/>
          <w:color w:val="111111"/>
          <w:sz w:val="28"/>
          <w:szCs w:val="28"/>
          <w:lang w:val="en-US"/>
        </w:rPr>
        <w:t>Farideh Mahdavi-Damghani</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Light of Research, Vol.1/ Fiqh High Education</w:t>
      </w:r>
    </w:p>
    <w:p>
      <w:pPr>
        <w:pStyle w:val="BookText"/>
        <w:bidi w:val="0"/>
        <w:jc w:val="both"/>
        <w:rPr/>
      </w:pPr>
      <w:r>
        <w:rPr>
          <w:rFonts w:eastAsia="Times New Roman" w:cs="Times New Roman" w:ascii="Times New Roman" w:hAnsi="Times New Roman"/>
          <w:color w:val="111111"/>
          <w:sz w:val="28"/>
          <w:szCs w:val="28"/>
          <w:lang w:val="en-US"/>
        </w:rPr>
        <w:t>French</w:t>
      </w:r>
    </w:p>
    <w:p>
      <w:pPr>
        <w:pStyle w:val="BookText"/>
        <w:bidi w:val="0"/>
        <w:jc w:val="both"/>
        <w:rPr/>
      </w:pPr>
      <w:r>
        <w:rPr>
          <w:rFonts w:eastAsia="Times New Roman" w:cs="Times New Roman" w:ascii="Times New Roman" w:hAnsi="Times New Roman"/>
          <w:color w:val="111111"/>
          <w:sz w:val="28"/>
          <w:szCs w:val="28"/>
          <w:lang w:val="en-US"/>
        </w:rPr>
        <w:t>Complex</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Introduction of Philosophy/Sadique Sa'adi 141. Vision of Mehdi Government/Najmud Din Tabasi</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Propagation, its curricula and Methods /Ja'afar 142. Wilayat-t-Faqih(authority of The qualified Faqih)</w:t>
      </w:r>
    </w:p>
    <w:p>
      <w:pPr>
        <w:pStyle w:val="BookText"/>
        <w:bidi w:val="0"/>
        <w:jc w:val="both"/>
        <w:rPr/>
      </w:pPr>
      <w:r>
        <w:rPr>
          <w:rFonts w:eastAsia="Times New Roman" w:cs="Times New Roman" w:ascii="Times New Roman" w:hAnsi="Times New Roman"/>
          <w:color w:val="111111"/>
          <w:sz w:val="28"/>
          <w:szCs w:val="28"/>
          <w:lang w:val="en-US"/>
        </w:rPr>
        <w:t>al Bajari</w:t>
      </w:r>
    </w:p>
    <w:p>
      <w:pPr>
        <w:pStyle w:val="BookText"/>
        <w:bidi w:val="0"/>
        <w:jc w:val="both"/>
        <w:rPr/>
      </w:pPr>
      <w:r>
        <w:rPr>
          <w:rFonts w:eastAsia="Times New Roman" w:cs="Times New Roman" w:ascii="Times New Roman" w:hAnsi="Times New Roman"/>
          <w:color w:val="111111"/>
          <w:sz w:val="28"/>
          <w:szCs w:val="28"/>
          <w:lang w:val="en-US"/>
        </w:rPr>
        <w:t>infrastructure of Islamic Government/Imam Kho-</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The History of Islamic Culture and Civilization/</w:t>
      </w:r>
    </w:p>
    <w:p>
      <w:pPr>
        <w:pStyle w:val="BookText"/>
        <w:bidi w:val="0"/>
        <w:jc w:val="both"/>
        <w:rPr/>
      </w:pPr>
      <w:r>
        <w:rPr>
          <w:rFonts w:eastAsia="Times New Roman" w:cs="Times New Roman" w:ascii="Times New Roman" w:hAnsi="Times New Roman"/>
          <w:color w:val="111111"/>
          <w:sz w:val="28"/>
          <w:szCs w:val="28"/>
          <w:lang w:val="en-US"/>
        </w:rPr>
        <w:t>meini</w:t>
      </w:r>
    </w:p>
    <w:p>
      <w:pPr>
        <w:pStyle w:val="BookText"/>
        <w:bidi w:val="0"/>
        <w:jc w:val="both"/>
        <w:rPr/>
      </w:pPr>
      <w:r>
        <w:rPr>
          <w:rFonts w:eastAsia="Times New Roman" w:cs="Times New Roman" w:ascii="Times New Roman" w:hAnsi="Times New Roman"/>
          <w:color w:val="111111"/>
          <w:sz w:val="28"/>
          <w:szCs w:val="28"/>
          <w:lang w:val="en-US"/>
        </w:rPr>
        <w:t>Mohammad Raza Kashifi</w:t>
      </w:r>
    </w:p>
    <w:p>
      <w:pPr>
        <w:pStyle w:val="BookText"/>
        <w:bidi w:val="0"/>
        <w:jc w:val="both"/>
        <w:rPr/>
      </w:pPr>
      <w:r>
        <w:rPr>
          <w:rFonts w:eastAsia="Times New Roman" w:cs="Times New Roman" w:ascii="Times New Roman" w:hAnsi="Times New Roman"/>
          <w:color w:val="111111"/>
          <w:sz w:val="28"/>
          <w:szCs w:val="28"/>
          <w:lang w:val="en-US"/>
        </w:rPr>
        <w:t>Pashto</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Theological Sects and Religions /Ali Rabbani 143. Vision of Mehdi Government/Najmud Din Tabasi</w:t>
      </w:r>
    </w:p>
    <w:p>
      <w:pPr>
        <w:pStyle w:val="BookText"/>
        <w:bidi w:val="0"/>
        <w:jc w:val="both"/>
        <w:rPr/>
      </w:pPr>
      <w:r>
        <w:rPr>
          <w:rFonts w:eastAsia="Times New Roman" w:cs="Times New Roman" w:ascii="Times New Roman" w:hAnsi="Times New Roman"/>
          <w:color w:val="111111"/>
          <w:sz w:val="28"/>
          <w:szCs w:val="28"/>
          <w:lang w:val="en-US"/>
        </w:rPr>
        <w:t>Gulpaigani</w:t>
      </w:r>
    </w:p>
    <w:p>
      <w:pPr>
        <w:pStyle w:val="BookText"/>
        <w:bidi w:val="0"/>
        <w:jc w:val="both"/>
        <w:rPr/>
      </w:pPr>
      <w:r>
        <w:rPr>
          <w:rFonts w:eastAsia="Times New Roman" w:cs="Times New Roman" w:ascii="Times New Roman" w:hAnsi="Times New Roman"/>
          <w:color w:val="111111"/>
          <w:sz w:val="28"/>
          <w:szCs w:val="28"/>
          <w:lang w:val="en-US"/>
        </w:rPr>
        <w:t>Italian</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Usool-e-Kafi, Vol.1/Mohammad Bin Yaqub Kulaini 144. Introduction of Sahifa-e-Sajjadiya/Imam Zainul</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Usool-e-Kafi, Vol.2/Mohammad Bin Yaqub Kulaini</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Usool-e-Kafi, Vol.3/Mohammad Bin Yaqub Kulaini Fula</w:t>
      </w:r>
    </w:p>
    <w:p>
      <w:pPr>
        <w:pStyle w:val="BookText"/>
        <w:bidi w:val="0"/>
        <w:jc w:val="both"/>
        <w:rPr/>
      </w:pPr>
      <w:r>
        <w:rPr>
          <w:rFonts w:eastAsia="Times New Roman" w:cs="Times New Roman" w:ascii="Times New Roman" w:hAnsi="Times New Roman"/>
          <w:color w:val="111111"/>
          <w:sz w:val="28"/>
          <w:szCs w:val="28"/>
          <w:lang w:val="en-US"/>
        </w:rPr>
        <w:t>Tajik 145. Light of Research, Vol.1/ Fiqh High Education</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 View on The economic System of Islam/Sha- Complex</w:t>
      </w:r>
    </w:p>
    <w:p>
      <w:pPr>
        <w:pStyle w:val="BookText"/>
        <w:bidi w:val="0"/>
        <w:jc w:val="both"/>
        <w:rPr/>
      </w:pPr>
      <w:r>
        <w:rPr>
          <w:rFonts w:eastAsia="Times New Roman" w:cs="Times New Roman" w:ascii="Times New Roman" w:hAnsi="Times New Roman"/>
          <w:color w:val="111111"/>
          <w:sz w:val="28"/>
          <w:szCs w:val="28"/>
          <w:lang w:val="en-US"/>
        </w:rPr>
        <w:t>hid Murtaza Mutahahri</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Morals of Ahl-e-Bait (p.b.u.t)/Syed Mohammad</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Battle of right and wrong/Shahid Murtaza Mu- Mehdi Sadr</w:t>
      </w:r>
    </w:p>
    <w:p>
      <w:pPr>
        <w:pStyle w:val="BookText"/>
        <w:bidi w:val="0"/>
        <w:jc w:val="both"/>
        <w:rPr/>
      </w:pPr>
      <w:r>
        <w:rPr>
          <w:rFonts w:eastAsia="Times New Roman" w:cs="Times New Roman" w:ascii="Times New Roman" w:hAnsi="Times New Roman"/>
          <w:color w:val="111111"/>
          <w:sz w:val="28"/>
          <w:szCs w:val="28"/>
          <w:lang w:val="en-US"/>
        </w:rPr>
        <w:t>tahhari</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Signs of The promised Government/Najmud</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Family stabilization from The Viewpoint of Quran Din Tabasi</w:t>
      </w:r>
    </w:p>
    <w:p>
      <w:pPr>
        <w:pStyle w:val="BookText"/>
        <w:bidi w:val="0"/>
        <w:jc w:val="both"/>
        <w:rPr/>
      </w:pPr>
      <w:r>
        <w:rPr>
          <w:rFonts w:eastAsia="Times New Roman" w:cs="Times New Roman" w:ascii="Times New Roman" w:hAnsi="Times New Roman"/>
          <w:color w:val="111111"/>
          <w:sz w:val="28"/>
          <w:szCs w:val="28"/>
          <w:lang w:val="en-US"/>
        </w:rPr>
        <w:t>and Hadith/Mohammad Mohammadi Rai Shehri 148. The History of Islam (from The ignorance period</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Nehjul Balagha (Peak of Eloquence)/Syed Razi to The departure of The Holy Prophet(p.b.u.h))/</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Place of Ahl-e-Bait (p.b.u.t) from The Viewpoint Mehdi Peshwai</w:t>
      </w:r>
    </w:p>
    <w:p>
      <w:pPr>
        <w:pStyle w:val="BookText"/>
        <w:bidi w:val="0"/>
        <w:jc w:val="both"/>
        <w:rPr/>
      </w:pPr>
      <w:r>
        <w:rPr>
          <w:rFonts w:eastAsia="Times New Roman" w:cs="Times New Roman" w:ascii="Times New Roman" w:hAnsi="Times New Roman"/>
          <w:color w:val="111111"/>
          <w:sz w:val="28"/>
          <w:szCs w:val="28"/>
          <w:lang w:val="en-US"/>
        </w:rPr>
        <w:t>of Imam Abu Hanifa/Mohammad Shafaq Khawati Anatolian Turkish</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Sayings of The Holy Prophet (p.b.u.h)1/Mo- 149. A Vision of Mehdi's Government/Najmud Din</w:t>
      </w:r>
    </w:p>
    <w:p>
      <w:pPr>
        <w:pStyle w:val="BookText"/>
        <w:bidi w:val="0"/>
        <w:jc w:val="both"/>
        <w:rPr/>
      </w:pPr>
      <w:r>
        <w:rPr>
          <w:rFonts w:eastAsia="Times New Roman" w:cs="Times New Roman" w:ascii="Times New Roman" w:hAnsi="Times New Roman"/>
          <w:color w:val="111111"/>
          <w:sz w:val="28"/>
          <w:szCs w:val="28"/>
          <w:lang w:val="en-US"/>
        </w:rPr>
        <w:t>hammad Mohammadi Rai Shehri</w:t>
      </w:r>
    </w:p>
    <w:p>
      <w:pPr>
        <w:pStyle w:val="BookText"/>
        <w:bidi w:val="0"/>
        <w:jc w:val="both"/>
        <w:rPr/>
      </w:pPr>
      <w:r>
        <w:rPr>
          <w:rFonts w:eastAsia="Times New Roman" w:cs="Times New Roman" w:ascii="Times New Roman" w:hAnsi="Times New Roman"/>
          <w:color w:val="111111"/>
          <w:sz w:val="28"/>
          <w:szCs w:val="28"/>
          <w:lang w:val="en-US"/>
        </w:rPr>
        <w:t>Tabasi</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Sayings of The Holy Prophet (p.b.u.h)2/Mo- 150. Informative examples of Quran/Ja'afar subhani</w:t>
      </w:r>
    </w:p>
    <w:p>
      <w:pPr>
        <w:pStyle w:val="BookText"/>
        <w:bidi w:val="0"/>
        <w:jc w:val="both"/>
        <w:rPr/>
      </w:pPr>
      <w:r>
        <w:rPr>
          <w:rFonts w:eastAsia="Times New Roman" w:cs="Times New Roman" w:ascii="Times New Roman" w:hAnsi="Times New Roman"/>
          <w:color w:val="111111"/>
          <w:sz w:val="28"/>
          <w:szCs w:val="28"/>
          <w:lang w:val="en-US"/>
        </w:rPr>
        <w:t>hammad Mohammadi Rai Shehri</w:t>
      </w:r>
    </w:p>
    <w:p>
      <w:pPr>
        <w:pStyle w:val="BookText"/>
        <w:bidi w:val="0"/>
        <w:jc w:val="both"/>
        <w:rPr/>
      </w:pPr>
      <w:r>
        <w:rPr>
          <w:rFonts w:eastAsia="Times New Roman" w:cs="Times New Roman" w:ascii="Times New Roman" w:hAnsi="Times New Roman"/>
          <w:color w:val="111111"/>
          <w:sz w:val="28"/>
          <w:szCs w:val="28"/>
          <w:lang w:val="en-US"/>
        </w:rPr>
        <w:t>Tabrizi</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Teachings of Lucman/Mohammad Mohammadi 151. Sweet odour of Wilavat/Abdullah lawadi Amoli</w:t>
      </w:r>
    </w:p>
    <w:p>
      <w:pPr>
        <w:pStyle w:val="BookText"/>
        <w:bidi w:val="0"/>
        <w:jc w:val="both"/>
        <w:rPr/>
      </w:pPr>
      <w:r>
        <w:rPr>
          <w:rFonts w:eastAsia="Times New Roman" w:cs="Times New Roman" w:ascii="Times New Roman" w:hAnsi="Times New Roman"/>
          <w:color w:val="111111"/>
          <w:sz w:val="28"/>
          <w:szCs w:val="28"/>
          <w:lang w:val="en-US"/>
        </w:rPr>
        <w:t>Rai Shehri</w:t>
      </w:r>
    </w:p>
    <w:p>
      <w:pPr>
        <w:pStyle w:val="BookText"/>
        <w:bidi w:val="0"/>
        <w:jc w:val="both"/>
        <w:rPr/>
      </w:pPr>
      <w:r>
        <w:rPr>
          <w:rFonts w:eastAsia="Times New Roman" w:cs="Times New Roman" w:ascii="Times New Roman" w:hAnsi="Times New Roman"/>
          <w:color w:val="111111"/>
          <w:sz w:val="28"/>
          <w:szCs w:val="28"/>
          <w:lang w:val="en-US"/>
        </w:rPr>
        <w:t>Indonesian</w:t>
      </w:r>
    </w:p>
    <w:p>
      <w:pPr>
        <w:pStyle w:val="BookText"/>
        <w:bidi w:val="0"/>
        <w:jc w:val="both"/>
        <w:rPr/>
      </w:pPr>
      <w:r>
        <w:rPr>
          <w:rFonts w:eastAsia="Times New Roman" w:cs="Times New Roman" w:ascii="Times New Roman" w:hAnsi="Times New Roman"/>
          <w:color w:val="111111"/>
          <w:sz w:val="28"/>
          <w:szCs w:val="28"/>
          <w:lang w:val="en-US"/>
        </w:rPr>
        <w:t>Urdu</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Light of Research, Vol.1/fiqh High Education</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Freedom and Theocracy/Ja'afar Subhani Tabrizi</w:t>
      </w:r>
    </w:p>
    <w:p>
      <w:pPr>
        <w:pStyle w:val="BookText"/>
        <w:bidi w:val="0"/>
        <w:jc w:val="both"/>
        <w:rPr/>
      </w:pPr>
      <w:r>
        <w:rPr>
          <w:rFonts w:eastAsia="Times New Roman" w:cs="Times New Roman" w:ascii="Times New Roman" w:hAnsi="Times New Roman"/>
          <w:color w:val="111111"/>
          <w:sz w:val="28"/>
          <w:szCs w:val="28"/>
          <w:lang w:val="en-US"/>
        </w:rPr>
        <w:t>Complex</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Generalities of Islamic Jurisprudence/Hassan</w:t>
      </w:r>
    </w:p>
    <w:p>
      <w:pPr>
        <w:pStyle w:val="BookText"/>
        <w:bidi w:val="0"/>
        <w:jc w:val="both"/>
        <w:rPr/>
      </w:pPr>
      <w:r>
        <w:rPr>
          <w:rFonts w:eastAsia="Times New Roman" w:cs="Times New Roman" w:ascii="Times New Roman" w:hAnsi="Times New Roman"/>
          <w:color w:val="111111"/>
          <w:sz w:val="28"/>
          <w:szCs w:val="28"/>
          <w:lang w:val="en-US"/>
        </w:rPr>
        <w:t>1391</w:t>
      </w:r>
    </w:p>
    <w:p>
      <w:pPr>
        <w:pStyle w:val="BookText"/>
        <w:bidi w:val="0"/>
        <w:jc w:val="both"/>
        <w:rPr/>
      </w:pPr>
      <w:r>
        <w:rPr>
          <w:rFonts w:eastAsia="Times New Roman" w:cs="Times New Roman" w:ascii="Times New Roman" w:hAnsi="Times New Roman"/>
          <w:color w:val="111111"/>
          <w:sz w:val="28"/>
          <w:szCs w:val="28"/>
          <w:lang w:val="en-US"/>
        </w:rPr>
        <w:t>Qasimiyan</w:t>
      </w:r>
    </w:p>
    <w:p>
      <w:pPr>
        <w:pStyle w:val="BookText"/>
        <w:bidi w:val="0"/>
        <w:jc w:val="both"/>
        <w:rPr/>
      </w:pPr>
      <w:r>
        <w:rPr>
          <w:rFonts w:eastAsia="Times New Roman" w:cs="Times New Roman" w:ascii="Times New Roman" w:hAnsi="Times New Roman"/>
          <w:color w:val="111111"/>
          <w:sz w:val="28"/>
          <w:szCs w:val="28"/>
          <w:lang w:val="en-US"/>
        </w:rPr>
        <w:t>Persian</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History and The life of The Innocents, Vol2/</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A Collection of Theses presentec in International</w:t>
      </w:r>
    </w:p>
    <w:p>
      <w:pPr>
        <w:pStyle w:val="BookText"/>
        <w:bidi w:val="0"/>
        <w:jc w:val="both"/>
        <w:rPr/>
      </w:pPr>
      <w:r>
        <w:rPr>
          <w:rFonts w:eastAsia="Times New Roman" w:cs="Times New Roman" w:ascii="Times New Roman" w:hAnsi="Times New Roman"/>
          <w:color w:val="111111"/>
          <w:sz w:val="28"/>
          <w:szCs w:val="28"/>
          <w:lang w:val="en-US"/>
        </w:rPr>
        <w:t>Syed Munzir Hakim</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278 </w:t>
      </w:r>
    </w:p>
    <w:p>
      <w:pPr>
        <w:pStyle w:val="BookText"/>
        <w:bidi w:val="0"/>
        <w:rPr/>
      </w:pPr>
      <w:r>
        <w:rPr>
          <w:rFonts w:eastAsia="Times New Roman" w:cs="Times New Roman" w:ascii="Times New Roman" w:hAnsi="Times New Roman"/>
          <w:color w:val="111111"/>
          <w:sz w:val="28"/>
          <w:szCs w:val="28"/>
          <w:lang w:val="en-US"/>
        </w:rPr>
        <w:t>Index of Al-Mustafa (SAWW) International Translation and Publication Center Published Books</w:t>
      </w:r>
    </w:p>
    <w:p>
      <w:pPr>
        <w:pStyle w:val="BookText"/>
        <w:bidi w:val="0"/>
        <w:jc w:val="both"/>
        <w:rPr/>
      </w:pPr>
      <w:r>
        <w:rPr>
          <w:rFonts w:eastAsia="Times New Roman" w:cs="Times New Roman" w:ascii="Times New Roman" w:hAnsi="Times New Roman"/>
          <w:color w:val="111111"/>
          <w:sz w:val="28"/>
          <w:szCs w:val="28"/>
          <w:lang w:val="en-US"/>
        </w:rPr>
        <w:t>Quran and Orientalists Conference/ A Group of 24. Learning Persian in Persian, Book.1/Ahmad Zah-</w:t>
      </w:r>
    </w:p>
    <w:p>
      <w:pPr>
        <w:pStyle w:val="BookText"/>
        <w:bidi w:val="0"/>
        <w:jc w:val="both"/>
        <w:rPr/>
      </w:pPr>
      <w:r>
        <w:rPr>
          <w:rFonts w:eastAsia="Times New Roman" w:cs="Times New Roman" w:ascii="Times New Roman" w:hAnsi="Times New Roman"/>
          <w:color w:val="111111"/>
          <w:sz w:val="28"/>
          <w:szCs w:val="28"/>
          <w:lang w:val="en-US"/>
        </w:rPr>
        <w:t>Authors</w:t>
      </w:r>
    </w:p>
    <w:p>
      <w:pPr>
        <w:pStyle w:val="BookText"/>
        <w:bidi w:val="0"/>
        <w:jc w:val="both"/>
        <w:rPr/>
      </w:pPr>
      <w:r>
        <w:rPr>
          <w:rFonts w:eastAsia="Times New Roman" w:cs="Times New Roman" w:ascii="Times New Roman" w:hAnsi="Times New Roman"/>
          <w:color w:val="111111"/>
          <w:sz w:val="28"/>
          <w:szCs w:val="28"/>
          <w:lang w:val="en-US"/>
        </w:rPr>
        <w:t>rai and Asghar Fardi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Guide to Religious Laws: According to Verdicts 25. Learning Persian in Persian, Book.2/Ahmad Zah-</w:t>
      </w:r>
    </w:p>
    <w:p>
      <w:pPr>
        <w:pStyle w:val="BookText"/>
        <w:bidi w:val="0"/>
        <w:jc w:val="both"/>
        <w:rPr/>
      </w:pPr>
      <w:r>
        <w:rPr>
          <w:rFonts w:eastAsia="Times New Roman" w:cs="Times New Roman" w:ascii="Times New Roman" w:hAnsi="Times New Roman"/>
          <w:color w:val="111111"/>
          <w:sz w:val="28"/>
          <w:szCs w:val="28"/>
          <w:lang w:val="en-US"/>
        </w:rPr>
        <w:t>of Imam Khomeini with Verdicts of Ayatullah rai and Asghar Fardi</w:t>
      </w:r>
    </w:p>
    <w:p>
      <w:pPr>
        <w:pStyle w:val="BookText"/>
        <w:bidi w:val="0"/>
        <w:jc w:val="both"/>
        <w:rPr/>
      </w:pPr>
      <w:r>
        <w:rPr>
          <w:rFonts w:eastAsia="Times New Roman" w:cs="Times New Roman" w:ascii="Times New Roman" w:hAnsi="Times New Roman"/>
          <w:color w:val="111111"/>
          <w:sz w:val="28"/>
          <w:szCs w:val="28"/>
          <w:lang w:val="en-US"/>
        </w:rPr>
        <w:t>Sayyid Ali Khamene’i Mohammad Fallahzadeh / 26. Learning Persian in Persian, Workbook, Vol.6/</w:t>
      </w:r>
    </w:p>
    <w:p>
      <w:pPr>
        <w:pStyle w:val="BookText"/>
        <w:bidi w:val="0"/>
        <w:jc w:val="both"/>
        <w:rPr/>
      </w:pPr>
      <w:r>
        <w:rPr>
          <w:rFonts w:eastAsia="Times New Roman" w:cs="Times New Roman" w:ascii="Times New Roman" w:hAnsi="Times New Roman"/>
          <w:color w:val="111111"/>
          <w:sz w:val="28"/>
          <w:szCs w:val="28"/>
          <w:lang w:val="en-US"/>
        </w:rPr>
        <w:t>7th Edition....</w:t>
      </w:r>
    </w:p>
    <w:p>
      <w:pPr>
        <w:pStyle w:val="BookText"/>
        <w:bidi w:val="0"/>
        <w:jc w:val="both"/>
        <w:rPr/>
      </w:pPr>
      <w:r>
        <w:rPr>
          <w:rFonts w:eastAsia="Times New Roman" w:cs="Times New Roman" w:ascii="Times New Roman" w:hAnsi="Times New Roman"/>
          <w:color w:val="111111"/>
          <w:sz w:val="28"/>
          <w:szCs w:val="28"/>
          <w:lang w:val="en-US"/>
        </w:rPr>
        <w:t>Center of Language and Islamic Knowledge/3rd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Approach to Intellectual System of Imam Kho- Edition</w:t>
      </w:r>
    </w:p>
    <w:p>
      <w:pPr>
        <w:pStyle w:val="BookText"/>
        <w:bidi w:val="0"/>
        <w:jc w:val="both"/>
        <w:rPr/>
      </w:pPr>
      <w:r>
        <w:rPr>
          <w:rFonts w:eastAsia="Times New Roman" w:cs="Times New Roman" w:ascii="Times New Roman" w:hAnsi="Times New Roman"/>
          <w:color w:val="111111"/>
          <w:sz w:val="28"/>
          <w:szCs w:val="28"/>
          <w:lang w:val="en-US"/>
        </w:rPr>
        <w:t>meini and Ayatullah Khamenei in The Field of 27. Learning Persian in Persian, Workbook, Vol. 7/</w:t>
      </w:r>
    </w:p>
    <w:p>
      <w:pPr>
        <w:pStyle w:val="BookText"/>
        <w:bidi w:val="0"/>
        <w:jc w:val="both"/>
        <w:rPr/>
      </w:pPr>
      <w:r>
        <w:rPr>
          <w:rFonts w:eastAsia="Times New Roman" w:cs="Times New Roman" w:ascii="Times New Roman" w:hAnsi="Times New Roman"/>
          <w:color w:val="111111"/>
          <w:sz w:val="28"/>
          <w:szCs w:val="28"/>
          <w:lang w:val="en-US"/>
        </w:rPr>
        <w:t>Culture and Education/ A Group of Researchers Center of Language and Islamic Knowledge/3rd</w:t>
      </w:r>
    </w:p>
    <w:p>
      <w:pPr>
        <w:pStyle w:val="BookText"/>
        <w:bidi w:val="0"/>
        <w:jc w:val="both"/>
        <w:rPr/>
      </w:pPr>
      <w:r>
        <w:rPr>
          <w:rFonts w:eastAsia="Times New Roman" w:cs="Times New Roman" w:ascii="Times New Roman" w:hAnsi="Times New Roman"/>
          <w:color w:val="111111"/>
          <w:sz w:val="28"/>
          <w:szCs w:val="28"/>
          <w:lang w:val="en-US"/>
        </w:rPr>
        <w:t>of Fakhrul Aemma Cultural Office on The The Edition</w:t>
      </w:r>
    </w:p>
    <w:p>
      <w:pPr>
        <w:pStyle w:val="BookText"/>
        <w:bidi w:val="0"/>
        <w:jc w:val="both"/>
        <w:rPr/>
      </w:pPr>
      <w:r>
        <w:rPr>
          <w:rFonts w:eastAsia="Times New Roman" w:cs="Times New Roman" w:ascii="Times New Roman" w:hAnsi="Times New Roman"/>
          <w:color w:val="111111"/>
          <w:sz w:val="28"/>
          <w:szCs w:val="28"/>
          <w:lang w:val="en-US"/>
        </w:rPr>
        <w:t>recomendation of Al-Musta International Univer- 28. Logic of The Translation of Holy Quran/Moham-</w:t>
      </w:r>
    </w:p>
    <w:p>
      <w:pPr>
        <w:pStyle w:val="BookText"/>
        <w:bidi w:val="0"/>
        <w:jc w:val="both"/>
        <w:rPr/>
      </w:pPr>
      <w:r>
        <w:rPr>
          <w:rFonts w:eastAsia="Times New Roman" w:cs="Times New Roman" w:ascii="Times New Roman" w:hAnsi="Times New Roman"/>
          <w:color w:val="111111"/>
          <w:sz w:val="28"/>
          <w:szCs w:val="28"/>
          <w:lang w:val="en-US"/>
        </w:rPr>
        <w:t>sity / 2nd Edition</w:t>
      </w:r>
    </w:p>
    <w:p>
      <w:pPr>
        <w:pStyle w:val="BookText"/>
        <w:bidi w:val="0"/>
        <w:jc w:val="both"/>
        <w:rPr/>
      </w:pPr>
      <w:r>
        <w:rPr>
          <w:rFonts w:eastAsia="Times New Roman" w:cs="Times New Roman" w:ascii="Times New Roman" w:hAnsi="Times New Roman"/>
          <w:color w:val="111111"/>
          <w:sz w:val="28"/>
          <w:szCs w:val="28"/>
          <w:lang w:val="en-US"/>
        </w:rPr>
        <w:t>mad Ali Rizai Isfehani/ 3rd Edition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 Introduction of Islamic Theology/ Izzuddin 29. Persian-Theological bases of the miracle of Qu-</w:t>
      </w:r>
    </w:p>
    <w:p>
      <w:pPr>
        <w:pStyle w:val="BookText"/>
        <w:bidi w:val="0"/>
        <w:jc w:val="both"/>
        <w:rPr/>
      </w:pPr>
      <w:r>
        <w:rPr>
          <w:rFonts w:eastAsia="Times New Roman" w:cs="Times New Roman" w:ascii="Times New Roman" w:hAnsi="Times New Roman"/>
          <w:color w:val="111111"/>
          <w:sz w:val="28"/>
          <w:szCs w:val="28"/>
          <w:lang w:val="en-US"/>
        </w:rPr>
        <w:t>Raza Najad</w:t>
      </w:r>
    </w:p>
    <w:p>
      <w:pPr>
        <w:pStyle w:val="BookText"/>
        <w:bidi w:val="0"/>
        <w:jc w:val="both"/>
        <w:rPr/>
      </w:pPr>
      <w:r>
        <w:rPr>
          <w:rFonts w:eastAsia="Times New Roman" w:cs="Times New Roman" w:ascii="Times New Roman" w:hAnsi="Times New Roman"/>
          <w:color w:val="111111"/>
          <w:sz w:val="28"/>
          <w:szCs w:val="28"/>
          <w:lang w:val="en-US"/>
        </w:rPr>
        <w:t>ran/ Ruhullah Rizwani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Introduction of Liberalism, Review of its Ba- 30. Philosophy of Tear/Syed Abdullah Hussaini</w:t>
      </w:r>
    </w:p>
    <w:p>
      <w:pPr>
        <w:pStyle w:val="BookText"/>
        <w:bidi w:val="0"/>
        <w:jc w:val="both"/>
        <w:rPr/>
      </w:pPr>
      <w:r>
        <w:rPr>
          <w:rFonts w:eastAsia="Times New Roman" w:cs="Times New Roman" w:ascii="Times New Roman" w:hAnsi="Times New Roman"/>
          <w:color w:val="111111"/>
          <w:sz w:val="28"/>
          <w:szCs w:val="28"/>
          <w:lang w:val="en-US"/>
        </w:rPr>
        <w:t>sics/ Ali Ilahi Tabar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Preliminary Logic / Abul fadhl Rohi/ 2nd Edition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An Introduction to The History of Theoretical 32. Research Magazine serial, No.52</w:t>
      </w:r>
    </w:p>
    <w:p>
      <w:pPr>
        <w:pStyle w:val="BookText"/>
        <w:bidi w:val="0"/>
        <w:jc w:val="both"/>
        <w:rPr/>
      </w:pPr>
      <w:r>
        <w:rPr>
          <w:rFonts w:eastAsia="Times New Roman" w:cs="Times New Roman" w:ascii="Times New Roman" w:hAnsi="Times New Roman"/>
          <w:color w:val="111111"/>
          <w:sz w:val="28"/>
          <w:szCs w:val="28"/>
          <w:lang w:val="en-US"/>
        </w:rPr>
        <w:t>Jurisprudence/ Mehdi Ali Pur/ 3rd Edition 33. Rights of The Ahl-e-Bait (p.b.u.t) in Interpreta-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 Introduction to The Relationship between The t ions of The Quran by The Ahl-e-Sunnah / Mo-</w:t>
      </w:r>
    </w:p>
    <w:p>
      <w:pPr>
        <w:pStyle w:val="BookText"/>
        <w:bidi w:val="0"/>
        <w:jc w:val="both"/>
        <w:rPr/>
      </w:pPr>
      <w:r>
        <w:rPr>
          <w:rFonts w:eastAsia="Times New Roman" w:cs="Times New Roman" w:ascii="Times New Roman" w:hAnsi="Times New Roman"/>
          <w:color w:val="111111"/>
          <w:sz w:val="28"/>
          <w:szCs w:val="28"/>
          <w:lang w:val="en-US"/>
        </w:rPr>
        <w:t>Clergy and The Islamic Government as Empha- hammad Yaqub Bashavi/2nd Edition</w:t>
      </w:r>
    </w:p>
    <w:p>
      <w:pPr>
        <w:pStyle w:val="BookText"/>
        <w:bidi w:val="0"/>
        <w:jc w:val="both"/>
        <w:rPr/>
      </w:pPr>
      <w:r>
        <w:rPr>
          <w:rFonts w:eastAsia="Times New Roman" w:cs="Times New Roman" w:ascii="Times New Roman" w:hAnsi="Times New Roman"/>
          <w:color w:val="111111"/>
          <w:sz w:val="28"/>
          <w:szCs w:val="28"/>
          <w:lang w:val="en-US"/>
        </w:rPr>
        <w:t>sized in The Views of Imam Khomeini (r.a) 34. Tafsir-e-Tartibi Text book (Sequential Interpre-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Contextual and Comparitive Study of Hadith / tation of Holy Quran) Vol.1/ Mohammad Hussain</w:t>
      </w:r>
    </w:p>
    <w:p>
      <w:pPr>
        <w:pStyle w:val="BookText"/>
        <w:bidi w:val="0"/>
        <w:jc w:val="both"/>
        <w:rPr/>
      </w:pPr>
      <w:r>
        <w:rPr>
          <w:rFonts w:eastAsia="Times New Roman" w:cs="Times New Roman" w:ascii="Times New Roman" w:hAnsi="Times New Roman"/>
          <w:color w:val="111111"/>
          <w:sz w:val="28"/>
          <w:szCs w:val="28"/>
          <w:lang w:val="en-US"/>
        </w:rPr>
        <w:t>Syed Raza Moaddab/3rd Edition</w:t>
      </w:r>
    </w:p>
    <w:p>
      <w:pPr>
        <w:pStyle w:val="BookText"/>
        <w:bidi w:val="0"/>
        <w:jc w:val="both"/>
        <w:rPr/>
      </w:pPr>
      <w:r>
        <w:rPr>
          <w:rFonts w:eastAsia="Times New Roman" w:cs="Times New Roman" w:ascii="Times New Roman" w:hAnsi="Times New Roman"/>
          <w:color w:val="111111"/>
          <w:sz w:val="28"/>
          <w:szCs w:val="28"/>
          <w:lang w:val="en-US"/>
        </w:rPr>
        <w:t>Mohammadi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Dardari (a Collection of Poems by Persian Poets of 35. The Holy Quran and Imam Hussain(Analysis of</w:t>
      </w:r>
    </w:p>
    <w:p>
      <w:pPr>
        <w:pStyle w:val="BookText"/>
        <w:bidi w:val="0"/>
        <w:jc w:val="both"/>
        <w:rPr/>
      </w:pPr>
      <w:r>
        <w:rPr>
          <w:rFonts w:eastAsia="Times New Roman" w:cs="Times New Roman" w:ascii="Times New Roman" w:hAnsi="Times New Roman"/>
          <w:color w:val="111111"/>
          <w:sz w:val="28"/>
          <w:szCs w:val="28"/>
          <w:lang w:val="en-US"/>
        </w:rPr>
        <w:t>Great Khurasan about Ashura)/Syed Hasan Aha- Quranic and Narrative testimonies of Imam hus-</w:t>
      </w:r>
    </w:p>
    <w:p>
      <w:pPr>
        <w:pStyle w:val="BookText"/>
        <w:bidi w:val="0"/>
        <w:jc w:val="both"/>
        <w:rPr/>
      </w:pPr>
      <w:r>
        <w:rPr>
          <w:rFonts w:eastAsia="Times New Roman" w:cs="Times New Roman" w:ascii="Times New Roman" w:hAnsi="Times New Roman"/>
          <w:color w:val="111111"/>
          <w:sz w:val="28"/>
          <w:szCs w:val="28"/>
          <w:lang w:val="en-US"/>
        </w:rPr>
        <w:t>madi Nejad Balkhi Balkhabi</w:t>
      </w:r>
    </w:p>
    <w:p>
      <w:pPr>
        <w:pStyle w:val="BookText"/>
        <w:bidi w:val="0"/>
        <w:jc w:val="both"/>
        <w:rPr/>
      </w:pPr>
      <w:r>
        <w:rPr>
          <w:rFonts w:eastAsia="Times New Roman" w:cs="Times New Roman" w:ascii="Times New Roman" w:hAnsi="Times New Roman"/>
          <w:color w:val="111111"/>
          <w:sz w:val="28"/>
          <w:szCs w:val="28"/>
          <w:lang w:val="en-US"/>
        </w:rPr>
        <w:t>sain)/ Hussain Motahhari Mohib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Dirayat ul Hadith/Syed Raza Moaddab/ 3rd Edition Arabic</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Educational Influences of The Moral effects of 36. Al Hidaya fin Nahve (Guiding Syntax)/Hussain</w:t>
      </w:r>
    </w:p>
    <w:p>
      <w:pPr>
        <w:pStyle w:val="BookText"/>
        <w:bidi w:val="0"/>
        <w:jc w:val="both"/>
        <w:rPr/>
      </w:pPr>
      <w:r>
        <w:rPr>
          <w:rFonts w:eastAsia="Times New Roman" w:cs="Times New Roman" w:ascii="Times New Roman" w:hAnsi="Times New Roman"/>
          <w:color w:val="111111"/>
          <w:sz w:val="28"/>
          <w:szCs w:val="28"/>
          <w:lang w:val="en-US"/>
        </w:rPr>
        <w:t>Ashura uprising/ Mohammad Arif Sadaqat Sher Afkan/20th Edition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Glory of Word in Nahjul Balagha/ Hasan amir 37. Al Qaraat wal Ahruf Assaba'a (Readings and Sev-</w:t>
      </w:r>
    </w:p>
    <w:p>
      <w:pPr>
        <w:pStyle w:val="BookText"/>
        <w:bidi w:val="0"/>
        <w:jc w:val="both"/>
        <w:rPr/>
      </w:pPr>
      <w:r>
        <w:rPr>
          <w:rFonts w:eastAsia="Times New Roman" w:cs="Times New Roman" w:ascii="Times New Roman" w:hAnsi="Times New Roman"/>
          <w:color w:val="111111"/>
          <w:sz w:val="28"/>
          <w:szCs w:val="28"/>
          <w:lang w:val="en-US"/>
        </w:rPr>
        <w:t>Ansari</w:t>
      </w:r>
    </w:p>
    <w:p>
      <w:pPr>
        <w:pStyle w:val="BookText"/>
        <w:bidi w:val="0"/>
        <w:jc w:val="both"/>
        <w:rPr/>
      </w:pPr>
      <w:r>
        <w:rPr>
          <w:rFonts w:eastAsia="Times New Roman" w:cs="Times New Roman" w:ascii="Times New Roman" w:hAnsi="Times New Roman"/>
          <w:color w:val="111111"/>
          <w:sz w:val="28"/>
          <w:szCs w:val="28"/>
          <w:lang w:val="en-US"/>
        </w:rPr>
        <w:t>en Characters)/Abdur Rasul Alghaffari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Indirections (Approaches of gth prayer of Sahi- 38. Al Qarato wal Munaqashah (Reading and Discus-</w:t>
      </w:r>
    </w:p>
    <w:p>
      <w:pPr>
        <w:pStyle w:val="BookText"/>
        <w:bidi w:val="0"/>
        <w:jc w:val="both"/>
        <w:rPr/>
      </w:pPr>
      <w:r>
        <w:rPr>
          <w:rFonts w:eastAsia="Times New Roman" w:cs="Times New Roman" w:ascii="Times New Roman" w:hAnsi="Times New Roman"/>
          <w:color w:val="111111"/>
          <w:sz w:val="28"/>
          <w:szCs w:val="28"/>
          <w:lang w:val="en-US"/>
        </w:rPr>
        <w:t>fa-e-Sajjadiah)/ Hujjat Manganeh</w:t>
      </w:r>
    </w:p>
    <w:p>
      <w:pPr>
        <w:pStyle w:val="BookText"/>
        <w:bidi w:val="0"/>
        <w:jc w:val="both"/>
        <w:rPr/>
      </w:pPr>
      <w:r>
        <w:rPr>
          <w:rFonts w:eastAsia="Times New Roman" w:cs="Times New Roman" w:ascii="Times New Roman" w:hAnsi="Times New Roman"/>
          <w:color w:val="111111"/>
          <w:sz w:val="28"/>
          <w:szCs w:val="28"/>
          <w:lang w:val="en-US"/>
        </w:rPr>
        <w:t>sion)/Author: Mietham al Rabi'e; Mohammad Al-</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Inevitable Bound, an Analysis on Strategies of haidari; Shakir Afzali</w:t>
      </w:r>
    </w:p>
    <w:p>
      <w:pPr>
        <w:pStyle w:val="BookText"/>
        <w:bidi w:val="0"/>
        <w:jc w:val="both"/>
        <w:rPr/>
      </w:pPr>
      <w:r>
        <w:rPr>
          <w:rFonts w:eastAsia="Times New Roman" w:cs="Times New Roman" w:ascii="Times New Roman" w:hAnsi="Times New Roman"/>
          <w:color w:val="111111"/>
          <w:sz w:val="28"/>
          <w:szCs w:val="28"/>
          <w:lang w:val="en-US"/>
        </w:rPr>
        <w:t>United States of America in confronting The Is- 39. Al Quds fi Alsh'er Al Arabi Al hadith fi Soriya wa</w:t>
      </w:r>
    </w:p>
    <w:p>
      <w:pPr>
        <w:pStyle w:val="BookText"/>
        <w:bidi w:val="0"/>
        <w:jc w:val="both"/>
        <w:rPr/>
      </w:pPr>
      <w:r>
        <w:rPr>
          <w:rFonts w:eastAsia="Times New Roman" w:cs="Times New Roman" w:ascii="Times New Roman" w:hAnsi="Times New Roman"/>
          <w:color w:val="111111"/>
          <w:sz w:val="28"/>
          <w:szCs w:val="28"/>
          <w:lang w:val="en-US"/>
        </w:rPr>
        <w:t>lamic Awakening Author Amil Nakhlah: Transla- Lubna wa Filistin (Poetry in Modern Arabic in Syr-</w:t>
      </w:r>
    </w:p>
    <w:p>
      <w:pPr>
        <w:pStyle w:val="BookText"/>
        <w:bidi w:val="0"/>
        <w:jc w:val="both"/>
        <w:rPr/>
      </w:pPr>
      <w:r>
        <w:rPr>
          <w:rFonts w:eastAsia="Times New Roman" w:cs="Times New Roman" w:ascii="Times New Roman" w:hAnsi="Times New Roman"/>
          <w:color w:val="111111"/>
          <w:sz w:val="28"/>
          <w:szCs w:val="28"/>
          <w:lang w:val="en-US"/>
        </w:rPr>
        <w:t>tion: Ali Mohammad Sabiqi</w:t>
      </w:r>
    </w:p>
    <w:p>
      <w:pPr>
        <w:pStyle w:val="BookText"/>
        <w:bidi w:val="0"/>
        <w:jc w:val="both"/>
        <w:rPr/>
      </w:pPr>
      <w:r>
        <w:rPr>
          <w:rFonts w:eastAsia="Times New Roman" w:cs="Times New Roman" w:ascii="Times New Roman" w:hAnsi="Times New Roman"/>
          <w:color w:val="111111"/>
          <w:sz w:val="28"/>
          <w:szCs w:val="28"/>
          <w:lang w:val="en-US"/>
        </w:rPr>
        <w:t>ia, Lebanon and Palestine) /Jihad Faizul Islam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Introduction of History and Hadith Resources/ 40. Annahwul Jam'e (Comprehensive Syntax)/Syed</w:t>
      </w:r>
    </w:p>
    <w:p>
      <w:pPr>
        <w:pStyle w:val="BookText"/>
        <w:bidi w:val="0"/>
        <w:jc w:val="both"/>
        <w:rPr/>
      </w:pPr>
      <w:r>
        <w:rPr>
          <w:rFonts w:eastAsia="Times New Roman" w:cs="Times New Roman" w:ascii="Times New Roman" w:hAnsi="Times New Roman"/>
          <w:color w:val="111111"/>
          <w:sz w:val="28"/>
          <w:szCs w:val="28"/>
          <w:lang w:val="en-US"/>
        </w:rPr>
        <w:t>Ali Nasiri/ 2nd Edition</w:t>
      </w:r>
    </w:p>
    <w:p>
      <w:pPr>
        <w:pStyle w:val="BookText"/>
        <w:bidi w:val="0"/>
        <w:jc w:val="both"/>
        <w:rPr/>
      </w:pPr>
      <w:r>
        <w:rPr>
          <w:rFonts w:eastAsia="Times New Roman" w:cs="Times New Roman" w:ascii="Times New Roman" w:hAnsi="Times New Roman"/>
          <w:color w:val="111111"/>
          <w:sz w:val="28"/>
          <w:szCs w:val="28"/>
          <w:lang w:val="en-US"/>
        </w:rPr>
        <w:t>Hamid Jazairi/2nd Edition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Introduction of Principles and Methods of The 41. Atta'alimul Almusawwar(Visual Education)/ Au-</w:t>
      </w:r>
    </w:p>
    <w:p>
      <w:pPr>
        <w:pStyle w:val="BookText"/>
        <w:bidi w:val="0"/>
        <w:jc w:val="both"/>
        <w:rPr/>
      </w:pPr>
      <w:r>
        <w:rPr>
          <w:rFonts w:eastAsia="Times New Roman" w:cs="Times New Roman" w:ascii="Times New Roman" w:hAnsi="Times New Roman"/>
          <w:color w:val="111111"/>
          <w:sz w:val="28"/>
          <w:szCs w:val="28"/>
          <w:lang w:val="en-US"/>
        </w:rPr>
        <w:t>Translation of Holy Quran (A Summary of The thor: Mietham al Rabi'e; Mohammad Alhaidari;</w:t>
      </w:r>
    </w:p>
    <w:p>
      <w:pPr>
        <w:pStyle w:val="BookText"/>
        <w:bidi w:val="0"/>
        <w:jc w:val="both"/>
        <w:rPr/>
      </w:pPr>
      <w:r>
        <w:rPr>
          <w:rFonts w:eastAsia="Times New Roman" w:cs="Times New Roman" w:ascii="Times New Roman" w:hAnsi="Times New Roman"/>
          <w:color w:val="111111"/>
          <w:sz w:val="28"/>
          <w:szCs w:val="28"/>
          <w:lang w:val="en-US"/>
        </w:rPr>
        <w:t>book “Logic of The Translation of Holy Quran") / Shakir Afzali</w:t>
      </w:r>
    </w:p>
    <w:p>
      <w:pPr>
        <w:pStyle w:val="BookText"/>
        <w:bidi w:val="0"/>
        <w:jc w:val="both"/>
        <w:rPr/>
      </w:pPr>
      <w:r>
        <w:rPr>
          <w:rFonts w:eastAsia="Times New Roman" w:cs="Times New Roman" w:ascii="Times New Roman" w:hAnsi="Times New Roman"/>
          <w:color w:val="111111"/>
          <w:sz w:val="28"/>
          <w:szCs w:val="28"/>
          <w:lang w:val="en-US"/>
        </w:rPr>
        <w:t>Mohammad Ali Rizai Isfahani.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Darasaatul Islamiyya fi Ilmin Namuwwe Marh-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Islam and Cultural Reformation/ au Ther: Zaki alatut Tofulah Marahilun Namuwwe wa Muqa-</w:t>
      </w:r>
    </w:p>
    <w:p>
      <w:pPr>
        <w:pStyle w:val="BookText"/>
        <w:bidi w:val="0"/>
        <w:jc w:val="both"/>
        <w:rPr/>
      </w:pPr>
      <w:r>
        <w:rPr>
          <w:rFonts w:eastAsia="Times New Roman" w:cs="Times New Roman" w:ascii="Times New Roman" w:hAnsi="Times New Roman"/>
          <w:color w:val="111111"/>
          <w:sz w:val="28"/>
          <w:szCs w:val="28"/>
          <w:lang w:val="en-US"/>
        </w:rPr>
        <w:t>Milad, Aytullah Khazai</w:t>
      </w:r>
    </w:p>
    <w:p>
      <w:pPr>
        <w:pStyle w:val="BookText"/>
        <w:bidi w:val="0"/>
        <w:jc w:val="both"/>
        <w:rPr/>
      </w:pPr>
      <w:r>
        <w:rPr>
          <w:rFonts w:eastAsia="Times New Roman" w:cs="Times New Roman" w:ascii="Times New Roman" w:hAnsi="Times New Roman"/>
          <w:color w:val="111111"/>
          <w:sz w:val="28"/>
          <w:szCs w:val="28"/>
          <w:lang w:val="en-US"/>
        </w:rPr>
        <w:t>wwimatut Tarbiyyah (Islamic Studies in Growth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Islamic Beliefs Textbook/ Ali Sherwani/ 7th Edition Psychology, Childhood Stage, Growth stages and</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Isteshraq Special/ A Group of Authors</w:t>
      </w:r>
    </w:p>
    <w:p>
      <w:pPr>
        <w:pStyle w:val="BookText"/>
        <w:bidi w:val="0"/>
        <w:jc w:val="both"/>
        <w:rPr/>
      </w:pPr>
      <w:r>
        <w:rPr>
          <w:rFonts w:eastAsia="Times New Roman" w:cs="Times New Roman" w:ascii="Times New Roman" w:hAnsi="Times New Roman"/>
          <w:color w:val="111111"/>
          <w:sz w:val="28"/>
          <w:szCs w:val="28"/>
          <w:lang w:val="en-US"/>
        </w:rPr>
        <w:t>Elements of Education/Sa'eed Kazim Alazaari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Journal of Information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Wilayatul Faqih wal Hakukatul Islamiyyah fi Asril</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Kau Ther-e-Ma'arif (Heavenly River of Knowl- Ghaibah (Jurisdiction and Islamic Government in</w:t>
      </w:r>
    </w:p>
    <w:p>
      <w:pPr>
        <w:pStyle w:val="BookText"/>
        <w:bidi w:val="0"/>
        <w:jc w:val="both"/>
        <w:rPr/>
      </w:pPr>
      <w:r>
        <w:rPr>
          <w:rFonts w:eastAsia="Times New Roman" w:cs="Times New Roman" w:ascii="Times New Roman" w:hAnsi="Times New Roman"/>
          <w:color w:val="111111"/>
          <w:sz w:val="28"/>
          <w:szCs w:val="28"/>
          <w:lang w:val="en-US"/>
        </w:rPr>
        <w:t>edge) No.22</w:t>
      </w:r>
    </w:p>
    <w:p>
      <w:pPr>
        <w:pStyle w:val="BookText"/>
        <w:bidi w:val="0"/>
        <w:jc w:val="both"/>
        <w:rPr/>
      </w:pPr>
      <w:r>
        <w:rPr>
          <w:rFonts w:eastAsia="Times New Roman" w:cs="Times New Roman" w:ascii="Times New Roman" w:hAnsi="Times New Roman"/>
          <w:color w:val="111111"/>
          <w:sz w:val="28"/>
          <w:szCs w:val="28"/>
          <w:lang w:val="en-US"/>
        </w:rPr>
        <w:t>The Absence of Imam)/Wadi'e Al Haideri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Learning Persian for Non-Persian Students / Fati-</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ma Akbari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NAHJUL BALAGHA; Sermons, Letters and Sayings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Learning Persian in Persian, , Workbook, Vol.5/ of Imam Ali/Seyyed Razi/Seyyed Ali Raza</w:t>
      </w:r>
    </w:p>
    <w:p>
      <w:pPr>
        <w:pStyle w:val="BookText"/>
        <w:bidi w:val="0"/>
        <w:jc w:val="both"/>
        <w:rPr/>
      </w:pPr>
      <w:r>
        <w:rPr>
          <w:rFonts w:eastAsia="Times New Roman" w:cs="Times New Roman" w:ascii="Times New Roman" w:hAnsi="Times New Roman"/>
          <w:color w:val="111111"/>
          <w:sz w:val="28"/>
          <w:szCs w:val="28"/>
          <w:lang w:val="en-US"/>
        </w:rPr>
        <w:t>Center of Language and Islamic Knowledge/3rd 45. The Book of Ahadith/Seyyed Ali Lavassani</w:t>
      </w:r>
    </w:p>
    <w:p>
      <w:pPr>
        <w:pStyle w:val="BookText"/>
        <w:bidi w:val="0"/>
        <w:jc w:val="both"/>
        <w:rPr/>
      </w:pPr>
      <w:r>
        <w:rPr>
          <w:rFonts w:eastAsia="Times New Roman" w:cs="Times New Roman" w:ascii="Times New Roman" w:hAnsi="Times New Roman"/>
          <w:color w:val="111111"/>
          <w:sz w:val="28"/>
          <w:szCs w:val="28"/>
          <w:lang w:val="en-US"/>
        </w:rPr>
        <w:t>Edition</w:t>
      </w:r>
    </w:p>
    <w:p>
      <w:pPr>
        <w:pStyle w:val="BookText"/>
        <w:bidi w:val="0"/>
        <w:jc w:val="both"/>
        <w:rPr/>
      </w:pPr>
      <w:r>
        <w:rPr>
          <w:rFonts w:eastAsia="Times New Roman" w:cs="Times New Roman" w:ascii="Times New Roman" w:hAnsi="Times New Roman"/>
          <w:color w:val="111111"/>
          <w:sz w:val="28"/>
          <w:szCs w:val="28"/>
          <w:lang w:val="en-US"/>
        </w:rPr>
        <w:t>Seyyed Ali Farid Mohammadi</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279 </w:t>
      </w:r>
    </w:p>
    <w:p>
      <w:pPr>
        <w:pStyle w:val="BookText"/>
        <w:bidi w:val="0"/>
        <w:rPr/>
      </w:pPr>
      <w:r>
        <w:rPr>
          <w:rFonts w:eastAsia="Times New Roman" w:cs="Times New Roman" w:ascii="Times New Roman" w:hAnsi="Times New Roman"/>
          <w:color w:val="111111"/>
          <w:sz w:val="28"/>
          <w:szCs w:val="28"/>
          <w:lang w:val="en-US"/>
        </w:rPr>
        <w:t>Index of Al-Mustafa (SAWW) International Translation and Publication Center Published Books</w:t>
      </w:r>
    </w:p>
    <w:p>
      <w:pPr>
        <w:pStyle w:val="BookText"/>
        <w:bidi w:val="0"/>
        <w:jc w:val="both"/>
        <w:rPr/>
      </w:pPr>
      <w:r>
        <w:rPr>
          <w:rFonts w:eastAsia="Times New Roman" w:cs="Times New Roman" w:ascii="Times New Roman" w:hAnsi="Times New Roman"/>
          <w:color w:val="111111"/>
          <w:sz w:val="28"/>
          <w:szCs w:val="28"/>
          <w:lang w:val="en-US"/>
        </w:rPr>
        <w:t>French</w:t>
      </w:r>
    </w:p>
    <w:p>
      <w:pPr>
        <w:pStyle w:val="BookText"/>
        <w:bidi w:val="0"/>
        <w:jc w:val="both"/>
        <w:rPr/>
      </w:pPr>
      <w:r>
        <w:rPr>
          <w:rFonts w:eastAsia="Times New Roman" w:cs="Times New Roman" w:ascii="Times New Roman" w:hAnsi="Times New Roman"/>
          <w:color w:val="111111"/>
          <w:sz w:val="28"/>
          <w:szCs w:val="28"/>
          <w:lang w:val="en-US"/>
        </w:rPr>
        <w:t>Imam Khomeini Higher Education Complex</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Imam of Ethics and politics/author: Syed Hassan 13. Comparative Study of Mehdaviat Theory in Is-</w:t>
      </w:r>
    </w:p>
    <w:p>
      <w:pPr>
        <w:pStyle w:val="BookText"/>
        <w:bidi w:val="0"/>
        <w:jc w:val="both"/>
        <w:rPr/>
      </w:pPr>
      <w:r>
        <w:rPr>
          <w:rFonts w:eastAsia="Times New Roman" w:cs="Times New Roman" w:ascii="Times New Roman" w:hAnsi="Times New Roman"/>
          <w:color w:val="111111"/>
          <w:sz w:val="28"/>
          <w:szCs w:val="28"/>
          <w:lang w:val="en-US"/>
        </w:rPr>
        <w:t>Islami/Translated by Ibrahim Monto</w:t>
      </w:r>
    </w:p>
    <w:p>
      <w:pPr>
        <w:pStyle w:val="BookText"/>
        <w:bidi w:val="0"/>
        <w:jc w:val="both"/>
        <w:rPr/>
      </w:pPr>
      <w:r>
        <w:rPr>
          <w:rFonts w:eastAsia="Times New Roman" w:cs="Times New Roman" w:ascii="Times New Roman" w:hAnsi="Times New Roman"/>
          <w:color w:val="111111"/>
          <w:sz w:val="28"/>
          <w:szCs w:val="28"/>
          <w:lang w:val="en-US"/>
        </w:rPr>
        <w:t>mailiah and Imamiah/ Qadir Mohammadof</w:t>
      </w:r>
    </w:p>
    <w:p>
      <w:pPr>
        <w:pStyle w:val="BookText"/>
        <w:bidi w:val="0"/>
        <w:jc w:val="both"/>
        <w:rPr/>
      </w:pPr>
      <w:r>
        <w:rPr>
          <w:rFonts w:eastAsia="Times New Roman" w:cs="Times New Roman" w:ascii="Times New Roman" w:hAnsi="Times New Roman"/>
          <w:color w:val="111111"/>
          <w:sz w:val="28"/>
          <w:szCs w:val="28"/>
          <w:lang w:val="en-US"/>
        </w:rPr>
        <w:t>Urdu</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Culture and Civilization of The Shites of Afghani-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Quran and Imam Hussain/Author:Mohsin stan/ Abduqayyum leti</w:t>
      </w:r>
    </w:p>
    <w:p>
      <w:pPr>
        <w:pStyle w:val="BookText"/>
        <w:bidi w:val="0"/>
        <w:jc w:val="both"/>
        <w:rPr/>
      </w:pPr>
      <w:r>
        <w:rPr>
          <w:rFonts w:eastAsia="Times New Roman" w:cs="Times New Roman" w:ascii="Times New Roman" w:hAnsi="Times New Roman"/>
          <w:color w:val="111111"/>
          <w:sz w:val="28"/>
          <w:szCs w:val="28"/>
          <w:lang w:val="en-US"/>
        </w:rPr>
        <w:t>Qar'ati/ Translated by Syed Nusrat Ali Ja'afari/2nd 15. Dictionary of The Terminologies of Usool (The-</w:t>
      </w:r>
    </w:p>
    <w:p>
      <w:pPr>
        <w:pStyle w:val="BookText"/>
        <w:bidi w:val="0"/>
        <w:jc w:val="both"/>
        <w:rPr/>
      </w:pPr>
      <w:r>
        <w:rPr>
          <w:rFonts w:eastAsia="Times New Roman" w:cs="Times New Roman" w:ascii="Times New Roman" w:hAnsi="Times New Roman"/>
          <w:color w:val="111111"/>
          <w:sz w:val="28"/>
          <w:szCs w:val="28"/>
          <w:lang w:val="en-US"/>
        </w:rPr>
        <w:t>Edition</w:t>
      </w:r>
    </w:p>
    <w:p>
      <w:pPr>
        <w:pStyle w:val="BookText"/>
        <w:bidi w:val="0"/>
        <w:jc w:val="both"/>
        <w:rPr/>
      </w:pPr>
      <w:r>
        <w:rPr>
          <w:rFonts w:eastAsia="Times New Roman" w:cs="Times New Roman" w:ascii="Times New Roman" w:hAnsi="Times New Roman"/>
          <w:color w:val="111111"/>
          <w:sz w:val="28"/>
          <w:szCs w:val="28"/>
          <w:lang w:val="en-US"/>
        </w:rPr>
        <w:t>oretical Jurisprudence)/ Mujtaba Maliki Isfehani</w:t>
      </w:r>
    </w:p>
    <w:p>
      <w:pPr>
        <w:pStyle w:val="BookText"/>
        <w:bidi w:val="0"/>
        <w:jc w:val="both"/>
        <w:rPr/>
      </w:pPr>
      <w:r>
        <w:rPr>
          <w:rFonts w:eastAsia="Times New Roman" w:cs="Times New Roman" w:ascii="Times New Roman" w:hAnsi="Times New Roman"/>
          <w:color w:val="111111"/>
          <w:sz w:val="28"/>
          <w:szCs w:val="28"/>
          <w:lang w:val="en-US"/>
        </w:rPr>
        <w:t>Filipino</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Disintegration of Islamic World, reasons and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Introduction of commandments/Translated by</w:t>
      </w:r>
    </w:p>
    <w:p>
      <w:pPr>
        <w:pStyle w:val="BookText"/>
        <w:bidi w:val="0"/>
        <w:jc w:val="both"/>
        <w:rPr/>
      </w:pPr>
      <w:r>
        <w:rPr>
          <w:rFonts w:eastAsia="Times New Roman" w:cs="Times New Roman" w:ascii="Times New Roman" w:hAnsi="Times New Roman"/>
          <w:color w:val="111111"/>
          <w:sz w:val="28"/>
          <w:szCs w:val="28"/>
          <w:lang w:val="en-US"/>
        </w:rPr>
        <w:t>consequences/ Ali Asghar Raja</w:t>
      </w:r>
    </w:p>
    <w:p>
      <w:pPr>
        <w:pStyle w:val="BookText"/>
        <w:bidi w:val="0"/>
        <w:jc w:val="both"/>
        <w:rPr/>
      </w:pPr>
      <w:r>
        <w:rPr>
          <w:rFonts w:eastAsia="Times New Roman" w:cs="Times New Roman" w:ascii="Times New Roman" w:hAnsi="Times New Roman"/>
          <w:color w:val="111111"/>
          <w:sz w:val="28"/>
          <w:szCs w:val="28"/>
          <w:lang w:val="en-US"/>
        </w:rPr>
        <w:t>Muntazir Douglas Bangaln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Encyclopedia of Nations' Culture, Vol1 / Almusta-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Shia answers/Translated by Muntazir Douglas</w:t>
      </w:r>
    </w:p>
    <w:p>
      <w:pPr>
        <w:pStyle w:val="BookText"/>
        <w:bidi w:val="0"/>
        <w:jc w:val="both"/>
        <w:rPr/>
      </w:pPr>
      <w:r>
        <w:rPr>
          <w:rFonts w:eastAsia="Times New Roman" w:cs="Times New Roman" w:ascii="Times New Roman" w:hAnsi="Times New Roman"/>
          <w:color w:val="111111"/>
          <w:sz w:val="28"/>
          <w:szCs w:val="28"/>
          <w:lang w:val="en-US"/>
        </w:rPr>
        <w:t>fa international Research Center</w:t>
      </w:r>
    </w:p>
    <w:p>
      <w:pPr>
        <w:pStyle w:val="BookText"/>
        <w:bidi w:val="0"/>
        <w:jc w:val="both"/>
        <w:rPr/>
      </w:pPr>
      <w:r>
        <w:rPr>
          <w:rFonts w:eastAsia="Times New Roman" w:cs="Times New Roman" w:ascii="Times New Roman" w:hAnsi="Times New Roman"/>
          <w:color w:val="111111"/>
          <w:sz w:val="28"/>
          <w:szCs w:val="28"/>
          <w:lang w:val="en-US"/>
        </w:rPr>
        <w:t>Bangaln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Epistemology/Hasan Moallimi</w:t>
      </w:r>
    </w:p>
    <w:p>
      <w:pPr>
        <w:pStyle w:val="BookText"/>
        <w:bidi w:val="0"/>
        <w:jc w:val="both"/>
        <w:rPr/>
      </w:pPr>
      <w:r>
        <w:rPr>
          <w:rFonts w:eastAsia="Times New Roman" w:cs="Times New Roman" w:ascii="Times New Roman" w:hAnsi="Times New Roman"/>
          <w:color w:val="111111"/>
          <w:sz w:val="28"/>
          <w:szCs w:val="28"/>
          <w:lang w:val="en-US"/>
        </w:rPr>
        <w:t>Pashto</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Epistemology of Religious Belief from The View</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Intercession/Author: Syed Hassan Tahiri Khur-</w:t>
      </w:r>
    </w:p>
    <w:p>
      <w:pPr>
        <w:pStyle w:val="BookText"/>
        <w:bidi w:val="0"/>
        <w:jc w:val="both"/>
        <w:rPr/>
      </w:pPr>
      <w:r>
        <w:rPr>
          <w:rFonts w:eastAsia="Times New Roman" w:cs="Times New Roman" w:ascii="Times New Roman" w:hAnsi="Times New Roman"/>
          <w:color w:val="111111"/>
          <w:sz w:val="28"/>
          <w:szCs w:val="28"/>
          <w:lang w:val="en-US"/>
        </w:rPr>
        <w:t>of Shahid Motahhari and Alvin Plantinga/ Alaod</w:t>
      </w:r>
    </w:p>
    <w:p>
      <w:pPr>
        <w:pStyle w:val="BookText"/>
        <w:bidi w:val="0"/>
        <w:jc w:val="both"/>
        <w:rPr/>
      </w:pPr>
      <w:r>
        <w:rPr>
          <w:rFonts w:eastAsia="Times New Roman" w:cs="Times New Roman" w:ascii="Times New Roman" w:hAnsi="Times New Roman"/>
          <w:color w:val="111111"/>
          <w:sz w:val="28"/>
          <w:szCs w:val="28"/>
          <w:lang w:val="en-US"/>
        </w:rPr>
        <w:t>ram Abadi/Translated by Sarfaraz Ali Mohammadi</w:t>
      </w:r>
    </w:p>
    <w:p>
      <w:pPr>
        <w:pStyle w:val="BookText"/>
        <w:bidi w:val="0"/>
        <w:jc w:val="both"/>
        <w:rPr/>
      </w:pPr>
      <w:r>
        <w:rPr>
          <w:rFonts w:eastAsia="Times New Roman" w:cs="Times New Roman" w:ascii="Times New Roman" w:hAnsi="Times New Roman"/>
          <w:color w:val="111111"/>
          <w:sz w:val="28"/>
          <w:szCs w:val="28"/>
          <w:lang w:val="en-US"/>
        </w:rPr>
        <w:t>din Malikof</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Moral Approach on Wahhabiat Beliefs/Author: 20. Guide book for Russian Language/Ali Modabbir</w:t>
      </w:r>
    </w:p>
    <w:p>
      <w:pPr>
        <w:pStyle w:val="BookText"/>
        <w:bidi w:val="0"/>
        <w:jc w:val="both"/>
        <w:rPr/>
      </w:pPr>
      <w:r>
        <w:rPr>
          <w:rFonts w:eastAsia="Times New Roman" w:cs="Times New Roman" w:ascii="Times New Roman" w:hAnsi="Times New Roman"/>
          <w:color w:val="111111"/>
          <w:sz w:val="28"/>
          <w:szCs w:val="28"/>
          <w:lang w:val="en-US"/>
        </w:rPr>
        <w:t>Syed Hassan Tahiri Khurram Abadi/Translated by</w:t>
      </w:r>
    </w:p>
    <w:p>
      <w:pPr>
        <w:pStyle w:val="BookText"/>
        <w:bidi w:val="0"/>
        <w:jc w:val="both"/>
        <w:rPr/>
      </w:pPr>
      <w:r>
        <w:rPr>
          <w:rFonts w:eastAsia="Times New Roman" w:cs="Times New Roman" w:ascii="Times New Roman" w:hAnsi="Times New Roman"/>
          <w:color w:val="111111"/>
          <w:sz w:val="28"/>
          <w:szCs w:val="28"/>
          <w:lang w:val="en-US"/>
        </w:rPr>
        <w:t>Chahar Burji</w:t>
      </w:r>
    </w:p>
    <w:p>
      <w:pPr>
        <w:pStyle w:val="BookText"/>
        <w:bidi w:val="0"/>
        <w:jc w:val="both"/>
        <w:rPr/>
      </w:pPr>
      <w:r>
        <w:rPr>
          <w:rFonts w:eastAsia="Times New Roman" w:cs="Times New Roman" w:ascii="Times New Roman" w:hAnsi="Times New Roman"/>
          <w:color w:val="111111"/>
          <w:sz w:val="28"/>
          <w:szCs w:val="28"/>
          <w:lang w:val="en-US"/>
        </w:rPr>
        <w:t>Mohammad Rahim Durrani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History of Islamic Philosophy (New Edition)/ A</w:t>
      </w:r>
    </w:p>
    <w:p>
      <w:pPr>
        <w:pStyle w:val="BookText"/>
        <w:bidi w:val="0"/>
        <w:jc w:val="both"/>
        <w:rPr/>
      </w:pPr>
      <w:r>
        <w:rPr>
          <w:rFonts w:eastAsia="Times New Roman" w:cs="Times New Roman" w:ascii="Times New Roman" w:hAnsi="Times New Roman"/>
          <w:color w:val="111111"/>
          <w:sz w:val="28"/>
          <w:szCs w:val="28"/>
          <w:lang w:val="en-US"/>
        </w:rPr>
        <w:t>Thai</w:t>
      </w:r>
    </w:p>
    <w:p>
      <w:pPr>
        <w:pStyle w:val="BookText"/>
        <w:bidi w:val="0"/>
        <w:jc w:val="both"/>
        <w:rPr/>
      </w:pPr>
      <w:r>
        <w:rPr>
          <w:rFonts w:eastAsia="Times New Roman" w:cs="Times New Roman" w:ascii="Times New Roman" w:hAnsi="Times New Roman"/>
          <w:color w:val="111111"/>
          <w:sz w:val="28"/>
          <w:szCs w:val="28"/>
          <w:lang w:val="en-US"/>
        </w:rPr>
        <w:t>Group of Authors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History of Quran / Mohammad Hussain Moham-</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Woman place from The Viewpoint of Imam Kho-</w:t>
      </w:r>
    </w:p>
    <w:p>
      <w:pPr>
        <w:pStyle w:val="BookText"/>
        <w:bidi w:val="0"/>
        <w:jc w:val="both"/>
        <w:rPr/>
      </w:pPr>
      <w:r>
        <w:rPr>
          <w:rFonts w:eastAsia="Times New Roman" w:cs="Times New Roman" w:ascii="Times New Roman" w:hAnsi="Times New Roman"/>
          <w:color w:val="111111"/>
          <w:sz w:val="28"/>
          <w:szCs w:val="28"/>
          <w:lang w:val="en-US"/>
        </w:rPr>
        <w:t>meini/Author: Mohammad Sharif Kat Sembon</w:t>
      </w:r>
    </w:p>
    <w:p>
      <w:pPr>
        <w:pStyle w:val="BookText"/>
        <w:bidi w:val="0"/>
        <w:jc w:val="both"/>
        <w:rPr/>
      </w:pPr>
      <w:r>
        <w:rPr>
          <w:rFonts w:eastAsia="Times New Roman" w:cs="Times New Roman" w:ascii="Times New Roman" w:hAnsi="Times New Roman"/>
          <w:color w:val="111111"/>
          <w:sz w:val="28"/>
          <w:szCs w:val="28"/>
          <w:lang w:val="en-US"/>
        </w:rPr>
        <w:t>madi</w:t>
      </w:r>
    </w:p>
    <w:p>
      <w:pPr>
        <w:pStyle w:val="BookText"/>
        <w:bidi w:val="0"/>
        <w:jc w:val="both"/>
        <w:rPr/>
      </w:pPr>
      <w:r>
        <w:rPr>
          <w:rFonts w:eastAsia="Times New Roman" w:cs="Times New Roman" w:ascii="Times New Roman" w:hAnsi="Times New Roman"/>
          <w:color w:val="111111"/>
          <w:sz w:val="28"/>
          <w:szCs w:val="28"/>
          <w:lang w:val="en-US"/>
        </w:rPr>
        <w:t>Uyghur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History of western Philosophy1/ MehdiBanai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International Islamic Rights / Abdul Hakim Salimi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Nehjul Balagha/Author Syed Razi Tranlsted by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Introduction of Hadith Texts and Nahjul balagha/</w:t>
      </w:r>
    </w:p>
    <w:p>
      <w:pPr>
        <w:pStyle w:val="BookText"/>
        <w:bidi w:val="0"/>
        <w:jc w:val="both"/>
        <w:rPr/>
      </w:pPr>
      <w:r>
        <w:rPr>
          <w:rFonts w:eastAsia="Times New Roman" w:cs="Times New Roman" w:ascii="Times New Roman" w:hAnsi="Times New Roman"/>
          <w:color w:val="111111"/>
          <w:sz w:val="28"/>
          <w:szCs w:val="28"/>
          <w:lang w:val="en-US"/>
        </w:rPr>
        <w:t>Abdurrehman (Ma Mohai Ma)Samsaq (Ma Sofia)</w:t>
      </w:r>
    </w:p>
    <w:p>
      <w:pPr>
        <w:pStyle w:val="BookText"/>
        <w:bidi w:val="0"/>
        <w:jc w:val="both"/>
        <w:rPr/>
      </w:pPr>
      <w:r>
        <w:rPr>
          <w:rFonts w:eastAsia="Times New Roman" w:cs="Times New Roman" w:ascii="Times New Roman" w:hAnsi="Times New Roman"/>
          <w:color w:val="111111"/>
          <w:sz w:val="28"/>
          <w:szCs w:val="28"/>
          <w:lang w:val="en-US"/>
        </w:rPr>
        <w:t>Mehdi Mehrizi</w:t>
      </w:r>
    </w:p>
    <w:p>
      <w:pPr>
        <w:pStyle w:val="BookText"/>
        <w:bidi w:val="0"/>
        <w:jc w:val="both"/>
        <w:rPr/>
      </w:pPr>
      <w:r>
        <w:rPr>
          <w:rFonts w:eastAsia="Times New Roman" w:cs="Times New Roman" w:ascii="Times New Roman" w:hAnsi="Times New Roman"/>
          <w:color w:val="111111"/>
          <w:sz w:val="28"/>
          <w:szCs w:val="28"/>
          <w:lang w:val="en-US"/>
        </w:rPr>
        <w:t>Indonesian</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Introduction of Islamic Teachings(10th class)/ Ali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Intercession/Author: Syed Hassan Tahiri Khur-</w:t>
      </w:r>
    </w:p>
    <w:p>
      <w:pPr>
        <w:pStyle w:val="BookText"/>
        <w:bidi w:val="0"/>
        <w:jc w:val="both"/>
        <w:rPr/>
      </w:pPr>
      <w:r>
        <w:rPr>
          <w:rFonts w:eastAsia="Times New Roman" w:cs="Times New Roman" w:ascii="Times New Roman" w:hAnsi="Times New Roman"/>
          <w:color w:val="111111"/>
          <w:sz w:val="28"/>
          <w:szCs w:val="28"/>
          <w:lang w:val="en-US"/>
        </w:rPr>
        <w:t>Beman Malik Ahmadi</w:t>
      </w:r>
    </w:p>
    <w:p>
      <w:pPr>
        <w:pStyle w:val="BookText"/>
        <w:bidi w:val="0"/>
        <w:jc w:val="both"/>
        <w:rPr/>
      </w:pPr>
      <w:r>
        <w:rPr>
          <w:rFonts w:eastAsia="Times New Roman" w:cs="Times New Roman" w:ascii="Times New Roman" w:hAnsi="Times New Roman"/>
          <w:color w:val="111111"/>
          <w:sz w:val="28"/>
          <w:szCs w:val="28"/>
          <w:lang w:val="en-US"/>
        </w:rPr>
        <w:t>ram Abadi/Translated by Ahmad Marzuqi Amin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Introduction of Islamic Teachings (1st year in col-</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Rational Approach on Wahhabiyat Beliefs/Na-</w:t>
      </w:r>
    </w:p>
    <w:p>
      <w:pPr>
        <w:pStyle w:val="BookText"/>
        <w:bidi w:val="0"/>
        <w:jc w:val="both"/>
        <w:rPr/>
      </w:pPr>
      <w:r>
        <w:rPr>
          <w:rFonts w:eastAsia="Times New Roman" w:cs="Times New Roman" w:ascii="Times New Roman" w:hAnsi="Times New Roman"/>
          <w:color w:val="111111"/>
          <w:sz w:val="28"/>
          <w:szCs w:val="28"/>
          <w:lang w:val="en-US"/>
        </w:rPr>
        <w:t>lege) Ali Beman Malik Ahmadi</w:t>
      </w:r>
    </w:p>
    <w:p>
      <w:pPr>
        <w:pStyle w:val="BookText"/>
        <w:bidi w:val="0"/>
        <w:jc w:val="both"/>
        <w:rPr/>
      </w:pPr>
      <w:r>
        <w:rPr>
          <w:rFonts w:eastAsia="Times New Roman" w:cs="Times New Roman" w:ascii="Times New Roman" w:hAnsi="Times New Roman"/>
          <w:color w:val="111111"/>
          <w:sz w:val="28"/>
          <w:szCs w:val="28"/>
          <w:lang w:val="en-US"/>
        </w:rPr>
        <w:t>jmud Din Tabasi/Translated by Hassan Tono</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Introduction of Islamic Teachings(2nd year in col-</w:t>
      </w:r>
    </w:p>
    <w:p>
      <w:pPr>
        <w:pStyle w:val="BookText"/>
        <w:bidi w:val="0"/>
        <w:jc w:val="both"/>
        <w:rPr/>
      </w:pPr>
      <w:r>
        <w:rPr>
          <w:rFonts w:eastAsia="Times New Roman" w:cs="Times New Roman" w:ascii="Times New Roman" w:hAnsi="Times New Roman"/>
          <w:color w:val="111111"/>
          <w:sz w:val="28"/>
          <w:szCs w:val="28"/>
          <w:lang w:val="en-US"/>
        </w:rPr>
        <w:t>1390</w:t>
      </w:r>
    </w:p>
    <w:p>
      <w:pPr>
        <w:pStyle w:val="BookText"/>
        <w:bidi w:val="0"/>
        <w:jc w:val="both"/>
        <w:rPr/>
      </w:pPr>
      <w:r>
        <w:rPr>
          <w:rFonts w:eastAsia="Times New Roman" w:cs="Times New Roman" w:ascii="Times New Roman" w:hAnsi="Times New Roman"/>
          <w:color w:val="111111"/>
          <w:sz w:val="28"/>
          <w:szCs w:val="28"/>
          <w:lang w:val="en-US"/>
        </w:rPr>
        <w:t>lege) / Ali Beman Malik Ahmadi</w:t>
      </w:r>
    </w:p>
    <w:p>
      <w:pPr>
        <w:pStyle w:val="BookText"/>
        <w:bidi w:val="0"/>
        <w:jc w:val="both"/>
        <w:rPr/>
      </w:pPr>
      <w:r>
        <w:rPr>
          <w:rFonts w:eastAsia="Times New Roman" w:cs="Times New Roman" w:ascii="Times New Roman" w:hAnsi="Times New Roman"/>
          <w:color w:val="111111"/>
          <w:sz w:val="28"/>
          <w:szCs w:val="28"/>
          <w:lang w:val="en-US"/>
        </w:rPr>
        <w:t>Persian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Introduction of Islamic Teachings(3rd year in col-</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Abstract of M-Phil Theses, Vol. 1-4/ Education de- lege) / Ali Beman Malik Ahmadi</w:t>
      </w:r>
    </w:p>
    <w:p>
      <w:pPr>
        <w:pStyle w:val="BookText"/>
        <w:bidi w:val="0"/>
        <w:jc w:val="both"/>
        <w:rPr/>
      </w:pPr>
      <w:r>
        <w:rPr>
          <w:rFonts w:eastAsia="Times New Roman" w:cs="Times New Roman" w:ascii="Times New Roman" w:hAnsi="Times New Roman"/>
          <w:color w:val="111111"/>
          <w:sz w:val="28"/>
          <w:szCs w:val="28"/>
          <w:lang w:val="en-US"/>
        </w:rPr>
        <w:t>partment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Introduction of Islamic Teachings(8th class) / Ali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 comparitve Study of interpretive narrations of Beman Malik Ahmadi</w:t>
      </w:r>
    </w:p>
    <w:p>
      <w:pPr>
        <w:pStyle w:val="BookText"/>
        <w:bidi w:val="0"/>
        <w:jc w:val="both"/>
        <w:rPr/>
      </w:pPr>
      <w:r>
        <w:rPr>
          <w:rFonts w:eastAsia="Times New Roman" w:cs="Times New Roman" w:ascii="Times New Roman" w:hAnsi="Times New Roman"/>
          <w:color w:val="111111"/>
          <w:sz w:val="28"/>
          <w:szCs w:val="28"/>
          <w:lang w:val="en-US"/>
        </w:rPr>
        <w:t>both School of Thoughts/ Mehdi Rustam Najad 31. Introduction of Islamic Teachings(9th class) / 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Guide to Religious Laws: According to Verdicts Beman Malik Ahmadi</w:t>
      </w:r>
    </w:p>
    <w:p>
      <w:pPr>
        <w:pStyle w:val="BookText"/>
        <w:bidi w:val="0"/>
        <w:jc w:val="both"/>
        <w:rPr/>
      </w:pPr>
      <w:r>
        <w:rPr>
          <w:rFonts w:eastAsia="Times New Roman" w:cs="Times New Roman" w:ascii="Times New Roman" w:hAnsi="Times New Roman"/>
          <w:color w:val="111111"/>
          <w:sz w:val="28"/>
          <w:szCs w:val="28"/>
          <w:lang w:val="en-US"/>
        </w:rPr>
        <w:t>of Imam Khomeini with Verdicts of Ayatullah 32. Introduction of Narrative and Knowledge Texts/</w:t>
      </w:r>
    </w:p>
    <w:p>
      <w:pPr>
        <w:pStyle w:val="BookText"/>
        <w:bidi w:val="0"/>
        <w:jc w:val="both"/>
        <w:rPr/>
      </w:pPr>
      <w:r>
        <w:rPr>
          <w:rFonts w:eastAsia="Times New Roman" w:cs="Times New Roman" w:ascii="Times New Roman" w:hAnsi="Times New Roman"/>
          <w:color w:val="111111"/>
          <w:sz w:val="28"/>
          <w:szCs w:val="28"/>
          <w:lang w:val="en-US"/>
        </w:rPr>
        <w:t>Sayyid Ali Khamene'i Mohammad Fallahzadeh Abdul Majid Zahadat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Akhtar-e-Taban (Shining Star)special number/ 33. Introduction of Political Thought of Shahdi Mu-</w:t>
      </w:r>
    </w:p>
    <w:p>
      <w:pPr>
        <w:pStyle w:val="BookText"/>
        <w:bidi w:val="0"/>
        <w:jc w:val="both"/>
        <w:rPr/>
      </w:pPr>
      <w:r>
        <w:rPr>
          <w:rFonts w:eastAsia="Times New Roman" w:cs="Times New Roman" w:ascii="Times New Roman" w:hAnsi="Times New Roman"/>
          <w:color w:val="111111"/>
          <w:sz w:val="28"/>
          <w:szCs w:val="28"/>
          <w:lang w:val="en-US"/>
        </w:rPr>
        <w:t>Group of Authors</w:t>
      </w:r>
    </w:p>
    <w:p>
      <w:pPr>
        <w:pStyle w:val="BookText"/>
        <w:bidi w:val="0"/>
        <w:jc w:val="both"/>
        <w:rPr/>
      </w:pPr>
      <w:r>
        <w:rPr>
          <w:rFonts w:eastAsia="Times New Roman" w:cs="Times New Roman" w:ascii="Times New Roman" w:hAnsi="Times New Roman"/>
          <w:color w:val="111111"/>
          <w:sz w:val="28"/>
          <w:szCs w:val="28"/>
          <w:lang w:val="en-US"/>
        </w:rPr>
        <w:t>tahhari/ Ali Raza Biniaz, Mohammad Mehdi Ba-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Research in Ilmur rijaal (authorities)/Akbar bapur,</w:t>
      </w:r>
    </w:p>
    <w:p>
      <w:pPr>
        <w:pStyle w:val="BookText"/>
        <w:bidi w:val="0"/>
        <w:jc w:val="both"/>
        <w:rPr/>
      </w:pPr>
      <w:r>
        <w:rPr>
          <w:rFonts w:eastAsia="Times New Roman" w:cs="Times New Roman" w:ascii="Times New Roman" w:hAnsi="Times New Roman"/>
          <w:color w:val="111111"/>
          <w:sz w:val="28"/>
          <w:szCs w:val="28"/>
          <w:lang w:val="en-US"/>
        </w:rPr>
        <w:t>Turabi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Introduction of Political Thought of Shahid Sadr/</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Bibliography of Education in Islam/ Behrooz Rafe’i Ali Raza Biniaz, Mohammad Mehdi Babapur, Man-</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Bonds of Prayer/ Mohsin Qra'ati</w:t>
      </w:r>
    </w:p>
    <w:p>
      <w:pPr>
        <w:pStyle w:val="BookText"/>
        <w:bidi w:val="0"/>
        <w:jc w:val="both"/>
        <w:rPr/>
      </w:pPr>
      <w:r>
        <w:rPr>
          <w:rFonts w:eastAsia="Times New Roman" w:cs="Times New Roman" w:ascii="Times New Roman" w:hAnsi="Times New Roman"/>
          <w:color w:val="111111"/>
          <w:sz w:val="28"/>
          <w:szCs w:val="28"/>
          <w:lang w:val="en-US"/>
        </w:rPr>
        <w:t>soor Mir Ahmadi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Broken heart/Haj Mirza Abdul Hussain Quds 35. Islamic Revolution of Iran in The Con Texts and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Charter of virtue/ Group of Authors</w:t>
      </w:r>
    </w:p>
    <w:p>
      <w:pPr>
        <w:pStyle w:val="BookText"/>
        <w:bidi w:val="0"/>
        <w:jc w:val="both"/>
        <w:rPr/>
      </w:pPr>
      <w:r>
        <w:rPr>
          <w:rFonts w:eastAsia="Times New Roman" w:cs="Times New Roman" w:ascii="Times New Roman" w:hAnsi="Times New Roman"/>
          <w:color w:val="111111"/>
          <w:sz w:val="28"/>
          <w:szCs w:val="28"/>
          <w:lang w:val="en-US"/>
        </w:rPr>
        <w:t>its Process of Formation/ Mohammad Mehdi Ba-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Collection of 100 Articles Presented in The inter- bapur</w:t>
      </w:r>
    </w:p>
    <w:p>
      <w:pPr>
        <w:pStyle w:val="BookText"/>
        <w:bidi w:val="0"/>
        <w:jc w:val="both"/>
        <w:rPr/>
      </w:pPr>
      <w:r>
        <w:rPr>
          <w:rFonts w:eastAsia="Times New Roman" w:cs="Times New Roman" w:ascii="Times New Roman" w:hAnsi="Times New Roman"/>
          <w:color w:val="111111"/>
          <w:sz w:val="28"/>
          <w:szCs w:val="28"/>
          <w:lang w:val="en-US"/>
        </w:rPr>
        <w:t>national Shiekh Toosi festival, Vol.1-3/A Group of 36. Islam in India, Dr. Mohammad Raza Moahhidi</w:t>
      </w:r>
    </w:p>
    <w:p>
      <w:pPr>
        <w:pStyle w:val="BookText"/>
        <w:bidi w:val="0"/>
        <w:jc w:val="both"/>
        <w:rPr/>
      </w:pPr>
      <w:r>
        <w:rPr>
          <w:rFonts w:eastAsia="Times New Roman" w:cs="Times New Roman" w:ascii="Times New Roman" w:hAnsi="Times New Roman"/>
          <w:color w:val="111111"/>
          <w:sz w:val="28"/>
          <w:szCs w:val="28"/>
          <w:lang w:val="en-US"/>
        </w:rPr>
        <w:t>writers, Almustafa International Research Center, 37. Judaism/ Mohammd Hussain Tahiri Aakirdi</w:t>
      </w:r>
    </w:p>
    <w:p>
      <w:pPr>
        <w:pStyle w:val="BookText"/>
        <w:bidi w:val="0"/>
        <w:jc w:val="both"/>
        <w:rPr/>
      </w:pPr>
      <w:r>
        <w:rPr>
          <w:rFonts w:eastAsia="Times New Roman" w:cs="Times New Roman" w:ascii="Times New Roman" w:hAnsi="Times New Roman"/>
          <w:color w:val="111111"/>
          <w:sz w:val="28"/>
          <w:szCs w:val="28"/>
          <w:lang w:val="en-US"/>
        </w:rPr>
        <w:t>Islamic Revolution Research Center</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Jurisprudential Basics of Islamic Revolution 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Collection of Articles of Women in Afghanistan Intellectual Thoughts of Imam Khomeini/ Ali Ak-</w:t>
      </w:r>
    </w:p>
    <w:p>
      <w:pPr>
        <w:pStyle w:val="BookText"/>
        <w:bidi w:val="0"/>
        <w:jc w:val="both"/>
        <w:rPr/>
      </w:pPr>
      <w:r>
        <w:rPr>
          <w:rFonts w:eastAsia="Times New Roman" w:cs="Times New Roman" w:ascii="Times New Roman" w:hAnsi="Times New Roman"/>
          <w:color w:val="111111"/>
          <w:sz w:val="28"/>
          <w:szCs w:val="28"/>
          <w:lang w:val="en-US"/>
        </w:rPr>
        <w:t>Conference, Vol.5/ Group of Authors</w:t>
      </w:r>
    </w:p>
    <w:p>
      <w:pPr>
        <w:pStyle w:val="BookText"/>
        <w:bidi w:val="0"/>
        <w:jc w:val="both"/>
        <w:rPr/>
      </w:pPr>
      <w:r>
        <w:rPr>
          <w:rFonts w:eastAsia="Times New Roman" w:cs="Times New Roman" w:ascii="Times New Roman" w:hAnsi="Times New Roman"/>
          <w:color w:val="111111"/>
          <w:sz w:val="28"/>
          <w:szCs w:val="28"/>
          <w:lang w:val="en-US"/>
        </w:rPr>
        <w:t>bar Nasiri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Collection of Articles Presented first Imam Kho- 39. Learning Persian in Persian, Book4/ Asghar Far-</w:t>
      </w:r>
    </w:p>
    <w:p>
      <w:pPr>
        <w:pStyle w:val="BookText"/>
        <w:bidi w:val="0"/>
        <w:jc w:val="both"/>
        <w:rPr/>
      </w:pPr>
      <w:r>
        <w:rPr>
          <w:rFonts w:eastAsia="Times New Roman" w:cs="Times New Roman" w:ascii="Times New Roman" w:hAnsi="Times New Roman"/>
          <w:color w:val="111111"/>
          <w:sz w:val="28"/>
          <w:szCs w:val="28"/>
          <w:lang w:val="en-US"/>
        </w:rPr>
        <w:t>meini's social Thoughts Conference, Vol. 2-4/ di, Ahmad Zahrai</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280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Lihat: Sibawaihi, Eskatologi Al-Gazali dan Fazlur Rahman Studi  Komparatif Epistemologi Klasik-Kontemporer (Yogyakarta:</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Lihat: Mulyadhi Kartanegara, Psikologi Islam, sedang dalam  proses terbit, hlm. 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Dalam studi yang dilakukan Jane Idelman Smith, didapat  kesimpulan bahwa, pada umumnya, kajian Eskatologi  pascaserangan Al-Ghazali hanya bersifat penjelasan literal  dan tidak sebagaimana kajian yang dilakukan para filosof abad  pertengahan. Jane Idelman Smith dan Yvone Yazbeck Haddad,  The Islamic Understanding of Death and Resurretion (English: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Lihat: Angeles, Peter A. Dictionary of Philosophy (Harper and Row  Publisher, New York 1981) dan Owen, H.P. "Eschatology",  Ensiklopedia of Philosophy, III.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Al-Taftazani, Syarh Al-Maqasid (Iran: Mansyurat Syarif Al-Radi, 1409 H), J.5 hlm. 82. Teks asli sebagai berikut: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6.QS 22:5-7. Teks Ayat Alquran tersebut: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7.Dalam Tasawuf sekalipun, ada pembicaraan tentang surga-  neraka dan perjalanan ruhani, tetapi tidak dalam konteks  khusus Eskatologi sebagaimana yang dibahas dalam ilmu  Kalam dan Filsafat.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8.Tahāfut al-Falāsifāh merupakan karya yang ditulis Al-Ghazali  setelah karyanya yang hampir mirip, yaitu Maqasid Al-  Falasifah. Di dalam karya ini, Al-Ghazali melakukan kritik keras  terhadap para filosof, bahkan mengkafirkan mereka. Ada dua  puluh persoalan utama yang dikritik Al-Ghazali, antara lain,  ke-qadim-an alam, keabadian alam, masa dan gerakan, Allah  sebagai subjek bagi alam, kelemahan argumentasi filosof  terhadap argumentasi adanya Allah, kelemahan filosof terhadap  satunya Allah, penafian sifat-sifat Allah, zat pertama yang tidak  terkomposisi oleh genus dan partikular, kesederhanaan wujud  pertama, kenonmaterian Yang Pertama, alam memiliki pencipta  dan sebab, pengetahuan yang bersifat general, pengetahuan  Zat Pertama tentang dirinya, ketidaktahuan Allah terhadap  partikular, langit merupakan hewan yang tunduk pada Allah,        tujuan penggerak langit, jiwa-jiwa langit mengetahui yang  partikular, ketidakmungkinan mukjizat, ketidakmampuan  filosof dalam membuktikan keruhanian jiwa, keberlangsungan  jiwa manusia, pengingkaran terhadap kebangkitan jasmani.</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9.Tahāfut Al-Tahāfūt merupakan karya Ibn Rusyd yang  memberikan jawaban terhadap kritik-kritik Al-Ghazali  dengan menjelaskan argumentasi-argumentasi para filosof  terhadap persoalan yang dikritik Al-Ghazali dan menunjukkan  kelemahan-kelemahan pemahaman Al-Ghazali terhadap  pandangan para filosof tersebut.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Nurcholish Madjid, Khazanah Intelektual Islam (Jakarta: Bulan  Bintang, 1984), hlm. 33.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Hanafi, Pengantar Filsafat Islam (Jakarta: Bulan bintang, 1965),  hlm. 27 – 28.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Jalaluddin Rakhmat, “Hikmah Muta'aliyah: Filsafat Islam Pasca-  Ibn Rusyd" dalam Kearifan Puncak, Mulla Sadra, diterjemahkan  oleh Dimitri Mahayana (Pustaka Pelajar, Yogyakarta, 2004),  hlm. vii.</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S.H. Nasr, Sadr Al-Din Shirazi (Mulla Sadra) dalam M.M.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S.H. Nasr, Three Muslim Sages (New York: Delmar, 1964),  hlm. 67.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Lihat: “Muqaddimah" dalam Mulla Sadra, Al-Asfār Al-Arbaah  fi Al-Hikmah Al-Muta’āliyyah (Beirut: Dar al-Ihya al-Turats al-  Arabi, 1981), J. I, hlm. 13– 18 (selanjutnya disebut Al-Asfar).</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Lihat catatan kaki Muhammad Husayn Thabathaba'l pada  Mulla Sadra, Al-Asfār, J. I, hlm. 14.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James Winston Morris, Kearifan Puncak, terjemahan Dr.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C.E. Boswirth, Dinasti-Dinasti Islam, terjemahan Ilyas Hasan  (Bandung: Mizan, 1993) hlm. 196.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Muhammad Ridho Muzaffar, “Muqaddimah", dalam Mulla  Sadra, Al-Asfar, hlm. Jim.</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Mulla atau Mawla bermakna 'penghulu, tuan atau pemimpin'.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7.Sayyid Muhammad Khamne'i, “Muqaddimah” dalam Mulla  Sadra, Al-Mazahir Al-llahiyyah fi Al-Asrar Al-Ulum Kam’Aliyyah  (Tehran: Bunyad Islami Hekmate Sadra, 1378), hlm. 264.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Rene Descartes, dianggap pendiri filsafat modern di Barat,  lahir di Inggris tahun 1596 dan meninggal dunia pada tahun 1650.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Hauzeh Ilmiyeh merupakan lembaga pendidikan formal-  tradisional keagamaan dan pusat pengajaran ilmu-ilmu  keagamaan, khususnya Fiqh, Ushul Fiqh, Ilmu Kalam, Logika  dan Filsafat di Iran, dan sampai saat ini masih terus terpelihara.</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Akhbariyyin adalah sebutan bagi ulama-ulama fiqh yang  hanya menyandarkan diri pada nash-nash dalam melakukan  proses Istinbath Al-Hukum dan dihadapannya, kelompok yang  memasukkan akal dalam frame Ushul Fiqh sebagai bagian  dalam proses istinbath al-hukum yang disebut Ushuliyyin.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Fazlur Rahman, Filsafat Sadra (Bandung: Penerbit Pustaka, 2000), hlm. 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Kahak merupakan desa kecil sekitar 40 km dari pusat Kota  Qom. Sampai saat ini, rumah tempat Mulla Sadra melakukan  kontemplasinya tetap terpelihara.</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Fathimah Al-Ma'summah adalah putri dari Imam Musa Al-  Kadzhim, Imam Syi'ah ke-7. Fathimah Al-Ma'summah, dalam  rangka menyusul saudaranya, Imam 'Ali ar-Ridho, yang  diasingkan ke Kota Thus (Mashad) melakukan perjalanan dari  Madinah menuju Thus dan meninggal dunia ketika tiba di  Kota Qom. Salah satu hadis yang terkenal dikalangan Syi'ah  yang berasal dari Fathimah binti Rasulullah Saw. adalah “Siapa  yang hendak berziarah kepadaku, maka ziarahilah cucuku  yang namanya sama dengan namaku dan akan di kuburkan  di Kota Qom." Dalam pandangan kaum Syi'ah, Fathimah Al-  Ma'sumah termasuk diantara pilar-pilar kesucian.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Henry Corbin, “Muqadimah" dalam Mulla Sadra, Al-Masya'ir  (Tehran: Kitob Khoneye Thohur, 1363), hlm. 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QS 29: 57. Ayat tersebut sebagai berikut: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Mustamin Al-Mandary (ed), Menuju Kesempurnaan  (Yogyakarta: Safinah, 2003), hlm. 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Nicolas Darke and Davis, (ed), The Consice on Ensiclopedia of  Islam (London: Cyril and Stacey International, 1980), hlm. 271.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Jalaluddin Asthiyani, Muqadimah bar Al-Sawahid Al-  Rububiyyah fi Al-Manahij As-Sulukiyyah, (Masyhad: Markaze  Nashr Donesgohi, 1360), hlm. 89. Selanjutnya disebut  Muqaddimah.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Sayyed Hosseyn Nasr, Mulla Sadra Commemoration, (Tehran: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Mulla Sadra, Syarh Al-Usul Al-Kahfi (Qom: Kitab Khoneye  Mar'asyi Najafi, 1335), hlm. 15. Selanjutnya disebut Syarh Al-  Ushul. Teks aslinya sebagai berikut:</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Intuitif atau intuisi yang dimaksudkan dalam tulisan ini adalah  Zawq yang merupakan proses persepsi yang bersifat ruhaniah.</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Mulla Sadra, Syarh Al-Usul.Teks asli sebagai berikut: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Salah satu kota kecil di Iran, terletak 100 km dari Tehran.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Mustafa Daryati (ed), Ghurar Al-Hikam wa Ghurar Al-Kalam  (Qom: Daftar Tablighat Islomiy, 1420), hlm. 49.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Muhammad Khamne'i, Muqaddimah, hlm. 271.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Lihat: al-Asfar , J. III hal. 328.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Kitab-kitab yang berasal dari awal abad ini dan dicetak dengan  kertas yang masih sangat kasar dan pada umumnya berukuran 32x42 cm.</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Abu Abdillah Zanjani, sebagaimana yang dikutip oleh  Muhammad Khamne'i, Muqaddimah, hlm. 272. Teks asli  sebagai berikut:</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Mulla Sadra, Syarh Al-Ushul, hlm. 9. Teks asli sebagai berikut:</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Fayadi, “Falsafeye Masya" dan "Hikmat Muta’Aliyeh", Majeleye  Ma'rifat, XII, 3 (Bahman [bulan Iran], 1997), hlm. 65.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Henry Corbin, sebagaiamana yang dikutip Muhammad  Khamne'i, Muqaddimah, hlm. 277.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Mulla Sadra, Al-Hikmah Al-Muta’āliyyah fi Al-Asfar Al-Arba'ah,  J. 9 hlm. 234. Selanjutnya disebut al-Asfar. Teks aslinya sebagai  berikut: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Mulla Sadra, dikutip Muhammad Khamne'i, Muqaddimah,  hlm. 281. Teks asli sebagai berikut:</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2.Prinsip regresi atau tasalsul merupakan prinsip logika yang  dikembangakan Aristoteles dan kemudian digunakan oleh  seluruh filsuf Muslim abad pertengahan untuk menunjukkan  ketidaklogisan pandangan-pandangan yang menyebabkan  regresi. Banyak argumen yang dikemukakan para filsuf  untuk menolak persoalan ini dan di antara yang terkenal  adalah argumentasi wasat (tengah) yang dikemukakan Ibn  Sina. Argumentasi tersebut sebagai berikut: “Sekiranya kita  membuat garis dan pada awal garis pertama (A) kita sebut  sebagai sebab dan pada ujung garis (C) kita sebut sebagai  akibat, kemudian kita taruh satu titik di tengah garis tersebut  (B) kita sebut sebagai akibat bagi A dan sebab bagi C,  maka sekiranya garis tersebut dipanjangkan seberapa pun  panjangnya, maka akal tetap akan menyatakan ada dua titik  ekstrim di awal (A) dan di akhir (C) yang pertama kita sebut  sebagai Sebab murni dan yang akhir kita sebut sebagai akibat  murni. Maka jelas ketidakmungkinan regresi di sini.</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Lihat: Rahman, Philosophy of Mulla Sadra, hal. 35.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Lihat: Mulla Sadra, al-Asfar, J. I hal. 38-73.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Thabathaba'i, Bidayah al-Hikmah (Qom: Muasasah al-Nasyr  al-Islami, 1415), hlm. 13.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Kita dapat melihat diskursus dalam hal tersebut pada kitab Al-</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Lihat: Mulla Sadra, Al-Asfar, J. 1, hlm. 79.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Lihat: Mulla Sadra, Al-Asfar, J.1, hlm. 70–71.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Teori intelek atau akal sepuluh, pada awalnya, dikembangkan  oleh Al-Farabi dan kemudian diteruskan oleh Ibn Sina. Lihat: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Lihat: Mulla Sadra, Al-Asfar, J. I, hlm. 432.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Untuk melihat kedekatan kedua prinsip ini, kita dapat melihat  tulisan David B. Burrel, Existence Deriving from “The Existent":</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14..Postulat tersebut berbunyi “Hukm al-Amtsal fima yajuz  wa fima la yajuz wahidun” (hukum keserupaan apa yang  diperbolehkan dan tidak diperbolehkan adalah satu). Yang  dimaksud adalah bahwa peristiwa apa pun yang terjadi pada  dua bentuk yang serupa haruslah sama. Jika tidak, maka ada  bagian yang membedakan keduanya. Untuk lebih jelasnya lihat  Thabathaba'i , Bidayah, hlm. 24.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Sofis adalah kelompok filsuf muda di Yunani yang berusaha          menghancurkan bangunan filsafat Parmenides dan mereka  memiliki pandangan skeptis pada realitas. Tokoh utamanya,  Georgias, menyimpulkan tiga hal: 1) tak satupun yang ada,2) jika ada sesuatu pun, tak ada yang dapat dipahami, 3) jika  sesuatu dapat dipahami, orang tak dapat mengatakan apa pun  tentangnya. Lihat: Sejarah Filsafat, hlm. 79–87.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Lihat: Mulla Sadra, Al-Asfar, J. II, hlm. 354.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Mahdi Astiyani bahkan menulis buku khusus untuk  menjelaskan prinsip ini dengan judul Asas Al-Tauhid (Tehran:</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Lihat: Al-Farabi, Majmu'ah Rasa'il Al-Farabi (Iran: Haydar  Abad, tth.), hlm. 7. Selanjutnya disebut Majmu'ah.</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Lihat: Plotinus, Utsulujiyya (Qom: Intisyarat Bidor, 1413),  hlm. 67.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Lihat: Ibn Rusyd, Tafsir Ma Ba’da Tabi'ah (Tehran: Intisyarat  Hikmah, 1377), J. II, hlm. 160.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Lihat: Turan Koc, Body-Mind Relationship with Regard to Life  after Death according to Mulla Sadra (Tehran: Siprin, 2005),  hlm. 12.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Lihat: Ibn Sina, Al-Isyarat, J. II, hlm. 106.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Mulla Sadra, Al-Asfar, J. 7, hlm. 204. Teks tersebut berbunyi:</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Persoalan kenapa hanya sampai pada intelek kesepuluh  adalah pertanyaan yang agak sulit untk mendapatkan jawaban  yang memadai. Jawaban yang dikemukakan, pada umumnya,  karena intelek kesepuluh sudah sedemikian jauhnya dari  sumber wujud sehingga tidak mampu lagi menciptakan intelek  berikutnya. Apa argumentasi logis untuk ini sama sekali tidak  kita temukan pada karya-karya filsuf Muslim abad pertengahan  tersebut. Haidar Bagir menyatakan bahwa pembatasan sampai  pada akal kesepuluh disebabkan oleh pengetahuan astronomi  masa itu, yang diwarnai oleh Ptolemeus, yang menyatakan  bahwa planet berjumlah sepuluh. Lihat: Haidar Bagir, Buku  Saku Filsafat Islam, hlm. 109.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Pada umumnya, sebagaimana yang telah disebutkan  sebelumnya, sepuluh intelek yang muncul, tetapi Nasiruddin  Tusi ketika menjelaskan tentang persoalan ini, berpendapat  bahwa sepuluh intelek tersebut dapat diringkas menjadi tiga  intelek utama. Lihat: Al-Isyārat, J. II, hlm. 109.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Al-Gazhali, Tahafut, hlm. 132.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Al-Gazhali, Tahafut. hlm. 120–129. Pernyataan Al-Ghazali  tersebut sebagai berikut:</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Jalaluddin Rakhmat, “Al-Hikmah Al-Muta’aliyyah: Filsafat  Islam Pasca-Ibn Rusyd" dalam Mulla Sadra, Kearifan Puncak  (Yogyakarta: Pustaka Pelajar, 2004), hlm. xix.</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Untuk lebih jelasnya, Lihat: Mulla Sadra, Al-Asfar, J. 3, hlm. 85.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Untuk lebih jelas tentang pandangan ini, kita dapat merujuk  pada Al-Asfar, J. III, hlm. 437 atau Ghulam Husayn Ibrahi  Dinani, Qawaid Kulli Falsafi dar Falsafeye Islomi (Tehran,  Pezuhisgoh, 1993), J. I, hlm. 87.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Lihat: Fazlur Rahman, The Philosophy of Mulla Sadra, hlm.132.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Mulla Sadra, Al-Asfar, J.3. hlm. 337. Teks aslinya sebagai  berikut: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Lihat: Mulla Sadra, Al-Asfar, J.I, hlm. 71.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Mudzaffar, Al-Mantiq (Qom: Daftar Tablighat Islomi, 1374),  hlm.57.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41.Alam materi memiliki hukum perubahan yang disebut  kejadian dan kehancuran. Namun secara khusus di dalam  filsafat, terdapat teori yang secara khusus disebut Kawn wa al-  Fasad yang merupakan teori yang berasal dari Al-Farabi yang  menyatakan ketiadaan ikatan dan keterpeliharaan rangkaian  wujud; keterwujudan satu makhluk setelah kehancuran  makhluk yang lain, begitu pun sebaliknya ,tanpa harus ada  dimensi kaitan antar makhluk tersebut. Untuk lebih jelas lihat: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Malikheh Sobiri, “Alam Mitsal va Tajarud Khiyol" dalam jurnal  Kherad Nomeh Shadro, (Tehran: Omuzise Farhangge, 1419),  Vol. 12, hlm. 72.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Jalaluddin Asiyani, Risoleh Nuriyeh dar Alame Mitsal (Tehran: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Para urafa membagi dua bagian rotasi wujud yang turun dan  naik. Yang turun disebut Qausi al-Nuzul yaitu berkaitan dengan  teodesi, semesta yang berasal dari tingkat ruhaniah, mitsaliyah  hingga material; sedangkan yang naik disebut Qaus al-Su’ud,  yaitu berkaitan dengan Eskatologi, semesta yang berasal dari  tingkat material, barzakh, atau kubur hingga akhirat.</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Qaysari, Syarh Fushūs Al-Hikam (Qom: Instisyarat Bidor,1363), hlm. 29.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Mulla Sadra, Al-Asfar J.I hal. 302. Teks aslinya sebagai berikut:</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Lihat: Al-Asfar, J. III, hlm. 412.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Lihat: Kholid Al-Walid, Tasawuf Mulla Sadra (Bandung:</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Malikheh Sobiri, “Olam Mitsal va Tajarrud Khiyol", dalam  Kherad Nomeh Sadro, Vol. 15, hlm. 71 – 72.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Beragam kesamaan antara alam imajinal yang dikembangkan  Mulla Sadra dengan alam imajinal Ibn Arabi dapat kita lihat  pada Malikheh Sobiri, Olam Mitsal, hlm. 72–73.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Lihat: Latimah Parvin Peerwani, Mulla Sadra on Imaginative  Perception and Imaginal World, dalam Transcendent  Philosophy Journal, Vol. 1 No. 2, Sepetmber 2007.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Jawadi Amuli merupakan seorang ulama Syi'ah yang digelari  Ayatullah yang sangat disegani di Kota Qom. Dilahirkan di  Kota Amul (utara Iran) 1325 HQ (thn Iran). Saat ini, ia dianggap  sebagai perwakilan utama dari aliran filsafat Sadrian di Iran.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Thabathaba'i, Bidayah, hlm. 69. Teks aslinya sebagai berikut:</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5.Lihat: Mulla Sadra, Al-Asfar, J 8, hlm. 20–21.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6.Thabathaba'l, Bidayah, hlm. 68. Teks aslinya sebagai berikut:</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Muhammad Taqi Misbah Yazdi, Syarh jilid hasytum Asfar  Arba'eh, (Qom: Intisyarat Omuzisyi wa Pezuhesyi Imam  Khomeini, 1378), hlm. 114-115.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Ada beberapa pandangan sebelum Mulla Sadra yang  berkaitan dengan cara hadirnya jiwa pada raga. Pertama, jiwa  merupakat hakikat yang real, sedangkan raga adalah hakikat  relative, seperti wujud dan kuiditas; keberadaan jiwa, dengan  sendirinya, menghadirkan forma materi. Kedua, dua bentuk        substansi, tetapi yang pertama merupakan penyebab dan  kedua adalah akibat, atau seperti wujud Mumkin dengan  wujud niscaya; bahwa jiwa sebagai sebab bagi raga. Ketiga,  jiwa terlebih dahulu ada dan posisinya sebagai substansi,  sedangkan raga datang kemudian dengan posisi sebagai  aksiden bagi jiwa. Keempat, raga sebagai substansi dan jiwa  sebagai aksiden, raga hadir terelebih dahulu, baru kemudian  jiwa dan akan hancur bersama hancurnya raga. Untuk lebih  jelas, lihat: Hadi Rastegori "Ma'ad az Didgohe Hukamo' va  Sadra Muta'alihin Syirozi" dalam Kherad Nomeh Sadro, Vol. 15 th. 1420, hlm. 68.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Prinsip ini jelas mengacu pada akar filsafatnya yang dibangun  di atas dasar gerakan transubstansial, bahwa segala elemen  wujud mengalami proses gerakan. Jiwa yang berawal sebagai  materi, sebagai elemen terendah dalam wujud, berkembang ke  arah yang lebih tinggi, yaitu tingkat ruhaniah. Karenanya bagi  Mulla Sadra, semua jiwa, sekalipun jiwa tumbuh-tumbuhan,  akan bergerak menuju tingkat ruhaniah. Baca: Fazlur Rahman,  The Philosophy of Mulla Sadra, hlm. 267.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Mulla Sadra, Al-Syawahid Al-Rububiyyah fi Al-Manāhij Al-  Sulūkiyyah (Masyhad: Markaze Nasyr Donesgohi, 1360), hlm. 223 (selanjutnya disebut: Al-Syawahid).</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Lihat Mulla Sadra, Al-Syawahid, halm. 220–228.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Pandangan tentang kekeliruan reinkarnasi akan dijelaskan  kemudian.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Lihat: Majid Fachry, Tarikh Falsafe dar Jihone Islom, hlm. 421.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Lihat: Mulla Sadra, Al-Asfar, J.Iv, hlm. 12.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Mulla Sadra, Al-Asfar, J.8, hlm. 270.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Kritik Fazlur Rahman tersebut dapat kita lihat pada Fazlur  Rahman, The Philosophy of Mulla Sadra (Shadr al- Din al-  Syirazi) hal. 263.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Hadi Rastgori, Ma'ad az didgohe Hukamo' va Shadro al-  Muta’lihin Syirozi dalam jurnal Kherad nomeh Shadro (Tehran: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Lihat: Mulla Sadra, Al-Asfar, J. 8, hlm. 382.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Lihat: Mulla Sadra, Al-Asfar, J. 8, hlm. 388.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Pandangan Al-Farabi yang seperti ini dapat kita lihat dalam  pernyataannya sebagai berikut: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Mulla Sadra, Al-Asfar , J. 8, him. 53 56.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Sebab terdiri atas sebab sempurna dan sebab tidak sempurna.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Lihat: Mulla Sadra, Al-Asfar, J. 8, hlm. 260, pada pembahasan  “Jiwa Berpikir bukanlah Fisik dan bukan pula Bentuk Berukuran  dan tidak dapat Dilakukan Pembagian Atasnya".</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Mulla Sadra, Al-Asfar, J. 9, hlm. 93. Teks aslinya sebagai  berikut:</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Lihat: Ibn Sina, Al-Najah, hlm. 460.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Lihat: Fazlur Rahman, The Philosophy of Mulla Sadra (Shadr  al-Din al-Syirazi), hlm. 271.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Abdul Rahim Guwahi, Rahnamoye Adyone Zendeh (Qom:</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Kecuali Al-Farabi, karena menurut Majid Fachry, Al-Farabi  mempercayai terjadinya reinkarnasi sebagaimana yang ia  tulis dalam Sir Falsafeh hlm. 144. Ia mengutip pernyataan  Al-Farabi dari Al-Madinah Al-Fadilah sebagai berikut: “Para  penduduk kota yang terlepas dari keutamaan, dari sana  kebahagiaan mereka dalam kehidupan duniawi terbatas  pada pemenuhan kecenderungan-kecenderungan dorongan  jasmaniah semata, tidak sekalipun mereka akan terlepas dari  kungkungan penjara material, bahkan bukan hanya itu, jiwa-  jiwa mereka, bersamaan dengan perubahan materi dari satu  bentuk pada bentuk lainnya, atau secara kontinu-jika memiliki  kemampuan-dalam raga manusia lainnya ber-reinkarnasi atau  secara bertahap turun pada tingkat binatang dan terus berada  dalam tingkat ini”. Teks aslinya sebagai berikut:</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Mercia Eliade, Encyclopedia of Religion, Vol. 11–12, hlm. 265.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Kyosamsaki, Rozee, hlm. 232. Teks aslinya sebagai berikut: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Mulla Hadi Sabziwari, Asrar Al-Hikam (Qom: Intisyarat Bidor, 1374), hlm. 291.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Mulla Sadra, al-Asfar, J. 9, hlm. 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Qutbuddin Syirazi, Hikmah al-Isyraq (Tp. Penerbit dan tth.),  hlm. 476–481.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Qutbuddin Al-Razi, Syarh Hikmah Al-Isyraq, hlm. 479.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Lihat: Mulla Sadra, Al-Asfar, J. 9, hlm. 1– 12.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Dengan dasar prinsip Tasykik al-Wujud.</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Sebagai contoh, ketika kita mendefinisikan singa adalah  hewan yang buas, maka singa merupakan satu genus dengan  diferensial sebagai spefikasi dirinya adalah kebuasan, di mana  sekiranya singa menjadi hilang, maka hilang pulalah kebuasan,  begitupun sebaliknya.</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Komposisi alami adalah komposisi yang terjadi secara alami,  mulai dari awal keberadaannya dalam sebuah komposisi yang  satu dan tanpa adanya intervensi yang menyebabkan terjadinya  komposisi tersebut. Perkembangan keduanya berasal dari  sesuatu yang satu dan membentuk satu identitas. Berbeda  halnya pada komposisi buatan (Sanaſi); pada komposisi ini  terjadi intervensi dari luar yang menyatukan unsur-unsur  menjadi satu komposisi.</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Komposisi alami adalah komposisi yang terjadi secara alami,  mulai dari awal keberadaannya dalam sebuah komposisi yang  satu dan tanpa adanya intervensi yang menyebabkan terjadinya  komposisi tersebut. Perkembangan keduanya berasal dari  sesuatu yang satu dan membentuk satu identitas. Berbeda  halnya pada komposisi buatan (Sanaſi); pada komposisi ini  terjadi intervensi dari luar yang menyatukan unsur-unsur  menjadi satu komposisi.</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Komposisi kesatuan adalah komposisi yang keduanya, pada  hakikatnya, adalah satu dan tidak dibentuk dari dua unsur  yang berbeda satu sama lain dan membentuk satu kesatuan  seperti halnya komposisi H20 yang terkomposisi dari dua  unsur independen membentuk kesatuan', tetapi seperti  komposisi yang terjadi antara forma dan materi. Ini merupakan  komposisi hakiki dan kesatuan yang didasarkan pada prinsip  kesatuan wujud. Namun' perbedaan utama dengan kesatuan  antara forma dan materi adalah kedua-duanya materi,  sedangkan raga dan jiwa adalah yang satu materi sedangkan  yang lain, setelah terjadi gerakan transubstansial mengalami  perkembangan menjadi nonmateri.</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Dapat dianalogikan seperti halnya buah dengan pohonnya.</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Lihat: Kyosamsaki, Rozee, hlm. 241 – 242.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Lihat: Mulla Sadra, Al-Asfar, J. 9, hlm. 11. Argumentasi yang di  kemukakan Ibn Sina dalam penolakannya terhadap reinkarnasi  adalah:</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Lihat QS 2:259. Dalam ayat ini, Allah Swt. menjelaskan tentang  kembalinya Uzair a.s. dari kematian sebagai berikut: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Ja'far Subhani, Al-Ilahiyat, hal. 613-616.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QS 27: 83 Teks ayat tersebut sebagai berikut:</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Lihat: Mulla Sadra, Al-Asfar, J. 9, hlm. 187 – 188.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Lihat: Ibn Sina, Al-Syifa, Al-llahiyat, J. I, hlm. 65. Lihat juga: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Mulla Sadra, Al-Asfar, J.9, hal. 187 – 188.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Sederhana yang dimaksud adalah tidak adanya komposisi  unsur-unsur yang menjadi penunjang terbentuknya dirinya,  karena puncak ruhani adalah hilangnya seluruh batasan.</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Kekeliruan-kekeliruan pandangan tersebut dikemukakan  Mulla Sadra ketika membicarakan teori Ittihad al-´Aqil wa Al-  Ma'qul. Lihat Mulla Sadra, Al-Asfar, J. III, hlm. 313.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QS 41:31. Teks ayat tersebut sebagai berikut :</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QS 43:71. Teks ayat tersebut sebagai berikut:</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Mulla Sadra, Al-Asfar, J. 8, hlm. 270.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Yang dimaksud Mulla Sadra dengan Muallim al-Falsafah al-  Ilahiyyah disini adalah Plotinus. Mulla Sadra dalam kitabnya,  Al-Asfar, menyebutkan dua tokoh yang berbeda, pertama        Muallim Al-Falsafah, maka yang dimaksud adalah Aristoteles  dan Muallim Al-Falsafah Al-llahiyyah, yaitu Plotinus. Sayangnya,  Sayyid Radi yang memberikan catatan kaki pada kitab Al-Asfar  tidak menyadari hal ini.</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Kitab Utsulujiyya merupakan karya yang membahas persoalan  jiwa dan proses emanasi yang terjadi (Teodesi). Awalnya,  karya ini diduga sebagai karya Aristoteles, mengingat judul  yang pertama kali dikemukakan adalah Utsulujiyya Aristoteles.</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Mulla Sadra, Al-Asfar, J. 9, hlm. 195. Teks aslinya sebagai  berikut :</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QS 7:172. Teks ayat tersebut sebagai berikut:</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Sebagian menyebutkan kekeliruan Mulla Sadra, tapi sebagian  lainnya menyebutkan kesalahan dalam pencetakan naskah.</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Mulla Sadra, Al-Asfar, J. 9, hlm.197.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Lihat: Ibn Sina, Al-llahiyat (Tehran: Nashir Khosrouw, 1363),  hlm. 423 dan Al-Najah (Tehran: Nasir Khorouw, 1364), hlm. 291.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Lihat: Ibn Sina, Al-Najah, hlm. 297; Al-Syifa (Al-Ilahiyyat), hlm. 431; Al-Isyarat, J.3, hlm. 355 dan Al-Mabda' wa Al-Ma'ad, hlm. 114.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Ibn Sina, Al-Mabda' wa Al-Ma'ād (Tehran: Donesgoh Tehran, 1363), hlm. 109 (selanjutnya disebut Al-Mabda'). Teks aslinya  sebagai berikut:</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Al-Farabi berpandangan bahwa yang akan dibangkitkan  hanyalah jiwa yang sempurna, sedangkan jiwa yang tidak  sempurna akan tetap bersama materi, berikut pernyataan Al-  Farabi: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Ibn Sina, Al-Najah, hlm. 203. Teks aslinya sebagai berikut: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Menurut Syarif Al-Radi, yang dimaksud Mulla Sadra dengan  Mizāj di sini adalah jiwa dalam tingkat pertama yang berkaitan  dengan uap (Bukhar) dan asap dari Ruh Al-Bukhari. Lihat  catatan kaki pada Mulla Sadra, Al-Asfar, J.9, hlm. 149.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Lihat: Ibn Sina, Al-Mabda' hal.</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Mulla Sadra, Al-Asfar, J. 9, hlm. 150. Teks aslinya sebagai  berikut:</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Postulat Ittihad al-'Aqil wa al-Ma'qūl dikemukakan oleh  Mulla Sadra dalam bidang epistemologi. Pandangan ini  telah dijelaskan pada Bab IV. Mulla Sadra mengemukakan  pandangan ini di sini sebagai kritik terhadap inkonsistensi yang  dikemukakan Ibn Sina yang menyatakan bahwa kenikmatan  hakiki terletak pada pencerapan subjek intelek terhadap objek-  objek intelek. Peristiwa ini terjadi dalam korpus jiwa yang  tentu tidak lepas dari identitas personal dan menunjukkan  terjadinya Ittihad al-'Aqil wa al-Ma'qul dan Ibn Sina, ketika  berbicara epistemology, menolak postulat Ittihad al-'Aqil wa  al-Ma'qūl tersebut.</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Mulla Sadra, Al-Asfar, J. 9, hlm. 150. Teks aslinya sebagai  berikut:</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Ibn Sina, Al-Isyarat, J. 3, hlm. 292, 293. Secara khusus, dia  menyebutkan penolakannya pada prinsip ini sebagai berikut:</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Abi Hamid Al-Ghazāli, Tahāfut Al-Falāsifah (Beirut: Dar Al-  Maktabah Al-Hilal), hlm. 289, 290 (selanjutnya disebut:</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Dalam Tahafut Al-Falasifah, Al-Ghazali juga memberikan  kemungkinan kembalinya raga duniawi. Menurutnya, jika  Allah berkehendak, maka apa pun dapat terjadi, termasuk      sekedar menampilkan kembali raga yang telah hancur. Lihat:</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Mulla Sadra, Al-Asfar, J. 9, hlm. 207.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Kyosyamsaki, Rozee, hlm. 250.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Untuk lebih jelas dapat kita lihat pada Mulla Sadra, Syarh  Hidayah Al-Atsiriyah, hlm. 381.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Mulla Sadra, Al-Asfar, J. 9, hlm. 156.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Mulla Sadra, Al-Asfar, J. 9, hal. 156, 157. Teks aslinya sebagai  berikut:</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Mulla Sadra, Syarh Hidayah Al-Atsiriyah, hlm. 381. Teks aslinya  sebagai berikut:</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Mulla Sadra, Al-Mabda' wa Al-Ma'ad, hlm. 395— 396. Teks  aslinya sebagai berikut:</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Suhrawardi, “Al-Talwihat" dalam Majmu'ah, J. 1, hlm. 90.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Suhrawardi, Hikmah Al-Isyraq , dalam Majmu'ah, J.2, hlm. 229-230. Teks aslinya sebagai berikut:</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Mulla Sadra, Al-Asfar, J. 9, him. 40- 47.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Mulla Sadra, Al-Asfar, J. 9, hlm.199.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QS 3: 133. Teks ayat tersebut sebagai berikut:</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Muhammad bin Zakaria, nama lengkapnya adalah Abu Bakar  Muhammad Ibn Zakariyya Al-Razi, merupakan seorang  filsuf yang menguasai dan menulis dalam banyak bidang  pengetahuan, a.l., Filsafat, Teologi, Fisika, Kedokteran dan  Kimia. Di antara karya-karyanya Al-Tibb Al-Ruhani, Al-Sirr  Al-Falsafiya, dsb. Al-Razi dikenal juga sebagai Syaikh Al-  Musyakkikin karena kritik-kritiknya yang cukup luar biasa  terhadap pandangan-pandangan filsafat. Al-Razi Meninggal  dunia di Kota Rayy, Iran, pada 925 H.</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QS 18:28. Teks ayat tersebut sebagai berikut:</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QS 56:47-48. Teks ayat tersebut sebagai berikut:</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Mulla Sadra, al-Asfar, J. 9 hlm. 218. Teks aslinya sebagai  berikut:</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Para filsuf Barat, seperti Karl Marx (1818-1883), Sigmund  Freud (1856-1939) dan Jean-Paul Sartre (1905-1980) tidak  mempercayai konsep Kebangkitan-kembali setelah kematian.</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QS Al-Baqarah 2:282; 6:2, 60; 11:3; 13:2; 14:10, dst.</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4.Lihat: Abu Nashr Al-farabi, Al-Siyasat Al-Madaniah" (India:</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7.Abu Layth Al-Samarkandi, Kitab Al-Ahwāl Al-Qiyāmah (Kairo:</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9.Lihat: Al-Gazhali, Al-Durrah al-Fakhirah fi Kasyfi ulum al-  Akhirah, (Beirut: Mu'asasah al-Kutub al-Saqafiyyah, 1992) hal.7-11.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Abu Layth al-Samarkandi menjelaskan bahwa malaikat maut  mendatangi orang yang akan dicabut nyawanya tersebut dan  orang itu sendiri menolak, sehingga Allah memerintahkan  malaikat Izrail menuliskan nama-Nya di telapak tangan orang  tersebut barulah ruh itu keluar dalam bentuk seperti lebah  namun berbentuk manusia. Lihat: al-Samarkandi, Kitab al-  Haqāiq wa al-Daqāiq, (Qom: Intisyorot Behesyti, 1436) hal. 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Mulla Sadra, Al-Asfār, J. 9, hlm. 219. Teks aslinya sebagai  berikut:</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Mulla Sadra, Al-Asfar, J. 9, hlm. 220. Teks aslinya sebagai  berikut:</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Lihat: Jane Idelman, The Islamic Understanding of Death, hlm. 195.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Filsuf Peripatetik, seperti Al-Farabi, Ibn Sina dan Bahmaniyar,  tidak mempercayai adanya kehidupan barzakh karena  bagi mereka, daya imajinal hanya ada pada materi. Dan  pascakematian jiwa menjadi nonmateri murni sehingga  tersingkap realitas akhirat bagi mereka. Lihat: Abu Nashr Al-  farabi, Al-Siyasat Al-Madaniah (India: Da'irah Al-Ma'arif Al-  Utsmaniyah, 1345 H), hlm. 53; Ibn Sina, Al-Najāh, hlm. 203;  dan Bahmaniyar, Al-Tahsil (Tehran: Instisyarat Donesgoh,1375), hlm. 736.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William C. Chittick, “Death and The World of Imagination:</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Kecuali kasus-kasus khusus, dalam banyak riwayat disebutkan  adanya jaminan ketidakhancuran raga-raga orang-orang  sholeh, seperti para nabi, wali, dan penghafal Alquran.</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Jane Idelman Smith menuliskan pandangan-pandangan para  pemikir Eskatologi berkaitan dengan kehidupan di alam  barzakh. Ia menyebutkan, “... Orang mati akan membaca  Alquran di kubur mereka, para penulis ini berpendapat bahwa  ruh-ruh lain akan memerintahkan menghafalkan Alquran  kepada ruh manapun yang belum melaksanakan praktik itu.</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Fazlur Rahman, Health and Medicine in the Islamic Tradition:</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Kita dapat dengan mudah menemukan kisah-kisah penyiksaan  di alam kubur yang bersifat fisik dalam karya-karya pemikir  Muslim abad pertengahan. Sebagai contoh apa yang  digambarkan Al-Ghazali: Ada seseorang yang pernah diberi  mimpi. la ditanya, "Bagaimana keadaanmu? Bukankah  engkau telah mati?", “Benar, aku telah mati. Aku berada  dalam kondisi baik. Hanya saja, ada sebuah batu yang telah  mematahkan tulangku saat tanah kuburanku diratakan,  lalu batu itu menghantamku." Kemudian kuburannya digali  kembali dan ternyata memang ada sebongkah batu seperti  yang diceritakannya di dalam mimpi itu. Dan yang lain  pernah datang kepada anaknya yang sedang tidur (mimpi),  lalu berkata, “Wahai anak jelek, perbaikilah kuburan ayahmu!  Hujan telah membuatku merasa kesakitan." Ketika pagi, orang  tadi menyuruh orang lain untuk melihat kuburan ayahnya dan  ternyata kuburannya terendam air." Al-Ghazali, Al-Durrah,  hlm. 37 – 38.</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Mulla Sadra, Al-Asfār, J. 9, hlm. 219. Teks hadis tersebut  sebagai berikut :</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Mulla Sadra, Al-Asfār, J. 9, hlm. 220. Teks aslinya sebagai  berikut :</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Mulla Sadra, Al-Asfār, J. 9, hlm. 220. Teks aslinya sebagai  berikut :</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Suhrawardi, “Al-Talwihat" dalam Majmu'ah, J. 1, hlm. 90. Teks  aslinya sebagai berikut :</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Lihat: Gherardo Gnoli, “Zoroastrianism", Encyclopedia of  Religion, diedit oleh Mircea Eliade (New York: Macmillan        Publishing Company and London: Collier Macmillan Publisher,1978), J. XV, hlm. 585. Pandangan Syaikh Isyraq tersebut  sebagai berikut:</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Maksud Al-Gazhali adalah bahwa jiwa manusia pasca  kematiannya akan memunculkan sebagian dari gambaran  kehidupan ukhrawi di dalam kuburnya.</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Ibn 'Arabī, al-Futūhāt al-Makiyyah (Beirut: Dar al-Sodir, Tp.</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Lihat: Mulla Sadra, al-Asfār, J. 9. hal. 221.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Lihat: Mulla Sadra, Al-Asfār, J. 9, hlm. 222.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Di dalam Alquran, ayat-ayat yang langsung menyebutkan kata  Kiamat terulang 72 kali.</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34. Di antara ayat-ayat yang menggandengkan keimanan kepada  kedua objek tersebut, antara lain, QS 2:8,126, 177, 228, 232  « </w:t>
      </w:r>
      <w:r>
        <w:rPr>
          <w:rFonts w:ascii="IRNazanin" w:hAnsi="IRNazanin" w:eastAsia="IRNazanin"/>
          <w:b w:val="false"/>
          <w:b w:val="false"/>
          <w:bCs w:val="false"/>
          <w:i w:val="false"/>
          <w:i w:val="false"/>
          <w:iCs w:val="false"/>
          <w:color w:val="333333"/>
          <w:sz w:val="20"/>
          <w:sz w:val="20"/>
          <w:szCs w:val="20"/>
          <w:rtl w:val="true"/>
        </w:rPr>
        <w:t>لِلَّذِینَ اتَّقَوْا عِنْدَ رَبِّهِمْ جَنَّاتٌ تَجْرِی مِنْ تَحْتِهَا الْأَنْهَارُ خَالِدِینَ فِیهَا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dst.</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Hasan Al-Mustavawi, Al-Tahqiq fi Kalimat Alquran Al-Karim  (Tehran: Wizarat Tsaqafah va Irsyade Islomi, 1368), J. 9, hlm.345.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QS. 82:19. Teks ayat tersebut sebagai berikut:</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QS 6:32, 29:54. Teks ayat tersebut sebagai berikut:</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Lihat: Mulla Sadra, al-Asfār, J. 9 hal. 278.</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Lihat: Mulla Sadra, Al-Asfār, J.9, hlm. 279.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Kita melihat keberatan dan jawaban yang diberikan Allah atas  keberatan tersebut pada QS 36:78.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Mulla Sadra, Al-Asfār, J. 9, hlm. 224, 225. Teks aslinya sebagai  berikut:</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Lihat: Mulla Sadra, Al-Asfār, J. 9, hlm. 225. Hal yang sama juga  disebutkan Alquran pada QS 17:72.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QS 78:18. Teks ayat tersebut sebagai berikut:</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Mulla Sadra, Al-Asfār, J. 9, hlm. 232. Teks aslinya sebagai  berikut:</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Mulla Sadra menolak kebangkitan fisik yang seperti ini karena  menurutnya akan menyebabkan reinkarnasi. Namun menurut  Sayid Radhi, pernyataan Syaikh ini lebih dalam upaya menjaga  pada umumnya keyakinan kaum muslimin.</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Citra pasar di surge, pada umumnya, muncul pada karya-  karya Eskatologi abad pertengahan, seperti yang digambarkan  oleh Al-Samarkandi dalam Ahwal Al-Qiyamah hlm. 34 sebagai  berikut: “Pada hari Jumat, mereka akan keluar ke pasar-  pasar di surga dan mendapatkan pakaian yang paling indah  yang belum pernah mereka kenakan sebelumnya". Hal ini  kemungkinan besar didasarkan kepada riwayat-riwayat, tetapi  apa makna yang sesungguhnya di balik hal tersebut, penulis  belum menemukan penjelasan yang khusus.</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Mulla Sadra, Al-Asfar J. 9, hlm. 233-234. Ibn 'Arabi, Al-  Futuhat, J. 3, hlm. 267 – 268. Teks aslinya sebagai berikut:</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James Winston Morris, “Mafhum Barzakh dar Nazd Mulla  Sadra" dalam Majmu'ah Maqolehye Mulla Sadro (Tehran:</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Lihat: Mulla Sadra, Al-Asfar, J. 9, him. 256.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Mulla Sadra, Mafātīh al-Ghaib (Tehran: Muasasah Mutala'at  va Tahqiqat Farhangge, 1363), him. 612 - 613.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QS 18:47. Teks ayat tersebut sebagai berikut:</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Al-Mustavawi, Al-Tahqiq fi Kalimat Alquran Al-Karim, J. I, hlm.87.</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Di antara pemikir Eskatologi yang meyakini bahwa surga dan        neraka berada di alam dunia ini, juga yang di kreasi ulang,  Jane Idelman menyebutkan pandangan Al-Ghazali tersebut.</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Lihat: Mulla Sadra, Al-Asfār, J.9, hlm. 223.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Lihat: Al-Ghazali, Ihya', J. IV, hlm. 545.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Pandangan ini berasal dari Asy'ariyyah dan filsuf Skolastik  yang menyatakan bahwa jiwa tidaklah memiliki karakter  spiritual, melainkan bergantung pada raga. Teori atom yang  dikembangkan Asy'ari menyatakan bahwa kehidupan tetap  kontinu dalam atom-atom tersebut, sekalipun telah terurai  dan kebangkitan terjadi dengan tersusunnya kembali atom-  atom yang telah terpisah tersebut. Lihat: Fazlur Rahman, The        Philosophy of Mulla Sadra, hlm. 335.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Argumentasi Ibn Sina, dalam hal ini, sebagai berikut: “Jika  demikian (terjadinya reinkarnasi), maka tidaklah mungkin  terjadi jiwa yang telah terpisah dari raga kembali dan masuk  kedalam raga manusia yang lain. Karena raga yang baru  memunculkan jiwa yang baru bersamanya, maka (jika terjadi  reinkarnasi) akan terjadi pada raga yang baru jiwa yang lain  sehingga menyebabkan seorang manusia memiliki dua  jiwa sekaligus, akan tetapi seluruh manusia sesungguhnya  hanyalah memiliki satu jiwa semata, tidak dapat terpikirkan  kecuali jiwa yang satu semata. Sekalipun ada jiwa yang lain  pada sebuah raga maka tidaklah berfungsi bersamanya dan  tidak juga memunculkan manfaat bagi raga, maka pastilah  jiwa tersebut bukanlah jiwa dirinya karena jiwa di dalam  raga tidaklah menempati hanya satu bagian tertentu atau  menempel sebagai zat bagi bagian tertentu dari raga, tetapi  jiwa merupakan pengendali dan terfungsikan melalui raga.</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Jane Idelman Smith adalah Profesor Studi Islam dan Wakil  Direktur Pusat Studi Islam dan Hubungan Muslim-Kristen  Macdonald pada Hartford Seminary, penulis buku The Islamic  Understanding of Death and Resurrection.</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Jane Idelman Smith, The Islamic Understanding of Death and  Resurrection, hlm.62.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Lihat: Mulla Sadra, Al-Asfar, J. 9, hlm. 199–217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Baca kembali Bab IV pada bagian Kritik terhadap Pandangan  Eskatologi Pemikir Muslim.</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Karena, bagaimanapun dan dari jenis apa pun, raga yang  terbentuk secara eksternal dari jiwa manusia, dalam pandangan  Mulla Sadra, masuk kategori reinkarnasi.</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Lihat: Mulla Sadra, Al-Asfar, J.9, hlm. 197.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Alam imajinal mutlak atau terpisah (Munfasyl) adalah alam  imajinal independen dan hakiki yang merupakan forma dari  segala sesuatu yang terwujud dalam satu kondisi yang sama  antara kehalusan ruhaniah dan kepadatan materi, sedangkan  alam imajinal tidak mutlak atau bersambung (Muttasy/)  merupakan alam imajinal yang tidak terpisah dari jiwa  seseorang dan menampilkan beragam forma yang berasal  dari alam imajinal mutlak atau terpisah. Lihat: Malikeh Sobiri,        “Alam Mitsal va Tajarude Khiyol" dalam jurnal Kherad Nomeh  Sadra, Vol. 15, him. 72-73.</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Kyosamsaki, Rozee, hlm. 261. Teks aslinya sebagai berikut:</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Muhammad Husayn Thabathaba'i, Al-Mizān fi Tafsir Alquran  (Qom: Muasasah Matbu'ati Ismailiyyon, 1412), J. XVII, hlm.114. Teks aslinya sebagai berikut:</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Tentang pengkafiran para filsuf ini dapat dilihat pada: Fazlur  Rahman, Islam (Chicago and London: University of Chicago  Press, 1979), him. 120.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Banyak kisah Sufi yang menunjukkan bahwa para Sufi  tersebut dapat menyaksikan raga batin seseorang di balik  raga materinya yang terbentuk dari perilaku manusia tersebut.</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Husain Mazahiri, Dirasat fi al-Akhlak (Qom: Dar Al-Syafaq, 1413), hlm. 47. Teks Aslinya sebagai berikut:</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Lihat: Mulla Sadra, Al-Asfar, J. 9, hlm. 176.</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QS 81:5. Teks ayat tersebut sebagai berikut:</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Syaikh Soduq menyebutkan bahwa Sirāt, tidak lain, adalah  syari'at (lihat: Syarh kitab Al-Tawhid Soduq, J. 9, hlm. 387).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Hadis Nabi Saw. tentang Sirāt pada hari kiamat sebagai  berikut:</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Lihat Makarim Syirazi, Al-Amtsāl fi Tafsir Kitabullah Al-Munzāl  (Beirut: Muasasah Al-Bi'tsah, 1413), J. 1, hlm. 25.</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Berbeda dengan gerakan transubstansial, gerakan zati  merupakan gerakan yang terjadi pada diri makhluk atau  manusia sebagai akibat dari ketaatan atau ketundukan terhadap  perintah atau larangan, baik secara alamiah (Takwinī) maupun  secara syari'at (Tasyri'i).</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Yang dimaksud Mulla Sadra dengan kualitas diri di sini bukan  Maʼqūlat (Kategori) sebagai Kaif al-Nafsani, tetapi ‘kondisi,  karakter, pengetahuan pada diri manusia yang didorong oleh  keinginan untuk mendekatkan diri kepada Allah Swt.'.</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Mulla Sadra, Al-Asfār, J. 9, hlm. 284.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Teks hadis tersebut sebagai berikut:</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Al-Gazhali, Al-Madnūn, hlm.353.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Lihat: Sibawaihi, Eskatologi Al-Gazāli dan Fazlur Rahman, hlm.127.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QS 57:12. Teks ayat tersebut sebagai berikut :</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Lihat: Mulla Sadra, Al-Asfar, J. 9, him. 290.</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Mulla Sadra, Al-Asfār, J. 9, hlm. 291. Teks aslinya sebagai  berikut:</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103. QS 38:16 dan 53, 40:27, Teks ayat tersebut sebagai beriku  </w:t>
      </w:r>
      <w:r>
        <w:rPr>
          <w:rFonts w:ascii="IRNazanin" w:hAnsi="IRNazanin" w:eastAsia="IRNazanin"/>
          <w:b w:val="false"/>
          <w:b w:val="false"/>
          <w:bCs w:val="false"/>
          <w:i w:val="false"/>
          <w:i w:val="false"/>
          <w:iCs w:val="false"/>
          <w:color w:val="333333"/>
          <w:sz w:val="20"/>
          <w:sz w:val="20"/>
          <w:szCs w:val="20"/>
          <w:rtl w:val="true"/>
        </w:rPr>
        <w:t xml:space="preserve">الحسابیؤمقبل قطنا لنا عجلربناو قالوا  الحساب لیوم توعدون ما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مُوسَی إِنِّی عُذْتُ بِرَبِّی وَرَبِّکُمْ مِنْ کُلِّ مُتَکَبِّرٍ لَا یُؤْمِنُ بِیَوْمِ الْحِسَابِ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Pr>
        <w:t>.»</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Pada umumnya, di dalam Alquran, Allah Swt. menyebutkan  kata al-Mizan dalam bentuk pluralnya, yaitu al-Mawazin.</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QS 50:29. Ayat tersebut sebagai berikut :</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QS 11:16. Ayat tersebut sebagai berikut :</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Al-Ghazali, Al-Durrah, hlm. 172.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Syaikh Al-Mufid, Syarh Tawhid Al-Shoduq (Iran: Wizarat  Tsaqafat va Irsyad, 1999), J. 3, hlm. 622.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Ada istilah khusus yang juga digunakan untuk istilah surga dan  neraka. Untuk surga, antara lain, Al-Ma'wa, Al-Firdaws, Adn,  Illiyin dan untuk neraka, antara lain, Al-Jahim, Al-Jahannam,  Al-Saqar, Hawiyyah, Ladza, dan Hutamah.</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Lihat: Sachiko Murata and W.C.Chittick, The Vission of Islam  (London and New York: I.B. Tauris Publisher, 1996), hlm. 211</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Jane Idelman Smith, The Islamic Understanding of Death, hlm.133.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Penggambaran Alquran tentang surga yang demikian dapat  kita temukan pada QS 2:25 dan penggambaran alquran  tentang neraka yang seperti ini dapat kita temukan pada QS  : 104: 5–9.</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Lihat: Jane Idelman Smith, The Islamic Understanding of  Death, hlm. 138.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Yang dimaksud adalah imam-imam Syi'ah. a.l, Ali bin Abi  Thalib, Al-Hasan ibn Ali, Al-Husain Ibn Ali, Ali Ibn Al-Husain,  Muhammad Ibn Ali, Ja'far Ibn Muhammad, Musa Ibn Jaʼfar, Ali  Ibn Muhammad, Muhammad Ibn Ali, Ali Ibn Muhammad, Al-  Hasan Ibn Ali dan Muhammad Al-Mahdi Al-Muntazar.</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Mulla Sadra, Al-Asfār, J. 9, hlm. 319.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Intelektual yang dimaksud Mulla Sadra di sini adalah bersifat  nonmateri.</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Mulla Sadra, Al-Asfar, J. 9, hlm. 321.</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Mulla Sadra, Al-Asfar, J.9, him. 320.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Diantara teolog yang utama di kalangan Syi'ah adalah Syaikh  Tusi dan hadis yang menjadi sandaran: “Tidak seorang dari  ahli Tauhid yang akan ditimpa penderitaan neraka sekiranya  mereka dimasukkan kedalamnya akan tetapi mereka akan  menderita ketika dilepaskan dari neraka sebagai balasan bagi  dosa-dosa mereka." Mulla Sadra, Al-Asfār, J. 9, hlm. 320.</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Mulla Sadra, Al-Asfār, J. 9, hlm. 320. Teks aslinya sebagai  berikut:</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Mulla Sadra, Al-Asfar, J. 9, him. 320.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QS 55:46. Teks ayat tersebut sebagai berikut:</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Mulla Sadra, Al-Asfar, J.9, hlm. 322.</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Mulla Sadra, Al-Asfar, J. 9, him. 322.</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QS 7:156. Teks ayat tersebut sebagai berikut:</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Mulla Sadra, Al-Asfār, J. 9, hlm. 219. (Lihat kembali pembahasan  “Hakikat Kematian dan Alam Kubur”).</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Mulla Sadra, Al-Asfār, J. 9, hlm. 322. Teks aslinya sebagai  berikut:</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Lihat: Mulla Sadra, Al-Asfar, J. 9, him. 338.</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Lihat: Fazlur Rahman, The Philosophy of Mulla Sadra, hlm.258.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Lihat: Mulla Sadra, Al-Asfar, J. 9, him. 122.</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Ibn Sina, Mabda' wa Al-Ma'ād, hlm. 109–114.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Mulla Sadra, Al-Asfar, J. 9, him. 162.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Untuk lebih jelasnya dapat dilihat pada Kholid Al-Walid,  Tasawuf Mulla Sadra pandangan Ittihad Al-'Āqil wa Al-Ma'qul  (Bandung: Muthahari Press, 2005).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Mulla Sadra, al-Asfār, J. 9, hlm. 123. Teks aslinya sebagai  berikut:</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Mulla Sadra, Al-Asfār, J.9, hlm. 131. Teks aslinya sebagai  berikut:</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QS 2:6-7. Teks ayat tersebut sebagai berikut:</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Mulla Sadra, Al-Asfar, J.9, hlm. 134-135.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Ayat-ayat yang menunjukkan indikasi keabadian tersebut  antara lain QS : 2 : 82, 217 dst.</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Di antara teolog yang berpandangan seperti ini, a.l., Al-  Fachrurrazi al-Samarkandi dan hal ini di dasari ayat Alquran,  antara lain, QS 28:88.</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QS 4:56.</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QS 4:56. Teks ayat tersebut sebagai berikut :</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Mulla Sadra, Al-Asfar, J.9, hlm. 381. Teks aslinya sebagai  berikut:</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QS 20:74. Teks ayat tersebut sabagai berikut:</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Mulla Sadra, Al-Asfār, J. 9, hlm. 357. Penolakan Mulla Sadra  tersebut mengacu pada pernyataan Ibn 'Arabī di dalam  kitabnya, Al-Futuhat Al-Makiyyah, sebagai berikut: “Maka  ditunjukkan baginya kepada Kursyi yang memiliki dua kaki  hingga terbagi padanya kalimat ruhaniah...Keduanya memiliki  bentuk pada fisik general alami. Hal ini menunjukkan dua kaki  yang setiap kaki tersebut menetap pada satu tempat, yang satu  bernama neraka dan yang lain bernama surga. Tidak ada lagi  tempat di atas kedua kedua tempat kaki tersebut. Keduanya  tidak lain berasal dari Zat Maha Pengasih yang duduk  diatas Arsyi dan tidak keluar dari-Nya, kecuali kasih sayang.</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Yang dimaksud Mulla Sadra dengan memiliki makna tersendiri  adalah bahwa kekekalan yang terjadi antar penghuni surga  dan neraka memiliki makna berbeda dan spesifik.</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QS 34:54. Teks ayat tersebut sebagai berikut:</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Mulla Sadra, Al-Syawāhid, hlm. 314, 315. Teks aslinya  sebagai berikut:</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Lihat: Hasan Zadeh Amuli, Mumid Al-Himmam dar Syarh  Fushūs Al-Hikam (Tehran: Wezarate Farhangge va Irsyode  Islomi, 1378), him. 161.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image" Target="media/image6.jpeg"/><Relationship Id="rId103" Type="http://schemas.openxmlformats.org/officeDocument/2006/relationships/image" Target="media/image6.jpeg"/><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image" Target="media/image7.jpeg"/><Relationship Id="rId150" Type="http://schemas.openxmlformats.org/officeDocument/2006/relationships/image" Target="media/image7.jpeg"/><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1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77668</Words>
  <Characters>473226</Characters>
  <CharactersWithSpaces>556367</CharactersWithSpaces>
  <Paragraphs>3710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2026-08-19T23:05:29Z</dcterms:created>
  <dc:creator>ghaemiyeh.com</dc:creator>
  <dc:description/>
  <dc:language>en-US</dc:language>
  <cp:lastModifiedBy/>
  <dcterms:modified xsi:type="dcterms:W3CDTF">2026-08-20T02:35:37Z</dcterms:modified>
  <cp:revision>1</cp:revision>
  <dc:subject/>
  <dc:title>Perjalanan Jiwa Menuju Akhirat Filsafat Eskatologi Mulla Sadra</dc:title>
</cp:coreProperties>
</file>

<file path=docProps/custom.xml><?xml version="1.0" encoding="utf-8"?>
<Properties xmlns="http://schemas.openxmlformats.org/officeDocument/2006/custom-properties" xmlns:vt="http://schemas.openxmlformats.org/officeDocument/2006/docPropsVTypes"/>
</file>