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المدخل الی تاریخ التفسیر والمفسرین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33811_581953129">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633813_581953129">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633815_581953129">
            <w:r>
              <w:rPr>
                <w:webHidden/>
                <w:rStyle w:val="IndexLink"/>
                <w:rtl w:val="true"/>
              </w:rPr>
              <w:t>کلمة الناشر</w:t>
            </w:r>
            <w:r>
              <w:rPr>
                <w:rStyle w:val="IndexLink"/>
                <w:rtl w:val="true"/>
              </w:rPr>
              <w:tab/>
            </w:r>
            <w:r>
              <w:rPr>
                <w:rStyle w:val="IndexLink"/>
              </w:rPr>
              <w:t>16</w:t>
            </w:r>
          </w:hyperlink>
        </w:p>
        <w:p>
          <w:pPr>
            <w:pStyle w:val="Contents2"/>
            <w:tabs>
              <w:tab w:val="clear" w:pos="8743"/>
              <w:tab w:val="right" w:pos="9026" w:leader="dot"/>
            </w:tabs>
            <w:rPr/>
          </w:pPr>
          <w:hyperlink w:anchor="__RefHeading___Toc633817_581953129">
            <w:r>
              <w:rPr>
                <w:webHidden/>
                <w:rStyle w:val="IndexLink"/>
                <w:rtl w:val="true"/>
              </w:rPr>
              <w:t>کلمة مرکز المصطفی العالمی للدراسات و التحقیق</w:t>
            </w:r>
            <w:r>
              <w:rPr>
                <w:rStyle w:val="IndexLink"/>
                <w:rtl w:val="true"/>
              </w:rPr>
              <w:tab/>
            </w:r>
            <w:r>
              <w:rPr>
                <w:rStyle w:val="IndexLink"/>
              </w:rPr>
              <w:t>18</w:t>
            </w:r>
          </w:hyperlink>
        </w:p>
        <w:p>
          <w:pPr>
            <w:pStyle w:val="Contents2"/>
            <w:tabs>
              <w:tab w:val="clear" w:pos="8743"/>
              <w:tab w:val="right" w:pos="9026" w:leader="dot"/>
            </w:tabs>
            <w:rPr/>
          </w:pPr>
          <w:hyperlink w:anchor="__RefHeading___Toc633819_581953129">
            <w:r>
              <w:rPr>
                <w:webHidden/>
                <w:rStyle w:val="IndexLink"/>
                <w:rtl w:val="true"/>
              </w:rPr>
              <w:t>الفهرس</w:t>
            </w:r>
            <w:r>
              <w:rPr>
                <w:rStyle w:val="IndexLink"/>
                <w:rtl w:val="true"/>
              </w:rPr>
              <w:tab/>
            </w:r>
            <w:r>
              <w:rPr>
                <w:rStyle w:val="IndexLink"/>
              </w:rPr>
              <w:t>21</w:t>
            </w:r>
          </w:hyperlink>
        </w:p>
        <w:p>
          <w:pPr>
            <w:pStyle w:val="Contents2"/>
            <w:tabs>
              <w:tab w:val="clear" w:pos="8743"/>
              <w:tab w:val="right" w:pos="9026" w:leader="dot"/>
            </w:tabs>
            <w:rPr/>
          </w:pPr>
          <w:hyperlink w:anchor="__RefHeading___Toc633821_581953129">
            <w:r>
              <w:rPr>
                <w:webHidden/>
                <w:rStyle w:val="IndexLink"/>
                <w:rtl w:val="true"/>
              </w:rPr>
              <w:t>المقدّمة</w:t>
            </w:r>
            <w:r>
              <w:rPr>
                <w:rStyle w:val="IndexLink"/>
                <w:rtl w:val="true"/>
              </w:rPr>
              <w:tab/>
            </w:r>
            <w:r>
              <w:rPr>
                <w:rStyle w:val="IndexLink"/>
              </w:rPr>
              <w:t>38</w:t>
            </w:r>
          </w:hyperlink>
        </w:p>
        <w:p>
          <w:pPr>
            <w:pStyle w:val="Contents3"/>
            <w:tabs>
              <w:tab w:val="clear" w:pos="8459"/>
              <w:tab w:val="right" w:pos="9026" w:leader="dot"/>
            </w:tabs>
            <w:rPr/>
          </w:pPr>
          <w:hyperlink w:anchor="__RefHeading___Toc633823_581953129">
            <w:r>
              <w:rPr>
                <w:webHidden/>
                <w:rStyle w:val="IndexLink"/>
                <w:rtl w:val="true"/>
              </w:rPr>
              <w:t>اشارة</w:t>
            </w:r>
            <w:r>
              <w:rPr>
                <w:rStyle w:val="IndexLink"/>
                <w:rtl w:val="true"/>
              </w:rPr>
              <w:tab/>
            </w:r>
            <w:r>
              <w:rPr>
                <w:rStyle w:val="IndexLink"/>
              </w:rPr>
              <w:t>38</w:t>
            </w:r>
          </w:hyperlink>
        </w:p>
        <w:p>
          <w:pPr>
            <w:pStyle w:val="Contents3"/>
            <w:tabs>
              <w:tab w:val="clear" w:pos="8459"/>
              <w:tab w:val="right" w:pos="9026" w:leader="dot"/>
            </w:tabs>
            <w:rPr/>
          </w:pPr>
          <w:hyperlink w:anchor="__RefHeading___Toc633825_581953129">
            <w:r>
              <w:rPr>
                <w:webHidden/>
                <w:rStyle w:val="IndexLink"/>
                <w:rtl w:val="true"/>
              </w:rPr>
              <w:t>قواعد البحث فی التفاسیر</w:t>
            </w:r>
            <w:r>
              <w:rPr>
                <w:rStyle w:val="IndexLink"/>
                <w:rtl w:val="true"/>
              </w:rPr>
              <w:tab/>
            </w:r>
            <w:r>
              <w:rPr>
                <w:rStyle w:val="IndexLink"/>
              </w:rPr>
              <w:t>39</w:t>
            </w:r>
          </w:hyperlink>
        </w:p>
        <w:p>
          <w:pPr>
            <w:pStyle w:val="Contents3"/>
            <w:tabs>
              <w:tab w:val="clear" w:pos="8459"/>
              <w:tab w:val="right" w:pos="9026" w:leader="dot"/>
            </w:tabs>
            <w:rPr/>
          </w:pPr>
          <w:hyperlink w:anchor="__RefHeading___Toc633827_581953129">
            <w:r>
              <w:rPr>
                <w:webHidden/>
                <w:rStyle w:val="IndexLink"/>
                <w:rtl w:val="true"/>
              </w:rPr>
              <w:t>أهداف و خصائص الکتاب</w:t>
            </w:r>
            <w:r>
              <w:rPr>
                <w:rStyle w:val="IndexLink"/>
                <w:rtl w:val="true"/>
              </w:rPr>
              <w:tab/>
            </w:r>
            <w:r>
              <w:rPr>
                <w:rStyle w:val="IndexLink"/>
              </w:rPr>
              <w:t>40</w:t>
            </w:r>
          </w:hyperlink>
        </w:p>
        <w:p>
          <w:pPr>
            <w:pStyle w:val="Contents3"/>
            <w:tabs>
              <w:tab w:val="clear" w:pos="8459"/>
              <w:tab w:val="right" w:pos="9026" w:leader="dot"/>
            </w:tabs>
            <w:rPr/>
          </w:pPr>
          <w:hyperlink w:anchor="__RefHeading___Toc633829_581953129">
            <w:r>
              <w:rPr>
                <w:webHidden/>
                <w:rStyle w:val="IndexLink"/>
                <w:rtl w:val="true"/>
              </w:rPr>
              <w:t>إلی الأساتذة الکرام</w:t>
            </w:r>
            <w:r>
              <w:rPr>
                <w:rStyle w:val="IndexLink"/>
                <w:rtl w:val="true"/>
              </w:rPr>
              <w:tab/>
            </w:r>
            <w:r>
              <w:rPr>
                <w:rStyle w:val="IndexLink"/>
              </w:rPr>
              <w:t>41</w:t>
            </w:r>
          </w:hyperlink>
        </w:p>
        <w:p>
          <w:pPr>
            <w:pStyle w:val="Contents2"/>
            <w:tabs>
              <w:tab w:val="clear" w:pos="8743"/>
              <w:tab w:val="right" w:pos="9026" w:leader="dot"/>
            </w:tabs>
            <w:rPr/>
          </w:pPr>
          <w:hyperlink w:anchor="__RefHeading___Toc633831_581953129">
            <w:r>
              <w:rPr>
                <w:webHidden/>
                <w:rStyle w:val="IndexLink"/>
              </w:rPr>
              <w:t>1</w:t>
            </w:r>
            <w:r>
              <w:rPr>
                <w:rStyle w:val="IndexLink"/>
                <w:rtl w:val="true"/>
              </w:rPr>
              <w:t xml:space="preserve">- </w:t>
            </w:r>
            <w:r>
              <w:rPr>
                <w:rStyle w:val="IndexLink"/>
                <w:rtl w:val="true"/>
              </w:rPr>
              <w:t>بحوث تمهیدیة</w:t>
            </w:r>
            <w:r>
              <w:rPr>
                <w:rStyle w:val="IndexLink"/>
                <w:rtl w:val="true"/>
              </w:rPr>
              <w:tab/>
            </w:r>
            <w:r>
              <w:rPr>
                <w:rStyle w:val="IndexLink"/>
              </w:rPr>
              <w:t>43</w:t>
            </w:r>
          </w:hyperlink>
        </w:p>
        <w:p>
          <w:pPr>
            <w:pStyle w:val="Contents3"/>
            <w:tabs>
              <w:tab w:val="clear" w:pos="8459"/>
              <w:tab w:val="right" w:pos="9026" w:leader="dot"/>
            </w:tabs>
            <w:rPr/>
          </w:pPr>
          <w:hyperlink w:anchor="__RefHeading___Toc633833_581953129">
            <w:r>
              <w:rPr>
                <w:webHidden/>
                <w:rStyle w:val="IndexLink"/>
                <w:rtl w:val="true"/>
              </w:rPr>
              <w:t>اشارة</w:t>
            </w:r>
            <w:r>
              <w:rPr>
                <w:rStyle w:val="IndexLink"/>
                <w:rtl w:val="true"/>
              </w:rPr>
              <w:tab/>
            </w:r>
            <w:r>
              <w:rPr>
                <w:rStyle w:val="IndexLink"/>
              </w:rPr>
              <w:t>43</w:t>
            </w:r>
          </w:hyperlink>
        </w:p>
        <w:p>
          <w:pPr>
            <w:pStyle w:val="Contents3"/>
            <w:tabs>
              <w:tab w:val="clear" w:pos="8459"/>
              <w:tab w:val="right" w:pos="9026" w:leader="dot"/>
            </w:tabs>
            <w:rPr/>
          </w:pPr>
          <w:hyperlink w:anchor="__RefHeading___Toc633835_581953129">
            <w:r>
              <w:rPr>
                <w:webHidden/>
                <w:rStyle w:val="IndexLink"/>
                <w:rtl w:val="true"/>
              </w:rPr>
              <w:t>معنی التفسیر</w:t>
            </w:r>
            <w:r>
              <w:rPr>
                <w:rStyle w:val="IndexLink"/>
                <w:rtl w:val="true"/>
              </w:rPr>
              <w:tab/>
            </w:r>
            <w:r>
              <w:rPr>
                <w:rStyle w:val="IndexLink"/>
              </w:rPr>
              <w:t>44</w:t>
            </w:r>
          </w:hyperlink>
        </w:p>
        <w:p>
          <w:pPr>
            <w:pStyle w:val="Contents4"/>
            <w:tabs>
              <w:tab w:val="clear" w:pos="8176"/>
              <w:tab w:val="right" w:pos="9026" w:leader="dot"/>
            </w:tabs>
            <w:rPr/>
          </w:pPr>
          <w:hyperlink w:anchor="__RefHeading___Toc633837_581953129">
            <w:r>
              <w:rPr>
                <w:webHidden/>
                <w:rStyle w:val="IndexLink"/>
                <w:rtl w:val="true"/>
              </w:rPr>
              <w:t>التفسیر</w:t>
            </w:r>
            <w:r>
              <w:rPr>
                <w:rStyle w:val="IndexLink"/>
                <w:rtl w:val="true"/>
              </w:rPr>
              <w:t>-</w:t>
            </w:r>
            <w:r>
              <w:rPr>
                <w:rStyle w:val="IndexLink"/>
                <w:rtl w:val="true"/>
              </w:rPr>
              <w:t xml:space="preserve">لغةً </w:t>
            </w:r>
            <w:r>
              <w:rPr>
                <w:rStyle w:val="IndexLink"/>
                <w:rtl w:val="true"/>
              </w:rPr>
              <w:t>-</w:t>
              <w:tab/>
            </w:r>
            <w:r>
              <w:rPr>
                <w:rStyle w:val="IndexLink"/>
              </w:rPr>
              <w:t>44</w:t>
            </w:r>
          </w:hyperlink>
        </w:p>
        <w:p>
          <w:pPr>
            <w:pStyle w:val="Contents4"/>
            <w:tabs>
              <w:tab w:val="clear" w:pos="8176"/>
              <w:tab w:val="right" w:pos="9026" w:leader="dot"/>
            </w:tabs>
            <w:rPr/>
          </w:pPr>
          <w:hyperlink w:anchor="__RefHeading___Toc633839_581953129">
            <w:r>
              <w:rPr>
                <w:webHidden/>
                <w:rStyle w:val="IndexLink"/>
                <w:rtl w:val="true"/>
              </w:rPr>
              <w:t>التفسیر اصطلاحاً بیان ومعانی الآیات القرآنیة</w:t>
            </w:r>
            <w:r>
              <w:rPr>
                <w:rStyle w:val="IndexLink"/>
                <w:rtl w:val="true"/>
              </w:rPr>
              <w:tab/>
            </w:r>
            <w:r>
              <w:rPr>
                <w:rStyle w:val="IndexLink"/>
              </w:rPr>
              <w:t>45</w:t>
            </w:r>
          </w:hyperlink>
        </w:p>
        <w:p>
          <w:pPr>
            <w:pStyle w:val="Contents3"/>
            <w:tabs>
              <w:tab w:val="clear" w:pos="8459"/>
              <w:tab w:val="right" w:pos="9026" w:leader="dot"/>
            </w:tabs>
            <w:rPr/>
          </w:pPr>
          <w:hyperlink w:anchor="__RefHeading___Toc633841_581953129">
            <w:r>
              <w:rPr>
                <w:webHidden/>
                <w:rStyle w:val="IndexLink"/>
                <w:rtl w:val="true"/>
              </w:rPr>
              <w:t>تعریف تاریخ التفسیر</w:t>
            </w:r>
            <w:r>
              <w:rPr>
                <w:rStyle w:val="IndexLink"/>
                <w:rtl w:val="true"/>
              </w:rPr>
              <w:tab/>
            </w:r>
            <w:r>
              <w:rPr>
                <w:rStyle w:val="IndexLink"/>
              </w:rPr>
              <w:t>45</w:t>
            </w:r>
          </w:hyperlink>
        </w:p>
        <w:p>
          <w:pPr>
            <w:pStyle w:val="Contents3"/>
            <w:tabs>
              <w:tab w:val="clear" w:pos="8459"/>
              <w:tab w:val="right" w:pos="9026" w:leader="dot"/>
            </w:tabs>
            <w:rPr/>
          </w:pPr>
          <w:hyperlink w:anchor="__RefHeading___Toc633843_581953129">
            <w:r>
              <w:rPr>
                <w:webHidden/>
                <w:rStyle w:val="IndexLink"/>
                <w:rtl w:val="true"/>
              </w:rPr>
              <w:t>أهمیة ومکانة تاریخ التفسیر</w:t>
            </w:r>
            <w:r>
              <w:rPr>
                <w:rStyle w:val="IndexLink"/>
                <w:rtl w:val="true"/>
              </w:rPr>
              <w:tab/>
            </w:r>
            <w:r>
              <w:rPr>
                <w:rStyle w:val="IndexLink"/>
              </w:rPr>
              <w:t>46</w:t>
            </w:r>
          </w:hyperlink>
        </w:p>
        <w:p>
          <w:pPr>
            <w:pStyle w:val="Contents3"/>
            <w:tabs>
              <w:tab w:val="clear" w:pos="8459"/>
              <w:tab w:val="right" w:pos="9026" w:leader="dot"/>
            </w:tabs>
            <w:rPr/>
          </w:pPr>
          <w:hyperlink w:anchor="__RefHeading___Toc633845_581953129">
            <w:r>
              <w:rPr>
                <w:webHidden/>
                <w:rStyle w:val="IndexLink"/>
                <w:rtl w:val="true"/>
              </w:rPr>
              <w:t>الخلفیة التاریخیة لتاریخ التفسیر</w:t>
            </w:r>
            <w:r>
              <w:rPr>
                <w:rStyle w:val="IndexLink"/>
                <w:rtl w:val="true"/>
              </w:rPr>
              <w:tab/>
            </w:r>
            <w:r>
              <w:rPr>
                <w:rStyle w:val="IndexLink"/>
              </w:rPr>
              <w:t>48</w:t>
            </w:r>
          </w:hyperlink>
        </w:p>
        <w:p>
          <w:pPr>
            <w:pStyle w:val="Contents3"/>
            <w:tabs>
              <w:tab w:val="clear" w:pos="8459"/>
              <w:tab w:val="right" w:pos="9026" w:leader="dot"/>
            </w:tabs>
            <w:rPr/>
          </w:pPr>
          <w:hyperlink w:anchor="__RefHeading___Toc633847_581953129">
            <w:r>
              <w:rPr>
                <w:webHidden/>
                <w:rStyle w:val="IndexLink"/>
                <w:rtl w:val="true"/>
              </w:rPr>
              <w:t>أوّل ما کتَبَ فی التفسیر</w:t>
            </w:r>
            <w:r>
              <w:rPr>
                <w:rStyle w:val="IndexLink"/>
                <w:rtl w:val="true"/>
              </w:rPr>
              <w:tab/>
            </w:r>
            <w:r>
              <w:rPr>
                <w:rStyle w:val="IndexLink"/>
              </w:rPr>
              <w:t>50</w:t>
            </w:r>
          </w:hyperlink>
        </w:p>
        <w:p>
          <w:pPr>
            <w:pStyle w:val="Contents4"/>
            <w:tabs>
              <w:tab w:val="clear" w:pos="8176"/>
              <w:tab w:val="right" w:pos="9026" w:leader="dot"/>
            </w:tabs>
            <w:rPr/>
          </w:pPr>
          <w:hyperlink w:anchor="__RefHeading___Toc633849_581953129">
            <w:r>
              <w:rPr>
                <w:webHidden/>
                <w:rStyle w:val="IndexLink"/>
                <w:rtl w:val="true"/>
              </w:rPr>
              <w:t>اشارة</w:t>
            </w:r>
            <w:r>
              <w:rPr>
                <w:rStyle w:val="IndexLink"/>
                <w:rtl w:val="true"/>
              </w:rPr>
              <w:tab/>
            </w:r>
            <w:r>
              <w:rPr>
                <w:rStyle w:val="IndexLink"/>
              </w:rPr>
              <w:t>50</w:t>
            </w:r>
          </w:hyperlink>
        </w:p>
        <w:p>
          <w:pPr>
            <w:pStyle w:val="Contents4"/>
            <w:tabs>
              <w:tab w:val="clear" w:pos="8176"/>
              <w:tab w:val="right" w:pos="9026" w:leader="dot"/>
            </w:tabs>
            <w:rPr/>
          </w:pPr>
          <w:hyperlink w:anchor="__RefHeading___Toc633851_581953129">
            <w:r>
              <w:rPr>
                <w:webHidden/>
                <w:rStyle w:val="IndexLink"/>
              </w:rPr>
              <w:t>1</w:t>
            </w:r>
            <w:r>
              <w:rPr>
                <w:rStyle w:val="IndexLink"/>
                <w:rtl w:val="true"/>
              </w:rPr>
              <w:t xml:space="preserve">. </w:t>
            </w:r>
            <w:r>
              <w:rPr>
                <w:rStyle w:val="IndexLink"/>
                <w:rtl w:val="true"/>
              </w:rPr>
              <w:t xml:space="preserve">ابن عبّاس </w:t>
            </w:r>
            <w:r>
              <w:rPr>
                <w:rStyle w:val="IndexLink"/>
                <w:rtl w:val="true"/>
              </w:rPr>
              <w:t>(</w:t>
            </w:r>
            <w:r>
              <w:rPr>
                <w:rStyle w:val="IndexLink"/>
                <w:rtl w:val="true"/>
              </w:rPr>
              <w:t>ت</w:t>
            </w:r>
            <w:r>
              <w:rPr>
                <w:rStyle w:val="IndexLink"/>
              </w:rPr>
              <w:t>68</w:t>
            </w:r>
            <w:r>
              <w:rPr>
                <w:rStyle w:val="IndexLink"/>
                <w:rtl w:val="true"/>
              </w:rPr>
              <w:t>ه</w:t>
            </w:r>
            <w:r>
              <w:rPr>
                <w:rStyle w:val="IndexLink"/>
                <w:rtl w:val="true"/>
              </w:rPr>
              <w:t>)</w:t>
              <w:tab/>
            </w:r>
            <w:r>
              <w:rPr>
                <w:rStyle w:val="IndexLink"/>
              </w:rPr>
              <w:t>51</w:t>
            </w:r>
          </w:hyperlink>
        </w:p>
        <w:p>
          <w:pPr>
            <w:pStyle w:val="Contents4"/>
            <w:tabs>
              <w:tab w:val="clear" w:pos="8176"/>
              <w:tab w:val="right" w:pos="9026" w:leader="dot"/>
            </w:tabs>
            <w:rPr/>
          </w:pPr>
          <w:hyperlink w:anchor="__RefHeading___Toc633853_581953129">
            <w:r>
              <w:rPr>
                <w:webHidden/>
                <w:rStyle w:val="IndexLink"/>
              </w:rPr>
              <w:t>2</w:t>
            </w:r>
            <w:r>
              <w:rPr>
                <w:rStyle w:val="IndexLink"/>
                <w:rtl w:val="true"/>
              </w:rPr>
              <w:t xml:space="preserve">. </w:t>
            </w:r>
            <w:r>
              <w:rPr>
                <w:rStyle w:val="IndexLink"/>
                <w:rtl w:val="true"/>
              </w:rPr>
              <w:t xml:space="preserve">سعید بن جبیر </w:t>
            </w:r>
            <w:r>
              <w:rPr>
                <w:rStyle w:val="IndexLink"/>
                <w:rtl w:val="true"/>
              </w:rPr>
              <w:t>(</w:t>
            </w:r>
            <w:r>
              <w:rPr>
                <w:rStyle w:val="IndexLink"/>
                <w:rtl w:val="true"/>
              </w:rPr>
              <w:t>ت</w:t>
            </w:r>
            <w:r>
              <w:rPr>
                <w:rStyle w:val="IndexLink"/>
              </w:rPr>
              <w:t>94</w:t>
            </w:r>
            <w:r>
              <w:rPr>
                <w:rStyle w:val="IndexLink"/>
                <w:rtl w:val="true"/>
              </w:rPr>
              <w:t xml:space="preserve"> </w:t>
            </w:r>
            <w:r>
              <w:rPr>
                <w:rStyle w:val="IndexLink"/>
                <w:rtl w:val="true"/>
              </w:rPr>
              <w:t xml:space="preserve">أو </w:t>
            </w:r>
            <w:r>
              <w:rPr>
                <w:rStyle w:val="IndexLink"/>
              </w:rPr>
              <w:t>95</w:t>
            </w:r>
            <w:r>
              <w:rPr>
                <w:rStyle w:val="IndexLink"/>
                <w:rtl w:val="true"/>
              </w:rPr>
              <w:t>ه</w:t>
            </w:r>
            <w:r>
              <w:rPr>
                <w:rStyle w:val="IndexLink"/>
                <w:rtl w:val="true"/>
              </w:rPr>
              <w:t>)</w:t>
              <w:tab/>
            </w:r>
            <w:r>
              <w:rPr>
                <w:rStyle w:val="IndexLink"/>
              </w:rPr>
              <w:t>52</w:t>
            </w:r>
          </w:hyperlink>
        </w:p>
        <w:p>
          <w:pPr>
            <w:pStyle w:val="Contents4"/>
            <w:tabs>
              <w:tab w:val="clear" w:pos="8176"/>
              <w:tab w:val="right" w:pos="9026" w:leader="dot"/>
            </w:tabs>
            <w:rPr/>
          </w:pPr>
          <w:hyperlink w:anchor="__RefHeading___Toc633855_581953129">
            <w:r>
              <w:rPr>
                <w:webHidden/>
                <w:rStyle w:val="IndexLink"/>
              </w:rPr>
              <w:t>3</w:t>
            </w:r>
            <w:r>
              <w:rPr>
                <w:rStyle w:val="IndexLink"/>
                <w:rtl w:val="true"/>
              </w:rPr>
              <w:t xml:space="preserve">. </w:t>
            </w:r>
            <w:r>
              <w:rPr>
                <w:rStyle w:val="IndexLink"/>
                <w:rtl w:val="true"/>
              </w:rPr>
              <w:t xml:space="preserve">مجاهد بن جبر </w:t>
            </w:r>
            <w:r>
              <w:rPr>
                <w:rStyle w:val="IndexLink"/>
                <w:rtl w:val="true"/>
              </w:rPr>
              <w:t>(</w:t>
            </w:r>
            <w:r>
              <w:rPr>
                <w:rStyle w:val="IndexLink"/>
                <w:rtl w:val="true"/>
              </w:rPr>
              <w:t>ت</w:t>
            </w:r>
            <w:r>
              <w:rPr>
                <w:rStyle w:val="IndexLink"/>
              </w:rPr>
              <w:t>104</w:t>
            </w:r>
            <w:r>
              <w:rPr>
                <w:rStyle w:val="IndexLink"/>
                <w:rtl w:val="true"/>
              </w:rPr>
              <w:t>ه</w:t>
            </w:r>
            <w:r>
              <w:rPr>
                <w:rStyle w:val="IndexLink"/>
                <w:rtl w:val="true"/>
              </w:rPr>
              <w:t>)</w:t>
              <w:tab/>
            </w:r>
            <w:r>
              <w:rPr>
                <w:rStyle w:val="IndexLink"/>
              </w:rPr>
              <w:t>52</w:t>
            </w:r>
          </w:hyperlink>
        </w:p>
        <w:p>
          <w:pPr>
            <w:pStyle w:val="Contents4"/>
            <w:tabs>
              <w:tab w:val="clear" w:pos="8176"/>
              <w:tab w:val="right" w:pos="9026" w:leader="dot"/>
            </w:tabs>
            <w:rPr/>
          </w:pPr>
          <w:hyperlink w:anchor="__RefHeading___Toc633857_581953129">
            <w:r>
              <w:rPr>
                <w:webHidden/>
                <w:rStyle w:val="IndexLink"/>
              </w:rPr>
              <w:t>4</w:t>
            </w:r>
            <w:r>
              <w:rPr>
                <w:rStyle w:val="IndexLink"/>
                <w:rtl w:val="true"/>
              </w:rPr>
              <w:t xml:space="preserve">. </w:t>
            </w:r>
            <w:r>
              <w:rPr>
                <w:rStyle w:val="IndexLink"/>
                <w:rtl w:val="true"/>
              </w:rPr>
              <w:t xml:space="preserve">الفرّاء النحوی </w:t>
            </w:r>
            <w:r>
              <w:rPr>
                <w:rStyle w:val="IndexLink"/>
                <w:rtl w:val="true"/>
              </w:rPr>
              <w:t>(</w:t>
            </w:r>
            <w:r>
              <w:rPr>
                <w:rStyle w:val="IndexLink"/>
                <w:rtl w:val="true"/>
              </w:rPr>
              <w:t>ت</w:t>
            </w:r>
            <w:r>
              <w:rPr>
                <w:rStyle w:val="IndexLink"/>
              </w:rPr>
              <w:t>207</w:t>
            </w:r>
            <w:r>
              <w:rPr>
                <w:rStyle w:val="IndexLink"/>
                <w:rtl w:val="true"/>
              </w:rPr>
              <w:t xml:space="preserve"> </w:t>
            </w:r>
            <w:r>
              <w:rPr>
                <w:rStyle w:val="IndexLink"/>
                <w:rtl w:val="true"/>
              </w:rPr>
              <w:t>ه</w:t>
            </w:r>
            <w:r>
              <w:rPr>
                <w:rStyle w:val="IndexLink"/>
                <w:rtl w:val="true"/>
              </w:rPr>
              <w:t>)</w:t>
              <w:tab/>
            </w:r>
            <w:r>
              <w:rPr>
                <w:rStyle w:val="IndexLink"/>
              </w:rPr>
              <w:t>53</w:t>
            </w:r>
          </w:hyperlink>
        </w:p>
        <w:p>
          <w:pPr>
            <w:pStyle w:val="Contents4"/>
            <w:tabs>
              <w:tab w:val="clear" w:pos="8176"/>
              <w:tab w:val="right" w:pos="9026" w:leader="dot"/>
            </w:tabs>
            <w:rPr/>
          </w:pPr>
          <w:hyperlink w:anchor="__RefHeading___Toc633859_581953129">
            <w:r>
              <w:rPr>
                <w:webHidden/>
                <w:rStyle w:val="IndexLink"/>
              </w:rPr>
              <w:t>5</w:t>
            </w:r>
            <w:r>
              <w:rPr>
                <w:rStyle w:val="IndexLink"/>
                <w:rtl w:val="true"/>
              </w:rPr>
              <w:t xml:space="preserve">. </w:t>
            </w:r>
            <w:r>
              <w:rPr>
                <w:rStyle w:val="IndexLink"/>
                <w:rtl w:val="true"/>
              </w:rPr>
              <w:t xml:space="preserve">عَکرِمه </w:t>
            </w:r>
            <w:r>
              <w:rPr>
                <w:rStyle w:val="IndexLink"/>
                <w:rtl w:val="true"/>
              </w:rPr>
              <w:t>(</w:t>
            </w:r>
            <w:r>
              <w:rPr>
                <w:rStyle w:val="IndexLink"/>
                <w:rtl w:val="true"/>
              </w:rPr>
              <w:t>ت</w:t>
            </w:r>
            <w:r>
              <w:rPr>
                <w:rStyle w:val="IndexLink"/>
              </w:rPr>
              <w:t>105</w:t>
            </w:r>
            <w:r>
              <w:rPr>
                <w:rStyle w:val="IndexLink"/>
                <w:rtl w:val="true"/>
              </w:rPr>
              <w:t xml:space="preserve"> </w:t>
            </w:r>
            <w:r>
              <w:rPr>
                <w:rStyle w:val="IndexLink"/>
                <w:rtl w:val="true"/>
              </w:rPr>
              <w:t>ه</w:t>
            </w:r>
            <w:r>
              <w:rPr>
                <w:rStyle w:val="IndexLink"/>
                <w:rtl w:val="true"/>
              </w:rPr>
              <w:t>)</w:t>
              <w:tab/>
            </w:r>
            <w:r>
              <w:rPr>
                <w:rStyle w:val="IndexLink"/>
              </w:rPr>
              <w:t>53</w:t>
            </w:r>
          </w:hyperlink>
        </w:p>
        <w:p>
          <w:pPr>
            <w:pStyle w:val="Contents4"/>
            <w:tabs>
              <w:tab w:val="clear" w:pos="8176"/>
              <w:tab w:val="right" w:pos="9026" w:leader="dot"/>
            </w:tabs>
            <w:rPr/>
          </w:pPr>
          <w:hyperlink w:anchor="__RefHeading___Toc633861_581953129">
            <w:r>
              <w:rPr>
                <w:webHidden/>
                <w:rStyle w:val="IndexLink"/>
              </w:rPr>
              <w:t>6</w:t>
            </w:r>
            <w:r>
              <w:rPr>
                <w:rStyle w:val="IndexLink"/>
                <w:rtl w:val="true"/>
              </w:rPr>
              <w:t xml:space="preserve">. </w:t>
            </w:r>
            <w:r>
              <w:rPr>
                <w:rStyle w:val="IndexLink"/>
                <w:rtl w:val="true"/>
              </w:rPr>
              <w:t xml:space="preserve">ابن جریح </w:t>
            </w:r>
            <w:r>
              <w:rPr>
                <w:rStyle w:val="IndexLink"/>
                <w:rtl w:val="true"/>
              </w:rPr>
              <w:t>(</w:t>
            </w:r>
            <w:r>
              <w:rPr>
                <w:rStyle w:val="IndexLink"/>
                <w:rtl w:val="true"/>
              </w:rPr>
              <w:t>ت</w:t>
            </w:r>
            <w:r>
              <w:rPr>
                <w:rStyle w:val="IndexLink"/>
              </w:rPr>
              <w:t>105</w:t>
            </w:r>
            <w:r>
              <w:rPr>
                <w:rStyle w:val="IndexLink"/>
                <w:rtl w:val="true"/>
              </w:rPr>
              <w:t>ه</w:t>
            </w:r>
            <w:r>
              <w:rPr>
                <w:rStyle w:val="IndexLink"/>
                <w:rtl w:val="true"/>
              </w:rPr>
              <w:t>)</w:t>
              <w:tab/>
            </w:r>
            <w:r>
              <w:rPr>
                <w:rStyle w:val="IndexLink"/>
              </w:rPr>
              <w:t>53</w:t>
            </w:r>
          </w:hyperlink>
        </w:p>
        <w:p>
          <w:pPr>
            <w:pStyle w:val="Contents3"/>
            <w:tabs>
              <w:tab w:val="clear" w:pos="8459"/>
              <w:tab w:val="right" w:pos="9026" w:leader="dot"/>
            </w:tabs>
            <w:rPr/>
          </w:pPr>
          <w:hyperlink w:anchor="__RefHeading___Toc633863_581953129">
            <w:r>
              <w:rPr>
                <w:webHidden/>
                <w:rStyle w:val="IndexLink"/>
                <w:rtl w:val="true"/>
              </w:rPr>
              <w:t>الخلاصة</w:t>
            </w:r>
            <w:r>
              <w:rPr>
                <w:rStyle w:val="IndexLink"/>
                <w:rtl w:val="true"/>
              </w:rPr>
              <w:tab/>
            </w:r>
            <w:r>
              <w:rPr>
                <w:rStyle w:val="IndexLink"/>
              </w:rPr>
              <w:t>54</w:t>
            </w:r>
          </w:hyperlink>
        </w:p>
        <w:p>
          <w:pPr>
            <w:pStyle w:val="Contents3"/>
            <w:tabs>
              <w:tab w:val="clear" w:pos="8459"/>
              <w:tab w:val="right" w:pos="9026" w:leader="dot"/>
            </w:tabs>
            <w:rPr/>
          </w:pPr>
          <w:hyperlink w:anchor="__RefHeading___Toc633865_581953129">
            <w:r>
              <w:rPr>
                <w:webHidden/>
                <w:rStyle w:val="IndexLink"/>
                <w:rtl w:val="true"/>
              </w:rPr>
              <w:t>الأسئلة</w:t>
            </w:r>
            <w:r>
              <w:rPr>
                <w:rStyle w:val="IndexLink"/>
                <w:rtl w:val="true"/>
              </w:rPr>
              <w:tab/>
            </w:r>
            <w:r>
              <w:rPr>
                <w:rStyle w:val="IndexLink"/>
              </w:rPr>
              <w:t>55</w:t>
            </w:r>
          </w:hyperlink>
        </w:p>
        <w:p>
          <w:pPr>
            <w:pStyle w:val="Contents3"/>
            <w:tabs>
              <w:tab w:val="clear" w:pos="8459"/>
              <w:tab w:val="right" w:pos="9026" w:leader="dot"/>
            </w:tabs>
            <w:rPr/>
          </w:pPr>
          <w:hyperlink w:anchor="__RefHeading___Toc633867_581953129">
            <w:r>
              <w:rPr>
                <w:webHidden/>
                <w:rStyle w:val="IndexLink"/>
                <w:rtl w:val="true"/>
              </w:rPr>
              <w:t>البحث و التحقیق</w:t>
            </w:r>
            <w:r>
              <w:rPr>
                <w:rStyle w:val="IndexLink"/>
                <w:rtl w:val="true"/>
              </w:rPr>
              <w:tab/>
            </w:r>
            <w:r>
              <w:rPr>
                <w:rStyle w:val="IndexLink"/>
              </w:rPr>
              <w:t>55</w:t>
            </w:r>
          </w:hyperlink>
        </w:p>
        <w:p>
          <w:pPr>
            <w:pStyle w:val="Contents2"/>
            <w:tabs>
              <w:tab w:val="clear" w:pos="8743"/>
              <w:tab w:val="right" w:pos="9026" w:leader="dot"/>
            </w:tabs>
            <w:rPr/>
          </w:pPr>
          <w:hyperlink w:anchor="__RefHeading___Toc633869_581953129">
            <w:r>
              <w:rPr>
                <w:webHidden/>
                <w:rStyle w:val="IndexLink"/>
              </w:rPr>
              <w:t>2</w:t>
            </w:r>
            <w:r>
              <w:rPr>
                <w:rStyle w:val="IndexLink"/>
                <w:rtl w:val="true"/>
              </w:rPr>
              <w:t xml:space="preserve">- </w:t>
            </w:r>
            <w:r>
              <w:rPr>
                <w:rStyle w:val="IndexLink"/>
                <w:rtl w:val="true"/>
              </w:rPr>
              <w:t>التفسیر فی عصر الرسالة</w:t>
            </w:r>
            <w:r>
              <w:rPr>
                <w:rStyle w:val="IndexLink"/>
                <w:rtl w:val="true"/>
              </w:rPr>
              <w:tab/>
            </w:r>
            <w:r>
              <w:rPr>
                <w:rStyle w:val="IndexLink"/>
              </w:rPr>
              <w:t>56</w:t>
            </w:r>
          </w:hyperlink>
        </w:p>
        <w:p>
          <w:pPr>
            <w:pStyle w:val="Contents3"/>
            <w:tabs>
              <w:tab w:val="clear" w:pos="8459"/>
              <w:tab w:val="right" w:pos="9026" w:leader="dot"/>
            </w:tabs>
            <w:rPr/>
          </w:pPr>
          <w:hyperlink w:anchor="__RefHeading___Toc633871_581953129">
            <w:r>
              <w:rPr>
                <w:webHidden/>
                <w:rStyle w:val="IndexLink"/>
                <w:rtl w:val="true"/>
              </w:rPr>
              <w:t>اشارة</w:t>
            </w:r>
            <w:r>
              <w:rPr>
                <w:rStyle w:val="IndexLink"/>
                <w:rtl w:val="true"/>
              </w:rPr>
              <w:tab/>
            </w:r>
            <w:r>
              <w:rPr>
                <w:rStyle w:val="IndexLink"/>
              </w:rPr>
              <w:t>56</w:t>
            </w:r>
          </w:hyperlink>
        </w:p>
        <w:p>
          <w:pPr>
            <w:pStyle w:val="Contents3"/>
            <w:tabs>
              <w:tab w:val="clear" w:pos="8459"/>
              <w:tab w:val="right" w:pos="9026" w:leader="dot"/>
            </w:tabs>
            <w:rPr/>
          </w:pPr>
          <w:hyperlink w:anchor="__RefHeading___Toc633873_581953129">
            <w:r>
              <w:rPr>
                <w:webHidden/>
                <w:rStyle w:val="IndexLink"/>
                <w:rtl w:val="true"/>
              </w:rPr>
              <w:t>التفسیر فی عصر الرسالة</w:t>
            </w:r>
            <w:r>
              <w:rPr>
                <w:rStyle w:val="IndexLink"/>
                <w:rtl w:val="true"/>
              </w:rPr>
              <w:tab/>
            </w:r>
            <w:r>
              <w:rPr>
                <w:rStyle w:val="IndexLink"/>
              </w:rPr>
              <w:t>57</w:t>
            </w:r>
          </w:hyperlink>
        </w:p>
        <w:p>
          <w:pPr>
            <w:pStyle w:val="Contents3"/>
            <w:tabs>
              <w:tab w:val="clear" w:pos="8459"/>
              <w:tab w:val="right" w:pos="9026" w:leader="dot"/>
            </w:tabs>
            <w:rPr/>
          </w:pPr>
          <w:hyperlink w:anchor="__RefHeading___Toc633875_581953129">
            <w:r>
              <w:rPr>
                <w:webHidden/>
                <w:rStyle w:val="IndexLink"/>
                <w:rtl w:val="true"/>
              </w:rPr>
              <w:t>مدرسة الرسول التفسیریة</w:t>
            </w:r>
            <w:r>
              <w:rPr>
                <w:rStyle w:val="IndexLink"/>
                <w:rtl w:val="true"/>
              </w:rPr>
              <w:tab/>
            </w:r>
            <w:r>
              <w:rPr>
                <w:rStyle w:val="IndexLink"/>
              </w:rPr>
              <w:t>59</w:t>
            </w:r>
          </w:hyperlink>
        </w:p>
        <w:p>
          <w:pPr>
            <w:pStyle w:val="Contents4"/>
            <w:tabs>
              <w:tab w:val="clear" w:pos="8176"/>
              <w:tab w:val="right" w:pos="9026" w:leader="dot"/>
            </w:tabs>
            <w:rPr/>
          </w:pPr>
          <w:hyperlink w:anchor="__RefHeading___Toc633877_581953129">
            <w:r>
              <w:rPr>
                <w:webHidden/>
                <w:rStyle w:val="IndexLink"/>
                <w:rtl w:val="true"/>
              </w:rPr>
              <w:t>اشارة</w:t>
            </w:r>
            <w:r>
              <w:rPr>
                <w:rStyle w:val="IndexLink"/>
                <w:rtl w:val="true"/>
              </w:rPr>
              <w:tab/>
            </w:r>
            <w:r>
              <w:rPr>
                <w:rStyle w:val="IndexLink"/>
              </w:rPr>
              <w:t>59</w:t>
            </w:r>
          </w:hyperlink>
        </w:p>
        <w:p>
          <w:pPr>
            <w:pStyle w:val="Contents4"/>
            <w:tabs>
              <w:tab w:val="clear" w:pos="8176"/>
              <w:tab w:val="right" w:pos="9026" w:leader="dot"/>
            </w:tabs>
            <w:rPr/>
          </w:pPr>
          <w:hyperlink w:anchor="__RefHeading___Toc633879_581953129">
            <w:r>
              <w:rPr>
                <w:webHidden/>
                <w:rStyle w:val="IndexLink"/>
              </w:rPr>
              <w:t>1</w:t>
            </w:r>
            <w:r>
              <w:rPr>
                <w:rStyle w:val="IndexLink"/>
                <w:rtl w:val="true"/>
              </w:rPr>
              <w:t xml:space="preserve">. </w:t>
            </w:r>
            <w:r>
              <w:rPr>
                <w:rStyle w:val="IndexLink"/>
                <w:rtl w:val="true"/>
              </w:rPr>
              <w:t>الأسلوب العامّ</w:t>
            </w:r>
            <w:r>
              <w:rPr>
                <w:rStyle w:val="IndexLink"/>
                <w:rtl w:val="true"/>
              </w:rPr>
              <w:tab/>
            </w:r>
            <w:r>
              <w:rPr>
                <w:rStyle w:val="IndexLink"/>
              </w:rPr>
              <w:t>59</w:t>
            </w:r>
          </w:hyperlink>
        </w:p>
        <w:p>
          <w:pPr>
            <w:pStyle w:val="Contents5"/>
            <w:tabs>
              <w:tab w:val="clear" w:pos="7892"/>
              <w:tab w:val="right" w:pos="9026" w:leader="dot"/>
            </w:tabs>
            <w:rPr/>
          </w:pPr>
          <w:hyperlink w:anchor="__RefHeading___Toc633881_581953129">
            <w:r>
              <w:rPr>
                <w:webHidden/>
                <w:rStyle w:val="IndexLink"/>
                <w:rtl w:val="true"/>
              </w:rPr>
              <w:t>اشارة</w:t>
            </w:r>
            <w:r>
              <w:rPr>
                <w:rStyle w:val="IndexLink"/>
                <w:rtl w:val="true"/>
              </w:rPr>
              <w:tab/>
            </w:r>
            <w:r>
              <w:rPr>
                <w:rStyle w:val="IndexLink"/>
              </w:rPr>
              <w:t>59</w:t>
            </w:r>
          </w:hyperlink>
        </w:p>
        <w:p>
          <w:pPr>
            <w:pStyle w:val="Contents5"/>
            <w:tabs>
              <w:tab w:val="clear" w:pos="7892"/>
              <w:tab w:val="right" w:pos="9026" w:leader="dot"/>
            </w:tabs>
            <w:rPr/>
          </w:pPr>
          <w:hyperlink w:anchor="__RefHeading___Toc633883_581953129">
            <w:r>
              <w:rPr>
                <w:webHidden/>
                <w:rStyle w:val="IndexLink"/>
                <w:rtl w:val="true"/>
              </w:rPr>
              <w:t>أ</w:t>
            </w:r>
            <w:r>
              <w:rPr>
                <w:rStyle w:val="IndexLink"/>
                <w:rtl w:val="true"/>
              </w:rPr>
              <w:t xml:space="preserve">) </w:t>
            </w:r>
            <w:r>
              <w:rPr>
                <w:rStyle w:val="IndexLink"/>
                <w:rtl w:val="true"/>
              </w:rPr>
              <w:t>المحاورة</w:t>
            </w:r>
            <w:r>
              <w:rPr>
                <w:rStyle w:val="IndexLink"/>
                <w:rtl w:val="true"/>
              </w:rPr>
              <w:t>:</w:t>
              <w:tab/>
            </w:r>
            <w:r>
              <w:rPr>
                <w:rStyle w:val="IndexLink"/>
              </w:rPr>
              <w:t>59</w:t>
            </w:r>
          </w:hyperlink>
        </w:p>
        <w:p>
          <w:pPr>
            <w:pStyle w:val="Contents5"/>
            <w:tabs>
              <w:tab w:val="clear" w:pos="7892"/>
              <w:tab w:val="right" w:pos="9026" w:leader="dot"/>
            </w:tabs>
            <w:rPr/>
          </w:pPr>
          <w:hyperlink w:anchor="__RefHeading___Toc633885_581953129">
            <w:r>
              <w:rPr>
                <w:webHidden/>
                <w:rStyle w:val="IndexLink"/>
                <w:rtl w:val="true"/>
              </w:rPr>
              <w:t>ب</w:t>
            </w:r>
            <w:r>
              <w:rPr>
                <w:rStyle w:val="IndexLink"/>
                <w:rtl w:val="true"/>
              </w:rPr>
              <w:t xml:space="preserve">) </w:t>
            </w:r>
            <w:r>
              <w:rPr>
                <w:rStyle w:val="IndexLink"/>
                <w:rtl w:val="true"/>
              </w:rPr>
              <w:t>العملی</w:t>
            </w:r>
            <w:r>
              <w:rPr>
                <w:rStyle w:val="IndexLink"/>
                <w:rtl w:val="true"/>
              </w:rPr>
              <w:t>:</w:t>
              <w:tab/>
            </w:r>
            <w:r>
              <w:rPr>
                <w:rStyle w:val="IndexLink"/>
              </w:rPr>
              <w:t>60</w:t>
            </w:r>
          </w:hyperlink>
        </w:p>
        <w:p>
          <w:pPr>
            <w:pStyle w:val="Contents4"/>
            <w:tabs>
              <w:tab w:val="clear" w:pos="8176"/>
              <w:tab w:val="right" w:pos="9026" w:leader="dot"/>
            </w:tabs>
            <w:rPr/>
          </w:pPr>
          <w:hyperlink w:anchor="__RefHeading___Toc633887_581953129">
            <w:r>
              <w:rPr>
                <w:webHidden/>
                <w:rStyle w:val="IndexLink"/>
              </w:rPr>
              <w:t>2</w:t>
            </w:r>
            <w:r>
              <w:rPr>
                <w:rStyle w:val="IndexLink"/>
                <w:rtl w:val="true"/>
              </w:rPr>
              <w:t xml:space="preserve">. </w:t>
            </w:r>
            <w:r>
              <w:rPr>
                <w:rStyle w:val="IndexLink"/>
                <w:rtl w:val="true"/>
              </w:rPr>
              <w:t>الأسلوب الخاصّ وإعداد المفسرین</w:t>
            </w:r>
            <w:r>
              <w:rPr>
                <w:rStyle w:val="IndexLink"/>
                <w:rtl w:val="true"/>
              </w:rPr>
              <w:tab/>
            </w:r>
            <w:r>
              <w:rPr>
                <w:rStyle w:val="IndexLink"/>
              </w:rPr>
              <w:t>60</w:t>
            </w:r>
          </w:hyperlink>
        </w:p>
        <w:p>
          <w:pPr>
            <w:pStyle w:val="Contents3"/>
            <w:tabs>
              <w:tab w:val="clear" w:pos="8459"/>
              <w:tab w:val="right" w:pos="9026" w:leader="dot"/>
            </w:tabs>
            <w:rPr/>
          </w:pPr>
          <w:hyperlink w:anchor="__RefHeading___Toc633889_581953129">
            <w:r>
              <w:rPr>
                <w:webHidden/>
                <w:rStyle w:val="IndexLink"/>
                <w:rtl w:val="true"/>
              </w:rPr>
              <w:t>حجم الروایات التفسیریة المنسوبة للنبی صلّی الله علیه و آله</w:t>
            </w:r>
            <w:r>
              <w:rPr>
                <w:rStyle w:val="IndexLink"/>
                <w:rtl w:val="true"/>
              </w:rPr>
              <w:tab/>
            </w:r>
            <w:r>
              <w:rPr>
                <w:rStyle w:val="IndexLink"/>
              </w:rPr>
              <w:t>63</w:t>
            </w:r>
          </w:hyperlink>
        </w:p>
        <w:p>
          <w:pPr>
            <w:pStyle w:val="Contents3"/>
            <w:tabs>
              <w:tab w:val="clear" w:pos="8459"/>
              <w:tab w:val="right" w:pos="9026" w:leader="dot"/>
            </w:tabs>
            <w:rPr/>
          </w:pPr>
          <w:hyperlink w:anchor="__RefHeading___Toc633891_581953129">
            <w:r>
              <w:rPr>
                <w:webHidden/>
                <w:rStyle w:val="IndexLink"/>
                <w:rtl w:val="true"/>
              </w:rPr>
              <w:t>المدرسة التفسیریة العامَّة</w:t>
            </w:r>
            <w:r>
              <w:rPr>
                <w:rStyle w:val="IndexLink"/>
                <w:rtl w:val="true"/>
              </w:rPr>
              <w:tab/>
            </w:r>
            <w:r>
              <w:rPr>
                <w:rStyle w:val="IndexLink"/>
              </w:rPr>
              <w:t>68</w:t>
            </w:r>
          </w:hyperlink>
        </w:p>
        <w:p>
          <w:pPr>
            <w:pStyle w:val="Contents3"/>
            <w:tabs>
              <w:tab w:val="clear" w:pos="8459"/>
              <w:tab w:val="right" w:pos="9026" w:leader="dot"/>
            </w:tabs>
            <w:rPr/>
          </w:pPr>
          <w:hyperlink w:anchor="__RefHeading___Toc633893_581953129">
            <w:r>
              <w:rPr>
                <w:webHidden/>
                <w:rStyle w:val="IndexLink"/>
                <w:rtl w:val="true"/>
              </w:rPr>
              <w:t>المدرسة التفسیریة الخاصّة</w:t>
            </w:r>
            <w:r>
              <w:rPr>
                <w:rStyle w:val="IndexLink"/>
                <w:rtl w:val="true"/>
              </w:rPr>
              <w:tab/>
            </w:r>
            <w:r>
              <w:rPr>
                <w:rStyle w:val="IndexLink"/>
              </w:rPr>
              <w:t>68</w:t>
            </w:r>
          </w:hyperlink>
        </w:p>
        <w:p>
          <w:pPr>
            <w:pStyle w:val="Contents3"/>
            <w:tabs>
              <w:tab w:val="clear" w:pos="8459"/>
              <w:tab w:val="right" w:pos="9026" w:leader="dot"/>
            </w:tabs>
            <w:rPr/>
          </w:pPr>
          <w:hyperlink w:anchor="__RefHeading___Toc633895_581953129">
            <w:r>
              <w:rPr>
                <w:webHidden/>
                <w:rStyle w:val="IndexLink"/>
                <w:rtl w:val="true"/>
              </w:rPr>
              <w:t>أقسام التفسیر النبوی</w:t>
            </w:r>
            <w:r>
              <w:rPr>
                <w:rStyle w:val="IndexLink"/>
                <w:rtl w:val="true"/>
              </w:rPr>
              <w:tab/>
            </w:r>
            <w:r>
              <w:rPr>
                <w:rStyle w:val="IndexLink"/>
              </w:rPr>
              <w:t>71</w:t>
            </w:r>
          </w:hyperlink>
        </w:p>
        <w:p>
          <w:pPr>
            <w:pStyle w:val="Contents4"/>
            <w:tabs>
              <w:tab w:val="clear" w:pos="8176"/>
              <w:tab w:val="right" w:pos="9026" w:leader="dot"/>
            </w:tabs>
            <w:rPr/>
          </w:pPr>
          <w:hyperlink w:anchor="__RefHeading___Toc633897_581953129">
            <w:r>
              <w:rPr>
                <w:webHidden/>
                <w:rStyle w:val="IndexLink"/>
              </w:rPr>
              <w:t>1</w:t>
            </w:r>
            <w:r>
              <w:rPr>
                <w:rStyle w:val="IndexLink"/>
                <w:rtl w:val="true"/>
              </w:rPr>
              <w:t xml:space="preserve">. </w:t>
            </w:r>
            <w:r>
              <w:rPr>
                <w:rStyle w:val="IndexLink"/>
                <w:rtl w:val="true"/>
              </w:rPr>
              <w:t>شرح المصطلاحات القرآنیة</w:t>
            </w:r>
            <w:r>
              <w:rPr>
                <w:rStyle w:val="IndexLink"/>
                <w:rtl w:val="true"/>
              </w:rPr>
              <w:tab/>
            </w:r>
            <w:r>
              <w:rPr>
                <w:rStyle w:val="IndexLink"/>
              </w:rPr>
              <w:t>71</w:t>
            </w:r>
          </w:hyperlink>
        </w:p>
        <w:p>
          <w:pPr>
            <w:pStyle w:val="Contents4"/>
            <w:tabs>
              <w:tab w:val="clear" w:pos="8176"/>
              <w:tab w:val="right" w:pos="9026" w:leader="dot"/>
            </w:tabs>
            <w:rPr/>
          </w:pPr>
          <w:hyperlink w:anchor="__RefHeading___Toc633899_581953129">
            <w:r>
              <w:rPr>
                <w:webHidden/>
                <w:rStyle w:val="IndexLink"/>
              </w:rPr>
              <w:t>2</w:t>
            </w:r>
            <w:r>
              <w:rPr>
                <w:rStyle w:val="IndexLink"/>
                <w:rtl w:val="true"/>
              </w:rPr>
              <w:t xml:space="preserve">. </w:t>
            </w:r>
            <w:r>
              <w:rPr>
                <w:rStyle w:val="IndexLink"/>
                <w:rtl w:val="true"/>
              </w:rPr>
              <w:t>شرح معانی الألفاظ</w:t>
            </w:r>
            <w:r>
              <w:rPr>
                <w:rStyle w:val="IndexLink"/>
                <w:rtl w:val="true"/>
              </w:rPr>
              <w:tab/>
            </w:r>
            <w:r>
              <w:rPr>
                <w:rStyle w:val="IndexLink"/>
              </w:rPr>
              <w:t>72</w:t>
            </w:r>
          </w:hyperlink>
        </w:p>
        <w:p>
          <w:pPr>
            <w:pStyle w:val="Contents4"/>
            <w:tabs>
              <w:tab w:val="clear" w:pos="8176"/>
              <w:tab w:val="right" w:pos="9026" w:leader="dot"/>
            </w:tabs>
            <w:rPr/>
          </w:pPr>
          <w:hyperlink w:anchor="__RefHeading___Toc633901_581953129">
            <w:r>
              <w:rPr>
                <w:webHidden/>
                <w:rStyle w:val="IndexLink"/>
              </w:rPr>
              <w:t>3</w:t>
            </w:r>
            <w:r>
              <w:rPr>
                <w:rStyle w:val="IndexLink"/>
                <w:rtl w:val="true"/>
              </w:rPr>
              <w:t xml:space="preserve">. </w:t>
            </w:r>
            <w:r>
              <w:rPr>
                <w:rStyle w:val="IndexLink"/>
                <w:rtl w:val="true"/>
              </w:rPr>
              <w:t>تقیید المُطلق</w:t>
            </w:r>
            <w:r>
              <w:rPr>
                <w:rStyle w:val="IndexLink"/>
                <w:rtl w:val="true"/>
              </w:rPr>
              <w:tab/>
            </w:r>
            <w:r>
              <w:rPr>
                <w:rStyle w:val="IndexLink"/>
              </w:rPr>
              <w:t>73</w:t>
            </w:r>
          </w:hyperlink>
        </w:p>
        <w:p>
          <w:pPr>
            <w:pStyle w:val="Contents4"/>
            <w:tabs>
              <w:tab w:val="clear" w:pos="8176"/>
              <w:tab w:val="right" w:pos="9026" w:leader="dot"/>
            </w:tabs>
            <w:rPr/>
          </w:pPr>
          <w:hyperlink w:anchor="__RefHeading___Toc633903_581953129">
            <w:r>
              <w:rPr>
                <w:webHidden/>
                <w:rStyle w:val="IndexLink"/>
              </w:rPr>
              <w:t>4</w:t>
            </w:r>
            <w:r>
              <w:rPr>
                <w:rStyle w:val="IndexLink"/>
                <w:rtl w:val="true"/>
              </w:rPr>
              <w:t xml:space="preserve">. </w:t>
            </w:r>
            <w:r>
              <w:rPr>
                <w:rStyle w:val="IndexLink"/>
                <w:rtl w:val="true"/>
              </w:rPr>
              <w:t>تخصیص العامّ</w:t>
            </w:r>
            <w:r>
              <w:rPr>
                <w:rStyle w:val="IndexLink"/>
                <w:rtl w:val="true"/>
              </w:rPr>
              <w:tab/>
            </w:r>
            <w:r>
              <w:rPr>
                <w:rStyle w:val="IndexLink"/>
              </w:rPr>
              <w:t>74</w:t>
            </w:r>
          </w:hyperlink>
        </w:p>
        <w:p>
          <w:pPr>
            <w:pStyle w:val="Contents4"/>
            <w:tabs>
              <w:tab w:val="clear" w:pos="8176"/>
              <w:tab w:val="right" w:pos="9026" w:leader="dot"/>
            </w:tabs>
            <w:rPr/>
          </w:pPr>
          <w:hyperlink w:anchor="__RefHeading___Toc633905_581953129">
            <w:r>
              <w:rPr>
                <w:webHidden/>
                <w:rStyle w:val="IndexLink"/>
              </w:rPr>
              <w:t>5</w:t>
            </w:r>
            <w:r>
              <w:rPr>
                <w:rStyle w:val="IndexLink"/>
                <w:rtl w:val="true"/>
              </w:rPr>
              <w:t xml:space="preserve">. </w:t>
            </w:r>
            <w:r>
              <w:rPr>
                <w:rStyle w:val="IndexLink"/>
                <w:rtl w:val="true"/>
              </w:rPr>
              <w:t>تفسیر القرآن بالقرآن</w:t>
            </w:r>
            <w:r>
              <w:rPr>
                <w:rStyle w:val="IndexLink"/>
                <w:rtl w:val="true"/>
              </w:rPr>
              <w:tab/>
            </w:r>
            <w:r>
              <w:rPr>
                <w:rStyle w:val="IndexLink"/>
              </w:rPr>
              <w:t>74</w:t>
            </w:r>
          </w:hyperlink>
        </w:p>
        <w:p>
          <w:pPr>
            <w:pStyle w:val="Contents4"/>
            <w:tabs>
              <w:tab w:val="clear" w:pos="8176"/>
              <w:tab w:val="right" w:pos="9026" w:leader="dot"/>
            </w:tabs>
            <w:rPr/>
          </w:pPr>
          <w:hyperlink w:anchor="__RefHeading___Toc633907_581953129">
            <w:r>
              <w:rPr>
                <w:webHidden/>
                <w:rStyle w:val="IndexLink"/>
              </w:rPr>
              <w:t>6</w:t>
            </w:r>
            <w:r>
              <w:rPr>
                <w:rStyle w:val="IndexLink"/>
                <w:rtl w:val="true"/>
              </w:rPr>
              <w:t xml:space="preserve">. </w:t>
            </w:r>
            <w:r>
              <w:rPr>
                <w:rStyle w:val="IndexLink"/>
                <w:rtl w:val="true"/>
              </w:rPr>
              <w:t>بیان المعارف القرآنیه</w:t>
            </w:r>
            <w:r>
              <w:rPr>
                <w:rStyle w:val="IndexLink"/>
                <w:rtl w:val="true"/>
              </w:rPr>
              <w:tab/>
            </w:r>
            <w:r>
              <w:rPr>
                <w:rStyle w:val="IndexLink"/>
              </w:rPr>
              <w:t>75</w:t>
            </w:r>
          </w:hyperlink>
        </w:p>
        <w:p>
          <w:pPr>
            <w:pStyle w:val="Contents5"/>
            <w:tabs>
              <w:tab w:val="clear" w:pos="7892"/>
              <w:tab w:val="right" w:pos="9026" w:leader="dot"/>
            </w:tabs>
            <w:rPr/>
          </w:pPr>
          <w:hyperlink w:anchor="__RefHeading___Toc633909_581953129">
            <w:r>
              <w:rPr>
                <w:webHidden/>
                <w:rStyle w:val="IndexLink"/>
                <w:rtl w:val="true"/>
              </w:rPr>
              <w:t>أ</w:t>
            </w:r>
            <w:r>
              <w:rPr>
                <w:rStyle w:val="IndexLink"/>
                <w:rtl w:val="true"/>
              </w:rPr>
              <w:t xml:space="preserve">) </w:t>
            </w:r>
            <w:r>
              <w:rPr>
                <w:rStyle w:val="IndexLink"/>
                <w:rtl w:val="true"/>
              </w:rPr>
              <w:t>محطّات أخلاقیة</w:t>
            </w:r>
            <w:r>
              <w:rPr>
                <w:rStyle w:val="IndexLink"/>
                <w:rtl w:val="true"/>
              </w:rPr>
              <w:tab/>
            </w:r>
            <w:r>
              <w:rPr>
                <w:rStyle w:val="IndexLink"/>
              </w:rPr>
              <w:t>75</w:t>
            </w:r>
          </w:hyperlink>
        </w:p>
        <w:p>
          <w:pPr>
            <w:pStyle w:val="Contents5"/>
            <w:tabs>
              <w:tab w:val="clear" w:pos="7892"/>
              <w:tab w:val="right" w:pos="9026" w:leader="dot"/>
            </w:tabs>
            <w:rPr/>
          </w:pPr>
          <w:hyperlink w:anchor="__RefHeading___Toc633911_581953129">
            <w:r>
              <w:rPr>
                <w:webHidden/>
                <w:rStyle w:val="IndexLink"/>
                <w:rtl w:val="true"/>
              </w:rPr>
              <w:t>ب</w:t>
            </w:r>
            <w:r>
              <w:rPr>
                <w:rStyle w:val="IndexLink"/>
                <w:rtl w:val="true"/>
              </w:rPr>
              <w:t xml:space="preserve">) </w:t>
            </w:r>
            <w:r>
              <w:rPr>
                <w:rStyle w:val="IndexLink"/>
                <w:rtl w:val="true"/>
              </w:rPr>
              <w:t>الإمامة و الولایة</w:t>
            </w:r>
            <w:r>
              <w:rPr>
                <w:rStyle w:val="IndexLink"/>
                <w:rtl w:val="true"/>
              </w:rPr>
              <w:tab/>
            </w:r>
            <w:r>
              <w:rPr>
                <w:rStyle w:val="IndexLink"/>
              </w:rPr>
              <w:t>76</w:t>
            </w:r>
          </w:hyperlink>
        </w:p>
        <w:p>
          <w:pPr>
            <w:pStyle w:val="Contents5"/>
            <w:tabs>
              <w:tab w:val="clear" w:pos="7892"/>
              <w:tab w:val="right" w:pos="9026" w:leader="dot"/>
            </w:tabs>
            <w:rPr/>
          </w:pPr>
          <w:hyperlink w:anchor="__RefHeading___Toc633913_581953129">
            <w:r>
              <w:rPr>
                <w:webHidden/>
                <w:rStyle w:val="IndexLink"/>
                <w:rtl w:val="true"/>
              </w:rPr>
              <w:t>ج</w:t>
            </w:r>
            <w:r>
              <w:rPr>
                <w:rStyle w:val="IndexLink"/>
                <w:rtl w:val="true"/>
              </w:rPr>
              <w:t xml:space="preserve">) </w:t>
            </w:r>
            <w:r>
              <w:rPr>
                <w:rStyle w:val="IndexLink"/>
                <w:rtl w:val="true"/>
              </w:rPr>
              <w:t>خصائص جهنّم</w:t>
            </w:r>
            <w:r>
              <w:rPr>
                <w:rStyle w:val="IndexLink"/>
                <w:rtl w:val="true"/>
              </w:rPr>
              <w:tab/>
            </w:r>
            <w:r>
              <w:rPr>
                <w:rStyle w:val="IndexLink"/>
              </w:rPr>
              <w:t>77</w:t>
            </w:r>
          </w:hyperlink>
        </w:p>
        <w:p>
          <w:pPr>
            <w:pStyle w:val="Contents3"/>
            <w:tabs>
              <w:tab w:val="clear" w:pos="8459"/>
              <w:tab w:val="right" w:pos="9026" w:leader="dot"/>
            </w:tabs>
            <w:rPr/>
          </w:pPr>
          <w:hyperlink w:anchor="__RefHeading___Toc633915_581953129">
            <w:r>
              <w:rPr>
                <w:webHidden/>
                <w:rStyle w:val="IndexLink"/>
                <w:rtl w:val="true"/>
              </w:rPr>
              <w:t>الخلاصة</w:t>
            </w:r>
            <w:r>
              <w:rPr>
                <w:rStyle w:val="IndexLink"/>
                <w:rtl w:val="true"/>
              </w:rPr>
              <w:tab/>
            </w:r>
            <w:r>
              <w:rPr>
                <w:rStyle w:val="IndexLink"/>
              </w:rPr>
              <w:t>78</w:t>
            </w:r>
          </w:hyperlink>
        </w:p>
        <w:p>
          <w:pPr>
            <w:pStyle w:val="Contents3"/>
            <w:tabs>
              <w:tab w:val="clear" w:pos="8459"/>
              <w:tab w:val="right" w:pos="9026" w:leader="dot"/>
            </w:tabs>
            <w:rPr/>
          </w:pPr>
          <w:hyperlink w:anchor="__RefHeading___Toc633917_581953129">
            <w:r>
              <w:rPr>
                <w:webHidden/>
                <w:rStyle w:val="IndexLink"/>
                <w:rtl w:val="true"/>
              </w:rPr>
              <w:t>الأسئلة</w:t>
            </w:r>
            <w:r>
              <w:rPr>
                <w:rStyle w:val="IndexLink"/>
                <w:rtl w:val="true"/>
              </w:rPr>
              <w:tab/>
            </w:r>
            <w:r>
              <w:rPr>
                <w:rStyle w:val="IndexLink"/>
              </w:rPr>
              <w:t>79</w:t>
            </w:r>
          </w:hyperlink>
        </w:p>
        <w:p>
          <w:pPr>
            <w:pStyle w:val="Contents3"/>
            <w:tabs>
              <w:tab w:val="clear" w:pos="8459"/>
              <w:tab w:val="right" w:pos="9026" w:leader="dot"/>
            </w:tabs>
            <w:rPr/>
          </w:pPr>
          <w:hyperlink w:anchor="__RefHeading___Toc633919_581953129">
            <w:r>
              <w:rPr>
                <w:webHidden/>
                <w:rStyle w:val="IndexLink"/>
                <w:rtl w:val="true"/>
              </w:rPr>
              <w:t>البحث و التحقیق</w:t>
            </w:r>
            <w:r>
              <w:rPr>
                <w:rStyle w:val="IndexLink"/>
                <w:rtl w:val="true"/>
              </w:rPr>
              <w:tab/>
            </w:r>
            <w:r>
              <w:rPr>
                <w:rStyle w:val="IndexLink"/>
              </w:rPr>
              <w:t>79</w:t>
            </w:r>
          </w:hyperlink>
        </w:p>
        <w:p>
          <w:pPr>
            <w:pStyle w:val="Contents2"/>
            <w:tabs>
              <w:tab w:val="clear" w:pos="8743"/>
              <w:tab w:val="right" w:pos="9026" w:leader="dot"/>
            </w:tabs>
            <w:rPr/>
          </w:pPr>
          <w:hyperlink w:anchor="__RefHeading___Toc633921_581953129">
            <w:r>
              <w:rPr>
                <w:webHidden/>
                <w:rStyle w:val="IndexLink"/>
              </w:rPr>
              <w:t>3</w:t>
            </w:r>
            <w:r>
              <w:rPr>
                <w:rStyle w:val="IndexLink"/>
                <w:rtl w:val="true"/>
              </w:rPr>
              <w:t xml:space="preserve">- </w:t>
            </w:r>
            <w:r>
              <w:rPr>
                <w:rStyle w:val="IndexLink"/>
                <w:rtl w:val="true"/>
              </w:rPr>
              <w:t>التفسیر فی عصر الصحابة</w:t>
            </w:r>
            <w:r>
              <w:rPr>
                <w:rStyle w:val="IndexLink"/>
                <w:rtl w:val="true"/>
              </w:rPr>
              <w:tab/>
            </w:r>
            <w:r>
              <w:rPr>
                <w:rStyle w:val="IndexLink"/>
              </w:rPr>
              <w:t>83</w:t>
            </w:r>
          </w:hyperlink>
        </w:p>
        <w:p>
          <w:pPr>
            <w:pStyle w:val="Contents3"/>
            <w:tabs>
              <w:tab w:val="clear" w:pos="8459"/>
              <w:tab w:val="right" w:pos="9026" w:leader="dot"/>
            </w:tabs>
            <w:rPr/>
          </w:pPr>
          <w:hyperlink w:anchor="__RefHeading___Toc633923_581953129">
            <w:r>
              <w:rPr>
                <w:webHidden/>
                <w:rStyle w:val="IndexLink"/>
                <w:rtl w:val="true"/>
              </w:rPr>
              <w:t>اشارة</w:t>
            </w:r>
            <w:r>
              <w:rPr>
                <w:rStyle w:val="IndexLink"/>
                <w:rtl w:val="true"/>
              </w:rPr>
              <w:tab/>
            </w:r>
            <w:r>
              <w:rPr>
                <w:rStyle w:val="IndexLink"/>
              </w:rPr>
              <w:t>83</w:t>
            </w:r>
          </w:hyperlink>
        </w:p>
        <w:p>
          <w:pPr>
            <w:pStyle w:val="Contents3"/>
            <w:tabs>
              <w:tab w:val="clear" w:pos="8459"/>
              <w:tab w:val="right" w:pos="9026" w:leader="dot"/>
            </w:tabs>
            <w:rPr/>
          </w:pPr>
          <w:hyperlink w:anchor="__RefHeading___Toc633925_581953129">
            <w:r>
              <w:rPr>
                <w:webHidden/>
                <w:rStyle w:val="IndexLink"/>
                <w:rtl w:val="true"/>
              </w:rPr>
              <w:t>التفسیر فی عصر الصحابة</w:t>
            </w:r>
            <w:r>
              <w:rPr>
                <w:rStyle w:val="IndexLink"/>
                <w:rtl w:val="true"/>
              </w:rPr>
              <w:tab/>
            </w:r>
            <w:r>
              <w:rPr>
                <w:rStyle w:val="IndexLink"/>
              </w:rPr>
              <w:t>83</w:t>
            </w:r>
          </w:hyperlink>
        </w:p>
        <w:p>
          <w:pPr>
            <w:pStyle w:val="Contents3"/>
            <w:tabs>
              <w:tab w:val="clear" w:pos="8459"/>
              <w:tab w:val="right" w:pos="9026" w:leader="dot"/>
            </w:tabs>
            <w:rPr/>
          </w:pPr>
          <w:hyperlink w:anchor="__RefHeading___Toc633927_581953129">
            <w:r>
              <w:rPr>
                <w:webHidden/>
                <w:rStyle w:val="IndexLink"/>
                <w:rtl w:val="true"/>
              </w:rPr>
              <w:t>تعریف الصحابی</w:t>
            </w:r>
            <w:r>
              <w:rPr>
                <w:rStyle w:val="IndexLink"/>
                <w:rtl w:val="true"/>
              </w:rPr>
              <w:tab/>
            </w:r>
            <w:r>
              <w:rPr>
                <w:rStyle w:val="IndexLink"/>
              </w:rPr>
              <w:t>83</w:t>
            </w:r>
          </w:hyperlink>
        </w:p>
        <w:p>
          <w:pPr>
            <w:pStyle w:val="Contents4"/>
            <w:tabs>
              <w:tab w:val="clear" w:pos="8176"/>
              <w:tab w:val="right" w:pos="9026" w:leader="dot"/>
            </w:tabs>
            <w:rPr/>
          </w:pPr>
          <w:hyperlink w:anchor="__RefHeading___Toc633929_581953129">
            <w:r>
              <w:rPr>
                <w:webHidden/>
                <w:rStyle w:val="IndexLink"/>
                <w:rtl w:val="true"/>
              </w:rPr>
              <w:t>اشارة</w:t>
            </w:r>
            <w:r>
              <w:rPr>
                <w:rStyle w:val="IndexLink"/>
                <w:rtl w:val="true"/>
              </w:rPr>
              <w:tab/>
            </w:r>
            <w:r>
              <w:rPr>
                <w:rStyle w:val="IndexLink"/>
              </w:rPr>
              <w:t>83</w:t>
            </w:r>
          </w:hyperlink>
        </w:p>
        <w:p>
          <w:pPr>
            <w:pStyle w:val="Contents4"/>
            <w:tabs>
              <w:tab w:val="clear" w:pos="8176"/>
              <w:tab w:val="right" w:pos="9026" w:leader="dot"/>
            </w:tabs>
            <w:rPr/>
          </w:pPr>
          <w:hyperlink w:anchor="__RefHeading___Toc633931_581953129">
            <w:r>
              <w:rPr>
                <w:webHidden/>
                <w:rStyle w:val="IndexLink"/>
                <w:rtl w:val="true"/>
              </w:rPr>
              <w:t>الأول</w:t>
            </w:r>
            <w:r>
              <w:rPr>
                <w:rStyle w:val="IndexLink"/>
                <w:rtl w:val="true"/>
              </w:rPr>
              <w:t xml:space="preserve">: </w:t>
            </w:r>
            <w:r>
              <w:rPr>
                <w:rStyle w:val="IndexLink"/>
                <w:rtl w:val="true"/>
              </w:rPr>
              <w:t>الإمام علی بن أبی طالب علیه السّلام</w:t>
            </w:r>
            <w:r>
              <w:rPr>
                <w:rStyle w:val="IndexLink"/>
                <w:rtl w:val="true"/>
              </w:rPr>
              <w:tab/>
            </w:r>
            <w:r>
              <w:rPr>
                <w:rStyle w:val="IndexLink"/>
              </w:rPr>
              <w:t>86</w:t>
            </w:r>
          </w:hyperlink>
        </w:p>
        <w:p>
          <w:pPr>
            <w:pStyle w:val="Contents5"/>
            <w:tabs>
              <w:tab w:val="clear" w:pos="7892"/>
              <w:tab w:val="right" w:pos="9026" w:leader="dot"/>
            </w:tabs>
            <w:rPr/>
          </w:pPr>
          <w:hyperlink w:anchor="__RefHeading___Toc633933_581953129">
            <w:r>
              <w:rPr>
                <w:webHidden/>
                <w:rStyle w:val="IndexLink"/>
                <w:rtl w:val="true"/>
              </w:rPr>
              <w:t>اشارة</w:t>
            </w:r>
            <w:r>
              <w:rPr>
                <w:rStyle w:val="IndexLink"/>
                <w:rtl w:val="true"/>
              </w:rPr>
              <w:tab/>
            </w:r>
            <w:r>
              <w:rPr>
                <w:rStyle w:val="IndexLink"/>
              </w:rPr>
              <w:t>86</w:t>
            </w:r>
          </w:hyperlink>
        </w:p>
        <w:p>
          <w:pPr>
            <w:pStyle w:val="Contents5"/>
            <w:tabs>
              <w:tab w:val="clear" w:pos="7892"/>
              <w:tab w:val="right" w:pos="9026" w:leader="dot"/>
            </w:tabs>
            <w:rPr/>
          </w:pPr>
          <w:hyperlink w:anchor="__RefHeading___Toc633935_581953129">
            <w:r>
              <w:rPr>
                <w:webHidden/>
                <w:rStyle w:val="IndexLink"/>
                <w:rtl w:val="true"/>
              </w:rPr>
              <w:t>أقوال رسول الله صلّی الله علیه و آله فیما یخصُّ علم علی علیه السّلام</w:t>
            </w:r>
            <w:r>
              <w:rPr>
                <w:rStyle w:val="IndexLink"/>
                <w:rtl w:val="true"/>
              </w:rPr>
              <w:tab/>
            </w:r>
            <w:r>
              <w:rPr>
                <w:rStyle w:val="IndexLink"/>
              </w:rPr>
              <w:t>87</w:t>
            </w:r>
          </w:hyperlink>
        </w:p>
        <w:p>
          <w:pPr>
            <w:pStyle w:val="Contents5"/>
            <w:tabs>
              <w:tab w:val="clear" w:pos="7892"/>
              <w:tab w:val="right" w:pos="9026" w:leader="dot"/>
            </w:tabs>
            <w:rPr/>
          </w:pPr>
          <w:hyperlink w:anchor="__RefHeading___Toc633937_581953129">
            <w:r>
              <w:rPr>
                <w:webHidden/>
                <w:rStyle w:val="IndexLink"/>
                <w:rtl w:val="true"/>
              </w:rPr>
              <w:t>علم علی علی لسان علی علیه السّلام</w:t>
            </w:r>
            <w:r>
              <w:rPr>
                <w:rStyle w:val="IndexLink"/>
                <w:rtl w:val="true"/>
              </w:rPr>
              <w:tab/>
            </w:r>
            <w:r>
              <w:rPr>
                <w:rStyle w:val="IndexLink"/>
              </w:rPr>
              <w:t>89</w:t>
            </w:r>
          </w:hyperlink>
        </w:p>
        <w:p>
          <w:pPr>
            <w:pStyle w:val="Contents5"/>
            <w:tabs>
              <w:tab w:val="clear" w:pos="7892"/>
              <w:tab w:val="right" w:pos="9026" w:leader="dot"/>
            </w:tabs>
            <w:rPr/>
          </w:pPr>
          <w:hyperlink w:anchor="__RefHeading___Toc633939_581953129">
            <w:r>
              <w:rPr>
                <w:webHidden/>
                <w:rStyle w:val="IndexLink"/>
                <w:rtl w:val="true"/>
              </w:rPr>
              <w:t>رأی الصحابة حول علم علی علیه السّلام</w:t>
            </w:r>
            <w:r>
              <w:rPr>
                <w:rStyle w:val="IndexLink"/>
                <w:rtl w:val="true"/>
              </w:rPr>
              <w:tab/>
            </w:r>
            <w:r>
              <w:rPr>
                <w:rStyle w:val="IndexLink"/>
              </w:rPr>
              <w:t>90</w:t>
            </w:r>
          </w:hyperlink>
        </w:p>
        <w:p>
          <w:pPr>
            <w:pStyle w:val="Contents4"/>
            <w:tabs>
              <w:tab w:val="clear" w:pos="8176"/>
              <w:tab w:val="right" w:pos="9026" w:leader="dot"/>
            </w:tabs>
            <w:rPr/>
          </w:pPr>
          <w:hyperlink w:anchor="__RefHeading___Toc633941_581953129">
            <w:r>
              <w:rPr>
                <w:webHidden/>
                <w:rStyle w:val="IndexLink"/>
                <w:rtl w:val="true"/>
              </w:rPr>
              <w:t>الثانی</w:t>
            </w:r>
            <w:r>
              <w:rPr>
                <w:rStyle w:val="IndexLink"/>
                <w:rtl w:val="true"/>
              </w:rPr>
              <w:t xml:space="preserve">: </w:t>
            </w:r>
            <w:r>
              <w:rPr>
                <w:rStyle w:val="IndexLink"/>
                <w:rtl w:val="true"/>
              </w:rPr>
              <w:t>عبد الله بن عبّاس</w:t>
            </w:r>
            <w:r>
              <w:rPr>
                <w:rStyle w:val="IndexLink"/>
                <w:rtl w:val="true"/>
              </w:rPr>
              <w:tab/>
            </w:r>
            <w:r>
              <w:rPr>
                <w:rStyle w:val="IndexLink"/>
              </w:rPr>
              <w:t>92</w:t>
            </w:r>
          </w:hyperlink>
        </w:p>
        <w:p>
          <w:pPr>
            <w:pStyle w:val="Contents5"/>
            <w:tabs>
              <w:tab w:val="clear" w:pos="7892"/>
              <w:tab w:val="right" w:pos="9026" w:leader="dot"/>
            </w:tabs>
            <w:rPr/>
          </w:pPr>
          <w:hyperlink w:anchor="__RefHeading___Toc633943_581953129">
            <w:r>
              <w:rPr>
                <w:webHidden/>
                <w:rStyle w:val="IndexLink"/>
                <w:rtl w:val="true"/>
              </w:rPr>
              <w:t>اشارة</w:t>
            </w:r>
            <w:r>
              <w:rPr>
                <w:rStyle w:val="IndexLink"/>
                <w:rtl w:val="true"/>
              </w:rPr>
              <w:tab/>
            </w:r>
            <w:r>
              <w:rPr>
                <w:rStyle w:val="IndexLink"/>
              </w:rPr>
              <w:t>92</w:t>
            </w:r>
          </w:hyperlink>
        </w:p>
        <w:p>
          <w:pPr>
            <w:pStyle w:val="Contents5"/>
            <w:tabs>
              <w:tab w:val="clear" w:pos="7892"/>
              <w:tab w:val="right" w:pos="9026" w:leader="dot"/>
            </w:tabs>
            <w:rPr/>
          </w:pPr>
          <w:hyperlink w:anchor="__RefHeading___Toc633945_581953129">
            <w:r>
              <w:rPr>
                <w:webHidden/>
                <w:rStyle w:val="IndexLink"/>
                <w:rtl w:val="true"/>
              </w:rPr>
              <w:t>ابن عباس مفسراً</w:t>
            </w:r>
            <w:r>
              <w:rPr>
                <w:rStyle w:val="IndexLink"/>
                <w:rtl w:val="true"/>
              </w:rPr>
              <w:tab/>
            </w:r>
            <w:r>
              <w:rPr>
                <w:rStyle w:val="IndexLink"/>
              </w:rPr>
              <w:t>93</w:t>
            </w:r>
          </w:hyperlink>
        </w:p>
        <w:p>
          <w:pPr>
            <w:pStyle w:val="Contents5"/>
            <w:tabs>
              <w:tab w:val="clear" w:pos="7892"/>
              <w:tab w:val="right" w:pos="9026" w:leader="dot"/>
            </w:tabs>
            <w:rPr/>
          </w:pPr>
          <w:hyperlink w:anchor="__RefHeading___Toc633947_581953129">
            <w:r>
              <w:rPr>
                <w:webHidden/>
                <w:rStyle w:val="IndexLink"/>
                <w:rtl w:val="true"/>
              </w:rPr>
              <w:t>ابن عبّاس وولایة علی علیه السّلام</w:t>
            </w:r>
            <w:r>
              <w:rPr>
                <w:rStyle w:val="IndexLink"/>
                <w:rtl w:val="true"/>
              </w:rPr>
              <w:t>:</w:t>
              <w:tab/>
            </w:r>
            <w:r>
              <w:rPr>
                <w:rStyle w:val="IndexLink"/>
              </w:rPr>
              <w:t>94</w:t>
            </w:r>
          </w:hyperlink>
        </w:p>
        <w:p>
          <w:pPr>
            <w:pStyle w:val="Contents5"/>
            <w:tabs>
              <w:tab w:val="clear" w:pos="7892"/>
              <w:tab w:val="right" w:pos="9026" w:leader="dot"/>
            </w:tabs>
            <w:rPr/>
          </w:pPr>
          <w:hyperlink w:anchor="__RefHeading___Toc633949_581953129">
            <w:r>
              <w:rPr>
                <w:webHidden/>
                <w:rStyle w:val="IndexLink"/>
                <w:rtl w:val="true"/>
              </w:rPr>
              <w:t>التفاسیر المنسوبة إلی ابن عبّاس</w:t>
            </w:r>
            <w:r>
              <w:rPr>
                <w:rStyle w:val="IndexLink"/>
                <w:rtl w:val="true"/>
              </w:rPr>
              <w:tab/>
            </w:r>
            <w:r>
              <w:rPr>
                <w:rStyle w:val="IndexLink"/>
              </w:rPr>
              <w:t>98</w:t>
            </w:r>
          </w:hyperlink>
        </w:p>
        <w:p>
          <w:pPr>
            <w:pStyle w:val="Contents5"/>
            <w:tabs>
              <w:tab w:val="clear" w:pos="7892"/>
              <w:tab w:val="right" w:pos="9026" w:leader="dot"/>
            </w:tabs>
            <w:rPr/>
          </w:pPr>
          <w:hyperlink w:anchor="__RefHeading___Toc633951_581953129">
            <w:r>
              <w:rPr>
                <w:webHidden/>
                <w:rStyle w:val="IndexLink"/>
                <w:rtl w:val="true"/>
              </w:rPr>
              <w:t>المنهج التفسیری عند ابن عبّاس</w:t>
            </w:r>
            <w:r>
              <w:rPr>
                <w:rStyle w:val="IndexLink"/>
                <w:rtl w:val="true"/>
              </w:rPr>
              <w:tab/>
            </w:r>
            <w:r>
              <w:rPr>
                <w:rStyle w:val="IndexLink"/>
              </w:rPr>
              <w:t>99</w:t>
            </w:r>
          </w:hyperlink>
        </w:p>
        <w:p>
          <w:pPr>
            <w:pStyle w:val="Contents6"/>
            <w:tabs>
              <w:tab w:val="clear" w:pos="7609"/>
              <w:tab w:val="right" w:pos="9026" w:leader="dot"/>
            </w:tabs>
            <w:rPr/>
          </w:pPr>
          <w:hyperlink w:anchor="__RefHeading___Toc633953_581953129">
            <w:r>
              <w:rPr>
                <w:webHidden/>
                <w:rStyle w:val="IndexLink"/>
                <w:rtl w:val="true"/>
              </w:rPr>
              <w:t>اشارة</w:t>
            </w:r>
            <w:r>
              <w:rPr>
                <w:rStyle w:val="IndexLink"/>
                <w:rtl w:val="true"/>
              </w:rPr>
              <w:tab/>
            </w:r>
            <w:r>
              <w:rPr>
                <w:rStyle w:val="IndexLink"/>
              </w:rPr>
              <w:t>99</w:t>
            </w:r>
          </w:hyperlink>
        </w:p>
        <w:p>
          <w:pPr>
            <w:pStyle w:val="Contents6"/>
            <w:tabs>
              <w:tab w:val="clear" w:pos="7609"/>
              <w:tab w:val="right" w:pos="9026" w:leader="dot"/>
            </w:tabs>
            <w:rPr/>
          </w:pPr>
          <w:hyperlink w:anchor="__RefHeading___Toc633955_581953129">
            <w:r>
              <w:rPr>
                <w:webHidden/>
                <w:rStyle w:val="IndexLink"/>
              </w:rPr>
              <w:t>1</w:t>
            </w:r>
            <w:r>
              <w:rPr>
                <w:rStyle w:val="IndexLink"/>
                <w:rtl w:val="true"/>
              </w:rPr>
              <w:t xml:space="preserve">. </w:t>
            </w:r>
            <w:r>
              <w:rPr>
                <w:rStyle w:val="IndexLink"/>
                <w:rtl w:val="true"/>
              </w:rPr>
              <w:t>الإفادة من الشعر العربی</w:t>
            </w:r>
            <w:r>
              <w:rPr>
                <w:rStyle w:val="IndexLink"/>
                <w:rtl w:val="true"/>
              </w:rPr>
              <w:tab/>
            </w:r>
            <w:r>
              <w:rPr>
                <w:rStyle w:val="IndexLink"/>
              </w:rPr>
              <w:t>99</w:t>
            </w:r>
          </w:hyperlink>
        </w:p>
        <w:p>
          <w:pPr>
            <w:pStyle w:val="Contents6"/>
            <w:tabs>
              <w:tab w:val="clear" w:pos="7609"/>
              <w:tab w:val="right" w:pos="9026" w:leader="dot"/>
            </w:tabs>
            <w:rPr/>
          </w:pPr>
          <w:hyperlink w:anchor="__RefHeading___Toc633957_581953129">
            <w:r>
              <w:rPr>
                <w:webHidden/>
                <w:rStyle w:val="IndexLink"/>
                <w:rtl w:val="true"/>
              </w:rPr>
              <w:t>اشارة</w:t>
            </w:r>
            <w:r>
              <w:rPr>
                <w:rStyle w:val="IndexLink"/>
                <w:rtl w:val="true"/>
              </w:rPr>
              <w:tab/>
            </w:r>
            <w:r>
              <w:rPr>
                <w:rStyle w:val="IndexLink"/>
              </w:rPr>
              <w:t>99</w:t>
            </w:r>
          </w:hyperlink>
        </w:p>
        <w:p>
          <w:pPr>
            <w:pStyle w:val="Contents6"/>
            <w:tabs>
              <w:tab w:val="clear" w:pos="7609"/>
              <w:tab w:val="right" w:pos="9026" w:leader="dot"/>
            </w:tabs>
            <w:rPr/>
          </w:pPr>
          <w:hyperlink w:anchor="__RefHeading___Toc633959_581953129">
            <w:r>
              <w:rPr>
                <w:webHidden/>
                <w:rStyle w:val="IndexLink"/>
                <w:rtl w:val="true"/>
              </w:rPr>
              <w:t>أسئلة ابن الأزرق</w:t>
            </w:r>
            <w:r>
              <w:rPr>
                <w:rStyle w:val="IndexLink"/>
                <w:rtl w:val="true"/>
              </w:rPr>
              <w:tab/>
            </w:r>
            <w:r>
              <w:rPr>
                <w:rStyle w:val="IndexLink"/>
              </w:rPr>
              <w:t>100</w:t>
            </w:r>
          </w:hyperlink>
        </w:p>
        <w:p>
          <w:pPr>
            <w:pStyle w:val="Contents6"/>
            <w:tabs>
              <w:tab w:val="clear" w:pos="7609"/>
              <w:tab w:val="right" w:pos="9026" w:leader="dot"/>
            </w:tabs>
            <w:rPr/>
          </w:pPr>
          <w:hyperlink w:anchor="__RefHeading___Toc633961_581953129">
            <w:r>
              <w:rPr>
                <w:webHidden/>
                <w:rStyle w:val="IndexLink"/>
              </w:rPr>
              <w:t>2</w:t>
            </w:r>
            <w:r>
              <w:rPr>
                <w:rStyle w:val="IndexLink"/>
                <w:rtl w:val="true"/>
              </w:rPr>
              <w:t xml:space="preserve">. </w:t>
            </w:r>
            <w:r>
              <w:rPr>
                <w:rStyle w:val="IndexLink"/>
                <w:rtl w:val="true"/>
              </w:rPr>
              <w:t>اللغة العربیة</w:t>
            </w:r>
            <w:r>
              <w:rPr>
                <w:rStyle w:val="IndexLink"/>
                <w:rtl w:val="true"/>
              </w:rPr>
              <w:tab/>
            </w:r>
            <w:r>
              <w:rPr>
                <w:rStyle w:val="IndexLink"/>
              </w:rPr>
              <w:t>101</w:t>
            </w:r>
          </w:hyperlink>
        </w:p>
        <w:p>
          <w:pPr>
            <w:pStyle w:val="Contents6"/>
            <w:tabs>
              <w:tab w:val="clear" w:pos="7609"/>
              <w:tab w:val="right" w:pos="9026" w:leader="dot"/>
            </w:tabs>
            <w:rPr/>
          </w:pPr>
          <w:hyperlink w:anchor="__RefHeading___Toc633963_581953129">
            <w:r>
              <w:rPr>
                <w:webHidden/>
                <w:rStyle w:val="IndexLink"/>
              </w:rPr>
              <w:t>3</w:t>
            </w:r>
            <w:r>
              <w:rPr>
                <w:rStyle w:val="IndexLink"/>
                <w:rtl w:val="true"/>
              </w:rPr>
              <w:t xml:space="preserve">. </w:t>
            </w:r>
            <w:r>
              <w:rPr>
                <w:rStyle w:val="IndexLink"/>
                <w:rtl w:val="true"/>
              </w:rPr>
              <w:t>تفسیر القرآن بالقرآن</w:t>
            </w:r>
            <w:r>
              <w:rPr>
                <w:rStyle w:val="IndexLink"/>
                <w:rtl w:val="true"/>
              </w:rPr>
              <w:tab/>
            </w:r>
            <w:r>
              <w:rPr>
                <w:rStyle w:val="IndexLink"/>
              </w:rPr>
              <w:t>101</w:t>
            </w:r>
          </w:hyperlink>
        </w:p>
        <w:p>
          <w:pPr>
            <w:pStyle w:val="Contents6"/>
            <w:tabs>
              <w:tab w:val="clear" w:pos="7609"/>
              <w:tab w:val="right" w:pos="9026" w:leader="dot"/>
            </w:tabs>
            <w:rPr/>
          </w:pPr>
          <w:hyperlink w:anchor="__RefHeading___Toc633965_581953129">
            <w:r>
              <w:rPr>
                <w:webHidden/>
                <w:rStyle w:val="IndexLink"/>
              </w:rPr>
              <w:t>4</w:t>
            </w:r>
            <w:r>
              <w:rPr>
                <w:rStyle w:val="IndexLink"/>
                <w:rtl w:val="true"/>
              </w:rPr>
              <w:t xml:space="preserve">. </w:t>
            </w:r>
            <w:r>
              <w:rPr>
                <w:rStyle w:val="IndexLink"/>
                <w:rtl w:val="true"/>
              </w:rPr>
              <w:t>الإفادة من أسباب النزول</w:t>
            </w:r>
            <w:r>
              <w:rPr>
                <w:rStyle w:val="IndexLink"/>
                <w:rtl w:val="true"/>
              </w:rPr>
              <w:tab/>
            </w:r>
            <w:r>
              <w:rPr>
                <w:rStyle w:val="IndexLink"/>
              </w:rPr>
              <w:t>102</w:t>
            </w:r>
          </w:hyperlink>
        </w:p>
        <w:p>
          <w:pPr>
            <w:pStyle w:val="Contents6"/>
            <w:tabs>
              <w:tab w:val="clear" w:pos="7609"/>
              <w:tab w:val="right" w:pos="9026" w:leader="dot"/>
            </w:tabs>
            <w:rPr/>
          </w:pPr>
          <w:hyperlink w:anchor="__RefHeading___Toc633967_581953129">
            <w:r>
              <w:rPr>
                <w:webHidden/>
                <w:rStyle w:val="IndexLink"/>
              </w:rPr>
              <w:t>5</w:t>
            </w:r>
            <w:r>
              <w:rPr>
                <w:rStyle w:val="IndexLink"/>
                <w:rtl w:val="true"/>
              </w:rPr>
              <w:t xml:space="preserve">. </w:t>
            </w:r>
            <w:r>
              <w:rPr>
                <w:rStyle w:val="IndexLink"/>
                <w:rtl w:val="true"/>
              </w:rPr>
              <w:t>الاعتماد علی سنّة الرسول صلّی الله علیه و آله</w:t>
            </w:r>
            <w:r>
              <w:rPr>
                <w:rStyle w:val="IndexLink"/>
                <w:rtl w:val="true"/>
              </w:rPr>
              <w:tab/>
            </w:r>
            <w:r>
              <w:rPr>
                <w:rStyle w:val="IndexLink"/>
              </w:rPr>
              <w:t>103</w:t>
            </w:r>
          </w:hyperlink>
        </w:p>
        <w:p>
          <w:pPr>
            <w:pStyle w:val="Contents4"/>
            <w:tabs>
              <w:tab w:val="clear" w:pos="8176"/>
              <w:tab w:val="right" w:pos="9026" w:leader="dot"/>
            </w:tabs>
            <w:rPr/>
          </w:pPr>
          <w:hyperlink w:anchor="__RefHeading___Toc633969_581953129">
            <w:r>
              <w:rPr>
                <w:webHidden/>
                <w:rStyle w:val="IndexLink"/>
                <w:rtl w:val="true"/>
              </w:rPr>
              <w:t>الثالث</w:t>
            </w:r>
            <w:r>
              <w:rPr>
                <w:rStyle w:val="IndexLink"/>
                <w:rtl w:val="true"/>
              </w:rPr>
              <w:t xml:space="preserve">: </w:t>
            </w:r>
            <w:r>
              <w:rPr>
                <w:rStyle w:val="IndexLink"/>
                <w:rtl w:val="true"/>
              </w:rPr>
              <w:t>عبد الله بن مسعود</w:t>
            </w:r>
            <w:r>
              <w:rPr>
                <w:rStyle w:val="IndexLink"/>
                <w:rtl w:val="true"/>
              </w:rPr>
              <w:tab/>
            </w:r>
            <w:r>
              <w:rPr>
                <w:rStyle w:val="IndexLink"/>
              </w:rPr>
              <w:t>104</w:t>
            </w:r>
          </w:hyperlink>
        </w:p>
        <w:p>
          <w:pPr>
            <w:pStyle w:val="Contents5"/>
            <w:tabs>
              <w:tab w:val="clear" w:pos="7892"/>
              <w:tab w:val="right" w:pos="9026" w:leader="dot"/>
            </w:tabs>
            <w:rPr/>
          </w:pPr>
          <w:hyperlink w:anchor="__RefHeading___Toc633971_581953129">
            <w:r>
              <w:rPr>
                <w:webHidden/>
                <w:rStyle w:val="IndexLink"/>
                <w:rtl w:val="true"/>
              </w:rPr>
              <w:t>اشارة</w:t>
            </w:r>
            <w:r>
              <w:rPr>
                <w:rStyle w:val="IndexLink"/>
                <w:rtl w:val="true"/>
              </w:rPr>
              <w:tab/>
            </w:r>
            <w:r>
              <w:rPr>
                <w:rStyle w:val="IndexLink"/>
              </w:rPr>
              <w:t>104</w:t>
            </w:r>
          </w:hyperlink>
        </w:p>
        <w:p>
          <w:pPr>
            <w:pStyle w:val="Contents5"/>
            <w:tabs>
              <w:tab w:val="clear" w:pos="7892"/>
              <w:tab w:val="right" w:pos="9026" w:leader="dot"/>
            </w:tabs>
            <w:rPr/>
          </w:pPr>
          <w:hyperlink w:anchor="__RefHeading___Toc633973_581953129">
            <w:r>
              <w:rPr>
                <w:webHidden/>
                <w:rStyle w:val="IndexLink"/>
                <w:rtl w:val="true"/>
              </w:rPr>
              <w:t>مصحف ابن مسعود</w:t>
            </w:r>
            <w:r>
              <w:rPr>
                <w:rStyle w:val="IndexLink"/>
                <w:rtl w:val="true"/>
              </w:rPr>
              <w:tab/>
            </w:r>
            <w:r>
              <w:rPr>
                <w:rStyle w:val="IndexLink"/>
              </w:rPr>
              <w:t>105</w:t>
            </w:r>
          </w:hyperlink>
        </w:p>
        <w:p>
          <w:pPr>
            <w:pStyle w:val="Contents4"/>
            <w:tabs>
              <w:tab w:val="clear" w:pos="8176"/>
              <w:tab w:val="right" w:pos="9026" w:leader="dot"/>
            </w:tabs>
            <w:rPr/>
          </w:pPr>
          <w:hyperlink w:anchor="__RefHeading___Toc633975_581953129">
            <w:r>
              <w:rPr>
                <w:webHidden/>
                <w:rStyle w:val="IndexLink"/>
                <w:rtl w:val="true"/>
              </w:rPr>
              <w:t>الرابع</w:t>
            </w:r>
            <w:r>
              <w:rPr>
                <w:rStyle w:val="IndexLink"/>
                <w:rtl w:val="true"/>
              </w:rPr>
              <w:t xml:space="preserve">: </w:t>
            </w:r>
            <w:r>
              <w:rPr>
                <w:rStyle w:val="IndexLink"/>
                <w:rtl w:val="true"/>
              </w:rPr>
              <w:t>ابی بن کعب</w:t>
            </w:r>
            <w:r>
              <w:rPr>
                <w:rStyle w:val="IndexLink"/>
                <w:rtl w:val="true"/>
              </w:rPr>
              <w:tab/>
            </w:r>
            <w:r>
              <w:rPr>
                <w:rStyle w:val="IndexLink"/>
              </w:rPr>
              <w:t>107</w:t>
            </w:r>
          </w:hyperlink>
        </w:p>
        <w:p>
          <w:pPr>
            <w:pStyle w:val="Contents5"/>
            <w:tabs>
              <w:tab w:val="clear" w:pos="7892"/>
              <w:tab w:val="right" w:pos="9026" w:leader="dot"/>
            </w:tabs>
            <w:rPr/>
          </w:pPr>
          <w:hyperlink w:anchor="__RefHeading___Toc633977_581953129">
            <w:r>
              <w:rPr>
                <w:webHidden/>
                <w:rStyle w:val="IndexLink"/>
                <w:rtl w:val="true"/>
              </w:rPr>
              <w:t>اشارة</w:t>
            </w:r>
            <w:r>
              <w:rPr>
                <w:rStyle w:val="IndexLink"/>
                <w:rtl w:val="true"/>
              </w:rPr>
              <w:tab/>
            </w:r>
            <w:r>
              <w:rPr>
                <w:rStyle w:val="IndexLink"/>
              </w:rPr>
              <w:t>107</w:t>
            </w:r>
          </w:hyperlink>
        </w:p>
        <w:p>
          <w:pPr>
            <w:pStyle w:val="Contents5"/>
            <w:tabs>
              <w:tab w:val="clear" w:pos="7892"/>
              <w:tab w:val="right" w:pos="9026" w:leader="dot"/>
            </w:tabs>
            <w:rPr/>
          </w:pPr>
          <w:hyperlink w:anchor="__RefHeading___Toc633979_581953129">
            <w:r>
              <w:rPr>
                <w:webHidden/>
                <w:rStyle w:val="IndexLink"/>
              </w:rPr>
              <w:t>1</w:t>
            </w:r>
            <w:r>
              <w:rPr>
                <w:rStyle w:val="IndexLink"/>
                <w:rtl w:val="true"/>
              </w:rPr>
              <w:t xml:space="preserve">. </w:t>
            </w:r>
            <w:r>
              <w:rPr>
                <w:rStyle w:val="IndexLink"/>
                <w:rtl w:val="true"/>
              </w:rPr>
              <w:t>الروایات التفسیریة</w:t>
            </w:r>
            <w:r>
              <w:rPr>
                <w:rStyle w:val="IndexLink"/>
                <w:rtl w:val="true"/>
              </w:rPr>
              <w:tab/>
            </w:r>
            <w:r>
              <w:rPr>
                <w:rStyle w:val="IndexLink"/>
              </w:rPr>
              <w:t>107</w:t>
            </w:r>
          </w:hyperlink>
        </w:p>
        <w:p>
          <w:pPr>
            <w:pStyle w:val="Contents5"/>
            <w:tabs>
              <w:tab w:val="clear" w:pos="7892"/>
              <w:tab w:val="right" w:pos="9026" w:leader="dot"/>
            </w:tabs>
            <w:rPr/>
          </w:pPr>
          <w:hyperlink w:anchor="__RefHeading___Toc633981_581953129">
            <w:r>
              <w:rPr>
                <w:webHidden/>
                <w:rStyle w:val="IndexLink"/>
              </w:rPr>
              <w:t>2</w:t>
            </w:r>
            <w:r>
              <w:rPr>
                <w:rStyle w:val="IndexLink"/>
                <w:rtl w:val="true"/>
              </w:rPr>
              <w:t xml:space="preserve">. </w:t>
            </w:r>
            <w:r>
              <w:rPr>
                <w:rStyle w:val="IndexLink"/>
                <w:rtl w:val="true"/>
              </w:rPr>
              <w:t>مصحف ابی بن کعب</w:t>
            </w:r>
            <w:r>
              <w:rPr>
                <w:rStyle w:val="IndexLink"/>
                <w:rtl w:val="true"/>
              </w:rPr>
              <w:tab/>
            </w:r>
            <w:r>
              <w:rPr>
                <w:rStyle w:val="IndexLink"/>
              </w:rPr>
              <w:t>108</w:t>
            </w:r>
          </w:hyperlink>
        </w:p>
        <w:p>
          <w:pPr>
            <w:pStyle w:val="Contents5"/>
            <w:tabs>
              <w:tab w:val="clear" w:pos="7892"/>
              <w:tab w:val="right" w:pos="9026" w:leader="dot"/>
            </w:tabs>
            <w:rPr/>
          </w:pPr>
          <w:hyperlink w:anchor="__RefHeading___Toc633983_581953129">
            <w:r>
              <w:rPr>
                <w:webHidden/>
                <w:rStyle w:val="IndexLink"/>
              </w:rPr>
              <w:t>3</w:t>
            </w:r>
            <w:r>
              <w:rPr>
                <w:rStyle w:val="IndexLink"/>
                <w:rtl w:val="true"/>
              </w:rPr>
              <w:t xml:space="preserve">. </w:t>
            </w:r>
            <w:r>
              <w:rPr>
                <w:rStyle w:val="IndexLink"/>
                <w:rtl w:val="true"/>
              </w:rPr>
              <w:t>روایات فضائل السُوَر</w:t>
            </w:r>
            <w:r>
              <w:rPr>
                <w:rStyle w:val="IndexLink"/>
                <w:rtl w:val="true"/>
              </w:rPr>
              <w:tab/>
            </w:r>
            <w:r>
              <w:rPr>
                <w:rStyle w:val="IndexLink"/>
              </w:rPr>
              <w:t>109</w:t>
            </w:r>
          </w:hyperlink>
        </w:p>
        <w:p>
          <w:pPr>
            <w:pStyle w:val="Contents3"/>
            <w:tabs>
              <w:tab w:val="clear" w:pos="8459"/>
              <w:tab w:val="right" w:pos="9026" w:leader="dot"/>
            </w:tabs>
            <w:rPr/>
          </w:pPr>
          <w:hyperlink w:anchor="__RefHeading___Toc633985_581953129">
            <w:r>
              <w:rPr>
                <w:webHidden/>
                <w:rStyle w:val="IndexLink"/>
                <w:rtl w:val="true"/>
              </w:rPr>
              <w:t>من حیث السند</w:t>
            </w:r>
            <w:r>
              <w:rPr>
                <w:rStyle w:val="IndexLink"/>
                <w:rtl w:val="true"/>
              </w:rPr>
              <w:tab/>
            </w:r>
            <w:r>
              <w:rPr>
                <w:rStyle w:val="IndexLink"/>
              </w:rPr>
              <w:t>110</w:t>
            </w:r>
          </w:hyperlink>
        </w:p>
        <w:p>
          <w:pPr>
            <w:pStyle w:val="Contents3"/>
            <w:tabs>
              <w:tab w:val="clear" w:pos="8459"/>
              <w:tab w:val="right" w:pos="9026" w:leader="dot"/>
            </w:tabs>
            <w:rPr/>
          </w:pPr>
          <w:hyperlink w:anchor="__RefHeading___Toc633987_581953129">
            <w:r>
              <w:rPr>
                <w:webHidden/>
                <w:rStyle w:val="IndexLink"/>
                <w:rtl w:val="true"/>
              </w:rPr>
              <w:t>من حیث المتن</w:t>
            </w:r>
            <w:r>
              <w:rPr>
                <w:rStyle w:val="IndexLink"/>
                <w:rtl w:val="true"/>
              </w:rPr>
              <w:tab/>
            </w:r>
            <w:r>
              <w:rPr>
                <w:rStyle w:val="IndexLink"/>
              </w:rPr>
              <w:t>111</w:t>
            </w:r>
          </w:hyperlink>
        </w:p>
        <w:p>
          <w:pPr>
            <w:pStyle w:val="Contents3"/>
            <w:tabs>
              <w:tab w:val="clear" w:pos="8459"/>
              <w:tab w:val="right" w:pos="9026" w:leader="dot"/>
            </w:tabs>
            <w:rPr/>
          </w:pPr>
          <w:hyperlink w:anchor="__RefHeading___Toc633989_581953129">
            <w:r>
              <w:rPr>
                <w:webHidden/>
                <w:rStyle w:val="IndexLink"/>
                <w:rtl w:val="true"/>
              </w:rPr>
              <w:t>خصائص تفسیر الصحابة</w:t>
            </w:r>
            <w:r>
              <w:rPr>
                <w:rStyle w:val="IndexLink"/>
                <w:rtl w:val="true"/>
              </w:rPr>
              <w:tab/>
            </w:r>
            <w:r>
              <w:rPr>
                <w:rStyle w:val="IndexLink"/>
              </w:rPr>
              <w:t>113</w:t>
            </w:r>
          </w:hyperlink>
        </w:p>
        <w:p>
          <w:pPr>
            <w:pStyle w:val="Contents3"/>
            <w:tabs>
              <w:tab w:val="clear" w:pos="8459"/>
              <w:tab w:val="right" w:pos="9026" w:leader="dot"/>
            </w:tabs>
            <w:rPr/>
          </w:pPr>
          <w:hyperlink w:anchor="__RefHeading___Toc633991_581953129">
            <w:r>
              <w:rPr>
                <w:webHidden/>
                <w:rStyle w:val="IndexLink"/>
                <w:rtl w:val="true"/>
              </w:rPr>
              <w:t>الأسئلة</w:t>
            </w:r>
            <w:r>
              <w:rPr>
                <w:rStyle w:val="IndexLink"/>
                <w:rtl w:val="true"/>
              </w:rPr>
              <w:tab/>
            </w:r>
            <w:r>
              <w:rPr>
                <w:rStyle w:val="IndexLink"/>
              </w:rPr>
              <w:t>114</w:t>
            </w:r>
          </w:hyperlink>
        </w:p>
        <w:p>
          <w:pPr>
            <w:pStyle w:val="Contents3"/>
            <w:tabs>
              <w:tab w:val="clear" w:pos="8459"/>
              <w:tab w:val="right" w:pos="9026" w:leader="dot"/>
            </w:tabs>
            <w:rPr/>
          </w:pPr>
          <w:hyperlink w:anchor="__RefHeading___Toc633993_581953129">
            <w:r>
              <w:rPr>
                <w:webHidden/>
                <w:rStyle w:val="IndexLink"/>
                <w:rtl w:val="true"/>
              </w:rPr>
              <w:t>التحقیق</w:t>
            </w:r>
            <w:r>
              <w:rPr>
                <w:rStyle w:val="IndexLink"/>
                <w:rtl w:val="true"/>
              </w:rPr>
              <w:tab/>
            </w:r>
            <w:r>
              <w:rPr>
                <w:rStyle w:val="IndexLink"/>
              </w:rPr>
              <w:t>115</w:t>
            </w:r>
          </w:hyperlink>
        </w:p>
        <w:p>
          <w:pPr>
            <w:pStyle w:val="Contents2"/>
            <w:tabs>
              <w:tab w:val="clear" w:pos="8743"/>
              <w:tab w:val="right" w:pos="9026" w:leader="dot"/>
            </w:tabs>
            <w:rPr/>
          </w:pPr>
          <w:hyperlink w:anchor="__RefHeading___Toc633995_581953129">
            <w:r>
              <w:rPr>
                <w:webHidden/>
                <w:rStyle w:val="IndexLink"/>
              </w:rPr>
              <w:t>4</w:t>
            </w:r>
            <w:r>
              <w:rPr>
                <w:rStyle w:val="IndexLink"/>
                <w:rtl w:val="true"/>
              </w:rPr>
              <w:t xml:space="preserve">- </w:t>
            </w:r>
            <w:r>
              <w:rPr>
                <w:rStyle w:val="IndexLink"/>
                <w:rtl w:val="true"/>
              </w:rPr>
              <w:t>التفسیر فی عصر التابعین</w:t>
            </w:r>
            <w:r>
              <w:rPr>
                <w:rStyle w:val="IndexLink"/>
                <w:rtl w:val="true"/>
              </w:rPr>
              <w:tab/>
            </w:r>
            <w:r>
              <w:rPr>
                <w:rStyle w:val="IndexLink"/>
              </w:rPr>
              <w:t>116</w:t>
            </w:r>
          </w:hyperlink>
        </w:p>
        <w:p>
          <w:pPr>
            <w:pStyle w:val="Contents3"/>
            <w:tabs>
              <w:tab w:val="clear" w:pos="8459"/>
              <w:tab w:val="right" w:pos="9026" w:leader="dot"/>
            </w:tabs>
            <w:rPr/>
          </w:pPr>
          <w:hyperlink w:anchor="__RefHeading___Toc633997_581953129">
            <w:r>
              <w:rPr>
                <w:webHidden/>
                <w:rStyle w:val="IndexLink"/>
                <w:rtl w:val="true"/>
              </w:rPr>
              <w:t>اشارة</w:t>
            </w:r>
            <w:r>
              <w:rPr>
                <w:rStyle w:val="IndexLink"/>
                <w:rtl w:val="true"/>
              </w:rPr>
              <w:tab/>
            </w:r>
            <w:r>
              <w:rPr>
                <w:rStyle w:val="IndexLink"/>
              </w:rPr>
              <w:t>116</w:t>
            </w:r>
          </w:hyperlink>
        </w:p>
        <w:p>
          <w:pPr>
            <w:pStyle w:val="Contents3"/>
            <w:tabs>
              <w:tab w:val="clear" w:pos="8459"/>
              <w:tab w:val="right" w:pos="9026" w:leader="dot"/>
            </w:tabs>
            <w:rPr/>
          </w:pPr>
          <w:hyperlink w:anchor="__RefHeading___Toc633999_581953129">
            <w:r>
              <w:rPr>
                <w:webHidden/>
                <w:rStyle w:val="IndexLink"/>
                <w:rtl w:val="true"/>
              </w:rPr>
              <w:t>التفسیر فی عصر التابعین</w:t>
            </w:r>
            <w:r>
              <w:rPr>
                <w:rStyle w:val="IndexLink"/>
                <w:rtl w:val="true"/>
              </w:rPr>
              <w:tab/>
            </w:r>
            <w:r>
              <w:rPr>
                <w:rStyle w:val="IndexLink"/>
              </w:rPr>
              <w:t>117</w:t>
            </w:r>
          </w:hyperlink>
        </w:p>
        <w:p>
          <w:pPr>
            <w:pStyle w:val="Contents3"/>
            <w:tabs>
              <w:tab w:val="clear" w:pos="8459"/>
              <w:tab w:val="right" w:pos="9026" w:leader="dot"/>
            </w:tabs>
            <w:rPr/>
          </w:pPr>
          <w:hyperlink w:anchor="__RefHeading___Toc634001_581953129">
            <w:r>
              <w:rPr>
                <w:webHidden/>
                <w:rStyle w:val="IndexLink"/>
                <w:rtl w:val="true"/>
              </w:rPr>
              <w:t>مدرسة مکّة</w:t>
            </w:r>
            <w:r>
              <w:rPr>
                <w:rStyle w:val="IndexLink"/>
                <w:rtl w:val="true"/>
              </w:rPr>
              <w:tab/>
            </w:r>
            <w:r>
              <w:rPr>
                <w:rStyle w:val="IndexLink"/>
              </w:rPr>
              <w:t>118</w:t>
            </w:r>
          </w:hyperlink>
        </w:p>
        <w:p>
          <w:pPr>
            <w:pStyle w:val="Contents4"/>
            <w:tabs>
              <w:tab w:val="clear" w:pos="8176"/>
              <w:tab w:val="right" w:pos="9026" w:leader="dot"/>
            </w:tabs>
            <w:rPr/>
          </w:pPr>
          <w:hyperlink w:anchor="__RefHeading___Toc634003_581953129">
            <w:r>
              <w:rPr>
                <w:webHidden/>
                <w:rStyle w:val="IndexLink"/>
                <w:rtl w:val="true"/>
              </w:rPr>
              <w:t>اشارة</w:t>
            </w:r>
            <w:r>
              <w:rPr>
                <w:rStyle w:val="IndexLink"/>
                <w:rtl w:val="true"/>
              </w:rPr>
              <w:tab/>
            </w:r>
            <w:r>
              <w:rPr>
                <w:rStyle w:val="IndexLink"/>
              </w:rPr>
              <w:t>118</w:t>
            </w:r>
          </w:hyperlink>
        </w:p>
        <w:p>
          <w:pPr>
            <w:pStyle w:val="Contents4"/>
            <w:tabs>
              <w:tab w:val="clear" w:pos="8176"/>
              <w:tab w:val="right" w:pos="9026" w:leader="dot"/>
            </w:tabs>
            <w:rPr/>
          </w:pPr>
          <w:hyperlink w:anchor="__RefHeading___Toc634005_581953129">
            <w:r>
              <w:rPr>
                <w:webHidden/>
                <w:rStyle w:val="IndexLink"/>
              </w:rPr>
              <w:t>1</w:t>
            </w:r>
            <w:r>
              <w:rPr>
                <w:rStyle w:val="IndexLink"/>
                <w:rtl w:val="true"/>
              </w:rPr>
              <w:t xml:space="preserve">. </w:t>
            </w:r>
            <w:r>
              <w:rPr>
                <w:rStyle w:val="IndexLink"/>
                <w:rtl w:val="true"/>
              </w:rPr>
              <w:t xml:space="preserve">سعید بن جُبیر </w:t>
            </w:r>
            <w:r>
              <w:rPr>
                <w:rStyle w:val="IndexLink"/>
                <w:rtl w:val="true"/>
              </w:rPr>
              <w:t>(</w:t>
            </w:r>
            <w:r>
              <w:rPr>
                <w:rStyle w:val="IndexLink"/>
                <w:rtl w:val="true"/>
              </w:rPr>
              <w:t>ت</w:t>
            </w:r>
            <w:r>
              <w:rPr>
                <w:rStyle w:val="IndexLink"/>
              </w:rPr>
              <w:t>950</w:t>
            </w:r>
            <w:r>
              <w:rPr>
                <w:rStyle w:val="IndexLink"/>
                <w:rtl w:val="true"/>
              </w:rPr>
              <w:t>ه</w:t>
            </w:r>
            <w:r>
              <w:rPr>
                <w:rStyle w:val="IndexLink"/>
                <w:rtl w:val="true"/>
              </w:rPr>
              <w:t>)</w:t>
              <w:tab/>
            </w:r>
            <w:r>
              <w:rPr>
                <w:rStyle w:val="IndexLink"/>
              </w:rPr>
              <w:t>118</w:t>
            </w:r>
          </w:hyperlink>
        </w:p>
        <w:p>
          <w:pPr>
            <w:pStyle w:val="Contents5"/>
            <w:tabs>
              <w:tab w:val="clear" w:pos="7892"/>
              <w:tab w:val="right" w:pos="9026" w:leader="dot"/>
            </w:tabs>
            <w:rPr/>
          </w:pPr>
          <w:hyperlink w:anchor="__RefHeading___Toc634007_581953129">
            <w:r>
              <w:rPr>
                <w:webHidden/>
                <w:rStyle w:val="IndexLink"/>
                <w:rtl w:val="true"/>
              </w:rPr>
              <w:t>اشارة</w:t>
            </w:r>
            <w:r>
              <w:rPr>
                <w:rStyle w:val="IndexLink"/>
                <w:rtl w:val="true"/>
              </w:rPr>
              <w:tab/>
            </w:r>
            <w:r>
              <w:rPr>
                <w:rStyle w:val="IndexLink"/>
              </w:rPr>
              <w:t>118</w:t>
            </w:r>
          </w:hyperlink>
        </w:p>
        <w:p>
          <w:pPr>
            <w:pStyle w:val="Contents5"/>
            <w:tabs>
              <w:tab w:val="clear" w:pos="7892"/>
              <w:tab w:val="right" w:pos="9026" w:leader="dot"/>
            </w:tabs>
            <w:rPr/>
          </w:pPr>
          <w:hyperlink w:anchor="__RefHeading___Toc634009_581953129">
            <w:r>
              <w:rPr>
                <w:webHidden/>
                <w:rStyle w:val="IndexLink"/>
                <w:rtl w:val="true"/>
              </w:rPr>
              <w:t>أقسام التفسیر</w:t>
            </w:r>
            <w:r>
              <w:rPr>
                <w:rStyle w:val="IndexLink"/>
                <w:rtl w:val="true"/>
              </w:rPr>
              <w:tab/>
            </w:r>
            <w:r>
              <w:rPr>
                <w:rStyle w:val="IndexLink"/>
              </w:rPr>
              <w:t>119</w:t>
            </w:r>
          </w:hyperlink>
        </w:p>
        <w:p>
          <w:pPr>
            <w:pStyle w:val="Contents4"/>
            <w:tabs>
              <w:tab w:val="clear" w:pos="8176"/>
              <w:tab w:val="right" w:pos="9026" w:leader="dot"/>
            </w:tabs>
            <w:rPr/>
          </w:pPr>
          <w:hyperlink w:anchor="__RefHeading___Toc634011_581953129">
            <w:r>
              <w:rPr>
                <w:webHidden/>
                <w:rStyle w:val="IndexLink"/>
              </w:rPr>
              <w:t>2</w:t>
            </w:r>
            <w:r>
              <w:rPr>
                <w:rStyle w:val="IndexLink"/>
                <w:rtl w:val="true"/>
              </w:rPr>
              <w:t xml:space="preserve">. </w:t>
            </w:r>
            <w:r>
              <w:rPr>
                <w:rStyle w:val="IndexLink"/>
                <w:rtl w:val="true"/>
              </w:rPr>
              <w:t xml:space="preserve">مجاهد بن جبر </w:t>
            </w:r>
            <w:r>
              <w:rPr>
                <w:rStyle w:val="IndexLink"/>
                <w:rtl w:val="true"/>
              </w:rPr>
              <w:t>(</w:t>
            </w:r>
            <w:r>
              <w:rPr>
                <w:rStyle w:val="IndexLink"/>
                <w:rtl w:val="true"/>
              </w:rPr>
              <w:t>ت</w:t>
            </w:r>
            <w:r>
              <w:rPr>
                <w:rStyle w:val="IndexLink"/>
              </w:rPr>
              <w:t>104</w:t>
            </w:r>
            <w:r>
              <w:rPr>
                <w:rStyle w:val="IndexLink"/>
                <w:rtl w:val="true"/>
              </w:rPr>
              <w:t>ه</w:t>
            </w:r>
            <w:r>
              <w:rPr>
                <w:rStyle w:val="IndexLink"/>
                <w:rtl w:val="true"/>
              </w:rPr>
              <w:t>)</w:t>
              <w:tab/>
            </w:r>
            <w:r>
              <w:rPr>
                <w:rStyle w:val="IndexLink"/>
              </w:rPr>
              <w:t>120</w:t>
            </w:r>
          </w:hyperlink>
        </w:p>
        <w:p>
          <w:pPr>
            <w:pStyle w:val="Contents5"/>
            <w:tabs>
              <w:tab w:val="clear" w:pos="7892"/>
              <w:tab w:val="right" w:pos="9026" w:leader="dot"/>
            </w:tabs>
            <w:rPr/>
          </w:pPr>
          <w:hyperlink w:anchor="__RefHeading___Toc634013_581953129">
            <w:r>
              <w:rPr>
                <w:webHidden/>
                <w:rStyle w:val="IndexLink"/>
                <w:rtl w:val="true"/>
              </w:rPr>
              <w:t>اشارة</w:t>
            </w:r>
            <w:r>
              <w:rPr>
                <w:rStyle w:val="IndexLink"/>
                <w:rtl w:val="true"/>
              </w:rPr>
              <w:tab/>
            </w:r>
            <w:r>
              <w:rPr>
                <w:rStyle w:val="IndexLink"/>
              </w:rPr>
              <w:t>120</w:t>
            </w:r>
          </w:hyperlink>
        </w:p>
        <w:p>
          <w:pPr>
            <w:pStyle w:val="Contents5"/>
            <w:tabs>
              <w:tab w:val="clear" w:pos="7892"/>
              <w:tab w:val="right" w:pos="9026" w:leader="dot"/>
            </w:tabs>
            <w:rPr/>
          </w:pPr>
          <w:hyperlink w:anchor="__RefHeading___Toc634015_581953129">
            <w:r>
              <w:rPr>
                <w:webHidden/>
                <w:rStyle w:val="IndexLink"/>
                <w:rtl w:val="true"/>
              </w:rPr>
              <w:t>خصائص مجاهد التفسیریة</w:t>
            </w:r>
            <w:r>
              <w:rPr>
                <w:rStyle w:val="IndexLink"/>
                <w:rtl w:val="true"/>
              </w:rPr>
              <w:tab/>
            </w:r>
            <w:r>
              <w:rPr>
                <w:rStyle w:val="IndexLink"/>
              </w:rPr>
              <w:t>121</w:t>
            </w:r>
          </w:hyperlink>
        </w:p>
        <w:p>
          <w:pPr>
            <w:pStyle w:val="Contents5"/>
            <w:tabs>
              <w:tab w:val="clear" w:pos="7892"/>
              <w:tab w:val="right" w:pos="9026" w:leader="dot"/>
            </w:tabs>
            <w:rPr/>
          </w:pPr>
          <w:hyperlink w:anchor="__RefHeading___Toc634017_581953129">
            <w:r>
              <w:rPr>
                <w:webHidden/>
                <w:rStyle w:val="IndexLink"/>
                <w:rtl w:val="true"/>
              </w:rPr>
              <w:t>أنواع التفسیر</w:t>
            </w:r>
            <w:r>
              <w:rPr>
                <w:rStyle w:val="IndexLink"/>
                <w:rtl w:val="true"/>
              </w:rPr>
              <w:tab/>
            </w:r>
            <w:r>
              <w:rPr>
                <w:rStyle w:val="IndexLink"/>
              </w:rPr>
              <w:t>121</w:t>
            </w:r>
          </w:hyperlink>
        </w:p>
        <w:p>
          <w:pPr>
            <w:pStyle w:val="Contents5"/>
            <w:tabs>
              <w:tab w:val="clear" w:pos="7892"/>
              <w:tab w:val="right" w:pos="9026" w:leader="dot"/>
            </w:tabs>
            <w:rPr/>
          </w:pPr>
          <w:hyperlink w:anchor="__RefHeading___Toc634019_581953129">
            <w:r>
              <w:rPr>
                <w:webHidden/>
                <w:rStyle w:val="IndexLink"/>
                <w:rtl w:val="true"/>
              </w:rPr>
              <w:t>کتاب تفسیر مجاهد</w:t>
            </w:r>
            <w:r>
              <w:rPr>
                <w:rStyle w:val="IndexLink"/>
                <w:rtl w:val="true"/>
              </w:rPr>
              <w:tab/>
            </w:r>
            <w:r>
              <w:rPr>
                <w:rStyle w:val="IndexLink"/>
              </w:rPr>
              <w:t>122</w:t>
            </w:r>
          </w:hyperlink>
        </w:p>
        <w:p>
          <w:pPr>
            <w:pStyle w:val="Contents4"/>
            <w:tabs>
              <w:tab w:val="clear" w:pos="8176"/>
              <w:tab w:val="right" w:pos="9026" w:leader="dot"/>
            </w:tabs>
            <w:rPr/>
          </w:pPr>
          <w:hyperlink w:anchor="__RefHeading___Toc634021_581953129">
            <w:r>
              <w:rPr>
                <w:webHidden/>
                <w:rStyle w:val="IndexLink"/>
              </w:rPr>
              <w:t>3</w:t>
            </w:r>
            <w:r>
              <w:rPr>
                <w:rStyle w:val="IndexLink"/>
                <w:rtl w:val="true"/>
              </w:rPr>
              <w:t xml:space="preserve">. </w:t>
            </w:r>
            <w:r>
              <w:rPr>
                <w:rStyle w:val="IndexLink"/>
                <w:rtl w:val="true"/>
              </w:rPr>
              <w:t xml:space="preserve">طاووس بن کیسان </w:t>
            </w:r>
            <w:r>
              <w:rPr>
                <w:rStyle w:val="IndexLink"/>
                <w:rtl w:val="true"/>
              </w:rPr>
              <w:t>(</w:t>
            </w:r>
            <w:r>
              <w:rPr>
                <w:rStyle w:val="IndexLink"/>
                <w:rtl w:val="true"/>
              </w:rPr>
              <w:t>ت</w:t>
            </w:r>
            <w:r>
              <w:rPr>
                <w:rStyle w:val="IndexLink"/>
              </w:rPr>
              <w:t>106</w:t>
            </w:r>
            <w:r>
              <w:rPr>
                <w:rStyle w:val="IndexLink"/>
                <w:rtl w:val="true"/>
              </w:rPr>
              <w:t>ه</w:t>
            </w:r>
            <w:r>
              <w:rPr>
                <w:rStyle w:val="IndexLink"/>
                <w:rtl w:val="true"/>
              </w:rPr>
              <w:t>)</w:t>
              <w:tab/>
            </w:r>
            <w:r>
              <w:rPr>
                <w:rStyle w:val="IndexLink"/>
              </w:rPr>
              <w:t>122</w:t>
            </w:r>
          </w:hyperlink>
        </w:p>
        <w:p>
          <w:pPr>
            <w:pStyle w:val="Contents5"/>
            <w:tabs>
              <w:tab w:val="clear" w:pos="7892"/>
              <w:tab w:val="right" w:pos="9026" w:leader="dot"/>
            </w:tabs>
            <w:rPr/>
          </w:pPr>
          <w:hyperlink w:anchor="__RefHeading___Toc634023_581953129">
            <w:r>
              <w:rPr>
                <w:webHidden/>
                <w:rStyle w:val="IndexLink"/>
                <w:rtl w:val="true"/>
              </w:rPr>
              <w:t>اشارة</w:t>
            </w:r>
            <w:r>
              <w:rPr>
                <w:rStyle w:val="IndexLink"/>
                <w:rtl w:val="true"/>
              </w:rPr>
              <w:tab/>
            </w:r>
            <w:r>
              <w:rPr>
                <w:rStyle w:val="IndexLink"/>
              </w:rPr>
              <w:t>122</w:t>
            </w:r>
          </w:hyperlink>
        </w:p>
        <w:p>
          <w:pPr>
            <w:pStyle w:val="Contents5"/>
            <w:tabs>
              <w:tab w:val="clear" w:pos="7892"/>
              <w:tab w:val="right" w:pos="9026" w:leader="dot"/>
            </w:tabs>
            <w:rPr/>
          </w:pPr>
          <w:hyperlink w:anchor="__RefHeading___Toc634025_581953129">
            <w:r>
              <w:rPr>
                <w:webHidden/>
                <w:rStyle w:val="IndexLink"/>
                <w:rtl w:val="true"/>
              </w:rPr>
              <w:t>نموذجان تفسیریان</w:t>
            </w:r>
            <w:r>
              <w:rPr>
                <w:rStyle w:val="IndexLink"/>
                <w:rtl w:val="true"/>
              </w:rPr>
              <w:tab/>
            </w:r>
            <w:r>
              <w:rPr>
                <w:rStyle w:val="IndexLink"/>
              </w:rPr>
              <w:t>124</w:t>
            </w:r>
          </w:hyperlink>
        </w:p>
        <w:p>
          <w:pPr>
            <w:pStyle w:val="Contents4"/>
            <w:tabs>
              <w:tab w:val="clear" w:pos="8176"/>
              <w:tab w:val="right" w:pos="9026" w:leader="dot"/>
            </w:tabs>
            <w:rPr/>
          </w:pPr>
          <w:hyperlink w:anchor="__RefHeading___Toc634027_581953129">
            <w:r>
              <w:rPr>
                <w:webHidden/>
                <w:rStyle w:val="IndexLink"/>
              </w:rPr>
              <w:t>4</w:t>
            </w:r>
            <w:r>
              <w:rPr>
                <w:rStyle w:val="IndexLink"/>
                <w:rtl w:val="true"/>
              </w:rPr>
              <w:t xml:space="preserve">. </w:t>
            </w:r>
            <w:r>
              <w:rPr>
                <w:rStyle w:val="IndexLink"/>
                <w:rtl w:val="true"/>
              </w:rPr>
              <w:t xml:space="preserve">عطاء بن أبی رباح </w:t>
            </w:r>
            <w:r>
              <w:rPr>
                <w:rStyle w:val="IndexLink"/>
                <w:rtl w:val="true"/>
              </w:rPr>
              <w:t>(</w:t>
            </w:r>
            <w:r>
              <w:rPr>
                <w:rStyle w:val="IndexLink"/>
                <w:rtl w:val="true"/>
              </w:rPr>
              <w:t>ت</w:t>
            </w:r>
            <w:r>
              <w:rPr>
                <w:rStyle w:val="IndexLink"/>
              </w:rPr>
              <w:t>114</w:t>
            </w:r>
            <w:r>
              <w:rPr>
                <w:rStyle w:val="IndexLink"/>
                <w:rtl w:val="true"/>
              </w:rPr>
              <w:t>ه</w:t>
            </w:r>
            <w:r>
              <w:rPr>
                <w:rStyle w:val="IndexLink"/>
                <w:rtl w:val="true"/>
              </w:rPr>
              <w:t>)</w:t>
              <w:tab/>
            </w:r>
            <w:r>
              <w:rPr>
                <w:rStyle w:val="IndexLink"/>
              </w:rPr>
              <w:t>124</w:t>
            </w:r>
          </w:hyperlink>
        </w:p>
        <w:p>
          <w:pPr>
            <w:pStyle w:val="Contents4"/>
            <w:tabs>
              <w:tab w:val="clear" w:pos="8176"/>
              <w:tab w:val="right" w:pos="9026" w:leader="dot"/>
            </w:tabs>
            <w:rPr/>
          </w:pPr>
          <w:hyperlink w:anchor="__RefHeading___Toc634029_581953129">
            <w:r>
              <w:rPr>
                <w:webHidden/>
                <w:rStyle w:val="IndexLink"/>
              </w:rPr>
              <w:t>5</w:t>
            </w:r>
            <w:r>
              <w:rPr>
                <w:rStyle w:val="IndexLink"/>
                <w:rtl w:val="true"/>
              </w:rPr>
              <w:t xml:space="preserve">. </w:t>
            </w:r>
            <w:r>
              <w:rPr>
                <w:rStyle w:val="IndexLink"/>
                <w:rtl w:val="true"/>
              </w:rPr>
              <w:t xml:space="preserve">عکرمة </w:t>
            </w:r>
            <w:r>
              <w:rPr>
                <w:rStyle w:val="IndexLink"/>
                <w:rtl w:val="true"/>
              </w:rPr>
              <w:t>(</w:t>
            </w:r>
            <w:r>
              <w:rPr>
                <w:rStyle w:val="IndexLink"/>
                <w:rtl w:val="true"/>
              </w:rPr>
              <w:t>ت</w:t>
            </w:r>
            <w:r>
              <w:rPr>
                <w:rStyle w:val="IndexLink"/>
              </w:rPr>
              <w:t>105</w:t>
            </w:r>
            <w:r>
              <w:rPr>
                <w:rStyle w:val="IndexLink"/>
                <w:rtl w:val="true"/>
              </w:rPr>
              <w:t>ه</w:t>
            </w:r>
            <w:r>
              <w:rPr>
                <w:rStyle w:val="IndexLink"/>
                <w:rtl w:val="true"/>
              </w:rPr>
              <w:t>)</w:t>
              <w:tab/>
            </w:r>
            <w:r>
              <w:rPr>
                <w:rStyle w:val="IndexLink"/>
              </w:rPr>
              <w:t>126</w:t>
            </w:r>
          </w:hyperlink>
        </w:p>
        <w:p>
          <w:pPr>
            <w:pStyle w:val="Contents5"/>
            <w:tabs>
              <w:tab w:val="clear" w:pos="7892"/>
              <w:tab w:val="right" w:pos="9026" w:leader="dot"/>
            </w:tabs>
            <w:rPr/>
          </w:pPr>
          <w:hyperlink w:anchor="__RefHeading___Toc634031_581953129">
            <w:r>
              <w:rPr>
                <w:webHidden/>
                <w:rStyle w:val="IndexLink"/>
                <w:rtl w:val="true"/>
              </w:rPr>
              <w:t>اشارة</w:t>
            </w:r>
            <w:r>
              <w:rPr>
                <w:rStyle w:val="IndexLink"/>
                <w:rtl w:val="true"/>
              </w:rPr>
              <w:tab/>
            </w:r>
            <w:r>
              <w:rPr>
                <w:rStyle w:val="IndexLink"/>
              </w:rPr>
              <w:t>126</w:t>
            </w:r>
          </w:hyperlink>
        </w:p>
        <w:p>
          <w:pPr>
            <w:pStyle w:val="Contents5"/>
            <w:tabs>
              <w:tab w:val="clear" w:pos="7892"/>
              <w:tab w:val="right" w:pos="9026" w:leader="dot"/>
            </w:tabs>
            <w:rPr/>
          </w:pPr>
          <w:hyperlink w:anchor="__RefHeading___Toc634033_581953129">
            <w:r>
              <w:rPr>
                <w:webHidden/>
                <w:rStyle w:val="IndexLink"/>
                <w:rtl w:val="true"/>
              </w:rPr>
              <w:t>وثاقة عکرمة</w:t>
            </w:r>
            <w:r>
              <w:rPr>
                <w:rStyle w:val="IndexLink"/>
                <w:rtl w:val="true"/>
              </w:rPr>
              <w:tab/>
            </w:r>
            <w:r>
              <w:rPr>
                <w:rStyle w:val="IndexLink"/>
              </w:rPr>
              <w:t>128</w:t>
            </w:r>
          </w:hyperlink>
        </w:p>
        <w:p>
          <w:pPr>
            <w:pStyle w:val="Contents5"/>
            <w:tabs>
              <w:tab w:val="clear" w:pos="7892"/>
              <w:tab w:val="right" w:pos="9026" w:leader="dot"/>
            </w:tabs>
            <w:rPr/>
          </w:pPr>
          <w:hyperlink w:anchor="__RefHeading___Toc634035_581953129">
            <w:r>
              <w:rPr>
                <w:webHidden/>
                <w:rStyle w:val="IndexLink"/>
                <w:rtl w:val="true"/>
              </w:rPr>
              <w:t>المخالفون</w:t>
            </w:r>
            <w:r>
              <w:rPr>
                <w:rStyle w:val="IndexLink"/>
                <w:rtl w:val="true"/>
              </w:rPr>
              <w:tab/>
            </w:r>
            <w:r>
              <w:rPr>
                <w:rStyle w:val="IndexLink"/>
              </w:rPr>
              <w:t>128</w:t>
            </w:r>
          </w:hyperlink>
        </w:p>
        <w:p>
          <w:pPr>
            <w:pStyle w:val="Contents5"/>
            <w:tabs>
              <w:tab w:val="clear" w:pos="7892"/>
              <w:tab w:val="right" w:pos="9026" w:leader="dot"/>
            </w:tabs>
            <w:rPr/>
          </w:pPr>
          <w:hyperlink w:anchor="__RefHeading___Toc634037_581953129">
            <w:r>
              <w:rPr>
                <w:webHidden/>
                <w:rStyle w:val="IndexLink"/>
                <w:rtl w:val="true"/>
              </w:rPr>
              <w:t>الموافقون</w:t>
            </w:r>
            <w:r>
              <w:rPr>
                <w:rStyle w:val="IndexLink"/>
                <w:rtl w:val="true"/>
              </w:rPr>
              <w:tab/>
            </w:r>
            <w:r>
              <w:rPr>
                <w:rStyle w:val="IndexLink"/>
              </w:rPr>
              <w:t>130</w:t>
            </w:r>
          </w:hyperlink>
        </w:p>
        <w:p>
          <w:pPr>
            <w:pStyle w:val="Contents5"/>
            <w:tabs>
              <w:tab w:val="clear" w:pos="7892"/>
              <w:tab w:val="right" w:pos="9026" w:leader="dot"/>
            </w:tabs>
            <w:rPr/>
          </w:pPr>
          <w:hyperlink w:anchor="__RefHeading___Toc634039_581953129">
            <w:r>
              <w:rPr>
                <w:webHidden/>
                <w:rStyle w:val="IndexLink"/>
                <w:rtl w:val="true"/>
              </w:rPr>
              <w:t>أهو خارجی واقعاً؟</w:t>
            </w:r>
            <w:r>
              <w:rPr>
                <w:rStyle w:val="IndexLink"/>
                <w:rtl w:val="true"/>
              </w:rPr>
              <w:t>!</w:t>
              <w:tab/>
            </w:r>
            <w:r>
              <w:rPr>
                <w:rStyle w:val="IndexLink"/>
              </w:rPr>
              <w:t>131</w:t>
            </w:r>
          </w:hyperlink>
        </w:p>
        <w:p>
          <w:pPr>
            <w:pStyle w:val="Contents5"/>
            <w:tabs>
              <w:tab w:val="clear" w:pos="7892"/>
              <w:tab w:val="right" w:pos="9026" w:leader="dot"/>
            </w:tabs>
            <w:rPr/>
          </w:pPr>
          <w:hyperlink w:anchor="__RefHeading___Toc634041_581953129">
            <w:r>
              <w:rPr>
                <w:webHidden/>
                <w:rStyle w:val="IndexLink"/>
                <w:rtl w:val="true"/>
              </w:rPr>
              <w:t>عکرمة وآیة التطهیر</w:t>
            </w:r>
            <w:r>
              <w:rPr>
                <w:rStyle w:val="IndexLink"/>
                <w:rtl w:val="true"/>
              </w:rPr>
              <w:tab/>
            </w:r>
            <w:r>
              <w:rPr>
                <w:rStyle w:val="IndexLink"/>
              </w:rPr>
              <w:t>135</w:t>
            </w:r>
          </w:hyperlink>
        </w:p>
        <w:p>
          <w:pPr>
            <w:pStyle w:val="Contents5"/>
            <w:tabs>
              <w:tab w:val="clear" w:pos="7892"/>
              <w:tab w:val="right" w:pos="9026" w:leader="dot"/>
            </w:tabs>
            <w:rPr/>
          </w:pPr>
          <w:hyperlink w:anchor="__RefHeading___Toc634043_581953129">
            <w:r>
              <w:rPr>
                <w:webHidden/>
                <w:rStyle w:val="IndexLink"/>
                <w:rtl w:val="true"/>
              </w:rPr>
              <w:t>نماذج من تفسیره</w:t>
            </w:r>
            <w:r>
              <w:rPr>
                <w:rStyle w:val="IndexLink"/>
                <w:rtl w:val="true"/>
              </w:rPr>
              <w:tab/>
            </w:r>
            <w:r>
              <w:rPr>
                <w:rStyle w:val="IndexLink"/>
              </w:rPr>
              <w:t>136</w:t>
            </w:r>
          </w:hyperlink>
        </w:p>
        <w:p>
          <w:pPr>
            <w:pStyle w:val="Contents3"/>
            <w:tabs>
              <w:tab w:val="clear" w:pos="8459"/>
              <w:tab w:val="right" w:pos="9026" w:leader="dot"/>
            </w:tabs>
            <w:rPr/>
          </w:pPr>
          <w:hyperlink w:anchor="__RefHeading___Toc634045_581953129">
            <w:r>
              <w:rPr>
                <w:webHidden/>
                <w:rStyle w:val="IndexLink"/>
                <w:rtl w:val="true"/>
              </w:rPr>
              <w:t>مدرسة المدینة المنوّرة</w:t>
            </w:r>
            <w:r>
              <w:rPr>
                <w:rStyle w:val="IndexLink"/>
                <w:rtl w:val="true"/>
              </w:rPr>
              <w:tab/>
            </w:r>
            <w:r>
              <w:rPr>
                <w:rStyle w:val="IndexLink"/>
              </w:rPr>
              <w:t>137</w:t>
            </w:r>
          </w:hyperlink>
        </w:p>
        <w:p>
          <w:pPr>
            <w:pStyle w:val="Contents4"/>
            <w:tabs>
              <w:tab w:val="clear" w:pos="8176"/>
              <w:tab w:val="right" w:pos="9026" w:leader="dot"/>
            </w:tabs>
            <w:rPr/>
          </w:pPr>
          <w:hyperlink w:anchor="__RefHeading___Toc634047_581953129">
            <w:r>
              <w:rPr>
                <w:webHidden/>
                <w:rStyle w:val="IndexLink"/>
                <w:rtl w:val="true"/>
              </w:rPr>
              <w:t>اشارة</w:t>
            </w:r>
            <w:r>
              <w:rPr>
                <w:rStyle w:val="IndexLink"/>
                <w:rtl w:val="true"/>
              </w:rPr>
              <w:tab/>
            </w:r>
            <w:r>
              <w:rPr>
                <w:rStyle w:val="IndexLink"/>
              </w:rPr>
              <w:t>137</w:t>
            </w:r>
          </w:hyperlink>
        </w:p>
        <w:p>
          <w:pPr>
            <w:pStyle w:val="Contents4"/>
            <w:tabs>
              <w:tab w:val="clear" w:pos="8176"/>
              <w:tab w:val="right" w:pos="9026" w:leader="dot"/>
            </w:tabs>
            <w:rPr/>
          </w:pPr>
          <w:hyperlink w:anchor="__RefHeading___Toc634049_581953129">
            <w:r>
              <w:rPr>
                <w:webHidden/>
                <w:rStyle w:val="IndexLink"/>
              </w:rPr>
              <w:t>1</w:t>
            </w:r>
            <w:r>
              <w:rPr>
                <w:rStyle w:val="IndexLink"/>
                <w:rtl w:val="true"/>
              </w:rPr>
              <w:t xml:space="preserve">. </w:t>
            </w:r>
            <w:r>
              <w:rPr>
                <w:rStyle w:val="IndexLink"/>
                <w:rtl w:val="true"/>
              </w:rPr>
              <w:t xml:space="preserve">سعید بن المسیب </w:t>
            </w:r>
            <w:r>
              <w:rPr>
                <w:rStyle w:val="IndexLink"/>
                <w:rtl w:val="true"/>
              </w:rPr>
              <w:t>(</w:t>
            </w:r>
            <w:r>
              <w:rPr>
                <w:rStyle w:val="IndexLink"/>
                <w:rtl w:val="true"/>
              </w:rPr>
              <w:t>ت</w:t>
            </w:r>
            <w:r>
              <w:rPr>
                <w:rStyle w:val="IndexLink"/>
              </w:rPr>
              <w:t>94</w:t>
            </w:r>
            <w:r>
              <w:rPr>
                <w:rStyle w:val="IndexLink"/>
                <w:rtl w:val="true"/>
              </w:rPr>
              <w:t>ه</w:t>
            </w:r>
            <w:r>
              <w:rPr>
                <w:rStyle w:val="IndexLink"/>
                <w:rtl w:val="true"/>
              </w:rPr>
              <w:t>)</w:t>
              <w:tab/>
            </w:r>
            <w:r>
              <w:rPr>
                <w:rStyle w:val="IndexLink"/>
              </w:rPr>
              <w:t>138</w:t>
            </w:r>
          </w:hyperlink>
        </w:p>
        <w:p>
          <w:pPr>
            <w:pStyle w:val="Contents4"/>
            <w:tabs>
              <w:tab w:val="clear" w:pos="8176"/>
              <w:tab w:val="right" w:pos="9026" w:leader="dot"/>
            </w:tabs>
            <w:rPr/>
          </w:pPr>
          <w:hyperlink w:anchor="__RefHeading___Toc634051_581953129">
            <w:r>
              <w:rPr>
                <w:webHidden/>
                <w:rStyle w:val="IndexLink"/>
              </w:rPr>
              <w:t>2</w:t>
            </w:r>
            <w:r>
              <w:rPr>
                <w:rStyle w:val="IndexLink"/>
                <w:rtl w:val="true"/>
              </w:rPr>
              <w:t xml:space="preserve">. </w:t>
            </w:r>
            <w:r>
              <w:rPr>
                <w:rStyle w:val="IndexLink"/>
                <w:rtl w:val="true"/>
              </w:rPr>
              <w:t xml:space="preserve">أبو العالیة رفیع بن مَهران الریاحی </w:t>
            </w:r>
            <w:r>
              <w:rPr>
                <w:rStyle w:val="IndexLink"/>
                <w:rtl w:val="true"/>
              </w:rPr>
              <w:t>(</w:t>
            </w:r>
            <w:r>
              <w:rPr>
                <w:rStyle w:val="IndexLink"/>
                <w:rtl w:val="true"/>
              </w:rPr>
              <w:t>ت</w:t>
            </w:r>
            <w:r>
              <w:rPr>
                <w:rStyle w:val="IndexLink"/>
              </w:rPr>
              <w:t>90</w:t>
            </w:r>
            <w:r>
              <w:rPr>
                <w:rStyle w:val="IndexLink"/>
                <w:rtl w:val="true"/>
              </w:rPr>
              <w:t>ه</w:t>
            </w:r>
            <w:r>
              <w:rPr>
                <w:rStyle w:val="IndexLink"/>
                <w:rtl w:val="true"/>
              </w:rPr>
              <w:t>)</w:t>
              <w:tab/>
            </w:r>
            <w:r>
              <w:rPr>
                <w:rStyle w:val="IndexLink"/>
              </w:rPr>
              <w:t>140</w:t>
            </w:r>
          </w:hyperlink>
        </w:p>
        <w:p>
          <w:pPr>
            <w:pStyle w:val="Contents4"/>
            <w:tabs>
              <w:tab w:val="clear" w:pos="8176"/>
              <w:tab w:val="right" w:pos="9026" w:leader="dot"/>
            </w:tabs>
            <w:rPr/>
          </w:pPr>
          <w:hyperlink w:anchor="__RefHeading___Toc634053_581953129">
            <w:r>
              <w:rPr>
                <w:webHidden/>
                <w:rStyle w:val="IndexLink"/>
              </w:rPr>
              <w:t>3</w:t>
            </w:r>
            <w:r>
              <w:rPr>
                <w:rStyle w:val="IndexLink"/>
                <w:rtl w:val="true"/>
              </w:rPr>
              <w:t xml:space="preserve">. </w:t>
            </w:r>
            <w:r>
              <w:rPr>
                <w:rStyle w:val="IndexLink"/>
                <w:rtl w:val="true"/>
              </w:rPr>
              <w:t>محمّد بن کعب القُرَظی</w:t>
            </w:r>
            <w:r>
              <w:rPr>
                <w:rStyle w:val="IndexLink"/>
                <w:rtl w:val="true"/>
              </w:rPr>
              <w:tab/>
            </w:r>
            <w:r>
              <w:rPr>
                <w:rStyle w:val="IndexLink"/>
              </w:rPr>
              <w:t>141</w:t>
            </w:r>
          </w:hyperlink>
        </w:p>
        <w:p>
          <w:pPr>
            <w:pStyle w:val="Contents5"/>
            <w:tabs>
              <w:tab w:val="clear" w:pos="7892"/>
              <w:tab w:val="right" w:pos="9026" w:leader="dot"/>
            </w:tabs>
            <w:rPr/>
          </w:pPr>
          <w:hyperlink w:anchor="__RefHeading___Toc634055_581953129">
            <w:r>
              <w:rPr>
                <w:webHidden/>
                <w:rStyle w:val="IndexLink"/>
                <w:rtl w:val="true"/>
              </w:rPr>
              <w:t>اشارة</w:t>
            </w:r>
            <w:r>
              <w:rPr>
                <w:rStyle w:val="IndexLink"/>
                <w:rtl w:val="true"/>
              </w:rPr>
              <w:tab/>
            </w:r>
            <w:r>
              <w:rPr>
                <w:rStyle w:val="IndexLink"/>
              </w:rPr>
              <w:t>141</w:t>
            </w:r>
          </w:hyperlink>
        </w:p>
        <w:p>
          <w:pPr>
            <w:pStyle w:val="Contents5"/>
            <w:tabs>
              <w:tab w:val="clear" w:pos="7892"/>
              <w:tab w:val="right" w:pos="9026" w:leader="dot"/>
            </w:tabs>
            <w:rPr/>
          </w:pPr>
          <w:hyperlink w:anchor="__RefHeading___Toc634057_581953129">
            <w:r>
              <w:rPr>
                <w:webHidden/>
                <w:rStyle w:val="IndexLink"/>
                <w:rtl w:val="true"/>
              </w:rPr>
              <w:t>نماذج من تفسیره</w:t>
            </w:r>
            <w:r>
              <w:rPr>
                <w:rStyle w:val="IndexLink"/>
                <w:rtl w:val="true"/>
              </w:rPr>
              <w:tab/>
            </w:r>
            <w:r>
              <w:rPr>
                <w:rStyle w:val="IndexLink"/>
              </w:rPr>
              <w:t>141</w:t>
            </w:r>
          </w:hyperlink>
        </w:p>
        <w:p>
          <w:pPr>
            <w:pStyle w:val="Contents6"/>
            <w:tabs>
              <w:tab w:val="clear" w:pos="7609"/>
              <w:tab w:val="right" w:pos="9026" w:leader="dot"/>
            </w:tabs>
            <w:rPr/>
          </w:pPr>
          <w:hyperlink w:anchor="__RefHeading___Toc634059_581953129">
            <w:r>
              <w:rPr>
                <w:webHidden/>
                <w:rStyle w:val="IndexLink"/>
                <w:rtl w:val="true"/>
              </w:rPr>
              <w:t>اشارة</w:t>
            </w:r>
            <w:r>
              <w:rPr>
                <w:rStyle w:val="IndexLink"/>
                <w:rtl w:val="true"/>
              </w:rPr>
              <w:tab/>
            </w:r>
            <w:r>
              <w:rPr>
                <w:rStyle w:val="IndexLink"/>
              </w:rPr>
              <w:t>141</w:t>
            </w:r>
          </w:hyperlink>
        </w:p>
        <w:p>
          <w:pPr>
            <w:pStyle w:val="Contents6"/>
            <w:tabs>
              <w:tab w:val="clear" w:pos="7609"/>
              <w:tab w:val="right" w:pos="9026" w:leader="dot"/>
            </w:tabs>
            <w:rPr/>
          </w:pPr>
          <w:hyperlink w:anchor="__RefHeading___Toc634061_581953129">
            <w:r>
              <w:rPr>
                <w:webHidden/>
                <w:rStyle w:val="IndexLink"/>
                <w:rtl w:val="true"/>
              </w:rPr>
              <w:t>أ</w:t>
            </w:r>
            <w:r>
              <w:rPr>
                <w:rStyle w:val="IndexLink"/>
                <w:rtl w:val="true"/>
              </w:rPr>
              <w:t xml:space="preserve">) </w:t>
            </w:r>
            <w:r>
              <w:rPr>
                <w:rStyle w:val="IndexLink"/>
                <w:rtl w:val="true"/>
              </w:rPr>
              <w:t>توضیح المفاهیم العامّة</w:t>
            </w:r>
            <w:r>
              <w:rPr>
                <w:rStyle w:val="IndexLink"/>
                <w:rtl w:val="true"/>
              </w:rPr>
              <w:tab/>
            </w:r>
            <w:r>
              <w:rPr>
                <w:rStyle w:val="IndexLink"/>
              </w:rPr>
              <w:t>141</w:t>
            </w:r>
          </w:hyperlink>
        </w:p>
        <w:p>
          <w:pPr>
            <w:pStyle w:val="Contents6"/>
            <w:tabs>
              <w:tab w:val="clear" w:pos="7609"/>
              <w:tab w:val="right" w:pos="9026" w:leader="dot"/>
            </w:tabs>
            <w:rPr/>
          </w:pPr>
          <w:hyperlink w:anchor="__RefHeading___Toc634063_581953129">
            <w:r>
              <w:rPr>
                <w:webHidden/>
                <w:rStyle w:val="IndexLink"/>
                <w:rtl w:val="true"/>
              </w:rPr>
              <w:t>ب</w:t>
            </w:r>
            <w:r>
              <w:rPr>
                <w:rStyle w:val="IndexLink"/>
                <w:rtl w:val="true"/>
              </w:rPr>
              <w:t>(.</w:t>
            </w:r>
            <w:r>
              <w:rPr>
                <w:rStyle w:val="IndexLink"/>
                <w:rtl w:val="true"/>
              </w:rPr>
              <w:t>بیان المصطلحات</w:t>
            </w:r>
            <w:r>
              <w:rPr>
                <w:rStyle w:val="IndexLink"/>
                <w:rtl w:val="true"/>
              </w:rPr>
              <w:tab/>
            </w:r>
            <w:r>
              <w:rPr>
                <w:rStyle w:val="IndexLink"/>
              </w:rPr>
              <w:t>142</w:t>
            </w:r>
          </w:hyperlink>
        </w:p>
        <w:p>
          <w:pPr>
            <w:pStyle w:val="Contents6"/>
            <w:tabs>
              <w:tab w:val="clear" w:pos="7609"/>
              <w:tab w:val="right" w:pos="9026" w:leader="dot"/>
            </w:tabs>
            <w:rPr/>
          </w:pPr>
          <w:hyperlink w:anchor="__RefHeading___Toc634065_581953129">
            <w:r>
              <w:rPr>
                <w:webHidden/>
                <w:rStyle w:val="IndexLink"/>
                <w:rtl w:val="true"/>
              </w:rPr>
              <w:t>ج</w:t>
            </w:r>
            <w:r>
              <w:rPr>
                <w:rStyle w:val="IndexLink"/>
                <w:rtl w:val="true"/>
              </w:rPr>
              <w:t>(.</w:t>
            </w:r>
            <w:r>
              <w:rPr>
                <w:rStyle w:val="IndexLink"/>
                <w:rtl w:val="true"/>
              </w:rPr>
              <w:t>تعیین المصداق</w:t>
            </w:r>
            <w:r>
              <w:rPr>
                <w:rStyle w:val="IndexLink"/>
                <w:rtl w:val="true"/>
              </w:rPr>
              <w:tab/>
            </w:r>
            <w:r>
              <w:rPr>
                <w:rStyle w:val="IndexLink"/>
              </w:rPr>
              <w:t>142</w:t>
            </w:r>
          </w:hyperlink>
        </w:p>
        <w:p>
          <w:pPr>
            <w:pStyle w:val="Contents6"/>
            <w:tabs>
              <w:tab w:val="clear" w:pos="7609"/>
              <w:tab w:val="right" w:pos="9026" w:leader="dot"/>
            </w:tabs>
            <w:rPr/>
          </w:pPr>
          <w:hyperlink w:anchor="__RefHeading___Toc634067_581953129">
            <w:r>
              <w:rPr>
                <w:webHidden/>
                <w:rStyle w:val="IndexLink"/>
                <w:rtl w:val="true"/>
              </w:rPr>
              <w:t>د</w:t>
            </w:r>
            <w:r>
              <w:rPr>
                <w:rStyle w:val="IndexLink"/>
                <w:rtl w:val="true"/>
              </w:rPr>
              <w:t xml:space="preserve">) </w:t>
            </w:r>
            <w:r>
              <w:rPr>
                <w:rStyle w:val="IndexLink"/>
                <w:rtl w:val="true"/>
              </w:rPr>
              <w:t>زید بن أسلم العَدوی</w:t>
            </w:r>
            <w:r>
              <w:rPr>
                <w:rStyle w:val="IndexLink"/>
                <w:rtl w:val="true"/>
              </w:rPr>
              <w:t>(</w:t>
            </w:r>
            <w:r>
              <w:rPr>
                <w:rStyle w:val="IndexLink"/>
              </w:rPr>
              <w:t>136</w:t>
            </w:r>
            <w:r>
              <w:rPr>
                <w:rStyle w:val="IndexLink"/>
                <w:rtl w:val="true"/>
              </w:rPr>
              <w:t xml:space="preserve"> </w:t>
            </w:r>
            <w:r>
              <w:rPr>
                <w:rStyle w:val="IndexLink"/>
                <w:rtl w:val="true"/>
              </w:rPr>
              <w:t>ه</w:t>
            </w:r>
            <w:r>
              <w:rPr>
                <w:rStyle w:val="IndexLink"/>
                <w:rtl w:val="true"/>
              </w:rPr>
              <w:t>)</w:t>
              <w:tab/>
            </w:r>
            <w:r>
              <w:rPr>
                <w:rStyle w:val="IndexLink"/>
              </w:rPr>
              <w:t>142</w:t>
            </w:r>
          </w:hyperlink>
        </w:p>
        <w:p>
          <w:pPr>
            <w:pStyle w:val="Contents5"/>
            <w:tabs>
              <w:tab w:val="clear" w:pos="7892"/>
              <w:tab w:val="right" w:pos="9026" w:leader="dot"/>
            </w:tabs>
            <w:rPr/>
          </w:pPr>
          <w:hyperlink w:anchor="__RefHeading___Toc634069_581953129">
            <w:r>
              <w:rPr>
                <w:webHidden/>
                <w:rStyle w:val="IndexLink"/>
                <w:rtl w:val="true"/>
              </w:rPr>
              <w:t>نماذج من تفسیره</w:t>
            </w:r>
            <w:r>
              <w:rPr>
                <w:rStyle w:val="IndexLink"/>
                <w:rtl w:val="true"/>
              </w:rPr>
              <w:tab/>
            </w:r>
            <w:r>
              <w:rPr>
                <w:rStyle w:val="IndexLink"/>
              </w:rPr>
              <w:t>145</w:t>
            </w:r>
          </w:hyperlink>
        </w:p>
        <w:p>
          <w:pPr>
            <w:pStyle w:val="Contents3"/>
            <w:tabs>
              <w:tab w:val="clear" w:pos="8459"/>
              <w:tab w:val="right" w:pos="9026" w:leader="dot"/>
            </w:tabs>
            <w:rPr/>
          </w:pPr>
          <w:hyperlink w:anchor="__RefHeading___Toc634071_581953129">
            <w:r>
              <w:rPr>
                <w:webHidden/>
                <w:rStyle w:val="IndexLink"/>
                <w:rtl w:val="true"/>
              </w:rPr>
              <w:t>مدرسة العراق التفسیریة</w:t>
            </w:r>
            <w:r>
              <w:rPr>
                <w:rStyle w:val="IndexLink"/>
                <w:rtl w:val="true"/>
              </w:rPr>
              <w:tab/>
            </w:r>
            <w:r>
              <w:rPr>
                <w:rStyle w:val="IndexLink"/>
              </w:rPr>
              <w:t>146</w:t>
            </w:r>
          </w:hyperlink>
        </w:p>
        <w:p>
          <w:pPr>
            <w:pStyle w:val="Contents4"/>
            <w:tabs>
              <w:tab w:val="clear" w:pos="8176"/>
              <w:tab w:val="right" w:pos="9026" w:leader="dot"/>
            </w:tabs>
            <w:rPr/>
          </w:pPr>
          <w:hyperlink w:anchor="__RefHeading___Toc634073_581953129">
            <w:r>
              <w:rPr>
                <w:webHidden/>
                <w:rStyle w:val="IndexLink"/>
                <w:rtl w:val="true"/>
              </w:rPr>
              <w:t>اشارة</w:t>
            </w:r>
            <w:r>
              <w:rPr>
                <w:rStyle w:val="IndexLink"/>
                <w:rtl w:val="true"/>
              </w:rPr>
              <w:tab/>
            </w:r>
            <w:r>
              <w:rPr>
                <w:rStyle w:val="IndexLink"/>
              </w:rPr>
              <w:t>146</w:t>
            </w:r>
          </w:hyperlink>
        </w:p>
        <w:p>
          <w:pPr>
            <w:pStyle w:val="Contents4"/>
            <w:tabs>
              <w:tab w:val="clear" w:pos="8176"/>
              <w:tab w:val="right" w:pos="9026" w:leader="dot"/>
            </w:tabs>
            <w:rPr/>
          </w:pPr>
          <w:hyperlink w:anchor="__RefHeading___Toc634075_581953129">
            <w:r>
              <w:rPr>
                <w:webHidden/>
                <w:rStyle w:val="IndexLink"/>
              </w:rPr>
              <w:t>1</w:t>
            </w:r>
            <w:r>
              <w:rPr>
                <w:rStyle w:val="IndexLink"/>
                <w:rtl w:val="true"/>
              </w:rPr>
              <w:t xml:space="preserve">. </w:t>
            </w:r>
            <w:r>
              <w:rPr>
                <w:rStyle w:val="IndexLink"/>
                <w:rtl w:val="true"/>
              </w:rPr>
              <w:t xml:space="preserve">قَتادة بن دعامة السَدُوسی </w:t>
            </w:r>
            <w:r>
              <w:rPr>
                <w:rStyle w:val="IndexLink"/>
                <w:rtl w:val="true"/>
              </w:rPr>
              <w:t>(</w:t>
            </w:r>
            <w:r>
              <w:rPr>
                <w:rStyle w:val="IndexLink"/>
                <w:rtl w:val="true"/>
              </w:rPr>
              <w:t>ت</w:t>
            </w:r>
            <w:r>
              <w:rPr>
                <w:rStyle w:val="IndexLink"/>
              </w:rPr>
              <w:t>117</w:t>
            </w:r>
            <w:r>
              <w:rPr>
                <w:rStyle w:val="IndexLink"/>
                <w:rtl w:val="true"/>
              </w:rPr>
              <w:t>ه</w:t>
            </w:r>
            <w:r>
              <w:rPr>
                <w:rStyle w:val="IndexLink"/>
                <w:rtl w:val="true"/>
              </w:rPr>
              <w:t>)</w:t>
              <w:tab/>
            </w:r>
            <w:r>
              <w:rPr>
                <w:rStyle w:val="IndexLink"/>
              </w:rPr>
              <w:t>147</w:t>
            </w:r>
          </w:hyperlink>
        </w:p>
        <w:p>
          <w:pPr>
            <w:pStyle w:val="Contents5"/>
            <w:tabs>
              <w:tab w:val="clear" w:pos="7892"/>
              <w:tab w:val="right" w:pos="9026" w:leader="dot"/>
            </w:tabs>
            <w:rPr/>
          </w:pPr>
          <w:hyperlink w:anchor="__RefHeading___Toc634077_581953129">
            <w:r>
              <w:rPr>
                <w:webHidden/>
                <w:rStyle w:val="IndexLink"/>
                <w:rtl w:val="true"/>
              </w:rPr>
              <w:t>اشارة</w:t>
            </w:r>
            <w:r>
              <w:rPr>
                <w:rStyle w:val="IndexLink"/>
                <w:rtl w:val="true"/>
              </w:rPr>
              <w:tab/>
            </w:r>
            <w:r>
              <w:rPr>
                <w:rStyle w:val="IndexLink"/>
              </w:rPr>
              <w:t>147</w:t>
            </w:r>
          </w:hyperlink>
        </w:p>
        <w:p>
          <w:pPr>
            <w:pStyle w:val="Contents5"/>
            <w:tabs>
              <w:tab w:val="clear" w:pos="7892"/>
              <w:tab w:val="right" w:pos="9026" w:leader="dot"/>
            </w:tabs>
            <w:rPr/>
          </w:pPr>
          <w:hyperlink w:anchor="__RefHeading___Toc634079_581953129">
            <w:r>
              <w:rPr>
                <w:webHidden/>
                <w:rStyle w:val="IndexLink"/>
                <w:rtl w:val="true"/>
              </w:rPr>
              <w:t>نماذج من تفسیره</w:t>
            </w:r>
            <w:r>
              <w:rPr>
                <w:rStyle w:val="IndexLink"/>
                <w:rtl w:val="true"/>
              </w:rPr>
              <w:tab/>
            </w:r>
            <w:r>
              <w:rPr>
                <w:rStyle w:val="IndexLink"/>
              </w:rPr>
              <w:t>148</w:t>
            </w:r>
          </w:hyperlink>
        </w:p>
        <w:p>
          <w:pPr>
            <w:pStyle w:val="Contents4"/>
            <w:tabs>
              <w:tab w:val="clear" w:pos="8176"/>
              <w:tab w:val="right" w:pos="9026" w:leader="dot"/>
            </w:tabs>
            <w:rPr/>
          </w:pPr>
          <w:hyperlink w:anchor="__RefHeading___Toc634081_581953129">
            <w:r>
              <w:rPr>
                <w:webHidden/>
                <w:rStyle w:val="IndexLink"/>
              </w:rPr>
              <w:t>2</w:t>
            </w:r>
            <w:r>
              <w:rPr>
                <w:rStyle w:val="IndexLink"/>
                <w:rtl w:val="true"/>
              </w:rPr>
              <w:t xml:space="preserve">. </w:t>
            </w:r>
            <w:r>
              <w:rPr>
                <w:rStyle w:val="IndexLink"/>
                <w:rtl w:val="true"/>
              </w:rPr>
              <w:t xml:space="preserve">جابر بن یزید الجُعفی </w:t>
            </w:r>
            <w:r>
              <w:rPr>
                <w:rStyle w:val="IndexLink"/>
                <w:rtl w:val="true"/>
              </w:rPr>
              <w:t>(</w:t>
            </w:r>
            <w:r>
              <w:rPr>
                <w:rStyle w:val="IndexLink"/>
                <w:rtl w:val="true"/>
              </w:rPr>
              <w:t>ت</w:t>
            </w:r>
            <w:r>
              <w:rPr>
                <w:rStyle w:val="IndexLink"/>
              </w:rPr>
              <w:t>128</w:t>
            </w:r>
            <w:r>
              <w:rPr>
                <w:rStyle w:val="IndexLink"/>
                <w:rtl w:val="true"/>
              </w:rPr>
              <w:t>ه</w:t>
            </w:r>
            <w:r>
              <w:rPr>
                <w:rStyle w:val="IndexLink"/>
                <w:rtl w:val="true"/>
              </w:rPr>
              <w:t>)</w:t>
              <w:tab/>
            </w:r>
            <w:r>
              <w:rPr>
                <w:rStyle w:val="IndexLink"/>
              </w:rPr>
              <w:t>150</w:t>
            </w:r>
          </w:hyperlink>
        </w:p>
        <w:p>
          <w:pPr>
            <w:pStyle w:val="Contents5"/>
            <w:tabs>
              <w:tab w:val="clear" w:pos="7892"/>
              <w:tab w:val="right" w:pos="9026" w:leader="dot"/>
            </w:tabs>
            <w:rPr/>
          </w:pPr>
          <w:hyperlink w:anchor="__RefHeading___Toc634083_581953129">
            <w:r>
              <w:rPr>
                <w:webHidden/>
                <w:rStyle w:val="IndexLink"/>
                <w:rtl w:val="true"/>
              </w:rPr>
              <w:t>اشارة</w:t>
            </w:r>
            <w:r>
              <w:rPr>
                <w:rStyle w:val="IndexLink"/>
                <w:rtl w:val="true"/>
              </w:rPr>
              <w:tab/>
            </w:r>
            <w:r>
              <w:rPr>
                <w:rStyle w:val="IndexLink"/>
              </w:rPr>
              <w:t>150</w:t>
            </w:r>
          </w:hyperlink>
        </w:p>
        <w:p>
          <w:pPr>
            <w:pStyle w:val="Contents5"/>
            <w:tabs>
              <w:tab w:val="clear" w:pos="7892"/>
              <w:tab w:val="right" w:pos="9026" w:leader="dot"/>
            </w:tabs>
            <w:rPr/>
          </w:pPr>
          <w:hyperlink w:anchor="__RefHeading___Toc634085_581953129">
            <w:r>
              <w:rPr>
                <w:webHidden/>
                <w:rStyle w:val="IndexLink"/>
                <w:rtl w:val="true"/>
              </w:rPr>
              <w:t>آراء جابر التفسیریة</w:t>
            </w:r>
            <w:r>
              <w:rPr>
                <w:rStyle w:val="IndexLink"/>
                <w:rtl w:val="true"/>
              </w:rPr>
              <w:tab/>
            </w:r>
            <w:r>
              <w:rPr>
                <w:rStyle w:val="IndexLink"/>
              </w:rPr>
              <w:t>152</w:t>
            </w:r>
          </w:hyperlink>
        </w:p>
        <w:p>
          <w:pPr>
            <w:pStyle w:val="Contents6"/>
            <w:tabs>
              <w:tab w:val="clear" w:pos="7609"/>
              <w:tab w:val="right" w:pos="9026" w:leader="dot"/>
            </w:tabs>
            <w:rPr/>
          </w:pPr>
          <w:hyperlink w:anchor="__RefHeading___Toc634087_581953129">
            <w:r>
              <w:rPr>
                <w:webHidden/>
                <w:rStyle w:val="IndexLink"/>
                <w:rtl w:val="true"/>
              </w:rPr>
              <w:t>اشارة</w:t>
            </w:r>
            <w:r>
              <w:rPr>
                <w:rStyle w:val="IndexLink"/>
                <w:rtl w:val="true"/>
              </w:rPr>
              <w:tab/>
            </w:r>
            <w:r>
              <w:rPr>
                <w:rStyle w:val="IndexLink"/>
              </w:rPr>
              <w:t>152</w:t>
            </w:r>
          </w:hyperlink>
        </w:p>
        <w:p>
          <w:pPr>
            <w:pStyle w:val="Contents6"/>
            <w:tabs>
              <w:tab w:val="clear" w:pos="7609"/>
              <w:tab w:val="right" w:pos="9026" w:leader="dot"/>
            </w:tabs>
            <w:rPr/>
          </w:pPr>
          <w:hyperlink w:anchor="__RefHeading___Toc634089_581953129">
            <w:r>
              <w:rPr>
                <w:webHidden/>
                <w:rStyle w:val="IndexLink"/>
                <w:rtl w:val="true"/>
              </w:rPr>
              <w:t>أ</w:t>
            </w:r>
            <w:r>
              <w:rPr>
                <w:rStyle w:val="IndexLink"/>
                <w:rtl w:val="true"/>
              </w:rPr>
              <w:t xml:space="preserve">) </w:t>
            </w:r>
            <w:r>
              <w:rPr>
                <w:rStyle w:val="IndexLink"/>
                <w:rtl w:val="true"/>
              </w:rPr>
              <w:t>بیان الناسخ و المنسوخ</w:t>
            </w:r>
            <w:r>
              <w:rPr>
                <w:rStyle w:val="IndexLink"/>
                <w:rtl w:val="true"/>
              </w:rPr>
              <w:tab/>
            </w:r>
            <w:r>
              <w:rPr>
                <w:rStyle w:val="IndexLink"/>
              </w:rPr>
              <w:t>152</w:t>
            </w:r>
          </w:hyperlink>
        </w:p>
        <w:p>
          <w:pPr>
            <w:pStyle w:val="Contents6"/>
            <w:tabs>
              <w:tab w:val="clear" w:pos="7609"/>
              <w:tab w:val="right" w:pos="9026" w:leader="dot"/>
            </w:tabs>
            <w:rPr/>
          </w:pPr>
          <w:hyperlink w:anchor="__RefHeading___Toc634091_581953129">
            <w:r>
              <w:rPr>
                <w:webHidden/>
                <w:rStyle w:val="IndexLink"/>
                <w:rtl w:val="true"/>
              </w:rPr>
              <w:t xml:space="preserve">ب </w:t>
            </w:r>
            <w:r>
              <w:rPr>
                <w:rStyle w:val="IndexLink"/>
                <w:rtl w:val="true"/>
              </w:rPr>
              <w:t>(</w:t>
            </w:r>
            <w:r>
              <w:rPr>
                <w:rStyle w:val="IndexLink"/>
                <w:rtl w:val="true"/>
              </w:rPr>
              <w:t>التفسیر الولائی</w:t>
            </w:r>
            <w:r>
              <w:rPr>
                <w:rStyle w:val="IndexLink"/>
                <w:rtl w:val="true"/>
              </w:rPr>
              <w:tab/>
            </w:r>
            <w:r>
              <w:rPr>
                <w:rStyle w:val="IndexLink"/>
              </w:rPr>
              <w:t>152</w:t>
            </w:r>
          </w:hyperlink>
        </w:p>
        <w:p>
          <w:pPr>
            <w:pStyle w:val="Contents6"/>
            <w:tabs>
              <w:tab w:val="clear" w:pos="7609"/>
              <w:tab w:val="right" w:pos="9026" w:leader="dot"/>
            </w:tabs>
            <w:rPr/>
          </w:pPr>
          <w:hyperlink w:anchor="__RefHeading___Toc634093_581953129">
            <w:r>
              <w:rPr>
                <w:webHidden/>
                <w:rStyle w:val="IndexLink"/>
                <w:rtl w:val="true"/>
              </w:rPr>
              <w:t xml:space="preserve">ج </w:t>
            </w:r>
            <w:r>
              <w:rPr>
                <w:rStyle w:val="IndexLink"/>
                <w:rtl w:val="true"/>
              </w:rPr>
              <w:t>(</w:t>
            </w:r>
            <w:r>
              <w:rPr>
                <w:rStyle w:val="IndexLink"/>
                <w:rtl w:val="true"/>
              </w:rPr>
              <w:t>التفسیر العقائدی الکلامی</w:t>
            </w:r>
            <w:r>
              <w:rPr>
                <w:rStyle w:val="IndexLink"/>
                <w:rtl w:val="true"/>
              </w:rPr>
              <w:tab/>
            </w:r>
            <w:r>
              <w:rPr>
                <w:rStyle w:val="IndexLink"/>
              </w:rPr>
              <w:t>153</w:t>
            </w:r>
          </w:hyperlink>
        </w:p>
        <w:p>
          <w:pPr>
            <w:pStyle w:val="Contents4"/>
            <w:tabs>
              <w:tab w:val="clear" w:pos="8176"/>
              <w:tab w:val="right" w:pos="9026" w:leader="dot"/>
            </w:tabs>
            <w:rPr/>
          </w:pPr>
          <w:hyperlink w:anchor="__RefHeading___Toc634095_581953129">
            <w:r>
              <w:rPr>
                <w:webHidden/>
                <w:rStyle w:val="IndexLink"/>
              </w:rPr>
              <w:t>3</w:t>
            </w:r>
            <w:r>
              <w:rPr>
                <w:rStyle w:val="IndexLink"/>
                <w:rtl w:val="true"/>
              </w:rPr>
              <w:t xml:space="preserve">. </w:t>
            </w:r>
            <w:r>
              <w:rPr>
                <w:rStyle w:val="IndexLink"/>
                <w:rtl w:val="true"/>
              </w:rPr>
              <w:t>السدّی الکبیر</w:t>
            </w:r>
            <w:r>
              <w:rPr>
                <w:rStyle w:val="IndexLink"/>
                <w:rtl w:val="true"/>
              </w:rPr>
              <w:t>(</w:t>
            </w:r>
            <w:r>
              <w:rPr>
                <w:rStyle w:val="IndexLink"/>
              </w:rPr>
              <w:t>127</w:t>
            </w:r>
            <w:r>
              <w:rPr>
                <w:rStyle w:val="IndexLink"/>
                <w:rtl w:val="true"/>
              </w:rPr>
              <w:t xml:space="preserve"> </w:t>
            </w:r>
            <w:r>
              <w:rPr>
                <w:rStyle w:val="IndexLink"/>
                <w:rtl w:val="true"/>
              </w:rPr>
              <w:t>ه</w:t>
            </w:r>
            <w:r>
              <w:rPr>
                <w:rStyle w:val="IndexLink"/>
                <w:rtl w:val="true"/>
              </w:rPr>
              <w:t>)</w:t>
              <w:tab/>
            </w:r>
            <w:r>
              <w:rPr>
                <w:rStyle w:val="IndexLink"/>
              </w:rPr>
              <w:t>153</w:t>
            </w:r>
          </w:hyperlink>
        </w:p>
        <w:p>
          <w:pPr>
            <w:pStyle w:val="Contents4"/>
            <w:tabs>
              <w:tab w:val="clear" w:pos="8176"/>
              <w:tab w:val="right" w:pos="9026" w:leader="dot"/>
            </w:tabs>
            <w:rPr/>
          </w:pPr>
          <w:hyperlink w:anchor="__RefHeading___Toc634097_581953129">
            <w:r>
              <w:rPr>
                <w:webHidden/>
                <w:rStyle w:val="IndexLink"/>
              </w:rPr>
              <w:t>4</w:t>
            </w:r>
            <w:r>
              <w:rPr>
                <w:rStyle w:val="IndexLink"/>
                <w:rtl w:val="true"/>
              </w:rPr>
              <w:t xml:space="preserve">. </w:t>
            </w:r>
            <w:r>
              <w:rPr>
                <w:rStyle w:val="IndexLink"/>
                <w:rtl w:val="true"/>
              </w:rPr>
              <w:t>مسروق بن الأجدع الکوفی</w:t>
            </w:r>
            <w:r>
              <w:rPr>
                <w:rStyle w:val="IndexLink"/>
                <w:rtl w:val="true"/>
              </w:rPr>
              <w:t>(</w:t>
            </w:r>
            <w:r>
              <w:rPr>
                <w:rStyle w:val="IndexLink"/>
              </w:rPr>
              <w:t>63</w:t>
            </w:r>
            <w:r>
              <w:rPr>
                <w:rStyle w:val="IndexLink"/>
                <w:rtl w:val="true"/>
              </w:rPr>
              <w:t xml:space="preserve"> </w:t>
            </w:r>
            <w:r>
              <w:rPr>
                <w:rStyle w:val="IndexLink"/>
                <w:rtl w:val="true"/>
              </w:rPr>
              <w:t>ه</w:t>
            </w:r>
            <w:r>
              <w:rPr>
                <w:rStyle w:val="IndexLink"/>
                <w:rtl w:val="true"/>
              </w:rPr>
              <w:t>)</w:t>
              <w:tab/>
            </w:r>
            <w:r>
              <w:rPr>
                <w:rStyle w:val="IndexLink"/>
              </w:rPr>
              <w:t>154</w:t>
            </w:r>
          </w:hyperlink>
        </w:p>
        <w:p>
          <w:pPr>
            <w:pStyle w:val="Contents4"/>
            <w:tabs>
              <w:tab w:val="clear" w:pos="8176"/>
              <w:tab w:val="right" w:pos="9026" w:leader="dot"/>
            </w:tabs>
            <w:rPr/>
          </w:pPr>
          <w:hyperlink w:anchor="__RefHeading___Toc634099_581953129">
            <w:r>
              <w:rPr>
                <w:webHidden/>
                <w:rStyle w:val="IndexLink"/>
              </w:rPr>
              <w:t>5</w:t>
            </w:r>
            <w:r>
              <w:rPr>
                <w:rStyle w:val="IndexLink"/>
                <w:rtl w:val="true"/>
              </w:rPr>
              <w:t xml:space="preserve">. </w:t>
            </w:r>
            <w:r>
              <w:rPr>
                <w:rStyle w:val="IndexLink"/>
                <w:rtl w:val="true"/>
              </w:rPr>
              <w:t>علقمة بن قیس</w:t>
            </w:r>
            <w:r>
              <w:rPr>
                <w:rStyle w:val="IndexLink"/>
                <w:rtl w:val="true"/>
              </w:rPr>
              <w:t>(</w:t>
            </w:r>
            <w:r>
              <w:rPr>
                <w:rStyle w:val="IndexLink"/>
              </w:rPr>
              <w:t>61</w:t>
            </w:r>
            <w:r>
              <w:rPr>
                <w:rStyle w:val="IndexLink"/>
                <w:rtl w:val="true"/>
              </w:rPr>
              <w:t>ه</w:t>
            </w:r>
            <w:r>
              <w:rPr>
                <w:rStyle w:val="IndexLink"/>
                <w:rtl w:val="true"/>
              </w:rPr>
              <w:t>)</w:t>
              <w:tab/>
            </w:r>
            <w:r>
              <w:rPr>
                <w:rStyle w:val="IndexLink"/>
              </w:rPr>
              <w:t>154</w:t>
            </w:r>
          </w:hyperlink>
        </w:p>
        <w:p>
          <w:pPr>
            <w:pStyle w:val="Contents4"/>
            <w:tabs>
              <w:tab w:val="clear" w:pos="8176"/>
              <w:tab w:val="right" w:pos="9026" w:leader="dot"/>
            </w:tabs>
            <w:rPr/>
          </w:pPr>
          <w:hyperlink w:anchor="__RefHeading___Toc634101_581953129">
            <w:r>
              <w:rPr>
                <w:webHidden/>
                <w:rStyle w:val="IndexLink"/>
              </w:rPr>
              <w:t>6</w:t>
            </w:r>
            <w:r>
              <w:rPr>
                <w:rStyle w:val="IndexLink"/>
                <w:rtl w:val="true"/>
              </w:rPr>
              <w:t xml:space="preserve">. </w:t>
            </w:r>
            <w:r>
              <w:rPr>
                <w:rStyle w:val="IndexLink"/>
                <w:rtl w:val="true"/>
              </w:rPr>
              <w:t>مُرّة الهمدانی الکوفی</w:t>
            </w:r>
            <w:r>
              <w:rPr>
                <w:rStyle w:val="IndexLink"/>
                <w:rtl w:val="true"/>
              </w:rPr>
              <w:t>(</w:t>
            </w:r>
            <w:r>
              <w:rPr>
                <w:rStyle w:val="IndexLink"/>
              </w:rPr>
              <w:t>76</w:t>
            </w:r>
            <w:r>
              <w:rPr>
                <w:rStyle w:val="IndexLink"/>
                <w:rtl w:val="true"/>
              </w:rPr>
              <w:t xml:space="preserve"> </w:t>
            </w:r>
            <w:r>
              <w:rPr>
                <w:rStyle w:val="IndexLink"/>
                <w:rtl w:val="true"/>
              </w:rPr>
              <w:t>ه</w:t>
            </w:r>
            <w:r>
              <w:rPr>
                <w:rStyle w:val="IndexLink"/>
                <w:rtl w:val="true"/>
              </w:rPr>
              <w:t>)</w:t>
              <w:tab/>
            </w:r>
            <w:r>
              <w:rPr>
                <w:rStyle w:val="IndexLink"/>
              </w:rPr>
              <w:t>155</w:t>
            </w:r>
          </w:hyperlink>
        </w:p>
        <w:p>
          <w:pPr>
            <w:pStyle w:val="Contents4"/>
            <w:tabs>
              <w:tab w:val="clear" w:pos="8176"/>
              <w:tab w:val="right" w:pos="9026" w:leader="dot"/>
            </w:tabs>
            <w:rPr/>
          </w:pPr>
          <w:hyperlink w:anchor="__RefHeading___Toc634103_581953129">
            <w:r>
              <w:rPr>
                <w:webHidden/>
                <w:rStyle w:val="IndexLink"/>
              </w:rPr>
              <w:t>7</w:t>
            </w:r>
            <w:r>
              <w:rPr>
                <w:rStyle w:val="IndexLink"/>
                <w:rtl w:val="true"/>
              </w:rPr>
              <w:t xml:space="preserve">. </w:t>
            </w:r>
            <w:r>
              <w:rPr>
                <w:rStyle w:val="IndexLink"/>
                <w:rtl w:val="true"/>
              </w:rPr>
              <w:t>عامر الشعبی</w:t>
            </w:r>
            <w:r>
              <w:rPr>
                <w:rStyle w:val="IndexLink"/>
                <w:rtl w:val="true"/>
              </w:rPr>
              <w:t>(</w:t>
            </w:r>
            <w:r>
              <w:rPr>
                <w:rStyle w:val="IndexLink"/>
              </w:rPr>
              <w:t>104</w:t>
            </w:r>
            <w:r>
              <w:rPr>
                <w:rStyle w:val="IndexLink"/>
                <w:rtl w:val="true"/>
              </w:rPr>
              <w:t xml:space="preserve"> </w:t>
            </w:r>
            <w:r>
              <w:rPr>
                <w:rStyle w:val="IndexLink"/>
                <w:rtl w:val="true"/>
              </w:rPr>
              <w:t>ه</w:t>
            </w:r>
            <w:r>
              <w:rPr>
                <w:rStyle w:val="IndexLink"/>
                <w:rtl w:val="true"/>
              </w:rPr>
              <w:t>)</w:t>
              <w:tab/>
            </w:r>
            <w:r>
              <w:rPr>
                <w:rStyle w:val="IndexLink"/>
              </w:rPr>
              <w:t>155</w:t>
            </w:r>
          </w:hyperlink>
        </w:p>
        <w:p>
          <w:pPr>
            <w:pStyle w:val="Contents4"/>
            <w:tabs>
              <w:tab w:val="clear" w:pos="8176"/>
              <w:tab w:val="right" w:pos="9026" w:leader="dot"/>
            </w:tabs>
            <w:rPr/>
          </w:pPr>
          <w:hyperlink w:anchor="__RefHeading___Toc634105_581953129">
            <w:r>
              <w:rPr>
                <w:webHidden/>
                <w:rStyle w:val="IndexLink"/>
              </w:rPr>
              <w:t>8</w:t>
            </w:r>
            <w:r>
              <w:rPr>
                <w:rStyle w:val="IndexLink"/>
                <w:rtl w:val="true"/>
              </w:rPr>
              <w:t xml:space="preserve">. </w:t>
            </w:r>
            <w:r>
              <w:rPr>
                <w:rStyle w:val="IndexLink"/>
                <w:rtl w:val="true"/>
              </w:rPr>
              <w:t>الحسن البصری</w:t>
            </w:r>
            <w:r>
              <w:rPr>
                <w:rStyle w:val="IndexLink"/>
                <w:rtl w:val="true"/>
              </w:rPr>
              <w:t>(</w:t>
            </w:r>
            <w:r>
              <w:rPr>
                <w:rStyle w:val="IndexLink"/>
              </w:rPr>
              <w:t>110</w:t>
            </w:r>
            <w:r>
              <w:rPr>
                <w:rStyle w:val="IndexLink"/>
                <w:rtl w:val="true"/>
              </w:rPr>
              <w:t xml:space="preserve"> </w:t>
            </w:r>
            <w:r>
              <w:rPr>
                <w:rStyle w:val="IndexLink"/>
                <w:rtl w:val="true"/>
              </w:rPr>
              <w:t>ه</w:t>
            </w:r>
            <w:r>
              <w:rPr>
                <w:rStyle w:val="IndexLink"/>
                <w:rtl w:val="true"/>
              </w:rPr>
              <w:t>)</w:t>
              <w:tab/>
            </w:r>
            <w:r>
              <w:rPr>
                <w:rStyle w:val="IndexLink"/>
              </w:rPr>
              <w:t>156</w:t>
            </w:r>
          </w:hyperlink>
        </w:p>
        <w:p>
          <w:pPr>
            <w:pStyle w:val="Contents4"/>
            <w:tabs>
              <w:tab w:val="clear" w:pos="8176"/>
              <w:tab w:val="right" w:pos="9026" w:leader="dot"/>
            </w:tabs>
            <w:rPr/>
          </w:pPr>
          <w:hyperlink w:anchor="__RefHeading___Toc634107_581953129">
            <w:r>
              <w:rPr>
                <w:webHidden/>
                <w:rStyle w:val="IndexLink"/>
              </w:rPr>
              <w:t>9</w:t>
            </w:r>
            <w:r>
              <w:rPr>
                <w:rStyle w:val="IndexLink"/>
                <w:rtl w:val="true"/>
              </w:rPr>
              <w:t xml:space="preserve">. </w:t>
            </w:r>
            <w:r>
              <w:rPr>
                <w:rStyle w:val="IndexLink"/>
                <w:rtl w:val="true"/>
              </w:rPr>
              <w:t>أبو صالح بآذان</w:t>
            </w:r>
            <w:r>
              <w:rPr>
                <w:rStyle w:val="IndexLink"/>
                <w:rtl w:val="true"/>
              </w:rPr>
              <w:t>(</w:t>
            </w:r>
            <w:r>
              <w:rPr>
                <w:rStyle w:val="IndexLink"/>
              </w:rPr>
              <w:t>120</w:t>
            </w:r>
            <w:r>
              <w:rPr>
                <w:rStyle w:val="IndexLink"/>
                <w:rtl w:val="true"/>
              </w:rPr>
              <w:t xml:space="preserve"> </w:t>
            </w:r>
            <w:r>
              <w:rPr>
                <w:rStyle w:val="IndexLink"/>
                <w:rtl w:val="true"/>
              </w:rPr>
              <w:t>ه</w:t>
            </w:r>
            <w:r>
              <w:rPr>
                <w:rStyle w:val="IndexLink"/>
                <w:rtl w:val="true"/>
              </w:rPr>
              <w:t>)</w:t>
              <w:tab/>
            </w:r>
            <w:r>
              <w:rPr>
                <w:rStyle w:val="IndexLink"/>
              </w:rPr>
              <w:t>157</w:t>
            </w:r>
          </w:hyperlink>
        </w:p>
        <w:p>
          <w:pPr>
            <w:pStyle w:val="Contents3"/>
            <w:tabs>
              <w:tab w:val="clear" w:pos="8459"/>
              <w:tab w:val="right" w:pos="9026" w:leader="dot"/>
            </w:tabs>
            <w:rPr/>
          </w:pPr>
          <w:hyperlink w:anchor="__RefHeading___Toc634109_581953129">
            <w:r>
              <w:rPr>
                <w:webHidden/>
                <w:rStyle w:val="IndexLink"/>
                <w:rtl w:val="true"/>
              </w:rPr>
              <w:t>مفسّرون آخرون فی عصر التابعین</w:t>
            </w:r>
            <w:r>
              <w:rPr>
                <w:rStyle w:val="IndexLink"/>
                <w:rtl w:val="true"/>
              </w:rPr>
              <w:tab/>
            </w:r>
            <w:r>
              <w:rPr>
                <w:rStyle w:val="IndexLink"/>
              </w:rPr>
              <w:t>158</w:t>
            </w:r>
          </w:hyperlink>
        </w:p>
        <w:p>
          <w:pPr>
            <w:pStyle w:val="Contents3"/>
            <w:tabs>
              <w:tab w:val="clear" w:pos="8459"/>
              <w:tab w:val="right" w:pos="9026" w:leader="dot"/>
            </w:tabs>
            <w:rPr/>
          </w:pPr>
          <w:hyperlink w:anchor="__RefHeading___Toc634111_581953129">
            <w:r>
              <w:rPr>
                <w:webHidden/>
                <w:rStyle w:val="IndexLink"/>
                <w:rtl w:val="true"/>
              </w:rPr>
              <w:t>خصائص تفسیر التابعین</w:t>
            </w:r>
            <w:r>
              <w:rPr>
                <w:rStyle w:val="IndexLink"/>
                <w:rtl w:val="true"/>
              </w:rPr>
              <w:tab/>
            </w:r>
            <w:r>
              <w:rPr>
                <w:rStyle w:val="IndexLink"/>
              </w:rPr>
              <w:t>162</w:t>
            </w:r>
          </w:hyperlink>
        </w:p>
        <w:p>
          <w:pPr>
            <w:pStyle w:val="Contents3"/>
            <w:tabs>
              <w:tab w:val="clear" w:pos="8459"/>
              <w:tab w:val="right" w:pos="9026" w:leader="dot"/>
            </w:tabs>
            <w:rPr/>
          </w:pPr>
          <w:hyperlink w:anchor="__RefHeading___Toc634113_581953129">
            <w:r>
              <w:rPr>
                <w:webHidden/>
                <w:rStyle w:val="IndexLink"/>
                <w:rtl w:val="true"/>
              </w:rPr>
              <w:t>الأسئلة</w:t>
            </w:r>
            <w:r>
              <w:rPr>
                <w:rStyle w:val="IndexLink"/>
                <w:rtl w:val="true"/>
              </w:rPr>
              <w:tab/>
            </w:r>
            <w:r>
              <w:rPr>
                <w:rStyle w:val="IndexLink"/>
              </w:rPr>
              <w:t>163</w:t>
            </w:r>
          </w:hyperlink>
        </w:p>
        <w:p>
          <w:pPr>
            <w:pStyle w:val="Contents3"/>
            <w:tabs>
              <w:tab w:val="clear" w:pos="8459"/>
              <w:tab w:val="right" w:pos="9026" w:leader="dot"/>
            </w:tabs>
            <w:rPr/>
          </w:pPr>
          <w:hyperlink w:anchor="__RefHeading___Toc634115_581953129">
            <w:r>
              <w:rPr>
                <w:webHidden/>
                <w:rStyle w:val="IndexLink"/>
                <w:rtl w:val="true"/>
              </w:rPr>
              <w:t>البحث و التحقیق</w:t>
            </w:r>
            <w:r>
              <w:rPr>
                <w:rStyle w:val="IndexLink"/>
                <w:rtl w:val="true"/>
              </w:rPr>
              <w:tab/>
            </w:r>
            <w:r>
              <w:rPr>
                <w:rStyle w:val="IndexLink"/>
              </w:rPr>
              <w:t>164</w:t>
            </w:r>
          </w:hyperlink>
        </w:p>
        <w:p>
          <w:pPr>
            <w:pStyle w:val="Contents2"/>
            <w:tabs>
              <w:tab w:val="clear" w:pos="8743"/>
              <w:tab w:val="right" w:pos="9026" w:leader="dot"/>
            </w:tabs>
            <w:rPr/>
          </w:pPr>
          <w:hyperlink w:anchor="__RefHeading___Toc634117_581953129">
            <w:r>
              <w:rPr>
                <w:webHidden/>
                <w:rStyle w:val="IndexLink"/>
              </w:rPr>
              <w:t>5</w:t>
            </w:r>
            <w:r>
              <w:rPr>
                <w:rStyle w:val="IndexLink"/>
                <w:rtl w:val="true"/>
              </w:rPr>
              <w:t xml:space="preserve">- </w:t>
            </w:r>
            <w:r>
              <w:rPr>
                <w:rStyle w:val="IndexLink"/>
                <w:rtl w:val="true"/>
              </w:rPr>
              <w:t>دور أهل البیت علیهم السّلام فی تفسیر القرآن</w:t>
            </w:r>
            <w:r>
              <w:rPr>
                <w:rStyle w:val="IndexLink"/>
                <w:rtl w:val="true"/>
              </w:rPr>
              <w:tab/>
            </w:r>
            <w:r>
              <w:rPr>
                <w:rStyle w:val="IndexLink"/>
              </w:rPr>
              <w:t>165</w:t>
            </w:r>
          </w:hyperlink>
        </w:p>
        <w:p>
          <w:pPr>
            <w:pStyle w:val="Contents3"/>
            <w:tabs>
              <w:tab w:val="clear" w:pos="8459"/>
              <w:tab w:val="right" w:pos="9026" w:leader="dot"/>
            </w:tabs>
            <w:rPr/>
          </w:pPr>
          <w:hyperlink w:anchor="__RefHeading___Toc634119_581953129">
            <w:r>
              <w:rPr>
                <w:webHidden/>
                <w:rStyle w:val="IndexLink"/>
                <w:rtl w:val="true"/>
              </w:rPr>
              <w:t>اشارة</w:t>
            </w:r>
            <w:r>
              <w:rPr>
                <w:rStyle w:val="IndexLink"/>
                <w:rtl w:val="true"/>
              </w:rPr>
              <w:tab/>
            </w:r>
            <w:r>
              <w:rPr>
                <w:rStyle w:val="IndexLink"/>
              </w:rPr>
              <w:t>165</w:t>
            </w:r>
          </w:hyperlink>
        </w:p>
        <w:p>
          <w:pPr>
            <w:pStyle w:val="Contents3"/>
            <w:tabs>
              <w:tab w:val="clear" w:pos="8459"/>
              <w:tab w:val="right" w:pos="9026" w:leader="dot"/>
            </w:tabs>
            <w:rPr/>
          </w:pPr>
          <w:hyperlink w:anchor="__RefHeading___Toc634121_581953129">
            <w:r>
              <w:rPr>
                <w:webHidden/>
                <w:rStyle w:val="IndexLink"/>
                <w:rtl w:val="true"/>
              </w:rPr>
              <w:t>المُراد من أهل البیت علیهم السّلام</w:t>
            </w:r>
            <w:r>
              <w:rPr>
                <w:rStyle w:val="IndexLink"/>
                <w:rtl w:val="true"/>
              </w:rPr>
              <w:tab/>
            </w:r>
            <w:r>
              <w:rPr>
                <w:rStyle w:val="IndexLink"/>
              </w:rPr>
              <w:t>166</w:t>
            </w:r>
          </w:hyperlink>
        </w:p>
        <w:p>
          <w:pPr>
            <w:pStyle w:val="Contents3"/>
            <w:tabs>
              <w:tab w:val="clear" w:pos="8459"/>
              <w:tab w:val="right" w:pos="9026" w:leader="dot"/>
            </w:tabs>
            <w:rPr/>
          </w:pPr>
          <w:hyperlink w:anchor="__RefHeading___Toc634123_581953129">
            <w:r>
              <w:rPr>
                <w:webHidden/>
                <w:rStyle w:val="IndexLink"/>
                <w:rtl w:val="true"/>
              </w:rPr>
              <w:t>سعة علم اهل البیت بالقرآن</w:t>
            </w:r>
            <w:r>
              <w:rPr>
                <w:rStyle w:val="IndexLink"/>
                <w:rtl w:val="true"/>
              </w:rPr>
              <w:tab/>
            </w:r>
            <w:r>
              <w:rPr>
                <w:rStyle w:val="IndexLink"/>
              </w:rPr>
              <w:t>168</w:t>
            </w:r>
          </w:hyperlink>
        </w:p>
        <w:p>
          <w:pPr>
            <w:pStyle w:val="Contents4"/>
            <w:tabs>
              <w:tab w:val="clear" w:pos="8176"/>
              <w:tab w:val="right" w:pos="9026" w:leader="dot"/>
            </w:tabs>
            <w:rPr/>
          </w:pPr>
          <w:hyperlink w:anchor="__RefHeading___Toc634125_581953129">
            <w:r>
              <w:rPr>
                <w:webHidden/>
                <w:rStyle w:val="IndexLink"/>
                <w:rtl w:val="true"/>
              </w:rPr>
              <w:t>اشارة</w:t>
            </w:r>
            <w:r>
              <w:rPr>
                <w:rStyle w:val="IndexLink"/>
                <w:rtl w:val="true"/>
              </w:rPr>
              <w:tab/>
            </w:r>
            <w:r>
              <w:rPr>
                <w:rStyle w:val="IndexLink"/>
              </w:rPr>
              <w:t>168</w:t>
            </w:r>
          </w:hyperlink>
        </w:p>
        <w:p>
          <w:pPr>
            <w:pStyle w:val="Contents4"/>
            <w:tabs>
              <w:tab w:val="clear" w:pos="8176"/>
              <w:tab w:val="right" w:pos="9026" w:leader="dot"/>
            </w:tabs>
            <w:rPr/>
          </w:pPr>
          <w:hyperlink w:anchor="__RefHeading___Toc634127_581953129">
            <w:r>
              <w:rPr>
                <w:webHidden/>
                <w:rStyle w:val="IndexLink"/>
              </w:rPr>
              <w:t>1</w:t>
            </w:r>
            <w:r>
              <w:rPr>
                <w:rStyle w:val="IndexLink"/>
                <w:rtl w:val="true"/>
              </w:rPr>
              <w:t xml:space="preserve">. </w:t>
            </w:r>
            <w:r>
              <w:rPr>
                <w:rStyle w:val="IndexLink"/>
                <w:rtl w:val="true"/>
              </w:rPr>
              <w:t>العلوم الغیبیة</w:t>
            </w:r>
            <w:r>
              <w:rPr>
                <w:rStyle w:val="IndexLink"/>
                <w:rtl w:val="true"/>
              </w:rPr>
              <w:tab/>
            </w:r>
            <w:r>
              <w:rPr>
                <w:rStyle w:val="IndexLink"/>
              </w:rPr>
              <w:t>170</w:t>
            </w:r>
          </w:hyperlink>
        </w:p>
        <w:p>
          <w:pPr>
            <w:pStyle w:val="Contents4"/>
            <w:tabs>
              <w:tab w:val="clear" w:pos="8176"/>
              <w:tab w:val="right" w:pos="9026" w:leader="dot"/>
            </w:tabs>
            <w:rPr/>
          </w:pPr>
          <w:hyperlink w:anchor="__RefHeading___Toc634129_581953129">
            <w:r>
              <w:rPr>
                <w:webHidden/>
                <w:rStyle w:val="IndexLink"/>
              </w:rPr>
              <w:t>2</w:t>
            </w:r>
            <w:r>
              <w:rPr>
                <w:rStyle w:val="IndexLink"/>
                <w:rtl w:val="true"/>
              </w:rPr>
              <w:t xml:space="preserve">. </w:t>
            </w:r>
            <w:r>
              <w:rPr>
                <w:rStyle w:val="IndexLink"/>
                <w:rtl w:val="true"/>
              </w:rPr>
              <w:t>تفصیل الأحکام</w:t>
            </w:r>
            <w:r>
              <w:rPr>
                <w:rStyle w:val="IndexLink"/>
                <w:rtl w:val="true"/>
              </w:rPr>
              <w:tab/>
            </w:r>
            <w:r>
              <w:rPr>
                <w:rStyle w:val="IndexLink"/>
              </w:rPr>
              <w:t>171</w:t>
            </w:r>
          </w:hyperlink>
        </w:p>
        <w:p>
          <w:pPr>
            <w:pStyle w:val="Contents4"/>
            <w:tabs>
              <w:tab w:val="clear" w:pos="8176"/>
              <w:tab w:val="right" w:pos="9026" w:leader="dot"/>
            </w:tabs>
            <w:rPr/>
          </w:pPr>
          <w:hyperlink w:anchor="__RefHeading___Toc634131_581953129">
            <w:r>
              <w:rPr>
                <w:webHidden/>
                <w:rStyle w:val="IndexLink"/>
              </w:rPr>
              <w:t>3</w:t>
            </w:r>
            <w:r>
              <w:rPr>
                <w:rStyle w:val="IndexLink"/>
                <w:rtl w:val="true"/>
              </w:rPr>
              <w:t xml:space="preserve">. </w:t>
            </w:r>
            <w:r>
              <w:rPr>
                <w:rStyle w:val="IndexLink"/>
                <w:rtl w:val="true"/>
              </w:rPr>
              <w:t>العلم بظاهر وباطن القرآن</w:t>
            </w:r>
            <w:r>
              <w:rPr>
                <w:rStyle w:val="IndexLink"/>
                <w:rtl w:val="true"/>
              </w:rPr>
              <w:tab/>
            </w:r>
            <w:r>
              <w:rPr>
                <w:rStyle w:val="IndexLink"/>
              </w:rPr>
              <w:t>171</w:t>
            </w:r>
          </w:hyperlink>
        </w:p>
        <w:p>
          <w:pPr>
            <w:pStyle w:val="Contents3"/>
            <w:tabs>
              <w:tab w:val="clear" w:pos="8459"/>
              <w:tab w:val="right" w:pos="9026" w:leader="dot"/>
            </w:tabs>
            <w:rPr/>
          </w:pPr>
          <w:hyperlink w:anchor="__RefHeading___Toc634133_581953129">
            <w:r>
              <w:rPr>
                <w:webHidden/>
                <w:rStyle w:val="IndexLink"/>
                <w:rtl w:val="true"/>
              </w:rPr>
              <w:t>حجیة قول أهل البیت علیهم السّلام فی التفسیر</w:t>
            </w:r>
            <w:r>
              <w:rPr>
                <w:rStyle w:val="IndexLink"/>
                <w:rtl w:val="true"/>
              </w:rPr>
              <w:tab/>
            </w:r>
            <w:r>
              <w:rPr>
                <w:rStyle w:val="IndexLink"/>
              </w:rPr>
              <w:t>172</w:t>
            </w:r>
          </w:hyperlink>
        </w:p>
        <w:p>
          <w:pPr>
            <w:pStyle w:val="Contents3"/>
            <w:tabs>
              <w:tab w:val="clear" w:pos="8459"/>
              <w:tab w:val="right" w:pos="9026" w:leader="dot"/>
            </w:tabs>
            <w:rPr/>
          </w:pPr>
          <w:hyperlink w:anchor="__RefHeading___Toc634135_581953129">
            <w:r>
              <w:rPr>
                <w:webHidden/>
                <w:rStyle w:val="IndexLink"/>
                <w:rtl w:val="true"/>
              </w:rPr>
              <w:t>دور أهل البیت علیهم السّلام فی تفسیر القرآن</w:t>
            </w:r>
            <w:r>
              <w:rPr>
                <w:rStyle w:val="IndexLink"/>
                <w:rtl w:val="true"/>
              </w:rPr>
              <w:tab/>
            </w:r>
            <w:r>
              <w:rPr>
                <w:rStyle w:val="IndexLink"/>
              </w:rPr>
              <w:t>172</w:t>
            </w:r>
          </w:hyperlink>
        </w:p>
        <w:p>
          <w:pPr>
            <w:pStyle w:val="Contents4"/>
            <w:tabs>
              <w:tab w:val="clear" w:pos="8176"/>
              <w:tab w:val="right" w:pos="9026" w:leader="dot"/>
            </w:tabs>
            <w:rPr/>
          </w:pPr>
          <w:hyperlink w:anchor="__RefHeading___Toc634137_581953129">
            <w:r>
              <w:rPr>
                <w:webHidden/>
                <w:rStyle w:val="IndexLink"/>
                <w:rtl w:val="true"/>
              </w:rPr>
              <w:t>اشارة</w:t>
            </w:r>
            <w:r>
              <w:rPr>
                <w:rStyle w:val="IndexLink"/>
                <w:rtl w:val="true"/>
              </w:rPr>
              <w:tab/>
            </w:r>
            <w:r>
              <w:rPr>
                <w:rStyle w:val="IndexLink"/>
              </w:rPr>
              <w:t>172</w:t>
            </w:r>
          </w:hyperlink>
        </w:p>
        <w:p>
          <w:pPr>
            <w:pStyle w:val="Contents4"/>
            <w:tabs>
              <w:tab w:val="clear" w:pos="8176"/>
              <w:tab w:val="right" w:pos="9026" w:leader="dot"/>
            </w:tabs>
            <w:rPr/>
          </w:pPr>
          <w:hyperlink w:anchor="__RefHeading___Toc634139_581953129">
            <w:r>
              <w:rPr>
                <w:webHidden/>
                <w:rStyle w:val="IndexLink"/>
              </w:rPr>
              <w:t>1</w:t>
            </w:r>
            <w:r>
              <w:rPr>
                <w:rStyle w:val="IndexLink"/>
                <w:rtl w:val="true"/>
              </w:rPr>
              <w:t xml:space="preserve">. </w:t>
            </w:r>
            <w:r>
              <w:rPr>
                <w:rStyle w:val="IndexLink"/>
                <w:rtl w:val="true"/>
              </w:rPr>
              <w:t>دور التربیة و التعلیم فی التفسیر</w:t>
            </w:r>
            <w:r>
              <w:rPr>
                <w:rStyle w:val="IndexLink"/>
                <w:rtl w:val="true"/>
              </w:rPr>
              <w:tab/>
            </w:r>
            <w:r>
              <w:rPr>
                <w:rStyle w:val="IndexLink"/>
              </w:rPr>
              <w:t>174</w:t>
            </w:r>
          </w:hyperlink>
        </w:p>
        <w:p>
          <w:pPr>
            <w:pStyle w:val="Contents4"/>
            <w:tabs>
              <w:tab w:val="clear" w:pos="8176"/>
              <w:tab w:val="right" w:pos="9026" w:leader="dot"/>
            </w:tabs>
            <w:rPr/>
          </w:pPr>
          <w:hyperlink w:anchor="__RefHeading___Toc634141_581953129">
            <w:r>
              <w:rPr>
                <w:webHidden/>
                <w:rStyle w:val="IndexLink"/>
              </w:rPr>
              <w:t>2</w:t>
            </w:r>
            <w:r>
              <w:rPr>
                <w:rStyle w:val="IndexLink"/>
                <w:rtl w:val="true"/>
              </w:rPr>
              <w:t xml:space="preserve">. </w:t>
            </w:r>
            <w:r>
              <w:rPr>
                <w:rStyle w:val="IndexLink"/>
                <w:rtl w:val="true"/>
              </w:rPr>
              <w:t>تربیة وإعداد المفسّرین</w:t>
            </w:r>
            <w:r>
              <w:rPr>
                <w:rStyle w:val="IndexLink"/>
                <w:rtl w:val="true"/>
              </w:rPr>
              <w:tab/>
            </w:r>
            <w:r>
              <w:rPr>
                <w:rStyle w:val="IndexLink"/>
              </w:rPr>
              <w:t>176</w:t>
            </w:r>
          </w:hyperlink>
        </w:p>
        <w:p>
          <w:pPr>
            <w:pStyle w:val="Contents5"/>
            <w:tabs>
              <w:tab w:val="clear" w:pos="7892"/>
              <w:tab w:val="right" w:pos="9026" w:leader="dot"/>
            </w:tabs>
            <w:rPr/>
          </w:pPr>
          <w:hyperlink w:anchor="__RefHeading___Toc634143_581953129">
            <w:r>
              <w:rPr>
                <w:webHidden/>
                <w:rStyle w:val="IndexLink"/>
                <w:rtl w:val="true"/>
              </w:rPr>
              <w:t>اشارة</w:t>
            </w:r>
            <w:r>
              <w:rPr>
                <w:rStyle w:val="IndexLink"/>
                <w:rtl w:val="true"/>
              </w:rPr>
              <w:tab/>
            </w:r>
            <w:r>
              <w:rPr>
                <w:rStyle w:val="IndexLink"/>
              </w:rPr>
              <w:t>176</w:t>
            </w:r>
          </w:hyperlink>
        </w:p>
        <w:p>
          <w:pPr>
            <w:pStyle w:val="Contents5"/>
            <w:tabs>
              <w:tab w:val="clear" w:pos="7892"/>
              <w:tab w:val="right" w:pos="9026" w:leader="dot"/>
            </w:tabs>
            <w:rPr/>
          </w:pPr>
          <w:hyperlink w:anchor="__RefHeading___Toc634145_581953129">
            <w:r>
              <w:rPr>
                <w:webHidden/>
                <w:rStyle w:val="IndexLink"/>
                <w:rtl w:val="true"/>
              </w:rPr>
              <w:t>وبالنتیجة</w:t>
            </w:r>
            <w:r>
              <w:rPr>
                <w:rStyle w:val="IndexLink"/>
                <w:rtl w:val="true"/>
              </w:rPr>
              <w:t>:</w:t>
              <w:tab/>
            </w:r>
            <w:r>
              <w:rPr>
                <w:rStyle w:val="IndexLink"/>
              </w:rPr>
              <w:t>177</w:t>
            </w:r>
          </w:hyperlink>
        </w:p>
        <w:p>
          <w:pPr>
            <w:pStyle w:val="Contents5"/>
            <w:tabs>
              <w:tab w:val="clear" w:pos="7892"/>
              <w:tab w:val="right" w:pos="9026" w:leader="dot"/>
            </w:tabs>
            <w:rPr/>
          </w:pPr>
          <w:hyperlink w:anchor="__RefHeading___Toc634147_581953129">
            <w:r>
              <w:rPr>
                <w:webHidden/>
                <w:rStyle w:val="IndexLink"/>
                <w:rtl w:val="true"/>
              </w:rPr>
              <w:t>والملاحظ هنا</w:t>
            </w:r>
            <w:r>
              <w:rPr>
                <w:rStyle w:val="IndexLink"/>
                <w:rtl w:val="true"/>
              </w:rPr>
              <w:t>:</w:t>
              <w:tab/>
            </w:r>
            <w:r>
              <w:rPr>
                <w:rStyle w:val="IndexLink"/>
              </w:rPr>
              <w:t>178</w:t>
            </w:r>
          </w:hyperlink>
        </w:p>
        <w:p>
          <w:pPr>
            <w:pStyle w:val="Contents4"/>
            <w:tabs>
              <w:tab w:val="clear" w:pos="8176"/>
              <w:tab w:val="right" w:pos="9026" w:leader="dot"/>
            </w:tabs>
            <w:rPr/>
          </w:pPr>
          <w:hyperlink w:anchor="__RefHeading___Toc634149_581953129">
            <w:r>
              <w:rPr>
                <w:webHidden/>
                <w:rStyle w:val="IndexLink"/>
              </w:rPr>
              <w:t>3</w:t>
            </w:r>
            <w:r>
              <w:rPr>
                <w:rStyle w:val="IndexLink"/>
                <w:rtl w:val="true"/>
              </w:rPr>
              <w:t xml:space="preserve">. </w:t>
            </w:r>
            <w:r>
              <w:rPr>
                <w:rStyle w:val="IndexLink"/>
                <w:rtl w:val="true"/>
              </w:rPr>
              <w:t>بیان أسس المنهاج العملی</w:t>
            </w:r>
            <w:r>
              <w:rPr>
                <w:rStyle w:val="IndexLink"/>
                <w:rtl w:val="true"/>
              </w:rPr>
              <w:tab/>
            </w:r>
            <w:r>
              <w:rPr>
                <w:rStyle w:val="IndexLink"/>
              </w:rPr>
              <w:t>179</w:t>
            </w:r>
          </w:hyperlink>
        </w:p>
        <w:p>
          <w:pPr>
            <w:pStyle w:val="Contents5"/>
            <w:tabs>
              <w:tab w:val="clear" w:pos="7892"/>
              <w:tab w:val="right" w:pos="9026" w:leader="dot"/>
            </w:tabs>
            <w:rPr/>
          </w:pPr>
          <w:hyperlink w:anchor="__RefHeading___Toc634151_581953129">
            <w:r>
              <w:rPr>
                <w:webHidden/>
                <w:rStyle w:val="IndexLink"/>
                <w:rtl w:val="true"/>
              </w:rPr>
              <w:t>اشارة</w:t>
            </w:r>
            <w:r>
              <w:rPr>
                <w:rStyle w:val="IndexLink"/>
                <w:rtl w:val="true"/>
              </w:rPr>
              <w:tab/>
            </w:r>
            <w:r>
              <w:rPr>
                <w:rStyle w:val="IndexLink"/>
              </w:rPr>
              <w:t>179</w:t>
            </w:r>
          </w:hyperlink>
        </w:p>
        <w:p>
          <w:pPr>
            <w:pStyle w:val="Contents5"/>
            <w:tabs>
              <w:tab w:val="clear" w:pos="7892"/>
              <w:tab w:val="right" w:pos="9026" w:leader="dot"/>
            </w:tabs>
            <w:rPr/>
          </w:pPr>
          <w:hyperlink w:anchor="__RefHeading___Toc634153_581953129">
            <w:r>
              <w:rPr>
                <w:webHidden/>
                <w:rStyle w:val="IndexLink"/>
                <w:rtl w:val="true"/>
              </w:rPr>
              <w:t>الطریق الآخر لفهم المتشابهات</w:t>
            </w:r>
            <w:r>
              <w:rPr>
                <w:rStyle w:val="IndexLink"/>
                <w:rtl w:val="true"/>
              </w:rPr>
              <w:tab/>
            </w:r>
            <w:r>
              <w:rPr>
                <w:rStyle w:val="IndexLink"/>
              </w:rPr>
              <w:t>183</w:t>
            </w:r>
          </w:hyperlink>
        </w:p>
        <w:p>
          <w:pPr>
            <w:pStyle w:val="Contents4"/>
            <w:tabs>
              <w:tab w:val="clear" w:pos="8176"/>
              <w:tab w:val="right" w:pos="9026" w:leader="dot"/>
            </w:tabs>
            <w:rPr/>
          </w:pPr>
          <w:hyperlink w:anchor="__RefHeading___Toc634155_581953129">
            <w:r>
              <w:rPr>
                <w:webHidden/>
                <w:rStyle w:val="IndexLink"/>
              </w:rPr>
              <w:t>4</w:t>
            </w:r>
            <w:r>
              <w:rPr>
                <w:rStyle w:val="IndexLink"/>
                <w:rtl w:val="true"/>
              </w:rPr>
              <w:t xml:space="preserve">. </w:t>
            </w:r>
            <w:r>
              <w:rPr>
                <w:rStyle w:val="IndexLink"/>
                <w:rtl w:val="true"/>
              </w:rPr>
              <w:t>مواجهة النظریات و الآراء المنحرفة</w:t>
            </w:r>
            <w:r>
              <w:rPr>
                <w:rStyle w:val="IndexLink"/>
                <w:rtl w:val="true"/>
              </w:rPr>
              <w:tab/>
            </w:r>
            <w:r>
              <w:rPr>
                <w:rStyle w:val="IndexLink"/>
              </w:rPr>
              <w:t>185</w:t>
            </w:r>
          </w:hyperlink>
        </w:p>
        <w:p>
          <w:pPr>
            <w:pStyle w:val="Contents5"/>
            <w:tabs>
              <w:tab w:val="clear" w:pos="7892"/>
              <w:tab w:val="right" w:pos="9026" w:leader="dot"/>
            </w:tabs>
            <w:rPr/>
          </w:pPr>
          <w:hyperlink w:anchor="__RefHeading___Toc634157_581953129">
            <w:r>
              <w:rPr>
                <w:webHidden/>
                <w:rStyle w:val="IndexLink"/>
                <w:rtl w:val="true"/>
              </w:rPr>
              <w:t>اشارة</w:t>
            </w:r>
            <w:r>
              <w:rPr>
                <w:rStyle w:val="IndexLink"/>
                <w:rtl w:val="true"/>
              </w:rPr>
              <w:tab/>
            </w:r>
            <w:r>
              <w:rPr>
                <w:rStyle w:val="IndexLink"/>
              </w:rPr>
              <w:t>185</w:t>
            </w:r>
          </w:hyperlink>
        </w:p>
        <w:p>
          <w:pPr>
            <w:pStyle w:val="Contents5"/>
            <w:tabs>
              <w:tab w:val="clear" w:pos="7892"/>
              <w:tab w:val="right" w:pos="9026" w:leader="dot"/>
            </w:tabs>
            <w:rPr/>
          </w:pPr>
          <w:hyperlink w:anchor="__RefHeading___Toc634159_581953129">
            <w:r>
              <w:rPr>
                <w:webHidden/>
                <w:rStyle w:val="IndexLink"/>
                <w:rtl w:val="true"/>
              </w:rPr>
              <w:t>أسالیب أهل‌البیت علیهم السّلام فی مواجهة الآراء المنحرفة</w:t>
            </w:r>
            <w:r>
              <w:rPr>
                <w:rStyle w:val="IndexLink"/>
                <w:rtl w:val="true"/>
              </w:rPr>
              <w:tab/>
            </w:r>
            <w:r>
              <w:rPr>
                <w:rStyle w:val="IndexLink"/>
              </w:rPr>
              <w:t>185</w:t>
            </w:r>
          </w:hyperlink>
        </w:p>
        <w:p>
          <w:pPr>
            <w:pStyle w:val="Contents3"/>
            <w:tabs>
              <w:tab w:val="clear" w:pos="8459"/>
              <w:tab w:val="right" w:pos="9026" w:leader="dot"/>
            </w:tabs>
            <w:rPr/>
          </w:pPr>
          <w:hyperlink w:anchor="__RefHeading___Toc634161_581953129">
            <w:r>
              <w:rPr>
                <w:webHidden/>
                <w:rStyle w:val="IndexLink"/>
                <w:rtl w:val="true"/>
              </w:rPr>
              <w:t>معنی التفسیر بالرأی</w:t>
            </w:r>
            <w:r>
              <w:rPr>
                <w:rStyle w:val="IndexLink"/>
                <w:rtl w:val="true"/>
              </w:rPr>
              <w:tab/>
            </w:r>
            <w:r>
              <w:rPr>
                <w:rStyle w:val="IndexLink"/>
              </w:rPr>
              <w:t>190</w:t>
            </w:r>
          </w:hyperlink>
        </w:p>
        <w:p>
          <w:pPr>
            <w:pStyle w:val="Contents3"/>
            <w:tabs>
              <w:tab w:val="clear" w:pos="8459"/>
              <w:tab w:val="right" w:pos="9026" w:leader="dot"/>
            </w:tabs>
            <w:rPr/>
          </w:pPr>
          <w:hyperlink w:anchor="__RefHeading___Toc634163_581953129">
            <w:r>
              <w:rPr>
                <w:webHidden/>
                <w:rStyle w:val="IndexLink"/>
                <w:rtl w:val="true"/>
              </w:rPr>
              <w:t>المحصّلة</w:t>
            </w:r>
            <w:r>
              <w:rPr>
                <w:rStyle w:val="IndexLink"/>
                <w:rtl w:val="true"/>
              </w:rPr>
              <w:tab/>
            </w:r>
            <w:r>
              <w:rPr>
                <w:rStyle w:val="IndexLink"/>
              </w:rPr>
              <w:t>191</w:t>
            </w:r>
          </w:hyperlink>
        </w:p>
        <w:p>
          <w:pPr>
            <w:pStyle w:val="Contents4"/>
            <w:tabs>
              <w:tab w:val="clear" w:pos="8176"/>
              <w:tab w:val="right" w:pos="9026" w:leader="dot"/>
            </w:tabs>
            <w:rPr/>
          </w:pPr>
          <w:hyperlink w:anchor="__RefHeading___Toc634165_581953129">
            <w:r>
              <w:rPr>
                <w:webHidden/>
                <w:rStyle w:val="IndexLink"/>
                <w:rtl w:val="true"/>
              </w:rPr>
              <w:t>اشارة</w:t>
            </w:r>
            <w:r>
              <w:rPr>
                <w:rStyle w:val="IndexLink"/>
                <w:rtl w:val="true"/>
              </w:rPr>
              <w:tab/>
            </w:r>
            <w:r>
              <w:rPr>
                <w:rStyle w:val="IndexLink"/>
              </w:rPr>
              <w:t>191</w:t>
            </w:r>
          </w:hyperlink>
        </w:p>
        <w:p>
          <w:pPr>
            <w:pStyle w:val="Contents4"/>
            <w:tabs>
              <w:tab w:val="clear" w:pos="8176"/>
              <w:tab w:val="right" w:pos="9026" w:leader="dot"/>
            </w:tabs>
            <w:rPr/>
          </w:pPr>
          <w:hyperlink w:anchor="__RefHeading___Toc634167_581953129">
            <w:r>
              <w:rPr>
                <w:webHidden/>
                <w:rStyle w:val="IndexLink"/>
              </w:rPr>
              <w:t>1</w:t>
            </w:r>
            <w:r>
              <w:rPr>
                <w:rStyle w:val="IndexLink"/>
                <w:rtl w:val="true"/>
              </w:rPr>
              <w:t xml:space="preserve">. </w:t>
            </w:r>
            <w:r>
              <w:rPr>
                <w:rStyle w:val="IndexLink"/>
                <w:rtl w:val="true"/>
              </w:rPr>
              <w:t>دور الهدایة و التربیة</w:t>
            </w:r>
            <w:r>
              <w:rPr>
                <w:rStyle w:val="IndexLink"/>
                <w:rtl w:val="true"/>
              </w:rPr>
              <w:t>:</w:t>
              <w:tab/>
            </w:r>
            <w:r>
              <w:rPr>
                <w:rStyle w:val="IndexLink"/>
              </w:rPr>
              <w:t>192</w:t>
            </w:r>
          </w:hyperlink>
        </w:p>
        <w:p>
          <w:pPr>
            <w:pStyle w:val="Contents4"/>
            <w:tabs>
              <w:tab w:val="clear" w:pos="8176"/>
              <w:tab w:val="right" w:pos="9026" w:leader="dot"/>
            </w:tabs>
            <w:rPr/>
          </w:pPr>
          <w:hyperlink w:anchor="__RefHeading___Toc634169_581953129">
            <w:r>
              <w:rPr>
                <w:webHidden/>
                <w:rStyle w:val="IndexLink"/>
              </w:rPr>
              <w:t>2</w:t>
            </w:r>
            <w:r>
              <w:rPr>
                <w:rStyle w:val="IndexLink"/>
                <w:rtl w:val="true"/>
              </w:rPr>
              <w:t xml:space="preserve">. </w:t>
            </w:r>
            <w:r>
              <w:rPr>
                <w:rStyle w:val="IndexLink"/>
                <w:rtl w:val="true"/>
              </w:rPr>
              <w:t>إعداد المفسّرین</w:t>
            </w:r>
            <w:r>
              <w:rPr>
                <w:rStyle w:val="IndexLink"/>
                <w:rtl w:val="true"/>
              </w:rPr>
              <w:t>:</w:t>
              <w:tab/>
            </w:r>
            <w:r>
              <w:rPr>
                <w:rStyle w:val="IndexLink"/>
              </w:rPr>
              <w:t>192</w:t>
            </w:r>
          </w:hyperlink>
        </w:p>
        <w:p>
          <w:pPr>
            <w:pStyle w:val="Contents4"/>
            <w:tabs>
              <w:tab w:val="clear" w:pos="8176"/>
              <w:tab w:val="right" w:pos="9026" w:leader="dot"/>
            </w:tabs>
            <w:rPr/>
          </w:pPr>
          <w:hyperlink w:anchor="__RefHeading___Toc634171_581953129">
            <w:r>
              <w:rPr>
                <w:webHidden/>
                <w:rStyle w:val="IndexLink"/>
              </w:rPr>
              <w:t>3</w:t>
            </w:r>
            <w:r>
              <w:rPr>
                <w:rStyle w:val="IndexLink"/>
                <w:rtl w:val="true"/>
              </w:rPr>
              <w:t xml:space="preserve">. </w:t>
            </w:r>
            <w:r>
              <w:rPr>
                <w:rStyle w:val="IndexLink"/>
                <w:rtl w:val="true"/>
              </w:rPr>
              <w:t>طرح الأصول العملیة</w:t>
            </w:r>
            <w:r>
              <w:rPr>
                <w:rStyle w:val="IndexLink"/>
                <w:rtl w:val="true"/>
              </w:rPr>
              <w:t>:</w:t>
              <w:tab/>
            </w:r>
            <w:r>
              <w:rPr>
                <w:rStyle w:val="IndexLink"/>
              </w:rPr>
              <w:t>192</w:t>
            </w:r>
          </w:hyperlink>
        </w:p>
        <w:p>
          <w:pPr>
            <w:pStyle w:val="Contents4"/>
            <w:tabs>
              <w:tab w:val="clear" w:pos="8176"/>
              <w:tab w:val="right" w:pos="9026" w:leader="dot"/>
            </w:tabs>
            <w:rPr/>
          </w:pPr>
          <w:hyperlink w:anchor="__RefHeading___Toc634173_581953129">
            <w:r>
              <w:rPr>
                <w:webHidden/>
                <w:rStyle w:val="IndexLink"/>
                <w:rtl w:val="true"/>
              </w:rPr>
              <w:t>الأسئلة</w:t>
            </w:r>
            <w:r>
              <w:rPr>
                <w:rStyle w:val="IndexLink"/>
                <w:rtl w:val="true"/>
              </w:rPr>
              <w:tab/>
            </w:r>
            <w:r>
              <w:rPr>
                <w:rStyle w:val="IndexLink"/>
              </w:rPr>
              <w:t>193</w:t>
            </w:r>
          </w:hyperlink>
        </w:p>
        <w:p>
          <w:pPr>
            <w:pStyle w:val="Contents4"/>
            <w:tabs>
              <w:tab w:val="clear" w:pos="8176"/>
              <w:tab w:val="right" w:pos="9026" w:leader="dot"/>
            </w:tabs>
            <w:rPr/>
          </w:pPr>
          <w:hyperlink w:anchor="__RefHeading___Toc634175_581953129">
            <w:r>
              <w:rPr>
                <w:webHidden/>
                <w:rStyle w:val="IndexLink"/>
                <w:rtl w:val="true"/>
              </w:rPr>
              <w:t>التحقیق للجمیع تحت إشراف الأستاذ</w:t>
            </w:r>
            <w:r>
              <w:rPr>
                <w:rStyle w:val="IndexLink"/>
                <w:rtl w:val="true"/>
              </w:rPr>
              <w:t>:</w:t>
              <w:tab/>
            </w:r>
            <w:r>
              <w:rPr>
                <w:rStyle w:val="IndexLink"/>
              </w:rPr>
              <w:t>193</w:t>
            </w:r>
          </w:hyperlink>
        </w:p>
        <w:p>
          <w:pPr>
            <w:pStyle w:val="Contents4"/>
            <w:tabs>
              <w:tab w:val="clear" w:pos="8176"/>
              <w:tab w:val="right" w:pos="9026" w:leader="dot"/>
            </w:tabs>
            <w:rPr/>
          </w:pPr>
          <w:hyperlink w:anchor="__RefHeading___Toc634177_581953129">
            <w:r>
              <w:rPr>
                <w:webHidden/>
                <w:rStyle w:val="IndexLink"/>
                <w:rtl w:val="true"/>
              </w:rPr>
              <w:t>مصادر التفسیر الروائی</w:t>
            </w:r>
            <w:r>
              <w:rPr>
                <w:rStyle w:val="IndexLink"/>
                <w:rtl w:val="true"/>
              </w:rPr>
              <w:tab/>
            </w:r>
            <w:r>
              <w:rPr>
                <w:rStyle w:val="IndexLink"/>
              </w:rPr>
              <w:t>194</w:t>
            </w:r>
          </w:hyperlink>
        </w:p>
        <w:p>
          <w:pPr>
            <w:pStyle w:val="Contents2"/>
            <w:tabs>
              <w:tab w:val="clear" w:pos="8743"/>
              <w:tab w:val="right" w:pos="9026" w:leader="dot"/>
            </w:tabs>
            <w:rPr/>
          </w:pPr>
          <w:hyperlink w:anchor="__RefHeading___Toc634179_581953129">
            <w:r>
              <w:rPr>
                <w:webHidden/>
                <w:rStyle w:val="IndexLink"/>
              </w:rPr>
              <w:t>6</w:t>
            </w:r>
            <w:r>
              <w:rPr>
                <w:rStyle w:val="IndexLink"/>
                <w:rtl w:val="true"/>
              </w:rPr>
              <w:t xml:space="preserve">- </w:t>
            </w:r>
            <w:r>
              <w:rPr>
                <w:rStyle w:val="IndexLink"/>
                <w:rtl w:val="true"/>
              </w:rPr>
              <w:t>التفسیر فی القرن الثالث</w:t>
            </w:r>
            <w:r>
              <w:rPr>
                <w:rStyle w:val="IndexLink"/>
                <w:rtl w:val="true"/>
              </w:rPr>
              <w:tab/>
            </w:r>
            <w:r>
              <w:rPr>
                <w:rStyle w:val="IndexLink"/>
              </w:rPr>
              <w:t>195</w:t>
            </w:r>
          </w:hyperlink>
        </w:p>
        <w:p>
          <w:pPr>
            <w:pStyle w:val="Contents3"/>
            <w:tabs>
              <w:tab w:val="clear" w:pos="8459"/>
              <w:tab w:val="right" w:pos="9026" w:leader="dot"/>
            </w:tabs>
            <w:rPr/>
          </w:pPr>
          <w:hyperlink w:anchor="__RefHeading___Toc634181_581953129">
            <w:r>
              <w:rPr>
                <w:webHidden/>
                <w:rStyle w:val="IndexLink"/>
                <w:rtl w:val="true"/>
              </w:rPr>
              <w:t>اشارة</w:t>
            </w:r>
            <w:r>
              <w:rPr>
                <w:rStyle w:val="IndexLink"/>
                <w:rtl w:val="true"/>
              </w:rPr>
              <w:tab/>
            </w:r>
            <w:r>
              <w:rPr>
                <w:rStyle w:val="IndexLink"/>
              </w:rPr>
              <w:t>195</w:t>
            </w:r>
          </w:hyperlink>
        </w:p>
        <w:p>
          <w:pPr>
            <w:pStyle w:val="Contents3"/>
            <w:tabs>
              <w:tab w:val="clear" w:pos="8459"/>
              <w:tab w:val="right" w:pos="9026" w:leader="dot"/>
            </w:tabs>
            <w:rPr/>
          </w:pPr>
          <w:hyperlink w:anchor="__RefHeading___Toc634183_581953129">
            <w:r>
              <w:rPr>
                <w:webHidden/>
                <w:rStyle w:val="IndexLink"/>
                <w:rtl w:val="true"/>
              </w:rPr>
              <w:t>التفسیر فی القرن الثالث</w:t>
            </w:r>
            <w:r>
              <w:rPr>
                <w:rStyle w:val="IndexLink"/>
                <w:rtl w:val="true"/>
              </w:rPr>
              <w:tab/>
            </w:r>
            <w:r>
              <w:rPr>
                <w:rStyle w:val="IndexLink"/>
              </w:rPr>
              <w:t>195</w:t>
            </w:r>
          </w:hyperlink>
        </w:p>
        <w:p>
          <w:pPr>
            <w:pStyle w:val="Contents4"/>
            <w:tabs>
              <w:tab w:val="clear" w:pos="8176"/>
              <w:tab w:val="right" w:pos="9026" w:leader="dot"/>
            </w:tabs>
            <w:rPr/>
          </w:pPr>
          <w:hyperlink w:anchor="__RefHeading___Toc634185_581953129">
            <w:r>
              <w:rPr>
                <w:webHidden/>
                <w:rStyle w:val="IndexLink"/>
                <w:rtl w:val="true"/>
              </w:rPr>
              <w:t>عصر ازدهار العلوم وتدوین التفسیر</w:t>
            </w:r>
            <w:r>
              <w:rPr>
                <w:rStyle w:val="IndexLink"/>
                <w:rtl w:val="true"/>
              </w:rPr>
              <w:tab/>
            </w:r>
            <w:r>
              <w:rPr>
                <w:rStyle w:val="IndexLink"/>
              </w:rPr>
              <w:t>195</w:t>
            </w:r>
          </w:hyperlink>
        </w:p>
        <w:p>
          <w:pPr>
            <w:pStyle w:val="Contents3"/>
            <w:tabs>
              <w:tab w:val="clear" w:pos="8459"/>
              <w:tab w:val="right" w:pos="9026" w:leader="dot"/>
            </w:tabs>
            <w:rPr/>
          </w:pPr>
          <w:hyperlink w:anchor="__RefHeading___Toc634187_581953129">
            <w:r>
              <w:rPr>
                <w:webHidden/>
                <w:rStyle w:val="IndexLink"/>
                <w:rtl w:val="true"/>
              </w:rPr>
              <w:t>خصائص التفسیر فی القرن الثالث</w:t>
            </w:r>
            <w:r>
              <w:rPr>
                <w:rStyle w:val="IndexLink"/>
                <w:rtl w:val="true"/>
              </w:rPr>
              <w:tab/>
            </w:r>
            <w:r>
              <w:rPr>
                <w:rStyle w:val="IndexLink"/>
              </w:rPr>
              <w:t>196</w:t>
            </w:r>
          </w:hyperlink>
        </w:p>
        <w:p>
          <w:pPr>
            <w:pStyle w:val="Contents3"/>
            <w:tabs>
              <w:tab w:val="clear" w:pos="8459"/>
              <w:tab w:val="right" w:pos="9026" w:leader="dot"/>
            </w:tabs>
            <w:rPr/>
          </w:pPr>
          <w:hyperlink w:anchor="__RefHeading___Toc634189_581953129">
            <w:r>
              <w:rPr>
                <w:webHidden/>
                <w:rStyle w:val="IndexLink"/>
                <w:rtl w:val="true"/>
              </w:rPr>
              <w:t>التفاسیر و المفسّرون فی القرن الثالث</w:t>
            </w:r>
            <w:r>
              <w:rPr>
                <w:rStyle w:val="IndexLink"/>
                <w:rtl w:val="true"/>
              </w:rPr>
              <w:tab/>
            </w:r>
            <w:r>
              <w:rPr>
                <w:rStyle w:val="IndexLink"/>
              </w:rPr>
              <w:t>197</w:t>
            </w:r>
          </w:hyperlink>
        </w:p>
        <w:p>
          <w:pPr>
            <w:pStyle w:val="Contents3"/>
            <w:tabs>
              <w:tab w:val="clear" w:pos="8459"/>
              <w:tab w:val="right" w:pos="9026" w:leader="dot"/>
            </w:tabs>
            <w:rPr/>
          </w:pPr>
          <w:hyperlink w:anchor="__RefHeading___Toc634191_581953129">
            <w:r>
              <w:rPr>
                <w:webHidden/>
                <w:rStyle w:val="IndexLink"/>
                <w:rtl w:val="true"/>
              </w:rPr>
              <w:t>أشهر التفاسیر و المفسّرین الشیعة فی القرن الثالث</w:t>
            </w:r>
            <w:r>
              <w:rPr>
                <w:rStyle w:val="IndexLink"/>
                <w:rtl w:val="true"/>
              </w:rPr>
              <w:tab/>
            </w:r>
            <w:r>
              <w:rPr>
                <w:rStyle w:val="IndexLink"/>
              </w:rPr>
              <w:t>197</w:t>
            </w:r>
          </w:hyperlink>
        </w:p>
        <w:p>
          <w:pPr>
            <w:pStyle w:val="Contents3"/>
            <w:tabs>
              <w:tab w:val="clear" w:pos="8459"/>
              <w:tab w:val="right" w:pos="9026" w:leader="dot"/>
            </w:tabs>
            <w:rPr/>
          </w:pPr>
          <w:hyperlink w:anchor="__RefHeading___Toc634193_581953129">
            <w:r>
              <w:rPr>
                <w:webHidden/>
                <w:rStyle w:val="IndexLink"/>
                <w:rtl w:val="true"/>
              </w:rPr>
              <w:t>تفاسیر أخری</w:t>
            </w:r>
            <w:r>
              <w:rPr>
                <w:rStyle w:val="IndexLink"/>
                <w:rtl w:val="true"/>
              </w:rPr>
              <w:tab/>
            </w:r>
            <w:r>
              <w:rPr>
                <w:rStyle w:val="IndexLink"/>
              </w:rPr>
              <w:t>200</w:t>
            </w:r>
          </w:hyperlink>
        </w:p>
        <w:p>
          <w:pPr>
            <w:pStyle w:val="Contents3"/>
            <w:tabs>
              <w:tab w:val="clear" w:pos="8459"/>
              <w:tab w:val="right" w:pos="9026" w:leader="dot"/>
            </w:tabs>
            <w:rPr/>
          </w:pPr>
          <w:hyperlink w:anchor="__RefHeading___Toc634195_581953129">
            <w:r>
              <w:rPr>
                <w:webHidden/>
                <w:rStyle w:val="IndexLink"/>
                <w:rtl w:val="true"/>
              </w:rPr>
              <w:t>الاتّجاهات التفسیریة فی القرن الثالث</w:t>
            </w:r>
            <w:r>
              <w:rPr>
                <w:rStyle w:val="IndexLink"/>
                <w:rtl w:val="true"/>
              </w:rPr>
              <w:tab/>
            </w:r>
            <w:r>
              <w:rPr>
                <w:rStyle w:val="IndexLink"/>
              </w:rPr>
              <w:t>201</w:t>
            </w:r>
          </w:hyperlink>
        </w:p>
        <w:p>
          <w:pPr>
            <w:pStyle w:val="Contents4"/>
            <w:tabs>
              <w:tab w:val="clear" w:pos="8176"/>
              <w:tab w:val="right" w:pos="9026" w:leader="dot"/>
            </w:tabs>
            <w:rPr/>
          </w:pPr>
          <w:hyperlink w:anchor="__RefHeading___Toc634197_581953129">
            <w:r>
              <w:rPr>
                <w:webHidden/>
                <w:rStyle w:val="IndexLink"/>
                <w:rtl w:val="true"/>
              </w:rPr>
              <w:t>اشارة</w:t>
            </w:r>
            <w:r>
              <w:rPr>
                <w:rStyle w:val="IndexLink"/>
                <w:rtl w:val="true"/>
              </w:rPr>
              <w:tab/>
            </w:r>
            <w:r>
              <w:rPr>
                <w:rStyle w:val="IndexLink"/>
              </w:rPr>
              <w:t>201</w:t>
            </w:r>
          </w:hyperlink>
        </w:p>
        <w:p>
          <w:pPr>
            <w:pStyle w:val="Contents4"/>
            <w:tabs>
              <w:tab w:val="clear" w:pos="8176"/>
              <w:tab w:val="right" w:pos="9026" w:leader="dot"/>
            </w:tabs>
            <w:rPr/>
          </w:pPr>
          <w:hyperlink w:anchor="__RefHeading___Toc634199_581953129">
            <w:r>
              <w:rPr>
                <w:webHidden/>
                <w:rStyle w:val="IndexLink"/>
              </w:rPr>
              <w:t>1</w:t>
            </w:r>
            <w:r>
              <w:rPr>
                <w:rStyle w:val="IndexLink"/>
                <w:rtl w:val="true"/>
              </w:rPr>
              <w:t xml:space="preserve">. </w:t>
            </w:r>
            <w:r>
              <w:rPr>
                <w:rStyle w:val="IndexLink"/>
                <w:rtl w:val="true"/>
              </w:rPr>
              <w:t>التفسیر الروائی</w:t>
            </w:r>
            <w:r>
              <w:rPr>
                <w:rStyle w:val="IndexLink"/>
                <w:rtl w:val="true"/>
              </w:rPr>
              <w:tab/>
            </w:r>
            <w:r>
              <w:rPr>
                <w:rStyle w:val="IndexLink"/>
              </w:rPr>
              <w:t>202</w:t>
            </w:r>
          </w:hyperlink>
        </w:p>
        <w:p>
          <w:pPr>
            <w:pStyle w:val="Contents4"/>
            <w:tabs>
              <w:tab w:val="clear" w:pos="8176"/>
              <w:tab w:val="right" w:pos="9026" w:leader="dot"/>
            </w:tabs>
            <w:rPr/>
          </w:pPr>
          <w:hyperlink w:anchor="__RefHeading___Toc634201_581953129">
            <w:r>
              <w:rPr>
                <w:webHidden/>
                <w:rStyle w:val="IndexLink"/>
              </w:rPr>
              <w:t>2</w:t>
            </w:r>
            <w:r>
              <w:rPr>
                <w:rStyle w:val="IndexLink"/>
                <w:rtl w:val="true"/>
              </w:rPr>
              <w:t xml:space="preserve">. </w:t>
            </w:r>
            <w:r>
              <w:rPr>
                <w:rStyle w:val="IndexLink"/>
                <w:rtl w:val="true"/>
              </w:rPr>
              <w:t>التفسیر الفقهی</w:t>
            </w:r>
            <w:r>
              <w:rPr>
                <w:rStyle w:val="IndexLink"/>
                <w:rtl w:val="true"/>
              </w:rPr>
              <w:tab/>
            </w:r>
            <w:r>
              <w:rPr>
                <w:rStyle w:val="IndexLink"/>
              </w:rPr>
              <w:t>202</w:t>
            </w:r>
          </w:hyperlink>
        </w:p>
        <w:p>
          <w:pPr>
            <w:pStyle w:val="Contents3"/>
            <w:tabs>
              <w:tab w:val="clear" w:pos="8459"/>
              <w:tab w:val="right" w:pos="9026" w:leader="dot"/>
            </w:tabs>
            <w:rPr/>
          </w:pPr>
          <w:hyperlink w:anchor="__RefHeading___Toc634203_581953129">
            <w:r>
              <w:rPr>
                <w:webHidden/>
                <w:rStyle w:val="IndexLink"/>
                <w:rtl w:val="true"/>
              </w:rPr>
              <w:t>التفاسیر الأدبیة</w:t>
            </w:r>
            <w:r>
              <w:rPr>
                <w:rStyle w:val="IndexLink"/>
                <w:rtl w:val="true"/>
              </w:rPr>
              <w:tab/>
            </w:r>
            <w:r>
              <w:rPr>
                <w:rStyle w:val="IndexLink"/>
              </w:rPr>
              <w:t>203</w:t>
            </w:r>
          </w:hyperlink>
        </w:p>
        <w:p>
          <w:pPr>
            <w:pStyle w:val="Contents4"/>
            <w:tabs>
              <w:tab w:val="clear" w:pos="8176"/>
              <w:tab w:val="right" w:pos="9026" w:leader="dot"/>
            </w:tabs>
            <w:rPr/>
          </w:pPr>
          <w:hyperlink w:anchor="__RefHeading___Toc634205_581953129">
            <w:r>
              <w:rPr>
                <w:webHidden/>
                <w:rStyle w:val="IndexLink"/>
                <w:rtl w:val="true"/>
              </w:rPr>
              <w:t>اشارة</w:t>
            </w:r>
            <w:r>
              <w:rPr>
                <w:rStyle w:val="IndexLink"/>
                <w:rtl w:val="true"/>
              </w:rPr>
              <w:tab/>
            </w:r>
            <w:r>
              <w:rPr>
                <w:rStyle w:val="IndexLink"/>
              </w:rPr>
              <w:t>203</w:t>
            </w:r>
          </w:hyperlink>
        </w:p>
        <w:p>
          <w:pPr>
            <w:pStyle w:val="Contents4"/>
            <w:tabs>
              <w:tab w:val="clear" w:pos="8176"/>
              <w:tab w:val="right" w:pos="9026" w:leader="dot"/>
            </w:tabs>
            <w:rPr/>
          </w:pPr>
          <w:hyperlink w:anchor="__RefHeading___Toc634207_581953129">
            <w:r>
              <w:rPr>
                <w:webHidden/>
                <w:rStyle w:val="IndexLink"/>
              </w:rPr>
              <w:t>1</w:t>
            </w:r>
            <w:r>
              <w:rPr>
                <w:rStyle w:val="IndexLink"/>
                <w:rtl w:val="true"/>
              </w:rPr>
              <w:t xml:space="preserve">. </w:t>
            </w:r>
            <w:r>
              <w:rPr>
                <w:rStyle w:val="IndexLink"/>
                <w:rtl w:val="true"/>
              </w:rPr>
              <w:t>مجاز القرآن</w:t>
            </w:r>
            <w:r>
              <w:rPr>
                <w:rStyle w:val="IndexLink"/>
                <w:rtl w:val="true"/>
              </w:rPr>
              <w:tab/>
            </w:r>
            <w:r>
              <w:rPr>
                <w:rStyle w:val="IndexLink"/>
              </w:rPr>
              <w:t>203</w:t>
            </w:r>
          </w:hyperlink>
        </w:p>
        <w:p>
          <w:pPr>
            <w:pStyle w:val="Contents4"/>
            <w:tabs>
              <w:tab w:val="clear" w:pos="8176"/>
              <w:tab w:val="right" w:pos="9026" w:leader="dot"/>
            </w:tabs>
            <w:rPr/>
          </w:pPr>
          <w:hyperlink w:anchor="__RefHeading___Toc634209_581953129">
            <w:r>
              <w:rPr>
                <w:webHidden/>
                <w:rStyle w:val="IndexLink"/>
              </w:rPr>
              <w:t>2</w:t>
            </w:r>
            <w:r>
              <w:rPr>
                <w:rStyle w:val="IndexLink"/>
                <w:rtl w:val="true"/>
              </w:rPr>
              <w:t xml:space="preserve">. </w:t>
            </w:r>
            <w:r>
              <w:rPr>
                <w:rStyle w:val="IndexLink"/>
                <w:rtl w:val="true"/>
              </w:rPr>
              <w:t>تفسیر الفرّاء معانی القرآن</w:t>
            </w:r>
            <w:r>
              <w:rPr>
                <w:rStyle w:val="IndexLink"/>
                <w:rtl w:val="true"/>
              </w:rPr>
              <w:tab/>
            </w:r>
            <w:r>
              <w:rPr>
                <w:rStyle w:val="IndexLink"/>
              </w:rPr>
              <w:t>203</w:t>
            </w:r>
          </w:hyperlink>
        </w:p>
        <w:p>
          <w:pPr>
            <w:pStyle w:val="Contents4"/>
            <w:tabs>
              <w:tab w:val="clear" w:pos="8176"/>
              <w:tab w:val="right" w:pos="9026" w:leader="dot"/>
            </w:tabs>
            <w:rPr/>
          </w:pPr>
          <w:hyperlink w:anchor="__RefHeading___Toc634211_581953129">
            <w:r>
              <w:rPr>
                <w:webHidden/>
                <w:rStyle w:val="IndexLink"/>
              </w:rPr>
              <w:t>3</w:t>
            </w:r>
            <w:r>
              <w:rPr>
                <w:rStyle w:val="IndexLink"/>
                <w:rtl w:val="true"/>
              </w:rPr>
              <w:t xml:space="preserve">. </w:t>
            </w:r>
            <w:r>
              <w:rPr>
                <w:rStyle w:val="IndexLink"/>
                <w:rtl w:val="true"/>
              </w:rPr>
              <w:t>تفسیر الجاحظ نظم القرآن</w:t>
            </w:r>
            <w:r>
              <w:rPr>
                <w:rStyle w:val="IndexLink"/>
                <w:rtl w:val="true"/>
              </w:rPr>
              <w:tab/>
            </w:r>
            <w:r>
              <w:rPr>
                <w:rStyle w:val="IndexLink"/>
              </w:rPr>
              <w:t>204</w:t>
            </w:r>
          </w:hyperlink>
        </w:p>
        <w:p>
          <w:pPr>
            <w:pStyle w:val="Contents4"/>
            <w:tabs>
              <w:tab w:val="clear" w:pos="8176"/>
              <w:tab w:val="right" w:pos="9026" w:leader="dot"/>
            </w:tabs>
            <w:rPr/>
          </w:pPr>
          <w:hyperlink w:anchor="__RefHeading___Toc634213_581953129">
            <w:r>
              <w:rPr>
                <w:webHidden/>
                <w:rStyle w:val="IndexLink"/>
              </w:rPr>
              <w:t>4</w:t>
            </w:r>
            <w:r>
              <w:rPr>
                <w:rStyle w:val="IndexLink"/>
                <w:rtl w:val="true"/>
              </w:rPr>
              <w:t xml:space="preserve">. </w:t>
            </w:r>
            <w:r>
              <w:rPr>
                <w:rStyle w:val="IndexLink"/>
                <w:rtl w:val="true"/>
              </w:rPr>
              <w:t>تفسیر ابن قتیبة تأویل مشکل القرآن</w:t>
            </w:r>
            <w:r>
              <w:rPr>
                <w:rStyle w:val="IndexLink"/>
                <w:rtl w:val="true"/>
              </w:rPr>
              <w:t>:</w:t>
              <w:tab/>
            </w:r>
            <w:r>
              <w:rPr>
                <w:rStyle w:val="IndexLink"/>
              </w:rPr>
              <w:t>204</w:t>
            </w:r>
          </w:hyperlink>
        </w:p>
        <w:p>
          <w:pPr>
            <w:pStyle w:val="Contents3"/>
            <w:tabs>
              <w:tab w:val="clear" w:pos="8459"/>
              <w:tab w:val="right" w:pos="9026" w:leader="dot"/>
            </w:tabs>
            <w:rPr/>
          </w:pPr>
          <w:hyperlink w:anchor="__RefHeading___Toc634215_581953129">
            <w:r>
              <w:rPr>
                <w:webHidden/>
                <w:rStyle w:val="IndexLink"/>
                <w:rtl w:val="true"/>
              </w:rPr>
              <w:t>الاتّجاه العرفانی و الرمزی</w:t>
            </w:r>
            <w:r>
              <w:rPr>
                <w:rStyle w:val="IndexLink"/>
                <w:rtl w:val="true"/>
              </w:rPr>
              <w:tab/>
            </w:r>
            <w:r>
              <w:rPr>
                <w:rStyle w:val="IndexLink"/>
              </w:rPr>
              <w:t>205</w:t>
            </w:r>
          </w:hyperlink>
        </w:p>
        <w:p>
          <w:pPr>
            <w:pStyle w:val="Contents3"/>
            <w:tabs>
              <w:tab w:val="clear" w:pos="8459"/>
              <w:tab w:val="right" w:pos="9026" w:leader="dot"/>
            </w:tabs>
            <w:rPr/>
          </w:pPr>
          <w:hyperlink w:anchor="__RefHeading___Toc634217_581953129">
            <w:r>
              <w:rPr>
                <w:webHidden/>
                <w:rStyle w:val="IndexLink"/>
                <w:rtl w:val="true"/>
              </w:rPr>
              <w:t>المُحصّلة</w:t>
            </w:r>
            <w:r>
              <w:rPr>
                <w:rStyle w:val="IndexLink"/>
                <w:rtl w:val="true"/>
              </w:rPr>
              <w:tab/>
            </w:r>
            <w:r>
              <w:rPr>
                <w:rStyle w:val="IndexLink"/>
              </w:rPr>
              <w:t>205</w:t>
            </w:r>
          </w:hyperlink>
        </w:p>
        <w:p>
          <w:pPr>
            <w:pStyle w:val="Contents3"/>
            <w:tabs>
              <w:tab w:val="clear" w:pos="8459"/>
              <w:tab w:val="right" w:pos="9026" w:leader="dot"/>
            </w:tabs>
            <w:rPr/>
          </w:pPr>
          <w:hyperlink w:anchor="__RefHeading___Toc634219_581953129">
            <w:r>
              <w:rPr>
                <w:webHidden/>
                <w:rStyle w:val="IndexLink"/>
                <w:rtl w:val="true"/>
              </w:rPr>
              <w:t>المصادر من أجل البحث و الاستقصاء المعمّق</w:t>
            </w:r>
            <w:r>
              <w:rPr>
                <w:rStyle w:val="IndexLink"/>
                <w:rtl w:val="true"/>
              </w:rPr>
              <w:tab/>
            </w:r>
            <w:r>
              <w:rPr>
                <w:rStyle w:val="IndexLink"/>
              </w:rPr>
              <w:t>206</w:t>
            </w:r>
          </w:hyperlink>
        </w:p>
        <w:p>
          <w:pPr>
            <w:pStyle w:val="Contents3"/>
            <w:tabs>
              <w:tab w:val="clear" w:pos="8459"/>
              <w:tab w:val="right" w:pos="9026" w:leader="dot"/>
            </w:tabs>
            <w:rPr/>
          </w:pPr>
          <w:hyperlink w:anchor="__RefHeading___Toc634221_581953129">
            <w:r>
              <w:rPr>
                <w:webHidden/>
                <w:rStyle w:val="IndexLink"/>
                <w:rtl w:val="true"/>
              </w:rPr>
              <w:t>الأسئلة</w:t>
            </w:r>
            <w:r>
              <w:rPr>
                <w:rStyle w:val="IndexLink"/>
                <w:rtl w:val="true"/>
              </w:rPr>
              <w:tab/>
            </w:r>
            <w:r>
              <w:rPr>
                <w:rStyle w:val="IndexLink"/>
              </w:rPr>
              <w:t>207</w:t>
            </w:r>
          </w:hyperlink>
        </w:p>
        <w:p>
          <w:pPr>
            <w:pStyle w:val="Contents2"/>
            <w:tabs>
              <w:tab w:val="clear" w:pos="8743"/>
              <w:tab w:val="right" w:pos="9026" w:leader="dot"/>
            </w:tabs>
            <w:rPr/>
          </w:pPr>
          <w:hyperlink w:anchor="__RefHeading___Toc634223_581953129">
            <w:r>
              <w:rPr>
                <w:webHidden/>
                <w:rStyle w:val="IndexLink"/>
              </w:rPr>
              <w:t>7</w:t>
            </w:r>
            <w:r>
              <w:rPr>
                <w:rStyle w:val="IndexLink"/>
                <w:rtl w:val="true"/>
              </w:rPr>
              <w:t xml:space="preserve">- </w:t>
            </w:r>
            <w:r>
              <w:rPr>
                <w:rStyle w:val="IndexLink"/>
                <w:rtl w:val="true"/>
              </w:rPr>
              <w:t xml:space="preserve">التفسیر فی القرن الرابع </w:t>
            </w:r>
            <w:r>
              <w:rPr>
                <w:rStyle w:val="IndexLink"/>
                <w:rtl w:val="true"/>
              </w:rPr>
              <w:t>(</w:t>
            </w:r>
            <w:r>
              <w:rPr>
                <w:rStyle w:val="IndexLink"/>
              </w:rPr>
              <w:t>1</w:t>
            </w:r>
            <w:r>
              <w:rPr>
                <w:rStyle w:val="IndexLink"/>
                <w:rtl w:val="true"/>
              </w:rPr>
              <w:t>)</w:t>
              <w:tab/>
            </w:r>
            <w:r>
              <w:rPr>
                <w:rStyle w:val="IndexLink"/>
              </w:rPr>
              <w:t>209</w:t>
            </w:r>
          </w:hyperlink>
        </w:p>
        <w:p>
          <w:pPr>
            <w:pStyle w:val="Contents3"/>
            <w:tabs>
              <w:tab w:val="clear" w:pos="8459"/>
              <w:tab w:val="right" w:pos="9026" w:leader="dot"/>
            </w:tabs>
            <w:rPr/>
          </w:pPr>
          <w:hyperlink w:anchor="__RefHeading___Toc634225_581953129">
            <w:r>
              <w:rPr>
                <w:webHidden/>
                <w:rStyle w:val="IndexLink"/>
                <w:rtl w:val="true"/>
              </w:rPr>
              <w:t>اشارة</w:t>
            </w:r>
            <w:r>
              <w:rPr>
                <w:rStyle w:val="IndexLink"/>
                <w:rtl w:val="true"/>
              </w:rPr>
              <w:tab/>
            </w:r>
            <w:r>
              <w:rPr>
                <w:rStyle w:val="IndexLink"/>
              </w:rPr>
              <w:t>209</w:t>
            </w:r>
          </w:hyperlink>
        </w:p>
        <w:p>
          <w:pPr>
            <w:pStyle w:val="Contents3"/>
            <w:tabs>
              <w:tab w:val="clear" w:pos="8459"/>
              <w:tab w:val="right" w:pos="9026" w:leader="dot"/>
            </w:tabs>
            <w:rPr/>
          </w:pPr>
          <w:hyperlink w:anchor="__RefHeading___Toc634227_581953129">
            <w:r>
              <w:rPr>
                <w:webHidden/>
                <w:rStyle w:val="IndexLink"/>
                <w:rtl w:val="true"/>
              </w:rPr>
              <w:t>الأوضاع السیاسیة و الثقافیة فی القرن الرابع</w:t>
            </w:r>
            <w:r>
              <w:rPr>
                <w:rStyle w:val="IndexLink"/>
                <w:rtl w:val="true"/>
              </w:rPr>
              <w:tab/>
            </w:r>
            <w:r>
              <w:rPr>
                <w:rStyle w:val="IndexLink"/>
              </w:rPr>
              <w:t>210</w:t>
            </w:r>
          </w:hyperlink>
        </w:p>
        <w:p>
          <w:pPr>
            <w:pStyle w:val="Contents3"/>
            <w:tabs>
              <w:tab w:val="clear" w:pos="8459"/>
              <w:tab w:val="right" w:pos="9026" w:leader="dot"/>
            </w:tabs>
            <w:rPr/>
          </w:pPr>
          <w:hyperlink w:anchor="__RefHeading___Toc634229_581953129">
            <w:r>
              <w:rPr>
                <w:webHidden/>
                <w:rStyle w:val="IndexLink"/>
                <w:rtl w:val="true"/>
              </w:rPr>
              <w:t>التفسیر فی القرن الرابع</w:t>
            </w:r>
            <w:r>
              <w:rPr>
                <w:rStyle w:val="IndexLink"/>
                <w:rtl w:val="true"/>
              </w:rPr>
              <w:tab/>
            </w:r>
            <w:r>
              <w:rPr>
                <w:rStyle w:val="IndexLink"/>
              </w:rPr>
              <w:t>212</w:t>
            </w:r>
          </w:hyperlink>
        </w:p>
        <w:p>
          <w:pPr>
            <w:pStyle w:val="Contents3"/>
            <w:tabs>
              <w:tab w:val="clear" w:pos="8459"/>
              <w:tab w:val="right" w:pos="9026" w:leader="dot"/>
            </w:tabs>
            <w:rPr/>
          </w:pPr>
          <w:hyperlink w:anchor="__RefHeading___Toc634231_581953129">
            <w:r>
              <w:rPr>
                <w:webHidden/>
                <w:rStyle w:val="IndexLink"/>
                <w:rtl w:val="true"/>
              </w:rPr>
              <w:t>تثبیت المنهج الروائی</w:t>
            </w:r>
            <w:r>
              <w:rPr>
                <w:rStyle w:val="IndexLink"/>
                <w:rtl w:val="true"/>
              </w:rPr>
              <w:tab/>
            </w:r>
            <w:r>
              <w:rPr>
                <w:rStyle w:val="IndexLink"/>
              </w:rPr>
              <w:t>212</w:t>
            </w:r>
          </w:hyperlink>
        </w:p>
        <w:p>
          <w:pPr>
            <w:pStyle w:val="Contents3"/>
            <w:tabs>
              <w:tab w:val="clear" w:pos="8459"/>
              <w:tab w:val="right" w:pos="9026" w:leader="dot"/>
            </w:tabs>
            <w:rPr/>
          </w:pPr>
          <w:hyperlink w:anchor="__RefHeading___Toc634233_581953129">
            <w:r>
              <w:rPr>
                <w:webHidden/>
                <w:rStyle w:val="IndexLink"/>
                <w:rtl w:val="true"/>
              </w:rPr>
              <w:t>التفاسیر الروائیة عند الشیعة</w:t>
            </w:r>
            <w:r>
              <w:rPr>
                <w:rStyle w:val="IndexLink"/>
                <w:rtl w:val="true"/>
              </w:rPr>
              <w:tab/>
            </w:r>
            <w:r>
              <w:rPr>
                <w:rStyle w:val="IndexLink"/>
              </w:rPr>
              <w:t>212</w:t>
            </w:r>
          </w:hyperlink>
        </w:p>
        <w:p>
          <w:pPr>
            <w:pStyle w:val="Contents4"/>
            <w:tabs>
              <w:tab w:val="clear" w:pos="8176"/>
              <w:tab w:val="right" w:pos="9026" w:leader="dot"/>
            </w:tabs>
            <w:rPr/>
          </w:pPr>
          <w:hyperlink w:anchor="__RefHeading___Toc634235_581953129">
            <w:r>
              <w:rPr>
                <w:webHidden/>
                <w:rStyle w:val="IndexLink"/>
              </w:rPr>
              <w:t>1</w:t>
            </w:r>
            <w:r>
              <w:rPr>
                <w:rStyle w:val="IndexLink"/>
                <w:rtl w:val="true"/>
              </w:rPr>
              <w:t xml:space="preserve">. </w:t>
            </w:r>
            <w:r>
              <w:rPr>
                <w:rStyle w:val="IndexLink"/>
                <w:rtl w:val="true"/>
              </w:rPr>
              <w:t>تفسیر القمّی</w:t>
            </w:r>
            <w:r>
              <w:rPr>
                <w:rStyle w:val="IndexLink"/>
                <w:rtl w:val="true"/>
              </w:rPr>
              <w:t>:</w:t>
              <w:tab/>
            </w:r>
            <w:r>
              <w:rPr>
                <w:rStyle w:val="IndexLink"/>
              </w:rPr>
              <w:t>212</w:t>
            </w:r>
          </w:hyperlink>
        </w:p>
        <w:p>
          <w:pPr>
            <w:pStyle w:val="Contents5"/>
            <w:tabs>
              <w:tab w:val="clear" w:pos="7892"/>
              <w:tab w:val="right" w:pos="9026" w:leader="dot"/>
            </w:tabs>
            <w:rPr/>
          </w:pPr>
          <w:hyperlink w:anchor="__RefHeading___Toc634237_581953129">
            <w:r>
              <w:rPr>
                <w:webHidden/>
                <w:rStyle w:val="IndexLink"/>
                <w:rtl w:val="true"/>
              </w:rPr>
              <w:t>اشارة</w:t>
            </w:r>
            <w:r>
              <w:rPr>
                <w:rStyle w:val="IndexLink"/>
                <w:rtl w:val="true"/>
              </w:rPr>
              <w:tab/>
            </w:r>
            <w:r>
              <w:rPr>
                <w:rStyle w:val="IndexLink"/>
              </w:rPr>
              <w:t>212</w:t>
            </w:r>
          </w:hyperlink>
        </w:p>
        <w:p>
          <w:pPr>
            <w:pStyle w:val="Contents5"/>
            <w:tabs>
              <w:tab w:val="clear" w:pos="7892"/>
              <w:tab w:val="right" w:pos="9026" w:leader="dot"/>
            </w:tabs>
            <w:rPr/>
          </w:pPr>
          <w:hyperlink w:anchor="__RefHeading___Toc634239_581953129">
            <w:r>
              <w:rPr>
                <w:webHidden/>
                <w:rStyle w:val="IndexLink"/>
                <w:rtl w:val="true"/>
              </w:rPr>
              <w:t>مستویات القوّة و الضعف</w:t>
            </w:r>
            <w:r>
              <w:rPr>
                <w:rStyle w:val="IndexLink"/>
                <w:rtl w:val="true"/>
              </w:rPr>
              <w:tab/>
            </w:r>
            <w:r>
              <w:rPr>
                <w:rStyle w:val="IndexLink"/>
              </w:rPr>
              <w:t>214</w:t>
            </w:r>
          </w:hyperlink>
        </w:p>
        <w:p>
          <w:pPr>
            <w:pStyle w:val="Contents5"/>
            <w:tabs>
              <w:tab w:val="clear" w:pos="7892"/>
              <w:tab w:val="right" w:pos="9026" w:leader="dot"/>
            </w:tabs>
            <w:rPr/>
          </w:pPr>
          <w:hyperlink w:anchor="__RefHeading___Toc634241_581953129">
            <w:r>
              <w:rPr>
                <w:webHidden/>
                <w:rStyle w:val="IndexLink"/>
                <w:rtl w:val="true"/>
              </w:rPr>
              <w:t>أقسام روایات تفسیر القمّی</w:t>
            </w:r>
            <w:r>
              <w:rPr>
                <w:rStyle w:val="IndexLink"/>
                <w:rtl w:val="true"/>
              </w:rPr>
              <w:tab/>
            </w:r>
            <w:r>
              <w:rPr>
                <w:rStyle w:val="IndexLink"/>
              </w:rPr>
              <w:t>215</w:t>
            </w:r>
          </w:hyperlink>
        </w:p>
        <w:p>
          <w:pPr>
            <w:pStyle w:val="Contents6"/>
            <w:tabs>
              <w:tab w:val="clear" w:pos="7609"/>
              <w:tab w:val="right" w:pos="9026" w:leader="dot"/>
            </w:tabs>
            <w:rPr/>
          </w:pPr>
          <w:hyperlink w:anchor="__RefHeading___Toc634243_581953129">
            <w:r>
              <w:rPr>
                <w:webHidden/>
                <w:rStyle w:val="IndexLink"/>
                <w:rtl w:val="true"/>
              </w:rPr>
              <w:t>اشارة</w:t>
            </w:r>
            <w:r>
              <w:rPr>
                <w:rStyle w:val="IndexLink"/>
                <w:rtl w:val="true"/>
              </w:rPr>
              <w:tab/>
            </w:r>
            <w:r>
              <w:rPr>
                <w:rStyle w:val="IndexLink"/>
              </w:rPr>
              <w:t>215</w:t>
            </w:r>
          </w:hyperlink>
        </w:p>
        <w:p>
          <w:pPr>
            <w:pStyle w:val="Contents6"/>
            <w:tabs>
              <w:tab w:val="clear" w:pos="7609"/>
              <w:tab w:val="right" w:pos="9026" w:leader="dot"/>
            </w:tabs>
            <w:rPr/>
          </w:pPr>
          <w:hyperlink w:anchor="__RefHeading___Toc634245_581953129">
            <w:r>
              <w:rPr>
                <w:webHidden/>
                <w:rStyle w:val="IndexLink"/>
                <w:rtl w:val="true"/>
              </w:rPr>
              <w:t>أ</w:t>
            </w:r>
            <w:r>
              <w:rPr>
                <w:rStyle w:val="IndexLink"/>
                <w:rtl w:val="true"/>
              </w:rPr>
              <w:t xml:space="preserve">) </w:t>
            </w:r>
            <w:r>
              <w:rPr>
                <w:rStyle w:val="IndexLink"/>
                <w:rtl w:val="true"/>
              </w:rPr>
              <w:t>قول علی بن إبراهیم</w:t>
            </w:r>
            <w:r>
              <w:rPr>
                <w:rStyle w:val="IndexLink"/>
                <w:rtl w:val="true"/>
              </w:rPr>
              <w:tab/>
            </w:r>
            <w:r>
              <w:rPr>
                <w:rStyle w:val="IndexLink"/>
              </w:rPr>
              <w:t>215</w:t>
            </w:r>
          </w:hyperlink>
        </w:p>
        <w:p>
          <w:pPr>
            <w:pStyle w:val="Contents6"/>
            <w:tabs>
              <w:tab w:val="clear" w:pos="7609"/>
              <w:tab w:val="right" w:pos="9026" w:leader="dot"/>
            </w:tabs>
            <w:rPr/>
          </w:pPr>
          <w:hyperlink w:anchor="__RefHeading___Toc634247_581953129">
            <w:r>
              <w:rPr>
                <w:webHidden/>
                <w:rStyle w:val="IndexLink"/>
                <w:rtl w:val="true"/>
              </w:rPr>
              <w:t>قیمة تفسیر القمّی</w:t>
            </w:r>
            <w:r>
              <w:rPr>
                <w:rStyle w:val="IndexLink"/>
                <w:rtl w:val="true"/>
              </w:rPr>
              <w:tab/>
            </w:r>
            <w:r>
              <w:rPr>
                <w:rStyle w:val="IndexLink"/>
              </w:rPr>
              <w:t>217</w:t>
            </w:r>
          </w:hyperlink>
        </w:p>
        <w:p>
          <w:pPr>
            <w:pStyle w:val="Contents4"/>
            <w:tabs>
              <w:tab w:val="clear" w:pos="8176"/>
              <w:tab w:val="right" w:pos="9026" w:leader="dot"/>
            </w:tabs>
            <w:rPr/>
          </w:pPr>
          <w:hyperlink w:anchor="__RefHeading___Toc634249_581953129">
            <w:r>
              <w:rPr>
                <w:webHidden/>
                <w:rStyle w:val="IndexLink"/>
              </w:rPr>
              <w:t>2</w:t>
            </w:r>
            <w:r>
              <w:rPr>
                <w:rStyle w:val="IndexLink"/>
                <w:rtl w:val="true"/>
              </w:rPr>
              <w:t xml:space="preserve">. </w:t>
            </w:r>
            <w:r>
              <w:rPr>
                <w:rStyle w:val="IndexLink"/>
                <w:rtl w:val="true"/>
              </w:rPr>
              <w:t>تفسیر فرات الکوفی</w:t>
            </w:r>
            <w:r>
              <w:rPr>
                <w:rStyle w:val="IndexLink"/>
                <w:rtl w:val="true"/>
              </w:rPr>
              <w:tab/>
            </w:r>
            <w:r>
              <w:rPr>
                <w:rStyle w:val="IndexLink"/>
              </w:rPr>
              <w:t>217</w:t>
            </w:r>
          </w:hyperlink>
        </w:p>
        <w:p>
          <w:pPr>
            <w:pStyle w:val="Contents5"/>
            <w:tabs>
              <w:tab w:val="clear" w:pos="7892"/>
              <w:tab w:val="right" w:pos="9026" w:leader="dot"/>
            </w:tabs>
            <w:rPr/>
          </w:pPr>
          <w:hyperlink w:anchor="__RefHeading___Toc634251_581953129">
            <w:r>
              <w:rPr>
                <w:webHidden/>
                <w:rStyle w:val="IndexLink"/>
                <w:rtl w:val="true"/>
              </w:rPr>
              <w:t>اشارة</w:t>
            </w:r>
            <w:r>
              <w:rPr>
                <w:rStyle w:val="IndexLink"/>
                <w:rtl w:val="true"/>
              </w:rPr>
              <w:tab/>
            </w:r>
            <w:r>
              <w:rPr>
                <w:rStyle w:val="IndexLink"/>
              </w:rPr>
              <w:t>217</w:t>
            </w:r>
          </w:hyperlink>
        </w:p>
        <w:p>
          <w:pPr>
            <w:pStyle w:val="Contents5"/>
            <w:tabs>
              <w:tab w:val="clear" w:pos="7892"/>
              <w:tab w:val="right" w:pos="9026" w:leader="dot"/>
            </w:tabs>
            <w:rPr/>
          </w:pPr>
          <w:hyperlink w:anchor="__RefHeading___Toc634253_581953129">
            <w:r>
              <w:rPr>
                <w:webHidden/>
                <w:rStyle w:val="IndexLink"/>
                <w:rtl w:val="true"/>
              </w:rPr>
              <w:t>أقسام روایات فرات بن إبراهیم</w:t>
            </w:r>
            <w:r>
              <w:rPr>
                <w:rStyle w:val="IndexLink"/>
                <w:rtl w:val="true"/>
              </w:rPr>
              <w:tab/>
            </w:r>
            <w:r>
              <w:rPr>
                <w:rStyle w:val="IndexLink"/>
              </w:rPr>
              <w:t>221</w:t>
            </w:r>
          </w:hyperlink>
        </w:p>
        <w:p>
          <w:pPr>
            <w:pStyle w:val="Contents5"/>
            <w:tabs>
              <w:tab w:val="clear" w:pos="7892"/>
              <w:tab w:val="right" w:pos="9026" w:leader="dot"/>
            </w:tabs>
            <w:rPr/>
          </w:pPr>
          <w:hyperlink w:anchor="__RefHeading___Toc634255_581953129">
            <w:r>
              <w:rPr>
                <w:webHidden/>
                <w:rStyle w:val="IndexLink"/>
                <w:rtl w:val="true"/>
              </w:rPr>
              <w:t>القیمة الاعتباریة لتفسیر فرات</w:t>
            </w:r>
            <w:r>
              <w:rPr>
                <w:rStyle w:val="IndexLink"/>
                <w:rtl w:val="true"/>
              </w:rPr>
              <w:tab/>
            </w:r>
            <w:r>
              <w:rPr>
                <w:rStyle w:val="IndexLink"/>
              </w:rPr>
              <w:t>222</w:t>
            </w:r>
          </w:hyperlink>
        </w:p>
        <w:p>
          <w:pPr>
            <w:pStyle w:val="Contents4"/>
            <w:tabs>
              <w:tab w:val="clear" w:pos="8176"/>
              <w:tab w:val="right" w:pos="9026" w:leader="dot"/>
            </w:tabs>
            <w:rPr/>
          </w:pPr>
          <w:hyperlink w:anchor="__RefHeading___Toc634257_581953129">
            <w:r>
              <w:rPr>
                <w:webHidden/>
                <w:rStyle w:val="IndexLink"/>
              </w:rPr>
              <w:t>3</w:t>
            </w:r>
            <w:r>
              <w:rPr>
                <w:rStyle w:val="IndexLink"/>
                <w:rtl w:val="true"/>
              </w:rPr>
              <w:t xml:space="preserve">. </w:t>
            </w:r>
            <w:r>
              <w:rPr>
                <w:rStyle w:val="IndexLink"/>
                <w:rtl w:val="true"/>
              </w:rPr>
              <w:t>تفسیر العیاشی</w:t>
            </w:r>
            <w:r>
              <w:rPr>
                <w:rStyle w:val="IndexLink"/>
                <w:rtl w:val="true"/>
              </w:rPr>
              <w:tab/>
            </w:r>
            <w:r>
              <w:rPr>
                <w:rStyle w:val="IndexLink"/>
              </w:rPr>
              <w:t>223</w:t>
            </w:r>
          </w:hyperlink>
        </w:p>
        <w:p>
          <w:pPr>
            <w:pStyle w:val="Contents4"/>
            <w:tabs>
              <w:tab w:val="clear" w:pos="8176"/>
              <w:tab w:val="right" w:pos="9026" w:leader="dot"/>
            </w:tabs>
            <w:rPr/>
          </w:pPr>
          <w:hyperlink w:anchor="__RefHeading___Toc634259_581953129">
            <w:r>
              <w:rPr>
                <w:webHidden/>
                <w:rStyle w:val="IndexLink"/>
              </w:rPr>
              <w:t>4</w:t>
            </w:r>
            <w:r>
              <w:rPr>
                <w:rStyle w:val="IndexLink"/>
                <w:rtl w:val="true"/>
              </w:rPr>
              <w:t xml:space="preserve">. </w:t>
            </w:r>
            <w:r>
              <w:rPr>
                <w:rStyle w:val="IndexLink"/>
                <w:rtl w:val="true"/>
              </w:rPr>
              <w:t>تفسیر النعمانی</w:t>
            </w:r>
            <w:r>
              <w:rPr>
                <w:rStyle w:val="IndexLink"/>
                <w:rtl w:val="true"/>
              </w:rPr>
              <w:tab/>
            </w:r>
            <w:r>
              <w:rPr>
                <w:rStyle w:val="IndexLink"/>
              </w:rPr>
              <w:t>227</w:t>
            </w:r>
          </w:hyperlink>
        </w:p>
        <w:p>
          <w:pPr>
            <w:pStyle w:val="Contents3"/>
            <w:tabs>
              <w:tab w:val="clear" w:pos="8459"/>
              <w:tab w:val="right" w:pos="9026" w:leader="dot"/>
            </w:tabs>
            <w:rPr/>
          </w:pPr>
          <w:hyperlink w:anchor="__RefHeading___Toc634261_581953129">
            <w:r>
              <w:rPr>
                <w:webHidden/>
                <w:rStyle w:val="IndexLink"/>
                <w:rtl w:val="true"/>
              </w:rPr>
              <w:t>قسم من محتوی هذه الرسالة</w:t>
            </w:r>
            <w:r>
              <w:rPr>
                <w:rStyle w:val="IndexLink"/>
                <w:rtl w:val="true"/>
              </w:rPr>
              <w:tab/>
            </w:r>
            <w:r>
              <w:rPr>
                <w:rStyle w:val="IndexLink"/>
              </w:rPr>
              <w:t>229</w:t>
            </w:r>
          </w:hyperlink>
        </w:p>
        <w:p>
          <w:pPr>
            <w:pStyle w:val="Contents3"/>
            <w:tabs>
              <w:tab w:val="clear" w:pos="8459"/>
              <w:tab w:val="right" w:pos="9026" w:leader="dot"/>
            </w:tabs>
            <w:rPr/>
          </w:pPr>
          <w:hyperlink w:anchor="__RefHeading___Toc634263_581953129">
            <w:r>
              <w:rPr>
                <w:webHidden/>
                <w:rStyle w:val="IndexLink"/>
                <w:rtl w:val="true"/>
              </w:rPr>
              <w:t>محصّلة الدرس السابع</w:t>
            </w:r>
            <w:r>
              <w:rPr>
                <w:rStyle w:val="IndexLink"/>
                <w:rtl w:val="true"/>
              </w:rPr>
              <w:tab/>
            </w:r>
            <w:r>
              <w:rPr>
                <w:rStyle w:val="IndexLink"/>
              </w:rPr>
              <w:t>230</w:t>
            </w:r>
          </w:hyperlink>
        </w:p>
        <w:p>
          <w:pPr>
            <w:pStyle w:val="Contents3"/>
            <w:tabs>
              <w:tab w:val="clear" w:pos="8459"/>
              <w:tab w:val="right" w:pos="9026" w:leader="dot"/>
            </w:tabs>
            <w:rPr/>
          </w:pPr>
          <w:hyperlink w:anchor="__RefHeading___Toc634265_581953129">
            <w:r>
              <w:rPr>
                <w:webHidden/>
                <w:rStyle w:val="IndexLink"/>
                <w:rtl w:val="true"/>
              </w:rPr>
              <w:t>التفاسیر الروائیة عند الشیعة</w:t>
            </w:r>
            <w:r>
              <w:rPr>
                <w:rStyle w:val="IndexLink"/>
                <w:rtl w:val="true"/>
              </w:rPr>
              <w:tab/>
            </w:r>
            <w:r>
              <w:rPr>
                <w:rStyle w:val="IndexLink"/>
              </w:rPr>
              <w:t>230</w:t>
            </w:r>
          </w:hyperlink>
        </w:p>
        <w:p>
          <w:pPr>
            <w:pStyle w:val="Contents3"/>
            <w:tabs>
              <w:tab w:val="clear" w:pos="8459"/>
              <w:tab w:val="right" w:pos="9026" w:leader="dot"/>
            </w:tabs>
            <w:rPr/>
          </w:pPr>
          <w:hyperlink w:anchor="__RefHeading___Toc634267_581953129">
            <w:r>
              <w:rPr>
                <w:webHidden/>
                <w:rStyle w:val="IndexLink"/>
                <w:rtl w:val="true"/>
              </w:rPr>
              <w:t>تفسیر فرات الکوفی</w:t>
            </w:r>
            <w:r>
              <w:rPr>
                <w:rStyle w:val="IndexLink"/>
                <w:rtl w:val="true"/>
              </w:rPr>
              <w:tab/>
            </w:r>
            <w:r>
              <w:rPr>
                <w:rStyle w:val="IndexLink"/>
              </w:rPr>
              <w:t>230</w:t>
            </w:r>
          </w:hyperlink>
        </w:p>
        <w:p>
          <w:pPr>
            <w:pStyle w:val="Contents2"/>
            <w:tabs>
              <w:tab w:val="clear" w:pos="8743"/>
              <w:tab w:val="right" w:pos="9026" w:leader="dot"/>
            </w:tabs>
            <w:rPr/>
          </w:pPr>
          <w:hyperlink w:anchor="__RefHeading___Toc634269_581953129">
            <w:r>
              <w:rPr>
                <w:webHidden/>
                <w:rStyle w:val="IndexLink"/>
              </w:rPr>
              <w:t>8</w:t>
            </w:r>
            <w:r>
              <w:rPr>
                <w:rStyle w:val="IndexLink"/>
                <w:rtl w:val="true"/>
              </w:rPr>
              <w:t xml:space="preserve">- </w:t>
            </w:r>
            <w:r>
              <w:rPr>
                <w:rStyle w:val="IndexLink"/>
                <w:rtl w:val="true"/>
              </w:rPr>
              <w:t xml:space="preserve">التفسیر فی القرن الرابع </w:t>
            </w:r>
            <w:r>
              <w:rPr>
                <w:rStyle w:val="IndexLink"/>
                <w:rtl w:val="true"/>
              </w:rPr>
              <w:t>(</w:t>
            </w:r>
            <w:r>
              <w:rPr>
                <w:rStyle w:val="IndexLink"/>
              </w:rPr>
              <w:t>2</w:t>
            </w:r>
            <w:r>
              <w:rPr>
                <w:rStyle w:val="IndexLink"/>
                <w:rtl w:val="true"/>
              </w:rPr>
              <w:t>)</w:t>
              <w:tab/>
            </w:r>
            <w:r>
              <w:rPr>
                <w:rStyle w:val="IndexLink"/>
              </w:rPr>
              <w:t>232</w:t>
            </w:r>
          </w:hyperlink>
        </w:p>
        <w:p>
          <w:pPr>
            <w:pStyle w:val="Contents3"/>
            <w:tabs>
              <w:tab w:val="clear" w:pos="8459"/>
              <w:tab w:val="right" w:pos="9026" w:leader="dot"/>
            </w:tabs>
            <w:rPr/>
          </w:pPr>
          <w:hyperlink w:anchor="__RefHeading___Toc634271_581953129">
            <w:r>
              <w:rPr>
                <w:webHidden/>
                <w:rStyle w:val="IndexLink"/>
                <w:rtl w:val="true"/>
              </w:rPr>
              <w:t>اشارة</w:t>
            </w:r>
            <w:r>
              <w:rPr>
                <w:rStyle w:val="IndexLink"/>
                <w:rtl w:val="true"/>
              </w:rPr>
              <w:tab/>
            </w:r>
            <w:r>
              <w:rPr>
                <w:rStyle w:val="IndexLink"/>
              </w:rPr>
              <w:t>232</w:t>
            </w:r>
          </w:hyperlink>
        </w:p>
        <w:p>
          <w:pPr>
            <w:pStyle w:val="Contents3"/>
            <w:tabs>
              <w:tab w:val="clear" w:pos="8459"/>
              <w:tab w:val="right" w:pos="9026" w:leader="dot"/>
            </w:tabs>
            <w:rPr/>
          </w:pPr>
          <w:hyperlink w:anchor="__RefHeading___Toc634273_581953129">
            <w:r>
              <w:rPr>
                <w:webHidden/>
                <w:rStyle w:val="IndexLink"/>
                <w:rtl w:val="true"/>
              </w:rPr>
              <w:t>التفسیر المنسوب إلی الإمام الحسن العسکری علیه السّلام</w:t>
            </w:r>
            <w:r>
              <w:rPr>
                <w:rStyle w:val="IndexLink"/>
                <w:rtl w:val="true"/>
              </w:rPr>
              <w:tab/>
            </w:r>
            <w:r>
              <w:rPr>
                <w:rStyle w:val="IndexLink"/>
              </w:rPr>
              <w:t>232</w:t>
            </w:r>
          </w:hyperlink>
        </w:p>
        <w:p>
          <w:pPr>
            <w:pStyle w:val="Contents4"/>
            <w:tabs>
              <w:tab w:val="clear" w:pos="8176"/>
              <w:tab w:val="right" w:pos="9026" w:leader="dot"/>
            </w:tabs>
            <w:rPr/>
          </w:pPr>
          <w:hyperlink w:anchor="__RefHeading___Toc634275_581953129">
            <w:r>
              <w:rPr>
                <w:webHidden/>
                <w:rStyle w:val="IndexLink"/>
                <w:rtl w:val="true"/>
              </w:rPr>
              <w:t>اشارة</w:t>
            </w:r>
            <w:r>
              <w:rPr>
                <w:rStyle w:val="IndexLink"/>
                <w:rtl w:val="true"/>
              </w:rPr>
              <w:tab/>
            </w:r>
            <w:r>
              <w:rPr>
                <w:rStyle w:val="IndexLink"/>
              </w:rPr>
              <w:t>232</w:t>
            </w:r>
          </w:hyperlink>
        </w:p>
        <w:p>
          <w:pPr>
            <w:pStyle w:val="Contents4"/>
            <w:tabs>
              <w:tab w:val="clear" w:pos="8176"/>
              <w:tab w:val="right" w:pos="9026" w:leader="dot"/>
            </w:tabs>
            <w:rPr/>
          </w:pPr>
          <w:hyperlink w:anchor="__RefHeading___Toc634277_581953129">
            <w:r>
              <w:rPr>
                <w:webHidden/>
                <w:rStyle w:val="IndexLink"/>
                <w:rtl w:val="true"/>
              </w:rPr>
              <w:t>نظرة حول الکتاب</w:t>
            </w:r>
            <w:r>
              <w:rPr>
                <w:rStyle w:val="IndexLink"/>
                <w:rtl w:val="true"/>
              </w:rPr>
              <w:tab/>
            </w:r>
            <w:r>
              <w:rPr>
                <w:rStyle w:val="IndexLink"/>
              </w:rPr>
              <w:t>233</w:t>
            </w:r>
          </w:hyperlink>
        </w:p>
        <w:p>
          <w:pPr>
            <w:pStyle w:val="Contents4"/>
            <w:tabs>
              <w:tab w:val="clear" w:pos="8176"/>
              <w:tab w:val="right" w:pos="9026" w:leader="dot"/>
            </w:tabs>
            <w:rPr/>
          </w:pPr>
          <w:hyperlink w:anchor="__RefHeading___Toc634279_581953129">
            <w:r>
              <w:rPr>
                <w:webHidden/>
                <w:rStyle w:val="IndexLink"/>
                <w:rtl w:val="true"/>
              </w:rPr>
              <w:t>القیمة الاعتباریة للتفسیر</w:t>
            </w:r>
            <w:r>
              <w:rPr>
                <w:rStyle w:val="IndexLink"/>
                <w:rtl w:val="true"/>
              </w:rPr>
              <w:tab/>
            </w:r>
            <w:r>
              <w:rPr>
                <w:rStyle w:val="IndexLink"/>
              </w:rPr>
              <w:t>234</w:t>
            </w:r>
          </w:hyperlink>
        </w:p>
        <w:p>
          <w:pPr>
            <w:pStyle w:val="Contents4"/>
            <w:tabs>
              <w:tab w:val="clear" w:pos="8176"/>
              <w:tab w:val="right" w:pos="9026" w:leader="dot"/>
            </w:tabs>
            <w:rPr/>
          </w:pPr>
          <w:hyperlink w:anchor="__RefHeading___Toc634281_581953129">
            <w:r>
              <w:rPr>
                <w:webHidden/>
                <w:rStyle w:val="IndexLink"/>
                <w:rtl w:val="true"/>
              </w:rPr>
              <w:t>المخالفون</w:t>
            </w:r>
            <w:r>
              <w:rPr>
                <w:rStyle w:val="IndexLink"/>
                <w:rtl w:val="true"/>
              </w:rPr>
              <w:tab/>
            </w:r>
            <w:r>
              <w:rPr>
                <w:rStyle w:val="IndexLink"/>
              </w:rPr>
              <w:t>234</w:t>
            </w:r>
          </w:hyperlink>
        </w:p>
        <w:p>
          <w:pPr>
            <w:pStyle w:val="Contents4"/>
            <w:tabs>
              <w:tab w:val="clear" w:pos="8176"/>
              <w:tab w:val="right" w:pos="9026" w:leader="dot"/>
            </w:tabs>
            <w:rPr/>
          </w:pPr>
          <w:hyperlink w:anchor="__RefHeading___Toc634283_581953129">
            <w:r>
              <w:rPr>
                <w:webHidden/>
                <w:rStyle w:val="IndexLink"/>
                <w:rtl w:val="true"/>
              </w:rPr>
              <w:t>الموافقون</w:t>
            </w:r>
            <w:r>
              <w:rPr>
                <w:rStyle w:val="IndexLink"/>
                <w:rtl w:val="true"/>
              </w:rPr>
              <w:tab/>
            </w:r>
            <w:r>
              <w:rPr>
                <w:rStyle w:val="IndexLink"/>
              </w:rPr>
              <w:t>236</w:t>
            </w:r>
          </w:hyperlink>
        </w:p>
        <w:p>
          <w:pPr>
            <w:pStyle w:val="Contents3"/>
            <w:tabs>
              <w:tab w:val="clear" w:pos="8459"/>
              <w:tab w:val="right" w:pos="9026" w:leader="dot"/>
            </w:tabs>
            <w:rPr/>
          </w:pPr>
          <w:hyperlink w:anchor="__RefHeading___Toc634285_581953129">
            <w:r>
              <w:rPr>
                <w:webHidden/>
                <w:rStyle w:val="IndexLink"/>
                <w:rtl w:val="true"/>
              </w:rPr>
              <w:t>تفاسیر أهل السنّة</w:t>
            </w:r>
            <w:r>
              <w:rPr>
                <w:rStyle w:val="IndexLink"/>
                <w:rtl w:val="true"/>
              </w:rPr>
              <w:tab/>
            </w:r>
            <w:r>
              <w:rPr>
                <w:rStyle w:val="IndexLink"/>
              </w:rPr>
              <w:t>240</w:t>
            </w:r>
          </w:hyperlink>
        </w:p>
        <w:p>
          <w:pPr>
            <w:pStyle w:val="Contents4"/>
            <w:tabs>
              <w:tab w:val="clear" w:pos="8176"/>
              <w:tab w:val="right" w:pos="9026" w:leader="dot"/>
            </w:tabs>
            <w:rPr/>
          </w:pPr>
          <w:hyperlink w:anchor="__RefHeading___Toc634287_581953129">
            <w:r>
              <w:rPr>
                <w:webHidden/>
                <w:rStyle w:val="IndexLink"/>
              </w:rPr>
              <w:t>1</w:t>
            </w:r>
            <w:r>
              <w:rPr>
                <w:rStyle w:val="IndexLink"/>
                <w:rtl w:val="true"/>
              </w:rPr>
              <w:t xml:space="preserve">. </w:t>
            </w:r>
            <w:r>
              <w:rPr>
                <w:rStyle w:val="IndexLink"/>
                <w:rtl w:val="true"/>
              </w:rPr>
              <w:t>تفسیر الطبری</w:t>
            </w:r>
            <w:r>
              <w:rPr>
                <w:rStyle w:val="IndexLink"/>
                <w:rtl w:val="true"/>
              </w:rPr>
              <w:t>:</w:t>
              <w:tab/>
            </w:r>
            <w:r>
              <w:rPr>
                <w:rStyle w:val="IndexLink"/>
              </w:rPr>
              <w:t>240</w:t>
            </w:r>
          </w:hyperlink>
        </w:p>
        <w:p>
          <w:pPr>
            <w:pStyle w:val="Contents5"/>
            <w:tabs>
              <w:tab w:val="clear" w:pos="7892"/>
              <w:tab w:val="right" w:pos="9026" w:leader="dot"/>
            </w:tabs>
            <w:rPr/>
          </w:pPr>
          <w:hyperlink w:anchor="__RefHeading___Toc634289_581953129">
            <w:r>
              <w:rPr>
                <w:webHidden/>
                <w:rStyle w:val="IndexLink"/>
                <w:rtl w:val="true"/>
              </w:rPr>
              <w:t>اشارة</w:t>
            </w:r>
            <w:r>
              <w:rPr>
                <w:rStyle w:val="IndexLink"/>
                <w:rtl w:val="true"/>
              </w:rPr>
              <w:tab/>
            </w:r>
            <w:r>
              <w:rPr>
                <w:rStyle w:val="IndexLink"/>
              </w:rPr>
              <w:t>240</w:t>
            </w:r>
          </w:hyperlink>
        </w:p>
        <w:p>
          <w:pPr>
            <w:pStyle w:val="Contents5"/>
            <w:tabs>
              <w:tab w:val="clear" w:pos="7892"/>
              <w:tab w:val="right" w:pos="9026" w:leader="dot"/>
            </w:tabs>
            <w:rPr/>
          </w:pPr>
          <w:hyperlink w:anchor="__RefHeading___Toc634291_581953129">
            <w:r>
              <w:rPr>
                <w:webHidden/>
                <w:rStyle w:val="IndexLink"/>
                <w:rtl w:val="true"/>
              </w:rPr>
              <w:t>تفسیر جامع البیان</w:t>
            </w:r>
            <w:r>
              <w:rPr>
                <w:rStyle w:val="IndexLink"/>
                <w:rtl w:val="true"/>
              </w:rPr>
              <w:tab/>
            </w:r>
            <w:r>
              <w:rPr>
                <w:rStyle w:val="IndexLink"/>
              </w:rPr>
              <w:t>241</w:t>
            </w:r>
          </w:hyperlink>
        </w:p>
        <w:p>
          <w:pPr>
            <w:pStyle w:val="Contents5"/>
            <w:tabs>
              <w:tab w:val="clear" w:pos="7892"/>
              <w:tab w:val="right" w:pos="9026" w:leader="dot"/>
            </w:tabs>
            <w:rPr/>
          </w:pPr>
          <w:hyperlink w:anchor="__RefHeading___Toc634293_581953129">
            <w:r>
              <w:rPr>
                <w:webHidden/>
                <w:rStyle w:val="IndexLink"/>
                <w:rtl w:val="true"/>
              </w:rPr>
              <w:t>منهج ومصادر التفسیر عند الطبری</w:t>
            </w:r>
            <w:r>
              <w:rPr>
                <w:rStyle w:val="IndexLink"/>
                <w:rtl w:val="true"/>
              </w:rPr>
              <w:tab/>
            </w:r>
            <w:r>
              <w:rPr>
                <w:rStyle w:val="IndexLink"/>
              </w:rPr>
              <w:t>241</w:t>
            </w:r>
          </w:hyperlink>
        </w:p>
        <w:p>
          <w:pPr>
            <w:pStyle w:val="Contents5"/>
            <w:tabs>
              <w:tab w:val="clear" w:pos="7892"/>
              <w:tab w:val="right" w:pos="9026" w:leader="dot"/>
            </w:tabs>
            <w:rPr/>
          </w:pPr>
          <w:hyperlink w:anchor="__RefHeading___Toc634295_581953129">
            <w:r>
              <w:rPr>
                <w:webHidden/>
                <w:rStyle w:val="IndexLink"/>
                <w:rtl w:val="true"/>
              </w:rPr>
              <w:t>الاستفادة من الأدب</w:t>
            </w:r>
            <w:r>
              <w:rPr>
                <w:rStyle w:val="IndexLink"/>
                <w:rtl w:val="true"/>
              </w:rPr>
              <w:tab/>
            </w:r>
            <w:r>
              <w:rPr>
                <w:rStyle w:val="IndexLink"/>
              </w:rPr>
              <w:t>242</w:t>
            </w:r>
          </w:hyperlink>
        </w:p>
        <w:p>
          <w:pPr>
            <w:pStyle w:val="Contents5"/>
            <w:tabs>
              <w:tab w:val="clear" w:pos="7892"/>
              <w:tab w:val="right" w:pos="9026" w:leader="dot"/>
            </w:tabs>
            <w:rPr/>
          </w:pPr>
          <w:hyperlink w:anchor="__RefHeading___Toc634297_581953129">
            <w:r>
              <w:rPr>
                <w:webHidden/>
                <w:rStyle w:val="IndexLink"/>
                <w:rtl w:val="true"/>
              </w:rPr>
              <w:t>الاستفادة من اللغة</w:t>
            </w:r>
            <w:r>
              <w:rPr>
                <w:rStyle w:val="IndexLink"/>
                <w:rtl w:val="true"/>
              </w:rPr>
              <w:tab/>
            </w:r>
            <w:r>
              <w:rPr>
                <w:rStyle w:val="IndexLink"/>
              </w:rPr>
              <w:t>243</w:t>
            </w:r>
          </w:hyperlink>
        </w:p>
        <w:p>
          <w:pPr>
            <w:pStyle w:val="Contents5"/>
            <w:tabs>
              <w:tab w:val="clear" w:pos="7892"/>
              <w:tab w:val="right" w:pos="9026" w:leader="dot"/>
            </w:tabs>
            <w:rPr/>
          </w:pPr>
          <w:hyperlink w:anchor="__RefHeading___Toc634299_581953129">
            <w:r>
              <w:rPr>
                <w:webHidden/>
                <w:rStyle w:val="IndexLink"/>
                <w:rtl w:val="true"/>
              </w:rPr>
              <w:t>الشعر</w:t>
            </w:r>
            <w:r>
              <w:rPr>
                <w:rStyle w:val="IndexLink"/>
                <w:rtl w:val="true"/>
              </w:rPr>
              <w:tab/>
            </w:r>
            <w:r>
              <w:rPr>
                <w:rStyle w:val="IndexLink"/>
              </w:rPr>
              <w:t>244</w:t>
            </w:r>
          </w:hyperlink>
        </w:p>
        <w:p>
          <w:pPr>
            <w:pStyle w:val="Contents5"/>
            <w:tabs>
              <w:tab w:val="clear" w:pos="7892"/>
              <w:tab w:val="right" w:pos="9026" w:leader="dot"/>
            </w:tabs>
            <w:rPr/>
          </w:pPr>
          <w:hyperlink w:anchor="__RefHeading___Toc634301_581953129">
            <w:r>
              <w:rPr>
                <w:webHidden/>
                <w:rStyle w:val="IndexLink"/>
                <w:rtl w:val="true"/>
              </w:rPr>
              <w:t>موقف الطبری من أهل‌البیت علیهم السّلام</w:t>
            </w:r>
            <w:r>
              <w:rPr>
                <w:rStyle w:val="IndexLink"/>
                <w:rtl w:val="true"/>
              </w:rPr>
              <w:tab/>
            </w:r>
            <w:r>
              <w:rPr>
                <w:rStyle w:val="IndexLink"/>
              </w:rPr>
              <w:t>245</w:t>
            </w:r>
          </w:hyperlink>
        </w:p>
        <w:p>
          <w:pPr>
            <w:pStyle w:val="Contents5"/>
            <w:tabs>
              <w:tab w:val="clear" w:pos="7892"/>
              <w:tab w:val="right" w:pos="9026" w:leader="dot"/>
            </w:tabs>
            <w:rPr/>
          </w:pPr>
          <w:hyperlink w:anchor="__RefHeading___Toc634303_581953129">
            <w:r>
              <w:rPr>
                <w:webHidden/>
                <w:rStyle w:val="IndexLink"/>
                <w:rtl w:val="true"/>
              </w:rPr>
              <w:t>الإسرائیلیات فی تفسیر الطبری</w:t>
            </w:r>
            <w:r>
              <w:rPr>
                <w:rStyle w:val="IndexLink"/>
                <w:rtl w:val="true"/>
              </w:rPr>
              <w:tab/>
            </w:r>
            <w:r>
              <w:rPr>
                <w:rStyle w:val="IndexLink"/>
              </w:rPr>
              <w:t>246</w:t>
            </w:r>
          </w:hyperlink>
        </w:p>
        <w:p>
          <w:pPr>
            <w:pStyle w:val="Contents5"/>
            <w:tabs>
              <w:tab w:val="clear" w:pos="7892"/>
              <w:tab w:val="right" w:pos="9026" w:leader="dot"/>
            </w:tabs>
            <w:rPr/>
          </w:pPr>
          <w:hyperlink w:anchor="__RefHeading___Toc634305_581953129">
            <w:r>
              <w:rPr>
                <w:webHidden/>
                <w:rStyle w:val="IndexLink"/>
                <w:rtl w:val="true"/>
              </w:rPr>
              <w:t>ملاحظات مهمّة جدّاً</w:t>
            </w:r>
            <w:r>
              <w:rPr>
                <w:rStyle w:val="IndexLink"/>
                <w:rtl w:val="true"/>
              </w:rPr>
              <w:tab/>
            </w:r>
            <w:r>
              <w:rPr>
                <w:rStyle w:val="IndexLink"/>
              </w:rPr>
              <w:t>248</w:t>
            </w:r>
          </w:hyperlink>
        </w:p>
        <w:p>
          <w:pPr>
            <w:pStyle w:val="Contents4"/>
            <w:tabs>
              <w:tab w:val="clear" w:pos="8176"/>
              <w:tab w:val="right" w:pos="9026" w:leader="dot"/>
            </w:tabs>
            <w:rPr/>
          </w:pPr>
          <w:hyperlink w:anchor="__RefHeading___Toc634307_581953129">
            <w:r>
              <w:rPr>
                <w:webHidden/>
                <w:rStyle w:val="IndexLink"/>
              </w:rPr>
              <w:t>2</w:t>
            </w:r>
            <w:r>
              <w:rPr>
                <w:rStyle w:val="IndexLink"/>
                <w:rtl w:val="true"/>
              </w:rPr>
              <w:t xml:space="preserve">. </w:t>
            </w:r>
            <w:r>
              <w:rPr>
                <w:rStyle w:val="IndexLink"/>
                <w:rtl w:val="true"/>
              </w:rPr>
              <w:t>التفسیر المسند</w:t>
            </w:r>
            <w:r>
              <w:rPr>
                <w:rStyle w:val="IndexLink"/>
                <w:rtl w:val="true"/>
              </w:rPr>
              <w:tab/>
            </w:r>
            <w:r>
              <w:rPr>
                <w:rStyle w:val="IndexLink"/>
              </w:rPr>
              <w:t>249</w:t>
            </w:r>
          </w:hyperlink>
        </w:p>
        <w:p>
          <w:pPr>
            <w:pStyle w:val="Contents4"/>
            <w:tabs>
              <w:tab w:val="clear" w:pos="8176"/>
              <w:tab w:val="right" w:pos="9026" w:leader="dot"/>
            </w:tabs>
            <w:rPr/>
          </w:pPr>
          <w:hyperlink w:anchor="__RefHeading___Toc634309_581953129">
            <w:r>
              <w:rPr>
                <w:webHidden/>
                <w:rStyle w:val="IndexLink"/>
              </w:rPr>
              <w:t>3</w:t>
            </w:r>
            <w:r>
              <w:rPr>
                <w:rStyle w:val="IndexLink"/>
                <w:rtl w:val="true"/>
              </w:rPr>
              <w:t xml:space="preserve">. </w:t>
            </w:r>
            <w:r>
              <w:rPr>
                <w:rStyle w:val="IndexLink"/>
                <w:rtl w:val="true"/>
              </w:rPr>
              <w:t>السمرقندی، تفسیر بحر العلوم</w:t>
            </w:r>
            <w:r>
              <w:rPr>
                <w:rStyle w:val="IndexLink"/>
                <w:rtl w:val="true"/>
              </w:rPr>
              <w:tab/>
            </w:r>
            <w:r>
              <w:rPr>
                <w:rStyle w:val="IndexLink"/>
              </w:rPr>
              <w:t>249</w:t>
            </w:r>
          </w:hyperlink>
        </w:p>
        <w:p>
          <w:pPr>
            <w:pStyle w:val="Contents3"/>
            <w:tabs>
              <w:tab w:val="clear" w:pos="8459"/>
              <w:tab w:val="right" w:pos="9026" w:leader="dot"/>
            </w:tabs>
            <w:rPr/>
          </w:pPr>
          <w:hyperlink w:anchor="__RefHeading___Toc634311_581953129">
            <w:r>
              <w:rPr>
                <w:webHidden/>
                <w:rStyle w:val="IndexLink"/>
                <w:rtl w:val="true"/>
              </w:rPr>
              <w:t>الاتّجاهات التفسیریة فی القرن الرابع</w:t>
            </w:r>
            <w:r>
              <w:rPr>
                <w:rStyle w:val="IndexLink"/>
                <w:rtl w:val="true"/>
              </w:rPr>
              <w:tab/>
            </w:r>
            <w:r>
              <w:rPr>
                <w:rStyle w:val="IndexLink"/>
              </w:rPr>
              <w:t>250</w:t>
            </w:r>
          </w:hyperlink>
        </w:p>
        <w:p>
          <w:pPr>
            <w:pStyle w:val="Contents3"/>
            <w:tabs>
              <w:tab w:val="clear" w:pos="8459"/>
              <w:tab w:val="right" w:pos="9026" w:leader="dot"/>
            </w:tabs>
            <w:rPr/>
          </w:pPr>
          <w:hyperlink w:anchor="__RefHeading___Toc634313_581953129">
            <w:r>
              <w:rPr>
                <w:webHidden/>
                <w:rStyle w:val="IndexLink"/>
                <w:rtl w:val="true"/>
              </w:rPr>
              <w:t>الخلاصة</w:t>
            </w:r>
            <w:r>
              <w:rPr>
                <w:rStyle w:val="IndexLink"/>
                <w:rtl w:val="true"/>
              </w:rPr>
              <w:tab/>
            </w:r>
            <w:r>
              <w:rPr>
                <w:rStyle w:val="IndexLink"/>
              </w:rPr>
              <w:t>253</w:t>
            </w:r>
          </w:hyperlink>
        </w:p>
        <w:p>
          <w:pPr>
            <w:pStyle w:val="Contents3"/>
            <w:tabs>
              <w:tab w:val="clear" w:pos="8459"/>
              <w:tab w:val="right" w:pos="9026" w:leader="dot"/>
            </w:tabs>
            <w:rPr/>
          </w:pPr>
          <w:hyperlink w:anchor="__RefHeading___Toc634315_581953129">
            <w:r>
              <w:rPr>
                <w:webHidden/>
                <w:rStyle w:val="IndexLink"/>
                <w:rtl w:val="true"/>
              </w:rPr>
              <w:t>التفاسیر الروائیة عند أهل السنة</w:t>
            </w:r>
            <w:r>
              <w:rPr>
                <w:rStyle w:val="IndexLink"/>
                <w:rtl w:val="true"/>
              </w:rPr>
              <w:tab/>
            </w:r>
            <w:r>
              <w:rPr>
                <w:rStyle w:val="IndexLink"/>
              </w:rPr>
              <w:t>253</w:t>
            </w:r>
          </w:hyperlink>
        </w:p>
        <w:p>
          <w:pPr>
            <w:pStyle w:val="Contents3"/>
            <w:tabs>
              <w:tab w:val="clear" w:pos="8459"/>
              <w:tab w:val="right" w:pos="9026" w:leader="dot"/>
            </w:tabs>
            <w:rPr/>
          </w:pPr>
          <w:hyperlink w:anchor="__RefHeading___Toc634317_581953129">
            <w:r>
              <w:rPr>
                <w:webHidden/>
                <w:rStyle w:val="IndexLink"/>
                <w:rtl w:val="true"/>
              </w:rPr>
              <w:t>الأسئلة</w:t>
            </w:r>
            <w:r>
              <w:rPr>
                <w:rStyle w:val="IndexLink"/>
                <w:rtl w:val="true"/>
              </w:rPr>
              <w:tab/>
            </w:r>
            <w:r>
              <w:rPr>
                <w:rStyle w:val="IndexLink"/>
              </w:rPr>
              <w:t>254</w:t>
            </w:r>
          </w:hyperlink>
        </w:p>
        <w:p>
          <w:pPr>
            <w:pStyle w:val="Contents3"/>
            <w:tabs>
              <w:tab w:val="clear" w:pos="8459"/>
              <w:tab w:val="right" w:pos="9026" w:leader="dot"/>
            </w:tabs>
            <w:rPr/>
          </w:pPr>
          <w:hyperlink w:anchor="__RefHeading___Toc634319_581953129">
            <w:r>
              <w:rPr>
                <w:webHidden/>
                <w:rStyle w:val="IndexLink"/>
                <w:rtl w:val="true"/>
              </w:rPr>
              <w:t>مصادر التحقیق</w:t>
            </w:r>
            <w:r>
              <w:rPr>
                <w:rStyle w:val="IndexLink"/>
                <w:rtl w:val="true"/>
              </w:rPr>
              <w:tab/>
            </w:r>
            <w:r>
              <w:rPr>
                <w:rStyle w:val="IndexLink"/>
              </w:rPr>
              <w:t>255</w:t>
            </w:r>
          </w:hyperlink>
        </w:p>
        <w:p>
          <w:pPr>
            <w:pStyle w:val="Contents2"/>
            <w:tabs>
              <w:tab w:val="clear" w:pos="8743"/>
              <w:tab w:val="right" w:pos="9026" w:leader="dot"/>
            </w:tabs>
            <w:rPr/>
          </w:pPr>
          <w:hyperlink w:anchor="__RefHeading___Toc634321_581953129">
            <w:r>
              <w:rPr>
                <w:webHidden/>
                <w:rStyle w:val="IndexLink"/>
              </w:rPr>
              <w:t>9</w:t>
            </w:r>
            <w:r>
              <w:rPr>
                <w:rStyle w:val="IndexLink"/>
                <w:rtl w:val="true"/>
              </w:rPr>
              <w:t xml:space="preserve">- </w:t>
            </w:r>
            <w:r>
              <w:rPr>
                <w:rStyle w:val="IndexLink"/>
                <w:rtl w:val="true"/>
              </w:rPr>
              <w:t>التفسیر فی القرن الخامس</w:t>
            </w:r>
            <w:r>
              <w:rPr>
                <w:rStyle w:val="IndexLink"/>
                <w:rtl w:val="true"/>
              </w:rPr>
              <w:tab/>
            </w:r>
            <w:r>
              <w:rPr>
                <w:rStyle w:val="IndexLink"/>
              </w:rPr>
              <w:t>256</w:t>
            </w:r>
          </w:hyperlink>
        </w:p>
        <w:p>
          <w:pPr>
            <w:pStyle w:val="Contents3"/>
            <w:tabs>
              <w:tab w:val="clear" w:pos="8459"/>
              <w:tab w:val="right" w:pos="9026" w:leader="dot"/>
            </w:tabs>
            <w:rPr/>
          </w:pPr>
          <w:hyperlink w:anchor="__RefHeading___Toc634323_581953129">
            <w:r>
              <w:rPr>
                <w:webHidden/>
                <w:rStyle w:val="IndexLink"/>
                <w:rtl w:val="true"/>
              </w:rPr>
              <w:t>اشارة</w:t>
            </w:r>
            <w:r>
              <w:rPr>
                <w:rStyle w:val="IndexLink"/>
                <w:rtl w:val="true"/>
              </w:rPr>
              <w:tab/>
            </w:r>
            <w:r>
              <w:rPr>
                <w:rStyle w:val="IndexLink"/>
              </w:rPr>
              <w:t>256</w:t>
            </w:r>
          </w:hyperlink>
        </w:p>
        <w:p>
          <w:pPr>
            <w:pStyle w:val="Contents3"/>
            <w:tabs>
              <w:tab w:val="clear" w:pos="8459"/>
              <w:tab w:val="right" w:pos="9026" w:leader="dot"/>
            </w:tabs>
            <w:rPr/>
          </w:pPr>
          <w:hyperlink w:anchor="__RefHeading___Toc634325_581953129">
            <w:r>
              <w:rPr>
                <w:webHidden/>
                <w:rStyle w:val="IndexLink"/>
                <w:rtl w:val="true"/>
              </w:rPr>
              <w:t>القرن الخامس</w:t>
            </w:r>
            <w:r>
              <w:rPr>
                <w:rStyle w:val="IndexLink"/>
                <w:rtl w:val="true"/>
              </w:rPr>
              <w:tab/>
            </w:r>
            <w:r>
              <w:rPr>
                <w:rStyle w:val="IndexLink"/>
              </w:rPr>
              <w:t>257</w:t>
            </w:r>
          </w:hyperlink>
        </w:p>
        <w:p>
          <w:pPr>
            <w:pStyle w:val="Contents3"/>
            <w:tabs>
              <w:tab w:val="clear" w:pos="8459"/>
              <w:tab w:val="right" w:pos="9026" w:leader="dot"/>
            </w:tabs>
            <w:rPr/>
          </w:pPr>
          <w:hyperlink w:anchor="__RefHeading___Toc634327_581953129">
            <w:r>
              <w:rPr>
                <w:webHidden/>
                <w:rStyle w:val="IndexLink"/>
                <w:rtl w:val="true"/>
              </w:rPr>
              <w:t>السمات السیاسیة و الثقافیة</w:t>
            </w:r>
            <w:r>
              <w:rPr>
                <w:rStyle w:val="IndexLink"/>
                <w:rtl w:val="true"/>
              </w:rPr>
              <w:tab/>
            </w:r>
            <w:r>
              <w:rPr>
                <w:rStyle w:val="IndexLink"/>
              </w:rPr>
              <w:t>258</w:t>
            </w:r>
          </w:hyperlink>
        </w:p>
        <w:p>
          <w:pPr>
            <w:pStyle w:val="Contents4"/>
            <w:tabs>
              <w:tab w:val="clear" w:pos="8176"/>
              <w:tab w:val="right" w:pos="9026" w:leader="dot"/>
            </w:tabs>
            <w:rPr/>
          </w:pPr>
          <w:hyperlink w:anchor="__RefHeading___Toc634329_581953129">
            <w:r>
              <w:rPr>
                <w:webHidden/>
                <w:rStyle w:val="IndexLink"/>
                <w:rtl w:val="true"/>
              </w:rPr>
              <w:t>اشارة</w:t>
            </w:r>
            <w:r>
              <w:rPr>
                <w:rStyle w:val="IndexLink"/>
                <w:rtl w:val="true"/>
              </w:rPr>
              <w:tab/>
            </w:r>
            <w:r>
              <w:rPr>
                <w:rStyle w:val="IndexLink"/>
              </w:rPr>
              <w:t>258</w:t>
            </w:r>
          </w:hyperlink>
        </w:p>
        <w:p>
          <w:pPr>
            <w:pStyle w:val="Contents4"/>
            <w:tabs>
              <w:tab w:val="clear" w:pos="8176"/>
              <w:tab w:val="right" w:pos="9026" w:leader="dot"/>
            </w:tabs>
            <w:rPr/>
          </w:pPr>
          <w:hyperlink w:anchor="__RefHeading___Toc634331_581953129">
            <w:r>
              <w:rPr>
                <w:webHidden/>
                <w:rStyle w:val="IndexLink"/>
                <w:rtl w:val="true"/>
              </w:rPr>
              <w:t>السمة الأولی</w:t>
            </w:r>
            <w:r>
              <w:rPr>
                <w:rStyle w:val="IndexLink"/>
                <w:rtl w:val="true"/>
              </w:rPr>
              <w:tab/>
            </w:r>
            <w:r>
              <w:rPr>
                <w:rStyle w:val="IndexLink"/>
              </w:rPr>
              <w:t>258</w:t>
            </w:r>
          </w:hyperlink>
        </w:p>
        <w:p>
          <w:pPr>
            <w:pStyle w:val="Contents4"/>
            <w:tabs>
              <w:tab w:val="clear" w:pos="8176"/>
              <w:tab w:val="right" w:pos="9026" w:leader="dot"/>
            </w:tabs>
            <w:rPr/>
          </w:pPr>
          <w:hyperlink w:anchor="__RefHeading___Toc634333_581953129">
            <w:r>
              <w:rPr>
                <w:webHidden/>
                <w:rStyle w:val="IndexLink"/>
                <w:rtl w:val="true"/>
              </w:rPr>
              <w:t>السمة الثانیة</w:t>
            </w:r>
            <w:r>
              <w:rPr>
                <w:rStyle w:val="IndexLink"/>
                <w:rtl w:val="true"/>
              </w:rPr>
              <w:tab/>
            </w:r>
            <w:r>
              <w:rPr>
                <w:rStyle w:val="IndexLink"/>
              </w:rPr>
              <w:t>259</w:t>
            </w:r>
          </w:hyperlink>
        </w:p>
        <w:p>
          <w:pPr>
            <w:pStyle w:val="Contents3"/>
            <w:tabs>
              <w:tab w:val="clear" w:pos="8459"/>
              <w:tab w:val="right" w:pos="9026" w:leader="dot"/>
            </w:tabs>
            <w:rPr/>
          </w:pPr>
          <w:hyperlink w:anchor="__RefHeading___Toc634335_581953129">
            <w:r>
              <w:rPr>
                <w:webHidden/>
                <w:rStyle w:val="IndexLink"/>
                <w:rtl w:val="true"/>
              </w:rPr>
              <w:t>المذاهب الکلامیة فی القرن الخامس</w:t>
            </w:r>
            <w:r>
              <w:rPr>
                <w:rStyle w:val="IndexLink"/>
                <w:rtl w:val="true"/>
              </w:rPr>
              <w:tab/>
            </w:r>
            <w:r>
              <w:rPr>
                <w:rStyle w:val="IndexLink"/>
              </w:rPr>
              <w:t>259</w:t>
            </w:r>
          </w:hyperlink>
        </w:p>
        <w:p>
          <w:pPr>
            <w:pStyle w:val="Contents3"/>
            <w:tabs>
              <w:tab w:val="clear" w:pos="8459"/>
              <w:tab w:val="right" w:pos="9026" w:leader="dot"/>
            </w:tabs>
            <w:rPr/>
          </w:pPr>
          <w:hyperlink w:anchor="__RefHeading___Toc634337_581953129">
            <w:r>
              <w:rPr>
                <w:webHidden/>
                <w:rStyle w:val="IndexLink"/>
                <w:rtl w:val="true"/>
              </w:rPr>
              <w:t>تفاسیر الشیعة</w:t>
            </w:r>
            <w:r>
              <w:rPr>
                <w:rStyle w:val="IndexLink"/>
                <w:rtl w:val="true"/>
              </w:rPr>
              <w:tab/>
            </w:r>
            <w:r>
              <w:rPr>
                <w:rStyle w:val="IndexLink"/>
              </w:rPr>
              <w:t>261</w:t>
            </w:r>
          </w:hyperlink>
        </w:p>
        <w:p>
          <w:pPr>
            <w:pStyle w:val="Contents4"/>
            <w:tabs>
              <w:tab w:val="clear" w:pos="8176"/>
              <w:tab w:val="right" w:pos="9026" w:leader="dot"/>
            </w:tabs>
            <w:rPr/>
          </w:pPr>
          <w:hyperlink w:anchor="__RefHeading___Toc634339_581953129">
            <w:r>
              <w:rPr>
                <w:webHidden/>
                <w:rStyle w:val="IndexLink"/>
                <w:rtl w:val="true"/>
              </w:rPr>
              <w:t>اشارة</w:t>
            </w:r>
            <w:r>
              <w:rPr>
                <w:rStyle w:val="IndexLink"/>
                <w:rtl w:val="true"/>
              </w:rPr>
              <w:tab/>
            </w:r>
            <w:r>
              <w:rPr>
                <w:rStyle w:val="IndexLink"/>
              </w:rPr>
              <w:t>261</w:t>
            </w:r>
          </w:hyperlink>
        </w:p>
        <w:p>
          <w:pPr>
            <w:pStyle w:val="Contents4"/>
            <w:tabs>
              <w:tab w:val="clear" w:pos="8176"/>
              <w:tab w:val="right" w:pos="9026" w:leader="dot"/>
            </w:tabs>
            <w:rPr/>
          </w:pPr>
          <w:hyperlink w:anchor="__RefHeading___Toc634341_581953129">
            <w:r>
              <w:rPr>
                <w:webHidden/>
                <w:rStyle w:val="IndexLink"/>
              </w:rPr>
              <w:t>1</w:t>
            </w:r>
            <w:r>
              <w:rPr>
                <w:rStyle w:val="IndexLink"/>
                <w:rtl w:val="true"/>
              </w:rPr>
              <w:t xml:space="preserve">. </w:t>
            </w:r>
            <w:r>
              <w:rPr>
                <w:rStyle w:val="IndexLink"/>
                <w:rtl w:val="true"/>
              </w:rPr>
              <w:t>حقائق التأویل فی متشابه التنزیل</w:t>
            </w:r>
            <w:r>
              <w:rPr>
                <w:rStyle w:val="IndexLink"/>
                <w:rtl w:val="true"/>
              </w:rPr>
              <w:tab/>
            </w:r>
            <w:r>
              <w:rPr>
                <w:rStyle w:val="IndexLink"/>
              </w:rPr>
              <w:t>261</w:t>
            </w:r>
          </w:hyperlink>
        </w:p>
        <w:p>
          <w:pPr>
            <w:pStyle w:val="Contents5"/>
            <w:tabs>
              <w:tab w:val="clear" w:pos="7892"/>
              <w:tab w:val="right" w:pos="9026" w:leader="dot"/>
            </w:tabs>
            <w:rPr/>
          </w:pPr>
          <w:hyperlink w:anchor="__RefHeading___Toc634343_581953129">
            <w:r>
              <w:rPr>
                <w:webHidden/>
                <w:rStyle w:val="IndexLink"/>
                <w:rtl w:val="true"/>
              </w:rPr>
              <w:t>اشارة</w:t>
            </w:r>
            <w:r>
              <w:rPr>
                <w:rStyle w:val="IndexLink"/>
                <w:rtl w:val="true"/>
              </w:rPr>
              <w:tab/>
            </w:r>
            <w:r>
              <w:rPr>
                <w:rStyle w:val="IndexLink"/>
              </w:rPr>
              <w:t>261</w:t>
            </w:r>
          </w:hyperlink>
        </w:p>
        <w:p>
          <w:pPr>
            <w:pStyle w:val="Contents5"/>
            <w:tabs>
              <w:tab w:val="clear" w:pos="7892"/>
              <w:tab w:val="right" w:pos="9026" w:leader="dot"/>
            </w:tabs>
            <w:rPr/>
          </w:pPr>
          <w:hyperlink w:anchor="__RefHeading___Toc634345_581953129">
            <w:r>
              <w:rPr>
                <w:webHidden/>
                <w:rStyle w:val="IndexLink"/>
                <w:rtl w:val="true"/>
              </w:rPr>
              <w:t>خصائص هذا التفسیر</w:t>
            </w:r>
            <w:r>
              <w:rPr>
                <w:rStyle w:val="IndexLink"/>
                <w:rtl w:val="true"/>
              </w:rPr>
              <w:tab/>
            </w:r>
            <w:r>
              <w:rPr>
                <w:rStyle w:val="IndexLink"/>
              </w:rPr>
              <w:t>261</w:t>
            </w:r>
          </w:hyperlink>
        </w:p>
        <w:p>
          <w:pPr>
            <w:pStyle w:val="Contents5"/>
            <w:tabs>
              <w:tab w:val="clear" w:pos="7892"/>
              <w:tab w:val="right" w:pos="9026" w:leader="dot"/>
            </w:tabs>
            <w:rPr/>
          </w:pPr>
          <w:hyperlink w:anchor="__RefHeading___Toc634347_581953129">
            <w:r>
              <w:rPr>
                <w:webHidden/>
                <w:rStyle w:val="IndexLink"/>
                <w:rtl w:val="true"/>
              </w:rPr>
              <w:t>نماذج من التفسیر</w:t>
            </w:r>
            <w:r>
              <w:rPr>
                <w:rStyle w:val="IndexLink"/>
                <w:rtl w:val="true"/>
              </w:rPr>
              <w:tab/>
            </w:r>
            <w:r>
              <w:rPr>
                <w:rStyle w:val="IndexLink"/>
              </w:rPr>
              <w:t>262</w:t>
            </w:r>
          </w:hyperlink>
        </w:p>
        <w:p>
          <w:pPr>
            <w:pStyle w:val="Contents4"/>
            <w:tabs>
              <w:tab w:val="clear" w:pos="8176"/>
              <w:tab w:val="right" w:pos="9026" w:leader="dot"/>
            </w:tabs>
            <w:rPr/>
          </w:pPr>
          <w:hyperlink w:anchor="__RefHeading___Toc634349_581953129">
            <w:r>
              <w:rPr>
                <w:webHidden/>
                <w:rStyle w:val="IndexLink"/>
              </w:rPr>
              <w:t>2</w:t>
            </w:r>
            <w:r>
              <w:rPr>
                <w:rStyle w:val="IndexLink"/>
                <w:rtl w:val="true"/>
              </w:rPr>
              <w:t xml:space="preserve">. </w:t>
            </w:r>
            <w:r>
              <w:rPr>
                <w:rStyle w:val="IndexLink"/>
                <w:rtl w:val="true"/>
              </w:rPr>
              <w:t>تفسیر الشیخ المفید</w:t>
            </w:r>
            <w:r>
              <w:rPr>
                <w:rStyle w:val="IndexLink"/>
                <w:rtl w:val="true"/>
              </w:rPr>
              <w:tab/>
            </w:r>
            <w:r>
              <w:rPr>
                <w:rStyle w:val="IndexLink"/>
              </w:rPr>
              <w:t>264</w:t>
            </w:r>
          </w:hyperlink>
        </w:p>
        <w:p>
          <w:pPr>
            <w:pStyle w:val="Contents4"/>
            <w:tabs>
              <w:tab w:val="clear" w:pos="8176"/>
              <w:tab w:val="right" w:pos="9026" w:leader="dot"/>
            </w:tabs>
            <w:rPr/>
          </w:pPr>
          <w:hyperlink w:anchor="__RefHeading___Toc634351_581953129">
            <w:r>
              <w:rPr>
                <w:webHidden/>
                <w:rStyle w:val="IndexLink"/>
              </w:rPr>
              <w:t>3</w:t>
            </w:r>
            <w:r>
              <w:rPr>
                <w:rStyle w:val="IndexLink"/>
                <w:rtl w:val="true"/>
              </w:rPr>
              <w:t xml:space="preserve">. </w:t>
            </w:r>
            <w:r>
              <w:rPr>
                <w:rStyle w:val="IndexLink"/>
                <w:rtl w:val="true"/>
              </w:rPr>
              <w:t>أمالی الشریف المرتضی</w:t>
            </w:r>
            <w:r>
              <w:rPr>
                <w:rStyle w:val="IndexLink"/>
                <w:rtl w:val="true"/>
              </w:rPr>
              <w:tab/>
            </w:r>
            <w:r>
              <w:rPr>
                <w:rStyle w:val="IndexLink"/>
              </w:rPr>
              <w:t>264</w:t>
            </w:r>
          </w:hyperlink>
        </w:p>
        <w:p>
          <w:pPr>
            <w:pStyle w:val="Contents4"/>
            <w:tabs>
              <w:tab w:val="clear" w:pos="8176"/>
              <w:tab w:val="right" w:pos="9026" w:leader="dot"/>
            </w:tabs>
            <w:rPr/>
          </w:pPr>
          <w:hyperlink w:anchor="__RefHeading___Toc634353_581953129">
            <w:r>
              <w:rPr>
                <w:webHidden/>
                <w:rStyle w:val="IndexLink"/>
              </w:rPr>
              <w:t>4</w:t>
            </w:r>
            <w:r>
              <w:rPr>
                <w:rStyle w:val="IndexLink"/>
                <w:rtl w:val="true"/>
              </w:rPr>
              <w:t xml:space="preserve">. </w:t>
            </w:r>
            <w:r>
              <w:rPr>
                <w:rStyle w:val="IndexLink"/>
                <w:rtl w:val="true"/>
              </w:rPr>
              <w:t>تفسیر التبیان</w:t>
            </w:r>
            <w:r>
              <w:rPr>
                <w:rStyle w:val="IndexLink"/>
                <w:rtl w:val="true"/>
              </w:rPr>
              <w:tab/>
            </w:r>
            <w:r>
              <w:rPr>
                <w:rStyle w:val="IndexLink"/>
              </w:rPr>
              <w:t>266</w:t>
            </w:r>
          </w:hyperlink>
        </w:p>
        <w:p>
          <w:pPr>
            <w:pStyle w:val="Contents5"/>
            <w:tabs>
              <w:tab w:val="clear" w:pos="7892"/>
              <w:tab w:val="right" w:pos="9026" w:leader="dot"/>
            </w:tabs>
            <w:rPr/>
          </w:pPr>
          <w:hyperlink w:anchor="__RefHeading___Toc634355_581953129">
            <w:r>
              <w:rPr>
                <w:webHidden/>
                <w:rStyle w:val="IndexLink"/>
                <w:rtl w:val="true"/>
              </w:rPr>
              <w:t>اشارة</w:t>
            </w:r>
            <w:r>
              <w:rPr>
                <w:rStyle w:val="IndexLink"/>
                <w:rtl w:val="true"/>
              </w:rPr>
              <w:tab/>
            </w:r>
            <w:r>
              <w:rPr>
                <w:rStyle w:val="IndexLink"/>
              </w:rPr>
              <w:t>266</w:t>
            </w:r>
          </w:hyperlink>
        </w:p>
        <w:p>
          <w:pPr>
            <w:pStyle w:val="Contents5"/>
            <w:tabs>
              <w:tab w:val="clear" w:pos="7892"/>
              <w:tab w:val="right" w:pos="9026" w:leader="dot"/>
            </w:tabs>
            <w:rPr/>
          </w:pPr>
          <w:hyperlink w:anchor="__RefHeading___Toc634357_581953129">
            <w:r>
              <w:rPr>
                <w:webHidden/>
                <w:rStyle w:val="IndexLink"/>
                <w:rtl w:val="true"/>
              </w:rPr>
              <w:t>مقدِّمة التفسیر</w:t>
            </w:r>
            <w:r>
              <w:rPr>
                <w:rStyle w:val="IndexLink"/>
                <w:rtl w:val="true"/>
              </w:rPr>
              <w:tab/>
            </w:r>
            <w:r>
              <w:rPr>
                <w:rStyle w:val="IndexLink"/>
              </w:rPr>
              <w:t>267</w:t>
            </w:r>
          </w:hyperlink>
        </w:p>
        <w:p>
          <w:pPr>
            <w:pStyle w:val="Contents5"/>
            <w:tabs>
              <w:tab w:val="clear" w:pos="7892"/>
              <w:tab w:val="right" w:pos="9026" w:leader="dot"/>
            </w:tabs>
            <w:rPr/>
          </w:pPr>
          <w:hyperlink w:anchor="__RefHeading___Toc634359_581953129">
            <w:r>
              <w:rPr>
                <w:webHidden/>
                <w:rStyle w:val="IndexLink"/>
                <w:rtl w:val="true"/>
              </w:rPr>
              <w:t>الأسلوب العملی</w:t>
            </w:r>
            <w:r>
              <w:rPr>
                <w:rStyle w:val="IndexLink"/>
                <w:rtl w:val="true"/>
              </w:rPr>
              <w:tab/>
            </w:r>
            <w:r>
              <w:rPr>
                <w:rStyle w:val="IndexLink"/>
              </w:rPr>
              <w:t>269</w:t>
            </w:r>
          </w:hyperlink>
        </w:p>
        <w:p>
          <w:pPr>
            <w:pStyle w:val="Contents5"/>
            <w:tabs>
              <w:tab w:val="clear" w:pos="7892"/>
              <w:tab w:val="right" w:pos="9026" w:leader="dot"/>
            </w:tabs>
            <w:rPr/>
          </w:pPr>
          <w:hyperlink w:anchor="__RefHeading___Toc634361_581953129">
            <w:r>
              <w:rPr>
                <w:webHidden/>
                <w:rStyle w:val="IndexLink"/>
                <w:rtl w:val="true"/>
              </w:rPr>
              <w:t>اتّجاهه الکلامی</w:t>
            </w:r>
            <w:r>
              <w:rPr>
                <w:rStyle w:val="IndexLink"/>
                <w:rtl w:val="true"/>
              </w:rPr>
              <w:tab/>
            </w:r>
            <w:r>
              <w:rPr>
                <w:rStyle w:val="IndexLink"/>
              </w:rPr>
              <w:t>270</w:t>
            </w:r>
          </w:hyperlink>
        </w:p>
        <w:p>
          <w:pPr>
            <w:pStyle w:val="Contents5"/>
            <w:tabs>
              <w:tab w:val="clear" w:pos="7892"/>
              <w:tab w:val="right" w:pos="9026" w:leader="dot"/>
            </w:tabs>
            <w:rPr/>
          </w:pPr>
          <w:hyperlink w:anchor="__RefHeading___Toc634363_581953129">
            <w:r>
              <w:rPr>
                <w:webHidden/>
                <w:rStyle w:val="IndexLink"/>
                <w:rtl w:val="true"/>
              </w:rPr>
              <w:t>التفاسیر الأخری</w:t>
            </w:r>
            <w:r>
              <w:rPr>
                <w:rStyle w:val="IndexLink"/>
                <w:rtl w:val="true"/>
              </w:rPr>
              <w:tab/>
            </w:r>
            <w:r>
              <w:rPr>
                <w:rStyle w:val="IndexLink"/>
              </w:rPr>
              <w:t>272</w:t>
            </w:r>
          </w:hyperlink>
        </w:p>
        <w:p>
          <w:pPr>
            <w:pStyle w:val="Contents3"/>
            <w:tabs>
              <w:tab w:val="clear" w:pos="8459"/>
              <w:tab w:val="right" w:pos="9026" w:leader="dot"/>
            </w:tabs>
            <w:rPr/>
          </w:pPr>
          <w:hyperlink w:anchor="__RefHeading___Toc634365_581953129">
            <w:r>
              <w:rPr>
                <w:webHidden/>
                <w:rStyle w:val="IndexLink"/>
                <w:rtl w:val="true"/>
              </w:rPr>
              <w:t>تفاسیر أهل السنّة</w:t>
            </w:r>
            <w:r>
              <w:rPr>
                <w:rStyle w:val="IndexLink"/>
                <w:rtl w:val="true"/>
              </w:rPr>
              <w:tab/>
            </w:r>
            <w:r>
              <w:rPr>
                <w:rStyle w:val="IndexLink"/>
              </w:rPr>
              <w:t>273</w:t>
            </w:r>
          </w:hyperlink>
        </w:p>
        <w:p>
          <w:pPr>
            <w:pStyle w:val="Contents4"/>
            <w:tabs>
              <w:tab w:val="clear" w:pos="8176"/>
              <w:tab w:val="right" w:pos="9026" w:leader="dot"/>
            </w:tabs>
            <w:rPr/>
          </w:pPr>
          <w:hyperlink w:anchor="__RefHeading___Toc634367_581953129">
            <w:r>
              <w:rPr>
                <w:webHidden/>
                <w:rStyle w:val="IndexLink"/>
              </w:rPr>
              <w:t>1</w:t>
            </w:r>
            <w:r>
              <w:rPr>
                <w:rStyle w:val="IndexLink"/>
                <w:rtl w:val="true"/>
              </w:rPr>
              <w:t xml:space="preserve">. </w:t>
            </w:r>
            <w:r>
              <w:rPr>
                <w:rStyle w:val="IndexLink"/>
                <w:rtl w:val="true"/>
              </w:rPr>
              <w:t>حقائق التفسیر</w:t>
            </w:r>
            <w:r>
              <w:rPr>
                <w:rStyle w:val="IndexLink"/>
                <w:rtl w:val="true"/>
              </w:rPr>
              <w:tab/>
            </w:r>
            <w:r>
              <w:rPr>
                <w:rStyle w:val="IndexLink"/>
              </w:rPr>
              <w:t>273</w:t>
            </w:r>
          </w:hyperlink>
        </w:p>
        <w:p>
          <w:pPr>
            <w:pStyle w:val="Contents4"/>
            <w:tabs>
              <w:tab w:val="clear" w:pos="8176"/>
              <w:tab w:val="right" w:pos="9026" w:leader="dot"/>
            </w:tabs>
            <w:rPr/>
          </w:pPr>
          <w:hyperlink w:anchor="__RefHeading___Toc634369_581953129">
            <w:r>
              <w:rPr>
                <w:webHidden/>
                <w:rStyle w:val="IndexLink"/>
              </w:rPr>
              <w:t>2</w:t>
            </w:r>
            <w:r>
              <w:rPr>
                <w:rStyle w:val="IndexLink"/>
                <w:rtl w:val="true"/>
              </w:rPr>
              <w:t xml:space="preserve">. </w:t>
            </w:r>
            <w:r>
              <w:rPr>
                <w:rStyle w:val="IndexLink"/>
                <w:rtl w:val="true"/>
              </w:rPr>
              <w:t>الکشف و البیان</w:t>
            </w:r>
            <w:r>
              <w:rPr>
                <w:rStyle w:val="IndexLink"/>
                <w:rtl w:val="true"/>
              </w:rPr>
              <w:tab/>
            </w:r>
            <w:r>
              <w:rPr>
                <w:rStyle w:val="IndexLink"/>
              </w:rPr>
              <w:t>274</w:t>
            </w:r>
          </w:hyperlink>
        </w:p>
        <w:p>
          <w:pPr>
            <w:pStyle w:val="Contents5"/>
            <w:tabs>
              <w:tab w:val="clear" w:pos="7892"/>
              <w:tab w:val="right" w:pos="9026" w:leader="dot"/>
            </w:tabs>
            <w:rPr/>
          </w:pPr>
          <w:hyperlink w:anchor="__RefHeading___Toc634371_581953129">
            <w:r>
              <w:rPr>
                <w:webHidden/>
                <w:rStyle w:val="IndexLink"/>
                <w:rtl w:val="true"/>
              </w:rPr>
              <w:t>اشارة</w:t>
            </w:r>
            <w:r>
              <w:rPr>
                <w:rStyle w:val="IndexLink"/>
                <w:rtl w:val="true"/>
              </w:rPr>
              <w:tab/>
            </w:r>
            <w:r>
              <w:rPr>
                <w:rStyle w:val="IndexLink"/>
              </w:rPr>
              <w:t>274</w:t>
            </w:r>
          </w:hyperlink>
        </w:p>
        <w:p>
          <w:pPr>
            <w:pStyle w:val="Contents5"/>
            <w:tabs>
              <w:tab w:val="clear" w:pos="7892"/>
              <w:tab w:val="right" w:pos="9026" w:leader="dot"/>
            </w:tabs>
            <w:rPr/>
          </w:pPr>
          <w:hyperlink w:anchor="__RefHeading___Toc634373_581953129">
            <w:r>
              <w:rPr>
                <w:webHidden/>
                <w:rStyle w:val="IndexLink"/>
                <w:rtl w:val="true"/>
              </w:rPr>
              <w:t>الملاحظات علی تفسیر الثعلبی</w:t>
            </w:r>
            <w:r>
              <w:rPr>
                <w:rStyle w:val="IndexLink"/>
                <w:rtl w:val="true"/>
              </w:rPr>
              <w:tab/>
            </w:r>
            <w:r>
              <w:rPr>
                <w:rStyle w:val="IndexLink"/>
              </w:rPr>
              <w:t>276</w:t>
            </w:r>
          </w:hyperlink>
        </w:p>
        <w:p>
          <w:pPr>
            <w:pStyle w:val="Contents5"/>
            <w:tabs>
              <w:tab w:val="clear" w:pos="7892"/>
              <w:tab w:val="right" w:pos="9026" w:leader="dot"/>
            </w:tabs>
            <w:rPr/>
          </w:pPr>
          <w:hyperlink w:anchor="__RefHeading___Toc634375_581953129">
            <w:r>
              <w:rPr>
                <w:webHidden/>
                <w:rStyle w:val="IndexLink"/>
                <w:rtl w:val="true"/>
              </w:rPr>
              <w:t>آراء الذهبی حول تفسیر الثعلبی</w:t>
            </w:r>
            <w:r>
              <w:rPr>
                <w:rStyle w:val="IndexLink"/>
                <w:rtl w:val="true"/>
              </w:rPr>
              <w:tab/>
            </w:r>
            <w:r>
              <w:rPr>
                <w:rStyle w:val="IndexLink"/>
              </w:rPr>
              <w:t>276</w:t>
            </w:r>
          </w:hyperlink>
        </w:p>
        <w:p>
          <w:pPr>
            <w:pStyle w:val="Contents5"/>
            <w:tabs>
              <w:tab w:val="clear" w:pos="7892"/>
              <w:tab w:val="right" w:pos="9026" w:leader="dot"/>
            </w:tabs>
            <w:rPr/>
          </w:pPr>
          <w:hyperlink w:anchor="__RefHeading___Toc634377_581953129">
            <w:r>
              <w:rPr>
                <w:webHidden/>
                <w:rStyle w:val="IndexLink"/>
                <w:rtl w:val="true"/>
              </w:rPr>
              <w:t>تحقیق ونقد</w:t>
            </w:r>
            <w:r>
              <w:rPr>
                <w:rStyle w:val="IndexLink"/>
                <w:rtl w:val="true"/>
              </w:rPr>
              <w:tab/>
            </w:r>
            <w:r>
              <w:rPr>
                <w:rStyle w:val="IndexLink"/>
              </w:rPr>
              <w:t>277</w:t>
            </w:r>
          </w:hyperlink>
        </w:p>
        <w:p>
          <w:pPr>
            <w:pStyle w:val="Contents5"/>
            <w:tabs>
              <w:tab w:val="clear" w:pos="7892"/>
              <w:tab w:val="right" w:pos="9026" w:leader="dot"/>
            </w:tabs>
            <w:rPr/>
          </w:pPr>
          <w:hyperlink w:anchor="__RefHeading___Toc634379_581953129">
            <w:r>
              <w:rPr>
                <w:webHidden/>
                <w:rStyle w:val="IndexLink"/>
                <w:rtl w:val="true"/>
              </w:rPr>
              <w:t>محاکمة الذهبی</w:t>
            </w:r>
            <w:r>
              <w:rPr>
                <w:rStyle w:val="IndexLink"/>
                <w:rtl w:val="true"/>
              </w:rPr>
              <w:tab/>
            </w:r>
            <w:r>
              <w:rPr>
                <w:rStyle w:val="IndexLink"/>
              </w:rPr>
              <w:t>278</w:t>
            </w:r>
          </w:hyperlink>
        </w:p>
        <w:p>
          <w:pPr>
            <w:pStyle w:val="Contents4"/>
            <w:tabs>
              <w:tab w:val="clear" w:pos="8176"/>
              <w:tab w:val="right" w:pos="9026" w:leader="dot"/>
            </w:tabs>
            <w:rPr/>
          </w:pPr>
          <w:hyperlink w:anchor="__RefHeading___Toc634381_581953129">
            <w:r>
              <w:rPr>
                <w:webHidden/>
                <w:rStyle w:val="IndexLink"/>
              </w:rPr>
              <w:t>3</w:t>
            </w:r>
            <w:r>
              <w:rPr>
                <w:rStyle w:val="IndexLink"/>
                <w:rtl w:val="true"/>
              </w:rPr>
              <w:t xml:space="preserve">. </w:t>
            </w:r>
            <w:r>
              <w:rPr>
                <w:rStyle w:val="IndexLink"/>
                <w:rtl w:val="true"/>
              </w:rPr>
              <w:t>الوسیط فی تفسیر القرآن المجید</w:t>
            </w:r>
            <w:r>
              <w:rPr>
                <w:rStyle w:val="IndexLink"/>
                <w:rtl w:val="true"/>
              </w:rPr>
              <w:tab/>
            </w:r>
            <w:r>
              <w:rPr>
                <w:rStyle w:val="IndexLink"/>
              </w:rPr>
              <w:t>278</w:t>
            </w:r>
          </w:hyperlink>
        </w:p>
        <w:p>
          <w:pPr>
            <w:pStyle w:val="Contents4"/>
            <w:tabs>
              <w:tab w:val="clear" w:pos="8176"/>
              <w:tab w:val="right" w:pos="9026" w:leader="dot"/>
            </w:tabs>
            <w:rPr/>
          </w:pPr>
          <w:hyperlink w:anchor="__RefHeading___Toc634383_581953129">
            <w:r>
              <w:rPr>
                <w:webHidden/>
                <w:rStyle w:val="IndexLink"/>
              </w:rPr>
              <w:t>4</w:t>
            </w:r>
            <w:r>
              <w:rPr>
                <w:rStyle w:val="IndexLink"/>
                <w:rtl w:val="true"/>
              </w:rPr>
              <w:t xml:space="preserve">. </w:t>
            </w:r>
            <w:r>
              <w:rPr>
                <w:rStyle w:val="IndexLink"/>
                <w:rtl w:val="true"/>
              </w:rPr>
              <w:t>النکت و العیون</w:t>
            </w:r>
            <w:r>
              <w:rPr>
                <w:rStyle w:val="IndexLink"/>
                <w:rtl w:val="true"/>
              </w:rPr>
              <w:tab/>
            </w:r>
            <w:r>
              <w:rPr>
                <w:rStyle w:val="IndexLink"/>
              </w:rPr>
              <w:t>279</w:t>
            </w:r>
          </w:hyperlink>
        </w:p>
        <w:p>
          <w:pPr>
            <w:pStyle w:val="Contents4"/>
            <w:tabs>
              <w:tab w:val="clear" w:pos="8176"/>
              <w:tab w:val="right" w:pos="9026" w:leader="dot"/>
            </w:tabs>
            <w:rPr/>
          </w:pPr>
          <w:hyperlink w:anchor="__RefHeading___Toc634385_581953129">
            <w:r>
              <w:rPr>
                <w:webHidden/>
                <w:rStyle w:val="IndexLink"/>
              </w:rPr>
              <w:t>5</w:t>
            </w:r>
            <w:r>
              <w:rPr>
                <w:rStyle w:val="IndexLink"/>
                <w:rtl w:val="true"/>
              </w:rPr>
              <w:t xml:space="preserve">. </w:t>
            </w:r>
            <w:r>
              <w:rPr>
                <w:rStyle w:val="IndexLink"/>
                <w:rtl w:val="true"/>
              </w:rPr>
              <w:t>تفسیر القرآن</w:t>
            </w:r>
            <w:r>
              <w:rPr>
                <w:rStyle w:val="IndexLink"/>
                <w:rtl w:val="true"/>
              </w:rPr>
              <w:tab/>
            </w:r>
            <w:r>
              <w:rPr>
                <w:rStyle w:val="IndexLink"/>
              </w:rPr>
              <w:t>280</w:t>
            </w:r>
          </w:hyperlink>
        </w:p>
        <w:p>
          <w:pPr>
            <w:pStyle w:val="Contents4"/>
            <w:tabs>
              <w:tab w:val="clear" w:pos="8176"/>
              <w:tab w:val="right" w:pos="9026" w:leader="dot"/>
            </w:tabs>
            <w:rPr/>
          </w:pPr>
          <w:hyperlink w:anchor="__RefHeading___Toc634387_581953129">
            <w:r>
              <w:rPr>
                <w:webHidden/>
                <w:rStyle w:val="IndexLink"/>
              </w:rPr>
              <w:t>6</w:t>
            </w:r>
            <w:r>
              <w:rPr>
                <w:rStyle w:val="IndexLink"/>
                <w:rtl w:val="true"/>
              </w:rPr>
              <w:t xml:space="preserve">. </w:t>
            </w:r>
            <w:r>
              <w:rPr>
                <w:rStyle w:val="IndexLink"/>
                <w:rtl w:val="true"/>
              </w:rPr>
              <w:t>لطائف الإشارات</w:t>
            </w:r>
            <w:r>
              <w:rPr>
                <w:rStyle w:val="IndexLink"/>
                <w:rtl w:val="true"/>
              </w:rPr>
              <w:tab/>
            </w:r>
            <w:r>
              <w:rPr>
                <w:rStyle w:val="IndexLink"/>
              </w:rPr>
              <w:t>281</w:t>
            </w:r>
          </w:hyperlink>
        </w:p>
        <w:p>
          <w:pPr>
            <w:pStyle w:val="Contents4"/>
            <w:tabs>
              <w:tab w:val="clear" w:pos="8176"/>
              <w:tab w:val="right" w:pos="9026" w:leader="dot"/>
            </w:tabs>
            <w:rPr/>
          </w:pPr>
          <w:hyperlink w:anchor="__RefHeading___Toc634389_581953129">
            <w:r>
              <w:rPr>
                <w:webHidden/>
                <w:rStyle w:val="IndexLink"/>
              </w:rPr>
              <w:t>7</w:t>
            </w:r>
            <w:r>
              <w:rPr>
                <w:rStyle w:val="IndexLink"/>
                <w:rtl w:val="true"/>
              </w:rPr>
              <w:t xml:space="preserve">. </w:t>
            </w:r>
            <w:r>
              <w:rPr>
                <w:rStyle w:val="IndexLink"/>
                <w:rtl w:val="true"/>
              </w:rPr>
              <w:t>تفسیر ابن سینا</w:t>
            </w:r>
            <w:r>
              <w:rPr>
                <w:rStyle w:val="IndexLink"/>
                <w:rtl w:val="true"/>
              </w:rPr>
              <w:tab/>
            </w:r>
            <w:r>
              <w:rPr>
                <w:rStyle w:val="IndexLink"/>
              </w:rPr>
              <w:t>282</w:t>
            </w:r>
          </w:hyperlink>
        </w:p>
        <w:p>
          <w:pPr>
            <w:pStyle w:val="Contents3"/>
            <w:tabs>
              <w:tab w:val="clear" w:pos="8459"/>
              <w:tab w:val="right" w:pos="9026" w:leader="dot"/>
            </w:tabs>
            <w:rPr/>
          </w:pPr>
          <w:hyperlink w:anchor="__RefHeading___Toc634391_581953129">
            <w:r>
              <w:rPr>
                <w:webHidden/>
                <w:rStyle w:val="IndexLink"/>
                <w:rtl w:val="true"/>
              </w:rPr>
              <w:t>تفاسیر أخری</w:t>
            </w:r>
            <w:r>
              <w:rPr>
                <w:rStyle w:val="IndexLink"/>
                <w:rtl w:val="true"/>
              </w:rPr>
              <w:tab/>
            </w:r>
            <w:r>
              <w:rPr>
                <w:rStyle w:val="IndexLink"/>
              </w:rPr>
              <w:t>283</w:t>
            </w:r>
          </w:hyperlink>
        </w:p>
        <w:p>
          <w:pPr>
            <w:pStyle w:val="Contents3"/>
            <w:tabs>
              <w:tab w:val="clear" w:pos="8459"/>
              <w:tab w:val="right" w:pos="9026" w:leader="dot"/>
            </w:tabs>
            <w:rPr/>
          </w:pPr>
          <w:hyperlink w:anchor="__RefHeading___Toc634393_581953129">
            <w:r>
              <w:rPr>
                <w:webHidden/>
                <w:rStyle w:val="IndexLink"/>
                <w:rtl w:val="true"/>
              </w:rPr>
              <w:t>الخلاصة</w:t>
            </w:r>
            <w:r>
              <w:rPr>
                <w:rStyle w:val="IndexLink"/>
                <w:rtl w:val="true"/>
              </w:rPr>
              <w:tab/>
            </w:r>
            <w:r>
              <w:rPr>
                <w:rStyle w:val="IndexLink"/>
              </w:rPr>
              <w:t>284</w:t>
            </w:r>
          </w:hyperlink>
        </w:p>
        <w:p>
          <w:pPr>
            <w:pStyle w:val="Contents3"/>
            <w:tabs>
              <w:tab w:val="clear" w:pos="8459"/>
              <w:tab w:val="right" w:pos="9026" w:leader="dot"/>
            </w:tabs>
            <w:rPr/>
          </w:pPr>
          <w:hyperlink w:anchor="__RefHeading___Toc634395_581953129">
            <w:r>
              <w:rPr>
                <w:webHidden/>
                <w:rStyle w:val="IndexLink"/>
                <w:rtl w:val="true"/>
              </w:rPr>
              <w:t>الأسئلة</w:t>
            </w:r>
            <w:r>
              <w:rPr>
                <w:rStyle w:val="IndexLink"/>
                <w:rtl w:val="true"/>
              </w:rPr>
              <w:tab/>
            </w:r>
            <w:r>
              <w:rPr>
                <w:rStyle w:val="IndexLink"/>
              </w:rPr>
              <w:t>285</w:t>
            </w:r>
          </w:hyperlink>
        </w:p>
        <w:p>
          <w:pPr>
            <w:pStyle w:val="Contents3"/>
            <w:tabs>
              <w:tab w:val="clear" w:pos="8459"/>
              <w:tab w:val="right" w:pos="9026" w:leader="dot"/>
            </w:tabs>
            <w:rPr/>
          </w:pPr>
          <w:hyperlink w:anchor="__RefHeading___Toc634397_581953129">
            <w:r>
              <w:rPr>
                <w:webHidden/>
                <w:rStyle w:val="IndexLink"/>
                <w:rtl w:val="true"/>
              </w:rPr>
              <w:t>المصادر</w:t>
            </w:r>
            <w:r>
              <w:rPr>
                <w:rStyle w:val="IndexLink"/>
                <w:rtl w:val="true"/>
              </w:rPr>
              <w:tab/>
            </w:r>
            <w:r>
              <w:rPr>
                <w:rStyle w:val="IndexLink"/>
              </w:rPr>
              <w:t>286</w:t>
            </w:r>
          </w:hyperlink>
        </w:p>
        <w:p>
          <w:pPr>
            <w:pStyle w:val="Contents2"/>
            <w:tabs>
              <w:tab w:val="clear" w:pos="8743"/>
              <w:tab w:val="right" w:pos="9026" w:leader="dot"/>
            </w:tabs>
            <w:rPr/>
          </w:pPr>
          <w:hyperlink w:anchor="__RefHeading___Toc634399_581953129">
            <w:r>
              <w:rPr>
                <w:webHidden/>
                <w:rStyle w:val="IndexLink"/>
              </w:rPr>
              <w:t>10</w:t>
            </w:r>
            <w:r>
              <w:rPr>
                <w:rStyle w:val="IndexLink"/>
                <w:rtl w:val="true"/>
              </w:rPr>
              <w:t xml:space="preserve">- </w:t>
            </w:r>
            <w:r>
              <w:rPr>
                <w:rStyle w:val="IndexLink"/>
                <w:rtl w:val="true"/>
              </w:rPr>
              <w:t>التفسیر فی القرن السادس</w:t>
            </w:r>
            <w:r>
              <w:rPr>
                <w:rStyle w:val="IndexLink"/>
                <w:rtl w:val="true"/>
              </w:rPr>
              <w:tab/>
            </w:r>
            <w:r>
              <w:rPr>
                <w:rStyle w:val="IndexLink"/>
              </w:rPr>
              <w:t>287</w:t>
            </w:r>
          </w:hyperlink>
        </w:p>
        <w:p>
          <w:pPr>
            <w:pStyle w:val="Contents3"/>
            <w:tabs>
              <w:tab w:val="clear" w:pos="8459"/>
              <w:tab w:val="right" w:pos="9026" w:leader="dot"/>
            </w:tabs>
            <w:rPr/>
          </w:pPr>
          <w:hyperlink w:anchor="__RefHeading___Toc634401_581953129">
            <w:r>
              <w:rPr>
                <w:webHidden/>
                <w:rStyle w:val="IndexLink"/>
                <w:rtl w:val="true"/>
              </w:rPr>
              <w:t>اشارة</w:t>
            </w:r>
            <w:r>
              <w:rPr>
                <w:rStyle w:val="IndexLink"/>
                <w:rtl w:val="true"/>
              </w:rPr>
              <w:tab/>
            </w:r>
            <w:r>
              <w:rPr>
                <w:rStyle w:val="IndexLink"/>
              </w:rPr>
              <w:t>287</w:t>
            </w:r>
          </w:hyperlink>
        </w:p>
        <w:p>
          <w:pPr>
            <w:pStyle w:val="Contents3"/>
            <w:tabs>
              <w:tab w:val="clear" w:pos="8459"/>
              <w:tab w:val="right" w:pos="9026" w:leader="dot"/>
            </w:tabs>
            <w:rPr/>
          </w:pPr>
          <w:hyperlink w:anchor="__RefHeading___Toc634403_581953129">
            <w:r>
              <w:rPr>
                <w:webHidden/>
                <w:rStyle w:val="IndexLink"/>
                <w:rtl w:val="true"/>
              </w:rPr>
              <w:t>تنوع التفسیر فی القرن السادس</w:t>
            </w:r>
            <w:r>
              <w:rPr>
                <w:rStyle w:val="IndexLink"/>
                <w:rtl w:val="true"/>
              </w:rPr>
              <w:tab/>
            </w:r>
            <w:r>
              <w:rPr>
                <w:rStyle w:val="IndexLink"/>
              </w:rPr>
              <w:t>288</w:t>
            </w:r>
          </w:hyperlink>
        </w:p>
        <w:p>
          <w:pPr>
            <w:pStyle w:val="Contents4"/>
            <w:tabs>
              <w:tab w:val="clear" w:pos="8176"/>
              <w:tab w:val="right" w:pos="9026" w:leader="dot"/>
            </w:tabs>
            <w:rPr/>
          </w:pPr>
          <w:hyperlink w:anchor="__RefHeading___Toc634405_581953129">
            <w:r>
              <w:rPr>
                <w:webHidden/>
                <w:rStyle w:val="IndexLink"/>
                <w:rtl w:val="true"/>
              </w:rPr>
              <w:t>اشارة</w:t>
            </w:r>
            <w:r>
              <w:rPr>
                <w:rStyle w:val="IndexLink"/>
                <w:rtl w:val="true"/>
              </w:rPr>
              <w:tab/>
            </w:r>
            <w:r>
              <w:rPr>
                <w:rStyle w:val="IndexLink"/>
              </w:rPr>
              <w:t>288</w:t>
            </w:r>
          </w:hyperlink>
        </w:p>
        <w:p>
          <w:pPr>
            <w:pStyle w:val="Contents4"/>
            <w:tabs>
              <w:tab w:val="clear" w:pos="8176"/>
              <w:tab w:val="right" w:pos="9026" w:leader="dot"/>
            </w:tabs>
            <w:rPr/>
          </w:pPr>
          <w:hyperlink w:anchor="__RefHeading___Toc634407_581953129">
            <w:r>
              <w:rPr>
                <w:webHidden/>
                <w:rStyle w:val="IndexLink"/>
                <w:rtl w:val="true"/>
              </w:rPr>
              <w:t>التفاسیر الشیعیة</w:t>
            </w:r>
            <w:r>
              <w:rPr>
                <w:rStyle w:val="IndexLink"/>
                <w:rtl w:val="true"/>
              </w:rPr>
              <w:tab/>
            </w:r>
            <w:r>
              <w:rPr>
                <w:rStyle w:val="IndexLink"/>
              </w:rPr>
              <w:t>289</w:t>
            </w:r>
          </w:hyperlink>
        </w:p>
        <w:p>
          <w:pPr>
            <w:pStyle w:val="Contents5"/>
            <w:tabs>
              <w:tab w:val="clear" w:pos="7892"/>
              <w:tab w:val="right" w:pos="9026" w:leader="dot"/>
            </w:tabs>
            <w:rPr/>
          </w:pPr>
          <w:hyperlink w:anchor="__RefHeading___Toc634409_581953129">
            <w:r>
              <w:rPr>
                <w:webHidden/>
                <w:rStyle w:val="IndexLink"/>
              </w:rPr>
              <w:t>1</w:t>
            </w:r>
            <w:r>
              <w:rPr>
                <w:rStyle w:val="IndexLink"/>
                <w:rtl w:val="true"/>
              </w:rPr>
              <w:t xml:space="preserve">. </w:t>
            </w:r>
            <w:r>
              <w:rPr>
                <w:rStyle w:val="IndexLink"/>
                <w:rtl w:val="true"/>
              </w:rPr>
              <w:t>مجمع البیان</w:t>
            </w:r>
            <w:r>
              <w:rPr>
                <w:rStyle w:val="IndexLink"/>
                <w:rtl w:val="true"/>
              </w:rPr>
              <w:t>:</w:t>
              <w:tab/>
            </w:r>
            <w:r>
              <w:rPr>
                <w:rStyle w:val="IndexLink"/>
              </w:rPr>
              <w:t>289</w:t>
            </w:r>
          </w:hyperlink>
        </w:p>
        <w:p>
          <w:pPr>
            <w:pStyle w:val="Contents6"/>
            <w:tabs>
              <w:tab w:val="clear" w:pos="7609"/>
              <w:tab w:val="right" w:pos="9026" w:leader="dot"/>
            </w:tabs>
            <w:rPr/>
          </w:pPr>
          <w:hyperlink w:anchor="__RefHeading___Toc634411_581953129">
            <w:r>
              <w:rPr>
                <w:webHidden/>
                <w:rStyle w:val="IndexLink"/>
                <w:rtl w:val="true"/>
              </w:rPr>
              <w:t>اشارة</w:t>
            </w:r>
            <w:r>
              <w:rPr>
                <w:rStyle w:val="IndexLink"/>
                <w:rtl w:val="true"/>
              </w:rPr>
              <w:tab/>
            </w:r>
            <w:r>
              <w:rPr>
                <w:rStyle w:val="IndexLink"/>
              </w:rPr>
              <w:t>289</w:t>
            </w:r>
          </w:hyperlink>
        </w:p>
        <w:p>
          <w:pPr>
            <w:pStyle w:val="Contents6"/>
            <w:tabs>
              <w:tab w:val="clear" w:pos="7609"/>
              <w:tab w:val="right" w:pos="9026" w:leader="dot"/>
            </w:tabs>
            <w:rPr/>
          </w:pPr>
          <w:hyperlink w:anchor="__RefHeading___Toc634413_581953129">
            <w:r>
              <w:rPr>
                <w:webHidden/>
                <w:rStyle w:val="IndexLink"/>
                <w:rtl w:val="true"/>
              </w:rPr>
              <w:t>المقارَنَةُ بین مجمع البیان و التبیان</w:t>
            </w:r>
            <w:r>
              <w:rPr>
                <w:rStyle w:val="IndexLink"/>
                <w:rtl w:val="true"/>
              </w:rPr>
              <w:tab/>
            </w:r>
            <w:r>
              <w:rPr>
                <w:rStyle w:val="IndexLink"/>
              </w:rPr>
              <w:t>290</w:t>
            </w:r>
          </w:hyperlink>
        </w:p>
        <w:p>
          <w:pPr>
            <w:pStyle w:val="Contents6"/>
            <w:tabs>
              <w:tab w:val="clear" w:pos="7609"/>
              <w:tab w:val="right" w:pos="9026" w:leader="dot"/>
            </w:tabs>
            <w:rPr/>
          </w:pPr>
          <w:hyperlink w:anchor="__RefHeading___Toc634415_581953129">
            <w:r>
              <w:rPr>
                <w:webHidden/>
                <w:rStyle w:val="IndexLink"/>
                <w:rtl w:val="true"/>
              </w:rPr>
              <w:t>مقدّمة مجمع‌البیان</w:t>
            </w:r>
            <w:r>
              <w:rPr>
                <w:rStyle w:val="IndexLink"/>
                <w:rtl w:val="true"/>
              </w:rPr>
              <w:tab/>
            </w:r>
            <w:r>
              <w:rPr>
                <w:rStyle w:val="IndexLink"/>
              </w:rPr>
              <w:t>291</w:t>
            </w:r>
          </w:hyperlink>
        </w:p>
        <w:p>
          <w:pPr>
            <w:pStyle w:val="Contents6"/>
            <w:tabs>
              <w:tab w:val="clear" w:pos="7609"/>
              <w:tab w:val="right" w:pos="9026" w:leader="dot"/>
            </w:tabs>
            <w:rPr/>
          </w:pPr>
          <w:hyperlink w:anchor="__RefHeading___Toc634417_581953129">
            <w:r>
              <w:rPr>
                <w:webHidden/>
                <w:rStyle w:val="IndexLink"/>
                <w:rtl w:val="true"/>
              </w:rPr>
              <w:t>منهج الطبرسیّ فی التفسیر</w:t>
            </w:r>
            <w:r>
              <w:rPr>
                <w:rStyle w:val="IndexLink"/>
                <w:rtl w:val="true"/>
              </w:rPr>
              <w:tab/>
            </w:r>
            <w:r>
              <w:rPr>
                <w:rStyle w:val="IndexLink"/>
              </w:rPr>
              <w:t>292</w:t>
            </w:r>
          </w:hyperlink>
        </w:p>
        <w:p>
          <w:pPr>
            <w:pStyle w:val="Contents5"/>
            <w:tabs>
              <w:tab w:val="clear" w:pos="7892"/>
              <w:tab w:val="right" w:pos="9026" w:leader="dot"/>
            </w:tabs>
            <w:rPr/>
          </w:pPr>
          <w:hyperlink w:anchor="__RefHeading___Toc634419_581953129">
            <w:r>
              <w:rPr>
                <w:webHidden/>
                <w:rStyle w:val="IndexLink"/>
              </w:rPr>
              <w:t>2</w:t>
            </w:r>
            <w:r>
              <w:rPr>
                <w:rStyle w:val="IndexLink"/>
                <w:rtl w:val="true"/>
              </w:rPr>
              <w:t xml:space="preserve">. </w:t>
            </w:r>
            <w:r>
              <w:rPr>
                <w:rStyle w:val="IndexLink"/>
                <w:rtl w:val="true"/>
              </w:rPr>
              <w:t>روض الجنان وروح الجنان</w:t>
            </w:r>
            <w:r>
              <w:rPr>
                <w:rStyle w:val="IndexLink"/>
                <w:rtl w:val="true"/>
              </w:rPr>
              <w:tab/>
            </w:r>
            <w:r>
              <w:rPr>
                <w:rStyle w:val="IndexLink"/>
              </w:rPr>
              <w:t>293</w:t>
            </w:r>
          </w:hyperlink>
        </w:p>
        <w:p>
          <w:pPr>
            <w:pStyle w:val="Contents5"/>
            <w:tabs>
              <w:tab w:val="clear" w:pos="7892"/>
              <w:tab w:val="right" w:pos="9026" w:leader="dot"/>
            </w:tabs>
            <w:rPr/>
          </w:pPr>
          <w:hyperlink w:anchor="__RefHeading___Toc634421_581953129">
            <w:r>
              <w:rPr>
                <w:webHidden/>
                <w:rStyle w:val="IndexLink"/>
              </w:rPr>
              <w:t>3</w:t>
            </w:r>
            <w:r>
              <w:rPr>
                <w:rStyle w:val="IndexLink"/>
                <w:rtl w:val="true"/>
              </w:rPr>
              <w:t xml:space="preserve">. </w:t>
            </w:r>
            <w:r>
              <w:rPr>
                <w:rStyle w:val="IndexLink"/>
                <w:rtl w:val="true"/>
              </w:rPr>
              <w:t>فقه القرآن</w:t>
            </w:r>
            <w:r>
              <w:rPr>
                <w:rStyle w:val="IndexLink"/>
                <w:rtl w:val="true"/>
              </w:rPr>
              <w:tab/>
            </w:r>
            <w:r>
              <w:rPr>
                <w:rStyle w:val="IndexLink"/>
              </w:rPr>
              <w:t>295</w:t>
            </w:r>
          </w:hyperlink>
        </w:p>
        <w:p>
          <w:pPr>
            <w:pStyle w:val="Contents5"/>
            <w:tabs>
              <w:tab w:val="clear" w:pos="7892"/>
              <w:tab w:val="right" w:pos="9026" w:leader="dot"/>
            </w:tabs>
            <w:rPr/>
          </w:pPr>
          <w:hyperlink w:anchor="__RefHeading___Toc634423_581953129">
            <w:r>
              <w:rPr>
                <w:webHidden/>
                <w:rStyle w:val="IndexLink"/>
              </w:rPr>
              <w:t>4</w:t>
            </w:r>
            <w:r>
              <w:rPr>
                <w:rStyle w:val="IndexLink"/>
                <w:rtl w:val="true"/>
              </w:rPr>
              <w:t xml:space="preserve">. </w:t>
            </w:r>
            <w:r>
              <w:rPr>
                <w:rStyle w:val="IndexLink"/>
                <w:rtl w:val="true"/>
              </w:rPr>
              <w:t>متشابه القرآن</w:t>
            </w:r>
            <w:r>
              <w:rPr>
                <w:rStyle w:val="IndexLink"/>
                <w:rtl w:val="true"/>
              </w:rPr>
              <w:tab/>
            </w:r>
            <w:r>
              <w:rPr>
                <w:rStyle w:val="IndexLink"/>
              </w:rPr>
              <w:t>296</w:t>
            </w:r>
          </w:hyperlink>
        </w:p>
        <w:p>
          <w:pPr>
            <w:pStyle w:val="Contents4"/>
            <w:tabs>
              <w:tab w:val="clear" w:pos="8176"/>
              <w:tab w:val="right" w:pos="9026" w:leader="dot"/>
            </w:tabs>
            <w:rPr/>
          </w:pPr>
          <w:hyperlink w:anchor="__RefHeading___Toc634425_581953129">
            <w:r>
              <w:rPr>
                <w:webHidden/>
                <w:rStyle w:val="IndexLink"/>
                <w:rtl w:val="true"/>
              </w:rPr>
              <w:t>تفاسیر أهل السنّة</w:t>
            </w:r>
            <w:r>
              <w:rPr>
                <w:rStyle w:val="IndexLink"/>
                <w:rtl w:val="true"/>
              </w:rPr>
              <w:tab/>
            </w:r>
            <w:r>
              <w:rPr>
                <w:rStyle w:val="IndexLink"/>
              </w:rPr>
              <w:t>297</w:t>
            </w:r>
          </w:hyperlink>
        </w:p>
        <w:p>
          <w:pPr>
            <w:pStyle w:val="Contents5"/>
            <w:tabs>
              <w:tab w:val="clear" w:pos="7892"/>
              <w:tab w:val="right" w:pos="9026" w:leader="dot"/>
            </w:tabs>
            <w:rPr/>
          </w:pPr>
          <w:hyperlink w:anchor="__RefHeading___Toc634427_581953129">
            <w:r>
              <w:rPr>
                <w:webHidden/>
                <w:rStyle w:val="IndexLink"/>
              </w:rPr>
              <w:t>1</w:t>
            </w:r>
            <w:r>
              <w:rPr>
                <w:rStyle w:val="IndexLink"/>
                <w:rtl w:val="true"/>
              </w:rPr>
              <w:t xml:space="preserve">. </w:t>
            </w:r>
            <w:r>
              <w:rPr>
                <w:rStyle w:val="IndexLink"/>
                <w:rtl w:val="true"/>
              </w:rPr>
              <w:t>الکشّاف</w:t>
            </w:r>
            <w:r>
              <w:rPr>
                <w:rStyle w:val="IndexLink"/>
                <w:rtl w:val="true"/>
              </w:rPr>
              <w:tab/>
            </w:r>
            <w:r>
              <w:rPr>
                <w:rStyle w:val="IndexLink"/>
              </w:rPr>
              <w:t>297</w:t>
            </w:r>
          </w:hyperlink>
        </w:p>
        <w:p>
          <w:pPr>
            <w:pStyle w:val="Contents6"/>
            <w:tabs>
              <w:tab w:val="clear" w:pos="7609"/>
              <w:tab w:val="right" w:pos="9026" w:leader="dot"/>
            </w:tabs>
            <w:rPr/>
          </w:pPr>
          <w:hyperlink w:anchor="__RefHeading___Toc634429_581953129">
            <w:r>
              <w:rPr>
                <w:webHidden/>
                <w:rStyle w:val="IndexLink"/>
                <w:rtl w:val="true"/>
              </w:rPr>
              <w:t>اشارة</w:t>
            </w:r>
            <w:r>
              <w:rPr>
                <w:rStyle w:val="IndexLink"/>
                <w:rtl w:val="true"/>
              </w:rPr>
              <w:tab/>
            </w:r>
            <w:r>
              <w:rPr>
                <w:rStyle w:val="IndexLink"/>
              </w:rPr>
              <w:t>297</w:t>
            </w:r>
          </w:hyperlink>
        </w:p>
        <w:p>
          <w:pPr>
            <w:pStyle w:val="Contents6"/>
            <w:tabs>
              <w:tab w:val="clear" w:pos="7609"/>
              <w:tab w:val="right" w:pos="9026" w:leader="dot"/>
            </w:tabs>
            <w:rPr/>
          </w:pPr>
          <w:hyperlink w:anchor="__RefHeading___Toc634431_581953129">
            <w:r>
              <w:rPr>
                <w:webHidden/>
                <w:rStyle w:val="IndexLink"/>
                <w:rtl w:val="true"/>
              </w:rPr>
              <w:t>الامتیازات</w:t>
            </w:r>
            <w:r>
              <w:rPr>
                <w:rStyle w:val="IndexLink"/>
                <w:rtl w:val="true"/>
              </w:rPr>
              <w:tab/>
            </w:r>
            <w:r>
              <w:rPr>
                <w:rStyle w:val="IndexLink"/>
              </w:rPr>
              <w:t>299</w:t>
            </w:r>
          </w:hyperlink>
        </w:p>
        <w:p>
          <w:pPr>
            <w:pStyle w:val="Contents6"/>
            <w:tabs>
              <w:tab w:val="clear" w:pos="7609"/>
              <w:tab w:val="right" w:pos="9026" w:leader="dot"/>
            </w:tabs>
            <w:rPr/>
          </w:pPr>
          <w:hyperlink w:anchor="__RefHeading___Toc634433_581953129">
            <w:r>
              <w:rPr>
                <w:webHidden/>
                <w:rStyle w:val="IndexLink"/>
                <w:rtl w:val="true"/>
              </w:rPr>
              <w:t>مصادر کتاب الکشّاف</w:t>
            </w:r>
            <w:r>
              <w:rPr>
                <w:rStyle w:val="IndexLink"/>
                <w:rtl w:val="true"/>
              </w:rPr>
              <w:tab/>
            </w:r>
            <w:r>
              <w:rPr>
                <w:rStyle w:val="IndexLink"/>
              </w:rPr>
              <w:t>300</w:t>
            </w:r>
          </w:hyperlink>
        </w:p>
        <w:p>
          <w:pPr>
            <w:pStyle w:val="Contents6"/>
            <w:tabs>
              <w:tab w:val="clear" w:pos="7609"/>
              <w:tab w:val="right" w:pos="9026" w:leader="dot"/>
            </w:tabs>
            <w:rPr/>
          </w:pPr>
          <w:hyperlink w:anchor="__RefHeading___Toc634435_581953129">
            <w:r>
              <w:rPr>
                <w:webHidden/>
                <w:rStyle w:val="IndexLink"/>
                <w:rtl w:val="true"/>
              </w:rPr>
              <w:t>اشارة</w:t>
            </w:r>
            <w:r>
              <w:rPr>
                <w:rStyle w:val="IndexLink"/>
                <w:rtl w:val="true"/>
              </w:rPr>
              <w:tab/>
            </w:r>
            <w:r>
              <w:rPr>
                <w:rStyle w:val="IndexLink"/>
              </w:rPr>
              <w:t>300</w:t>
            </w:r>
          </w:hyperlink>
        </w:p>
        <w:p>
          <w:pPr>
            <w:pStyle w:val="Contents6"/>
            <w:tabs>
              <w:tab w:val="clear" w:pos="7609"/>
              <w:tab w:val="right" w:pos="9026" w:leader="dot"/>
            </w:tabs>
            <w:rPr/>
          </w:pPr>
          <w:hyperlink w:anchor="__RefHeading___Toc634437_581953129">
            <w:r>
              <w:rPr>
                <w:webHidden/>
                <w:rStyle w:val="IndexLink"/>
              </w:rPr>
              <w:t>1</w:t>
            </w:r>
            <w:r>
              <w:rPr>
                <w:rStyle w:val="IndexLink"/>
                <w:rtl w:val="true"/>
              </w:rPr>
              <w:t xml:space="preserve">. </w:t>
            </w:r>
            <w:r>
              <w:rPr>
                <w:rStyle w:val="IndexLink"/>
                <w:rtl w:val="true"/>
              </w:rPr>
              <w:t>الزمخشری وأهل‌البیت علیهم السّلام</w:t>
            </w:r>
            <w:r>
              <w:rPr>
                <w:rStyle w:val="IndexLink"/>
                <w:rtl w:val="true"/>
              </w:rPr>
              <w:tab/>
            </w:r>
            <w:r>
              <w:rPr>
                <w:rStyle w:val="IndexLink"/>
              </w:rPr>
              <w:t>301</w:t>
            </w:r>
          </w:hyperlink>
        </w:p>
        <w:p>
          <w:pPr>
            <w:pStyle w:val="Contents6"/>
            <w:tabs>
              <w:tab w:val="clear" w:pos="7609"/>
              <w:tab w:val="right" w:pos="9026" w:leader="dot"/>
            </w:tabs>
            <w:rPr/>
          </w:pPr>
          <w:hyperlink w:anchor="__RefHeading___Toc634439_581953129">
            <w:r>
              <w:rPr>
                <w:webHidden/>
                <w:rStyle w:val="IndexLink"/>
              </w:rPr>
              <w:t>2</w:t>
            </w:r>
            <w:r>
              <w:rPr>
                <w:rStyle w:val="IndexLink"/>
                <w:rtl w:val="true"/>
              </w:rPr>
              <w:t xml:space="preserve">. </w:t>
            </w:r>
            <w:r>
              <w:rPr>
                <w:rStyle w:val="IndexLink"/>
                <w:rtl w:val="true"/>
              </w:rPr>
              <w:t>تفسیر البغوی، معالم التنزیل</w:t>
            </w:r>
            <w:r>
              <w:rPr>
                <w:rStyle w:val="IndexLink"/>
                <w:rtl w:val="true"/>
              </w:rPr>
              <w:tab/>
            </w:r>
            <w:r>
              <w:rPr>
                <w:rStyle w:val="IndexLink"/>
              </w:rPr>
              <w:t>302</w:t>
            </w:r>
          </w:hyperlink>
        </w:p>
        <w:p>
          <w:pPr>
            <w:pStyle w:val="Contents6"/>
            <w:tabs>
              <w:tab w:val="clear" w:pos="7609"/>
              <w:tab w:val="right" w:pos="9026" w:leader="dot"/>
            </w:tabs>
            <w:rPr/>
          </w:pPr>
          <w:hyperlink w:anchor="__RefHeading___Toc634441_581953129">
            <w:r>
              <w:rPr>
                <w:webHidden/>
                <w:rStyle w:val="IndexLink"/>
              </w:rPr>
              <w:t>3</w:t>
            </w:r>
            <w:r>
              <w:rPr>
                <w:rStyle w:val="IndexLink"/>
                <w:rtl w:val="true"/>
              </w:rPr>
              <w:t xml:space="preserve">. </w:t>
            </w:r>
            <w:r>
              <w:rPr>
                <w:rStyle w:val="IndexLink"/>
                <w:rtl w:val="true"/>
              </w:rPr>
              <w:t>تفسیر ابنُ عطیة المحرّر الوجیز</w:t>
            </w:r>
            <w:r>
              <w:rPr>
                <w:rStyle w:val="IndexLink"/>
                <w:rtl w:val="true"/>
              </w:rPr>
              <w:tab/>
            </w:r>
            <w:r>
              <w:rPr>
                <w:rStyle w:val="IndexLink"/>
              </w:rPr>
              <w:t>304</w:t>
            </w:r>
          </w:hyperlink>
        </w:p>
        <w:p>
          <w:pPr>
            <w:pStyle w:val="Contents6"/>
            <w:tabs>
              <w:tab w:val="clear" w:pos="7609"/>
              <w:tab w:val="right" w:pos="9026" w:leader="dot"/>
            </w:tabs>
            <w:rPr/>
          </w:pPr>
          <w:hyperlink w:anchor="__RefHeading___Toc634443_581953129">
            <w:r>
              <w:rPr>
                <w:webHidden/>
                <w:rStyle w:val="IndexLink"/>
              </w:rPr>
              <w:t>4</w:t>
            </w:r>
            <w:r>
              <w:rPr>
                <w:rStyle w:val="IndexLink"/>
                <w:rtl w:val="true"/>
              </w:rPr>
              <w:t xml:space="preserve">. </w:t>
            </w:r>
            <w:r>
              <w:rPr>
                <w:rStyle w:val="IndexLink"/>
                <w:rtl w:val="true"/>
              </w:rPr>
              <w:t>زاد المسیر فی علم التفسیر</w:t>
            </w:r>
            <w:r>
              <w:rPr>
                <w:rStyle w:val="IndexLink"/>
                <w:rtl w:val="true"/>
              </w:rPr>
              <w:tab/>
            </w:r>
            <w:r>
              <w:rPr>
                <w:rStyle w:val="IndexLink"/>
              </w:rPr>
              <w:t>306</w:t>
            </w:r>
          </w:hyperlink>
        </w:p>
        <w:p>
          <w:pPr>
            <w:pStyle w:val="Contents6"/>
            <w:tabs>
              <w:tab w:val="clear" w:pos="7609"/>
              <w:tab w:val="right" w:pos="9026" w:leader="dot"/>
            </w:tabs>
            <w:rPr/>
          </w:pPr>
          <w:hyperlink w:anchor="__RefHeading___Toc634445_581953129">
            <w:r>
              <w:rPr>
                <w:webHidden/>
                <w:rStyle w:val="IndexLink"/>
              </w:rPr>
              <w:t>5</w:t>
            </w:r>
            <w:r>
              <w:rPr>
                <w:rStyle w:val="IndexLink"/>
                <w:rtl w:val="true"/>
              </w:rPr>
              <w:t xml:space="preserve">. </w:t>
            </w:r>
            <w:r>
              <w:rPr>
                <w:rStyle w:val="IndexLink"/>
                <w:rtl w:val="true"/>
              </w:rPr>
              <w:t xml:space="preserve">کشف الأسرار وعدّة الأبرار </w:t>
            </w:r>
            <w:r>
              <w:rPr>
                <w:rStyle w:val="IndexLink"/>
                <w:rtl w:val="true"/>
              </w:rPr>
              <w:t>(</w:t>
            </w:r>
            <w:r>
              <w:rPr>
                <w:rStyle w:val="IndexLink"/>
                <w:rtl w:val="true"/>
              </w:rPr>
              <w:t>تفسیر المیبدی</w:t>
            </w:r>
            <w:r>
              <w:rPr>
                <w:rStyle w:val="IndexLink"/>
                <w:rtl w:val="true"/>
              </w:rPr>
              <w:t>)</w:t>
              <w:tab/>
            </w:r>
            <w:r>
              <w:rPr>
                <w:rStyle w:val="IndexLink"/>
              </w:rPr>
              <w:t>308</w:t>
            </w:r>
          </w:hyperlink>
        </w:p>
        <w:p>
          <w:pPr>
            <w:pStyle w:val="Contents6"/>
            <w:tabs>
              <w:tab w:val="clear" w:pos="7609"/>
              <w:tab w:val="right" w:pos="9026" w:leader="dot"/>
            </w:tabs>
            <w:rPr/>
          </w:pPr>
          <w:hyperlink w:anchor="__RefHeading___Toc634447_581953129">
            <w:r>
              <w:rPr>
                <w:webHidden/>
                <w:rStyle w:val="IndexLink"/>
              </w:rPr>
              <w:t>6</w:t>
            </w:r>
            <w:r>
              <w:rPr>
                <w:rStyle w:val="IndexLink"/>
                <w:rtl w:val="true"/>
              </w:rPr>
              <w:t xml:space="preserve">. </w:t>
            </w:r>
            <w:r>
              <w:rPr>
                <w:rStyle w:val="IndexLink"/>
                <w:rtl w:val="true"/>
              </w:rPr>
              <w:t>التفاسیر الأخری</w:t>
            </w:r>
            <w:r>
              <w:rPr>
                <w:rStyle w:val="IndexLink"/>
                <w:rtl w:val="true"/>
              </w:rPr>
              <w:tab/>
            </w:r>
            <w:r>
              <w:rPr>
                <w:rStyle w:val="IndexLink"/>
              </w:rPr>
              <w:t>311</w:t>
            </w:r>
          </w:hyperlink>
        </w:p>
        <w:p>
          <w:pPr>
            <w:pStyle w:val="Contents3"/>
            <w:tabs>
              <w:tab w:val="clear" w:pos="8459"/>
              <w:tab w:val="right" w:pos="9026" w:leader="dot"/>
            </w:tabs>
            <w:rPr/>
          </w:pPr>
          <w:hyperlink w:anchor="__RefHeading___Toc634449_581953129">
            <w:r>
              <w:rPr>
                <w:webHidden/>
                <w:rStyle w:val="IndexLink"/>
                <w:rtl w:val="true"/>
              </w:rPr>
              <w:t>المحصّلة</w:t>
            </w:r>
            <w:r>
              <w:rPr>
                <w:rStyle w:val="IndexLink"/>
                <w:rtl w:val="true"/>
              </w:rPr>
              <w:tab/>
            </w:r>
            <w:r>
              <w:rPr>
                <w:rStyle w:val="IndexLink"/>
              </w:rPr>
              <w:t>312</w:t>
            </w:r>
          </w:hyperlink>
        </w:p>
        <w:p>
          <w:pPr>
            <w:pStyle w:val="Contents3"/>
            <w:tabs>
              <w:tab w:val="clear" w:pos="8459"/>
              <w:tab w:val="right" w:pos="9026" w:leader="dot"/>
            </w:tabs>
            <w:rPr/>
          </w:pPr>
          <w:hyperlink w:anchor="__RefHeading___Toc634451_581953129">
            <w:r>
              <w:rPr>
                <w:webHidden/>
                <w:rStyle w:val="IndexLink"/>
                <w:rtl w:val="true"/>
              </w:rPr>
              <w:t>الأسئلة</w:t>
            </w:r>
            <w:r>
              <w:rPr>
                <w:rStyle w:val="IndexLink"/>
                <w:rtl w:val="true"/>
              </w:rPr>
              <w:tab/>
            </w:r>
            <w:r>
              <w:rPr>
                <w:rStyle w:val="IndexLink"/>
              </w:rPr>
              <w:t>313</w:t>
            </w:r>
          </w:hyperlink>
        </w:p>
        <w:p>
          <w:pPr>
            <w:pStyle w:val="Contents3"/>
            <w:tabs>
              <w:tab w:val="clear" w:pos="8459"/>
              <w:tab w:val="right" w:pos="9026" w:leader="dot"/>
            </w:tabs>
            <w:rPr/>
          </w:pPr>
          <w:hyperlink w:anchor="__RefHeading___Toc634453_581953129">
            <w:r>
              <w:rPr>
                <w:webHidden/>
                <w:rStyle w:val="IndexLink"/>
                <w:rtl w:val="true"/>
              </w:rPr>
              <w:t>المصادر</w:t>
            </w:r>
            <w:r>
              <w:rPr>
                <w:rStyle w:val="IndexLink"/>
                <w:rtl w:val="true"/>
              </w:rPr>
              <w:tab/>
            </w:r>
            <w:r>
              <w:rPr>
                <w:rStyle w:val="IndexLink"/>
              </w:rPr>
              <w:t>314</w:t>
            </w:r>
          </w:hyperlink>
        </w:p>
        <w:p>
          <w:pPr>
            <w:pStyle w:val="Contents2"/>
            <w:tabs>
              <w:tab w:val="clear" w:pos="8743"/>
              <w:tab w:val="right" w:pos="9026" w:leader="dot"/>
            </w:tabs>
            <w:rPr/>
          </w:pPr>
          <w:hyperlink w:anchor="__RefHeading___Toc634455_581953129">
            <w:r>
              <w:rPr>
                <w:webHidden/>
                <w:rStyle w:val="IndexLink"/>
              </w:rPr>
              <w:t>11</w:t>
            </w:r>
            <w:r>
              <w:rPr>
                <w:rStyle w:val="IndexLink"/>
                <w:rtl w:val="true"/>
              </w:rPr>
              <w:t xml:space="preserve">- </w:t>
            </w:r>
            <w:r>
              <w:rPr>
                <w:rStyle w:val="IndexLink"/>
                <w:rtl w:val="true"/>
              </w:rPr>
              <w:t>التفسیر فی القرون السابع و الثامن و التاسع</w:t>
            </w:r>
            <w:r>
              <w:rPr>
                <w:rStyle w:val="IndexLink"/>
                <w:rtl w:val="true"/>
              </w:rPr>
              <w:tab/>
            </w:r>
            <w:r>
              <w:rPr>
                <w:rStyle w:val="IndexLink"/>
              </w:rPr>
              <w:t>315</w:t>
            </w:r>
          </w:hyperlink>
        </w:p>
        <w:p>
          <w:pPr>
            <w:pStyle w:val="Contents3"/>
            <w:tabs>
              <w:tab w:val="clear" w:pos="8459"/>
              <w:tab w:val="right" w:pos="9026" w:leader="dot"/>
            </w:tabs>
            <w:rPr/>
          </w:pPr>
          <w:hyperlink w:anchor="__RefHeading___Toc634457_581953129">
            <w:r>
              <w:rPr>
                <w:webHidden/>
                <w:rStyle w:val="IndexLink"/>
                <w:rtl w:val="true"/>
              </w:rPr>
              <w:t>الموضوعات</w:t>
            </w:r>
            <w:r>
              <w:rPr>
                <w:rStyle w:val="IndexLink"/>
                <w:rtl w:val="true"/>
              </w:rPr>
              <w:tab/>
            </w:r>
            <w:r>
              <w:rPr>
                <w:rStyle w:val="IndexLink"/>
              </w:rPr>
              <w:t>315</w:t>
            </w:r>
          </w:hyperlink>
        </w:p>
        <w:p>
          <w:pPr>
            <w:pStyle w:val="Contents3"/>
            <w:tabs>
              <w:tab w:val="clear" w:pos="8459"/>
              <w:tab w:val="right" w:pos="9026" w:leader="dot"/>
            </w:tabs>
            <w:rPr/>
          </w:pPr>
          <w:hyperlink w:anchor="__RefHeading___Toc634459_581953129">
            <w:r>
              <w:rPr>
                <w:webHidden/>
                <w:rStyle w:val="IndexLink"/>
                <w:rtl w:val="true"/>
              </w:rPr>
              <w:t>الأهداف</w:t>
            </w:r>
            <w:r>
              <w:rPr>
                <w:rStyle w:val="IndexLink"/>
                <w:rtl w:val="true"/>
              </w:rPr>
              <w:tab/>
            </w:r>
            <w:r>
              <w:rPr>
                <w:rStyle w:val="IndexLink"/>
              </w:rPr>
              <w:t>316</w:t>
            </w:r>
          </w:hyperlink>
        </w:p>
        <w:p>
          <w:pPr>
            <w:pStyle w:val="Contents3"/>
            <w:tabs>
              <w:tab w:val="clear" w:pos="8459"/>
              <w:tab w:val="right" w:pos="9026" w:leader="dot"/>
            </w:tabs>
            <w:rPr/>
          </w:pPr>
          <w:hyperlink w:anchor="__RefHeading___Toc634461_581953129">
            <w:r>
              <w:rPr>
                <w:webHidden/>
                <w:rStyle w:val="IndexLink"/>
                <w:rtl w:val="true"/>
              </w:rPr>
              <w:t>الخصوصیات التفسیریة و الثقافیة فی القرون</w:t>
            </w:r>
            <w:r>
              <w:rPr>
                <w:rStyle w:val="IndexLink"/>
                <w:rtl w:val="true"/>
              </w:rPr>
              <w:t>:</w:t>
            </w:r>
            <w:r>
              <w:rPr>
                <w:rStyle w:val="IndexLink"/>
              </w:rPr>
              <w:t>9</w:t>
            </w:r>
            <w:r>
              <w:rPr>
                <w:rStyle w:val="IndexLink"/>
              </w:rPr>
              <w:t>،</w:t>
            </w:r>
            <w:r>
              <w:rPr>
                <w:rStyle w:val="IndexLink"/>
              </w:rPr>
              <w:t>8</w:t>
            </w:r>
            <w:r>
              <w:rPr>
                <w:rStyle w:val="IndexLink"/>
              </w:rPr>
              <w:t>،</w:t>
            </w:r>
            <w:r>
              <w:rPr>
                <w:rStyle w:val="IndexLink"/>
              </w:rPr>
              <w:t>7</w:t>
            </w:r>
            <w:r>
              <w:rPr>
                <w:rStyle w:val="IndexLink"/>
                <w:rtl w:val="true"/>
              </w:rPr>
              <w:t>ق</w:t>
            </w:r>
            <w:r>
              <w:rPr>
                <w:rStyle w:val="IndexLink"/>
                <w:rtl w:val="true"/>
              </w:rPr>
              <w:t>.</w:t>
              <w:tab/>
            </w:r>
            <w:r>
              <w:rPr>
                <w:rStyle w:val="IndexLink"/>
              </w:rPr>
              <w:t>316</w:t>
            </w:r>
          </w:hyperlink>
        </w:p>
        <w:p>
          <w:pPr>
            <w:pStyle w:val="Contents3"/>
            <w:tabs>
              <w:tab w:val="clear" w:pos="8459"/>
              <w:tab w:val="right" w:pos="9026" w:leader="dot"/>
            </w:tabs>
            <w:rPr/>
          </w:pPr>
          <w:hyperlink w:anchor="__RefHeading___Toc634463_581953129">
            <w:r>
              <w:rPr>
                <w:webHidden/>
                <w:rStyle w:val="IndexLink"/>
                <w:rtl w:val="true"/>
              </w:rPr>
              <w:t>تفاسیر الشیعة</w:t>
            </w:r>
            <w:r>
              <w:rPr>
                <w:rStyle w:val="IndexLink"/>
                <w:rtl w:val="true"/>
              </w:rPr>
              <w:tab/>
            </w:r>
            <w:r>
              <w:rPr>
                <w:rStyle w:val="IndexLink"/>
              </w:rPr>
              <w:t>318</w:t>
            </w:r>
          </w:hyperlink>
        </w:p>
        <w:p>
          <w:pPr>
            <w:pStyle w:val="Contents4"/>
            <w:tabs>
              <w:tab w:val="clear" w:pos="8176"/>
              <w:tab w:val="right" w:pos="9026" w:leader="dot"/>
            </w:tabs>
            <w:rPr/>
          </w:pPr>
          <w:hyperlink w:anchor="__RefHeading___Toc634465_581953129">
            <w:r>
              <w:rPr>
                <w:webHidden/>
                <w:rStyle w:val="IndexLink"/>
              </w:rPr>
              <w:t>1</w:t>
            </w:r>
            <w:r>
              <w:rPr>
                <w:rStyle w:val="IndexLink"/>
                <w:rtl w:val="true"/>
              </w:rPr>
              <w:t xml:space="preserve">. </w:t>
            </w:r>
            <w:r>
              <w:rPr>
                <w:rStyle w:val="IndexLink"/>
                <w:rtl w:val="true"/>
              </w:rPr>
              <w:t>نهج البیان عن کشف معانی القرآن</w:t>
            </w:r>
            <w:r>
              <w:rPr>
                <w:rStyle w:val="IndexLink"/>
                <w:rtl w:val="true"/>
              </w:rPr>
              <w:t>:</w:t>
              <w:tab/>
            </w:r>
            <w:r>
              <w:rPr>
                <w:rStyle w:val="IndexLink"/>
              </w:rPr>
              <w:t>318</w:t>
            </w:r>
          </w:hyperlink>
        </w:p>
        <w:p>
          <w:pPr>
            <w:pStyle w:val="Contents4"/>
            <w:tabs>
              <w:tab w:val="clear" w:pos="8176"/>
              <w:tab w:val="right" w:pos="9026" w:leader="dot"/>
            </w:tabs>
            <w:rPr/>
          </w:pPr>
          <w:hyperlink w:anchor="__RefHeading___Toc634467_581953129">
            <w:r>
              <w:rPr>
                <w:webHidden/>
                <w:rStyle w:val="IndexLink"/>
              </w:rPr>
              <w:t>2</w:t>
            </w:r>
            <w:r>
              <w:rPr>
                <w:rStyle w:val="IndexLink"/>
                <w:rtl w:val="true"/>
              </w:rPr>
              <w:t xml:space="preserve">. </w:t>
            </w:r>
            <w:r>
              <w:rPr>
                <w:rStyle w:val="IndexLink"/>
                <w:rtl w:val="true"/>
              </w:rPr>
              <w:t>البلابل القلاقل</w:t>
            </w:r>
            <w:r>
              <w:rPr>
                <w:rStyle w:val="IndexLink"/>
                <w:rtl w:val="true"/>
              </w:rPr>
              <w:tab/>
            </w:r>
            <w:r>
              <w:rPr>
                <w:rStyle w:val="IndexLink"/>
              </w:rPr>
              <w:t>320</w:t>
            </w:r>
          </w:hyperlink>
        </w:p>
        <w:p>
          <w:pPr>
            <w:pStyle w:val="Contents4"/>
            <w:tabs>
              <w:tab w:val="clear" w:pos="8176"/>
              <w:tab w:val="right" w:pos="9026" w:leader="dot"/>
            </w:tabs>
            <w:rPr/>
          </w:pPr>
          <w:hyperlink w:anchor="__RefHeading___Toc634469_581953129">
            <w:r>
              <w:rPr>
                <w:webHidden/>
                <w:rStyle w:val="IndexLink"/>
              </w:rPr>
              <w:t>3</w:t>
            </w:r>
            <w:r>
              <w:rPr>
                <w:rStyle w:val="IndexLink"/>
                <w:rtl w:val="true"/>
              </w:rPr>
              <w:t xml:space="preserve">. </w:t>
            </w:r>
            <w:r>
              <w:rPr>
                <w:rStyle w:val="IndexLink"/>
                <w:rtl w:val="true"/>
              </w:rPr>
              <w:t>المحیط الأعظم</w:t>
            </w:r>
            <w:r>
              <w:rPr>
                <w:rStyle w:val="IndexLink"/>
                <w:rtl w:val="true"/>
              </w:rPr>
              <w:tab/>
            </w:r>
            <w:r>
              <w:rPr>
                <w:rStyle w:val="IndexLink"/>
              </w:rPr>
              <w:t>322</w:t>
            </w:r>
          </w:hyperlink>
        </w:p>
        <w:p>
          <w:pPr>
            <w:pStyle w:val="Contents4"/>
            <w:tabs>
              <w:tab w:val="clear" w:pos="8176"/>
              <w:tab w:val="right" w:pos="9026" w:leader="dot"/>
            </w:tabs>
            <w:rPr/>
          </w:pPr>
          <w:hyperlink w:anchor="__RefHeading___Toc634471_581953129">
            <w:r>
              <w:rPr>
                <w:webHidden/>
                <w:rStyle w:val="IndexLink"/>
              </w:rPr>
              <w:t>4</w:t>
            </w:r>
            <w:r>
              <w:rPr>
                <w:rStyle w:val="IndexLink"/>
                <w:rtl w:val="true"/>
              </w:rPr>
              <w:t xml:space="preserve">. </w:t>
            </w:r>
            <w:r>
              <w:rPr>
                <w:rStyle w:val="IndexLink"/>
                <w:rtl w:val="true"/>
              </w:rPr>
              <w:t xml:space="preserve">تفسیر گازر </w:t>
            </w:r>
            <w:r>
              <w:rPr>
                <w:rStyle w:val="IndexLink"/>
                <w:rtl w:val="true"/>
              </w:rPr>
              <w:t>(</w:t>
            </w:r>
            <w:r>
              <w:rPr>
                <w:rStyle w:val="IndexLink"/>
                <w:rtl w:val="true"/>
              </w:rPr>
              <w:t>جلاء الأذهان وجلاء الأحزان</w:t>
            </w:r>
            <w:r>
              <w:rPr>
                <w:rStyle w:val="IndexLink"/>
                <w:rtl w:val="true"/>
              </w:rPr>
              <w:t>)</w:t>
              <w:tab/>
            </w:r>
            <w:r>
              <w:rPr>
                <w:rStyle w:val="IndexLink"/>
              </w:rPr>
              <w:t>323</w:t>
            </w:r>
          </w:hyperlink>
        </w:p>
        <w:p>
          <w:pPr>
            <w:pStyle w:val="Contents4"/>
            <w:tabs>
              <w:tab w:val="clear" w:pos="8176"/>
              <w:tab w:val="right" w:pos="9026" w:leader="dot"/>
            </w:tabs>
            <w:rPr/>
          </w:pPr>
          <w:hyperlink w:anchor="__RefHeading___Toc634473_581953129">
            <w:r>
              <w:rPr>
                <w:webHidden/>
                <w:rStyle w:val="IndexLink"/>
              </w:rPr>
              <w:t>5</w:t>
            </w:r>
            <w:r>
              <w:rPr>
                <w:rStyle w:val="IndexLink"/>
                <w:rtl w:val="true"/>
              </w:rPr>
              <w:t xml:space="preserve">. </w:t>
            </w:r>
            <w:r>
              <w:rPr>
                <w:rStyle w:val="IndexLink"/>
                <w:rtl w:val="true"/>
              </w:rPr>
              <w:t>سعد السعود</w:t>
            </w:r>
            <w:r>
              <w:rPr>
                <w:rStyle w:val="IndexLink"/>
                <w:rtl w:val="true"/>
              </w:rPr>
              <w:tab/>
            </w:r>
            <w:r>
              <w:rPr>
                <w:rStyle w:val="IndexLink"/>
              </w:rPr>
              <w:t>324</w:t>
            </w:r>
          </w:hyperlink>
        </w:p>
        <w:p>
          <w:pPr>
            <w:pStyle w:val="Contents5"/>
            <w:tabs>
              <w:tab w:val="clear" w:pos="7892"/>
              <w:tab w:val="right" w:pos="9026" w:leader="dot"/>
            </w:tabs>
            <w:rPr/>
          </w:pPr>
          <w:hyperlink w:anchor="__RefHeading___Toc634475_581953129">
            <w:r>
              <w:rPr>
                <w:webHidden/>
                <w:rStyle w:val="IndexLink"/>
                <w:rtl w:val="true"/>
              </w:rPr>
              <w:t>اشارة</w:t>
            </w:r>
            <w:r>
              <w:rPr>
                <w:rStyle w:val="IndexLink"/>
                <w:rtl w:val="true"/>
              </w:rPr>
              <w:tab/>
            </w:r>
            <w:r>
              <w:rPr>
                <w:rStyle w:val="IndexLink"/>
              </w:rPr>
              <w:t>324</w:t>
            </w:r>
          </w:hyperlink>
        </w:p>
        <w:p>
          <w:pPr>
            <w:pStyle w:val="Contents5"/>
            <w:tabs>
              <w:tab w:val="clear" w:pos="7892"/>
              <w:tab w:val="right" w:pos="9026" w:leader="dot"/>
            </w:tabs>
            <w:rPr/>
          </w:pPr>
          <w:hyperlink w:anchor="__RefHeading___Toc634477_581953129">
            <w:r>
              <w:rPr>
                <w:webHidden/>
                <w:rStyle w:val="IndexLink"/>
                <w:rtl w:val="true"/>
              </w:rPr>
              <w:t>تقریر عن تفاسیر الشیعة فی القرن التاسع</w:t>
            </w:r>
            <w:r>
              <w:rPr>
                <w:rStyle w:val="IndexLink"/>
                <w:rtl w:val="true"/>
              </w:rPr>
              <w:tab/>
            </w:r>
            <w:r>
              <w:rPr>
                <w:rStyle w:val="IndexLink"/>
              </w:rPr>
              <w:t>325</w:t>
            </w:r>
          </w:hyperlink>
        </w:p>
        <w:p>
          <w:pPr>
            <w:pStyle w:val="Contents3"/>
            <w:tabs>
              <w:tab w:val="clear" w:pos="8459"/>
              <w:tab w:val="right" w:pos="9026" w:leader="dot"/>
            </w:tabs>
            <w:rPr/>
          </w:pPr>
          <w:hyperlink w:anchor="__RefHeading___Toc634479_581953129">
            <w:r>
              <w:rPr>
                <w:webHidden/>
                <w:rStyle w:val="IndexLink"/>
                <w:rtl w:val="true"/>
              </w:rPr>
              <w:t>تفاسیر أهل السنّة</w:t>
            </w:r>
            <w:r>
              <w:rPr>
                <w:rStyle w:val="IndexLink"/>
                <w:rtl w:val="true"/>
              </w:rPr>
              <w:tab/>
            </w:r>
            <w:r>
              <w:rPr>
                <w:rStyle w:val="IndexLink"/>
              </w:rPr>
              <w:t>326</w:t>
            </w:r>
          </w:hyperlink>
        </w:p>
        <w:p>
          <w:pPr>
            <w:pStyle w:val="Contents4"/>
            <w:tabs>
              <w:tab w:val="clear" w:pos="8176"/>
              <w:tab w:val="right" w:pos="9026" w:leader="dot"/>
            </w:tabs>
            <w:rPr/>
          </w:pPr>
          <w:hyperlink w:anchor="__RefHeading___Toc634481_581953129">
            <w:r>
              <w:rPr>
                <w:webHidden/>
                <w:rStyle w:val="IndexLink"/>
              </w:rPr>
              <w:t>1</w:t>
            </w:r>
            <w:r>
              <w:rPr>
                <w:rStyle w:val="IndexLink"/>
                <w:rtl w:val="true"/>
              </w:rPr>
              <w:t xml:space="preserve">. </w:t>
            </w:r>
            <w:r>
              <w:rPr>
                <w:rStyle w:val="IndexLink"/>
                <w:rtl w:val="true"/>
              </w:rPr>
              <w:t xml:space="preserve">التفسیر الکبیر </w:t>
            </w:r>
            <w:r>
              <w:rPr>
                <w:rStyle w:val="IndexLink"/>
                <w:rtl w:val="true"/>
              </w:rPr>
              <w:t>(</w:t>
            </w:r>
            <w:r>
              <w:rPr>
                <w:rStyle w:val="IndexLink"/>
                <w:rtl w:val="true"/>
              </w:rPr>
              <w:t>مفاتیح الغیب</w:t>
            </w:r>
            <w:r>
              <w:rPr>
                <w:rStyle w:val="IndexLink"/>
                <w:rtl w:val="true"/>
              </w:rPr>
              <w:t>)</w:t>
              <w:tab/>
            </w:r>
            <w:r>
              <w:rPr>
                <w:rStyle w:val="IndexLink"/>
              </w:rPr>
              <w:t>326</w:t>
            </w:r>
          </w:hyperlink>
        </w:p>
        <w:p>
          <w:pPr>
            <w:pStyle w:val="Contents5"/>
            <w:tabs>
              <w:tab w:val="clear" w:pos="7892"/>
              <w:tab w:val="right" w:pos="9026" w:leader="dot"/>
            </w:tabs>
            <w:rPr/>
          </w:pPr>
          <w:hyperlink w:anchor="__RefHeading___Toc634483_581953129">
            <w:r>
              <w:rPr>
                <w:webHidden/>
                <w:rStyle w:val="IndexLink"/>
                <w:rtl w:val="true"/>
              </w:rPr>
              <w:t>اشارة</w:t>
            </w:r>
            <w:r>
              <w:rPr>
                <w:rStyle w:val="IndexLink"/>
                <w:rtl w:val="true"/>
              </w:rPr>
              <w:tab/>
            </w:r>
            <w:r>
              <w:rPr>
                <w:rStyle w:val="IndexLink"/>
              </w:rPr>
              <w:t>326</w:t>
            </w:r>
          </w:hyperlink>
        </w:p>
        <w:p>
          <w:pPr>
            <w:pStyle w:val="Contents5"/>
            <w:tabs>
              <w:tab w:val="clear" w:pos="7892"/>
              <w:tab w:val="right" w:pos="9026" w:leader="dot"/>
            </w:tabs>
            <w:rPr/>
          </w:pPr>
          <w:hyperlink w:anchor="__RefHeading___Toc634485_581953129">
            <w:r>
              <w:rPr>
                <w:webHidden/>
                <w:rStyle w:val="IndexLink"/>
                <w:rtl w:val="true"/>
              </w:rPr>
              <w:t>الفخر الرازی وتمام التفسیر</w:t>
            </w:r>
            <w:r>
              <w:rPr>
                <w:rStyle w:val="IndexLink"/>
                <w:rtl w:val="true"/>
              </w:rPr>
              <w:tab/>
            </w:r>
            <w:r>
              <w:rPr>
                <w:rStyle w:val="IndexLink"/>
              </w:rPr>
              <w:t>329</w:t>
            </w:r>
          </w:hyperlink>
        </w:p>
        <w:p>
          <w:pPr>
            <w:pStyle w:val="Contents5"/>
            <w:tabs>
              <w:tab w:val="clear" w:pos="7892"/>
              <w:tab w:val="right" w:pos="9026" w:leader="dot"/>
            </w:tabs>
            <w:rPr/>
          </w:pPr>
          <w:hyperlink w:anchor="__RefHeading___Toc634487_581953129">
            <w:r>
              <w:rPr>
                <w:webHidden/>
                <w:rStyle w:val="IndexLink"/>
                <w:rtl w:val="true"/>
              </w:rPr>
              <w:t>مصادر التفسیر الکبیر</w:t>
            </w:r>
            <w:r>
              <w:rPr>
                <w:rStyle w:val="IndexLink"/>
                <w:rtl w:val="true"/>
              </w:rPr>
              <w:tab/>
            </w:r>
            <w:r>
              <w:rPr>
                <w:rStyle w:val="IndexLink"/>
              </w:rPr>
              <w:t>330</w:t>
            </w:r>
          </w:hyperlink>
        </w:p>
        <w:p>
          <w:pPr>
            <w:pStyle w:val="Contents5"/>
            <w:tabs>
              <w:tab w:val="clear" w:pos="7892"/>
              <w:tab w:val="right" w:pos="9026" w:leader="dot"/>
            </w:tabs>
            <w:rPr/>
          </w:pPr>
          <w:hyperlink w:anchor="__RefHeading___Toc634489_581953129">
            <w:r>
              <w:rPr>
                <w:webHidden/>
                <w:rStyle w:val="IndexLink"/>
                <w:rtl w:val="true"/>
              </w:rPr>
              <w:t>خصائص التفسیر الکبیر</w:t>
            </w:r>
            <w:r>
              <w:rPr>
                <w:rStyle w:val="IndexLink"/>
                <w:rtl w:val="true"/>
              </w:rPr>
              <w:tab/>
            </w:r>
            <w:r>
              <w:rPr>
                <w:rStyle w:val="IndexLink"/>
              </w:rPr>
              <w:t>330</w:t>
            </w:r>
          </w:hyperlink>
        </w:p>
        <w:p>
          <w:pPr>
            <w:pStyle w:val="Contents5"/>
            <w:tabs>
              <w:tab w:val="clear" w:pos="7892"/>
              <w:tab w:val="right" w:pos="9026" w:leader="dot"/>
            </w:tabs>
            <w:rPr/>
          </w:pPr>
          <w:hyperlink w:anchor="__RefHeading___Toc634491_581953129">
            <w:r>
              <w:rPr>
                <w:webHidden/>
                <w:rStyle w:val="IndexLink"/>
                <w:rtl w:val="true"/>
              </w:rPr>
              <w:t>الفخر الرازی وأهل‌البیت علیهم السّلام</w:t>
            </w:r>
            <w:r>
              <w:rPr>
                <w:rStyle w:val="IndexLink"/>
                <w:rtl w:val="true"/>
              </w:rPr>
              <w:tab/>
            </w:r>
            <w:r>
              <w:rPr>
                <w:rStyle w:val="IndexLink"/>
              </w:rPr>
              <w:t>331</w:t>
            </w:r>
          </w:hyperlink>
        </w:p>
        <w:p>
          <w:pPr>
            <w:pStyle w:val="Contents4"/>
            <w:tabs>
              <w:tab w:val="clear" w:pos="8176"/>
              <w:tab w:val="right" w:pos="9026" w:leader="dot"/>
            </w:tabs>
            <w:rPr/>
          </w:pPr>
          <w:hyperlink w:anchor="__RefHeading___Toc634493_581953129">
            <w:r>
              <w:rPr>
                <w:webHidden/>
                <w:rStyle w:val="IndexLink"/>
              </w:rPr>
              <w:t>2</w:t>
            </w:r>
            <w:r>
              <w:rPr>
                <w:rStyle w:val="IndexLink"/>
                <w:rtl w:val="true"/>
              </w:rPr>
              <w:t xml:space="preserve">. </w:t>
            </w:r>
            <w:r>
              <w:rPr>
                <w:rStyle w:val="IndexLink"/>
                <w:rtl w:val="true"/>
              </w:rPr>
              <w:t>الجامع لأحکام القرآن</w:t>
            </w:r>
            <w:r>
              <w:rPr>
                <w:rStyle w:val="IndexLink"/>
                <w:rtl w:val="true"/>
              </w:rPr>
              <w:tab/>
            </w:r>
            <w:r>
              <w:rPr>
                <w:rStyle w:val="IndexLink"/>
              </w:rPr>
              <w:t>333</w:t>
            </w:r>
          </w:hyperlink>
        </w:p>
        <w:p>
          <w:pPr>
            <w:pStyle w:val="Contents5"/>
            <w:tabs>
              <w:tab w:val="clear" w:pos="7892"/>
              <w:tab w:val="right" w:pos="9026" w:leader="dot"/>
            </w:tabs>
            <w:rPr/>
          </w:pPr>
          <w:hyperlink w:anchor="__RefHeading___Toc634495_581953129">
            <w:r>
              <w:rPr>
                <w:webHidden/>
                <w:rStyle w:val="IndexLink"/>
                <w:rtl w:val="true"/>
              </w:rPr>
              <w:t>اشارة</w:t>
            </w:r>
            <w:r>
              <w:rPr>
                <w:rStyle w:val="IndexLink"/>
                <w:rtl w:val="true"/>
              </w:rPr>
              <w:tab/>
            </w:r>
            <w:r>
              <w:rPr>
                <w:rStyle w:val="IndexLink"/>
              </w:rPr>
              <w:t>333</w:t>
            </w:r>
          </w:hyperlink>
        </w:p>
        <w:p>
          <w:pPr>
            <w:pStyle w:val="Contents5"/>
            <w:tabs>
              <w:tab w:val="clear" w:pos="7892"/>
              <w:tab w:val="right" w:pos="9026" w:leader="dot"/>
            </w:tabs>
            <w:rPr/>
          </w:pPr>
          <w:hyperlink w:anchor="__RefHeading___Toc634497_581953129">
            <w:r>
              <w:rPr>
                <w:webHidden/>
                <w:rStyle w:val="IndexLink"/>
                <w:rtl w:val="true"/>
              </w:rPr>
              <w:t>القرطبی وأهل‌البیت علیهم السّلام</w:t>
            </w:r>
            <w:r>
              <w:rPr>
                <w:rStyle w:val="IndexLink"/>
                <w:rtl w:val="true"/>
              </w:rPr>
              <w:tab/>
            </w:r>
            <w:r>
              <w:rPr>
                <w:rStyle w:val="IndexLink"/>
              </w:rPr>
              <w:t>335</w:t>
            </w:r>
          </w:hyperlink>
        </w:p>
        <w:p>
          <w:pPr>
            <w:pStyle w:val="Contents4"/>
            <w:tabs>
              <w:tab w:val="clear" w:pos="8176"/>
              <w:tab w:val="right" w:pos="9026" w:leader="dot"/>
            </w:tabs>
            <w:rPr/>
          </w:pPr>
          <w:hyperlink w:anchor="__RefHeading___Toc634499_581953129">
            <w:r>
              <w:rPr>
                <w:webHidden/>
                <w:rStyle w:val="IndexLink"/>
              </w:rPr>
              <w:t>3</w:t>
            </w:r>
            <w:r>
              <w:rPr>
                <w:rStyle w:val="IndexLink"/>
                <w:rtl w:val="true"/>
              </w:rPr>
              <w:t xml:space="preserve">. </w:t>
            </w:r>
            <w:r>
              <w:rPr>
                <w:rStyle w:val="IndexLink"/>
                <w:rtl w:val="true"/>
              </w:rPr>
              <w:t xml:space="preserve">تفسیر البیضاوی </w:t>
            </w:r>
            <w:r>
              <w:rPr>
                <w:rStyle w:val="IndexLink"/>
                <w:rtl w:val="true"/>
              </w:rPr>
              <w:t>(</w:t>
            </w:r>
            <w:r>
              <w:rPr>
                <w:rStyle w:val="IndexLink"/>
                <w:rtl w:val="true"/>
              </w:rPr>
              <w:t>أنوار التنزیل وأسرار التأویل</w:t>
            </w:r>
            <w:r>
              <w:rPr>
                <w:rStyle w:val="IndexLink"/>
                <w:rtl w:val="true"/>
              </w:rPr>
              <w:t>)</w:t>
              <w:tab/>
            </w:r>
            <w:r>
              <w:rPr>
                <w:rStyle w:val="IndexLink"/>
              </w:rPr>
              <w:t>335</w:t>
            </w:r>
          </w:hyperlink>
        </w:p>
        <w:p>
          <w:pPr>
            <w:pStyle w:val="Contents5"/>
            <w:tabs>
              <w:tab w:val="clear" w:pos="7892"/>
              <w:tab w:val="right" w:pos="9026" w:leader="dot"/>
            </w:tabs>
            <w:rPr/>
          </w:pPr>
          <w:hyperlink w:anchor="__RefHeading___Toc634501_581953129">
            <w:r>
              <w:rPr>
                <w:webHidden/>
                <w:rStyle w:val="IndexLink"/>
                <w:rtl w:val="true"/>
              </w:rPr>
              <w:t>اشارة</w:t>
            </w:r>
            <w:r>
              <w:rPr>
                <w:rStyle w:val="IndexLink"/>
                <w:rtl w:val="true"/>
              </w:rPr>
              <w:tab/>
            </w:r>
            <w:r>
              <w:rPr>
                <w:rStyle w:val="IndexLink"/>
              </w:rPr>
              <w:t>335</w:t>
            </w:r>
          </w:hyperlink>
        </w:p>
        <w:p>
          <w:pPr>
            <w:pStyle w:val="Contents5"/>
            <w:tabs>
              <w:tab w:val="clear" w:pos="7892"/>
              <w:tab w:val="right" w:pos="9026" w:leader="dot"/>
            </w:tabs>
            <w:rPr/>
          </w:pPr>
          <w:hyperlink w:anchor="__RefHeading___Toc634503_581953129">
            <w:r>
              <w:rPr>
                <w:webHidden/>
                <w:rStyle w:val="IndexLink"/>
                <w:rtl w:val="true"/>
              </w:rPr>
              <w:t>أهمّ مصادر تفسیر البیضاوی</w:t>
            </w:r>
            <w:r>
              <w:rPr>
                <w:rStyle w:val="IndexLink"/>
                <w:rtl w:val="true"/>
              </w:rPr>
              <w:tab/>
            </w:r>
            <w:r>
              <w:rPr>
                <w:rStyle w:val="IndexLink"/>
              </w:rPr>
              <w:t>337</w:t>
            </w:r>
          </w:hyperlink>
        </w:p>
        <w:p>
          <w:pPr>
            <w:pStyle w:val="Contents5"/>
            <w:tabs>
              <w:tab w:val="clear" w:pos="7892"/>
              <w:tab w:val="right" w:pos="9026" w:leader="dot"/>
            </w:tabs>
            <w:rPr/>
          </w:pPr>
          <w:hyperlink w:anchor="__RefHeading___Toc634505_581953129">
            <w:r>
              <w:rPr>
                <w:webHidden/>
                <w:rStyle w:val="IndexLink"/>
                <w:rtl w:val="true"/>
              </w:rPr>
              <w:t>الممیزات اللاّمعة فی تفسیر البیضاوی</w:t>
            </w:r>
            <w:r>
              <w:rPr>
                <w:rStyle w:val="IndexLink"/>
                <w:rtl w:val="true"/>
              </w:rPr>
              <w:tab/>
            </w:r>
            <w:r>
              <w:rPr>
                <w:rStyle w:val="IndexLink"/>
              </w:rPr>
              <w:t>337</w:t>
            </w:r>
          </w:hyperlink>
        </w:p>
        <w:p>
          <w:pPr>
            <w:pStyle w:val="Contents4"/>
            <w:tabs>
              <w:tab w:val="clear" w:pos="8176"/>
              <w:tab w:val="right" w:pos="9026" w:leader="dot"/>
            </w:tabs>
            <w:rPr/>
          </w:pPr>
          <w:hyperlink w:anchor="__RefHeading___Toc634507_581953129">
            <w:r>
              <w:rPr>
                <w:webHidden/>
                <w:rStyle w:val="IndexLink"/>
              </w:rPr>
              <w:t>4</w:t>
            </w:r>
            <w:r>
              <w:rPr>
                <w:rStyle w:val="IndexLink"/>
                <w:rtl w:val="true"/>
              </w:rPr>
              <w:t xml:space="preserve">. </w:t>
            </w:r>
            <w:r>
              <w:rPr>
                <w:rStyle w:val="IndexLink"/>
                <w:rtl w:val="true"/>
              </w:rPr>
              <w:t xml:space="preserve">مدارک التنزیل وحقائق التأویل </w:t>
            </w:r>
            <w:r>
              <w:rPr>
                <w:rStyle w:val="IndexLink"/>
                <w:rtl w:val="true"/>
              </w:rPr>
              <w:t>(</w:t>
            </w:r>
            <w:r>
              <w:rPr>
                <w:rStyle w:val="IndexLink"/>
                <w:rtl w:val="true"/>
              </w:rPr>
              <w:t>تفسیر النسفی</w:t>
            </w:r>
            <w:r>
              <w:rPr>
                <w:rStyle w:val="IndexLink"/>
                <w:rtl w:val="true"/>
              </w:rPr>
              <w:t>)</w:t>
              <w:tab/>
            </w:r>
            <w:r>
              <w:rPr>
                <w:rStyle w:val="IndexLink"/>
              </w:rPr>
              <w:t>338</w:t>
            </w:r>
          </w:hyperlink>
        </w:p>
        <w:p>
          <w:pPr>
            <w:pStyle w:val="Contents4"/>
            <w:tabs>
              <w:tab w:val="clear" w:pos="8176"/>
              <w:tab w:val="right" w:pos="9026" w:leader="dot"/>
            </w:tabs>
            <w:rPr/>
          </w:pPr>
          <w:hyperlink w:anchor="__RefHeading___Toc634509_581953129">
            <w:r>
              <w:rPr>
                <w:webHidden/>
                <w:rStyle w:val="IndexLink"/>
              </w:rPr>
              <w:t>5</w:t>
            </w:r>
            <w:r>
              <w:rPr>
                <w:rStyle w:val="IndexLink"/>
                <w:rtl w:val="true"/>
              </w:rPr>
              <w:t xml:space="preserve">. </w:t>
            </w:r>
            <w:r>
              <w:rPr>
                <w:rStyle w:val="IndexLink"/>
                <w:rtl w:val="true"/>
              </w:rPr>
              <w:t xml:space="preserve">تفسیر الخازن </w:t>
            </w:r>
            <w:r>
              <w:rPr>
                <w:rStyle w:val="IndexLink"/>
                <w:rtl w:val="true"/>
              </w:rPr>
              <w:t>(</w:t>
            </w:r>
            <w:r>
              <w:rPr>
                <w:rStyle w:val="IndexLink"/>
                <w:rtl w:val="true"/>
              </w:rPr>
              <w:t>لباب التأویل فی معانی التنزیل</w:t>
            </w:r>
            <w:r>
              <w:rPr>
                <w:rStyle w:val="IndexLink"/>
                <w:rtl w:val="true"/>
              </w:rPr>
              <w:t>)</w:t>
              <w:tab/>
            </w:r>
            <w:r>
              <w:rPr>
                <w:rStyle w:val="IndexLink"/>
              </w:rPr>
              <w:t>339</w:t>
            </w:r>
          </w:hyperlink>
        </w:p>
        <w:p>
          <w:pPr>
            <w:pStyle w:val="Contents4"/>
            <w:tabs>
              <w:tab w:val="clear" w:pos="8176"/>
              <w:tab w:val="right" w:pos="9026" w:leader="dot"/>
            </w:tabs>
            <w:rPr/>
          </w:pPr>
          <w:hyperlink w:anchor="__RefHeading___Toc634511_581953129">
            <w:r>
              <w:rPr>
                <w:webHidden/>
                <w:rStyle w:val="IndexLink"/>
              </w:rPr>
              <w:t>6</w:t>
            </w:r>
            <w:r>
              <w:rPr>
                <w:rStyle w:val="IndexLink"/>
                <w:rtl w:val="true"/>
              </w:rPr>
              <w:t xml:space="preserve">. </w:t>
            </w:r>
            <w:r>
              <w:rPr>
                <w:rStyle w:val="IndexLink"/>
                <w:rtl w:val="true"/>
              </w:rPr>
              <w:t xml:space="preserve">تفسیر غرائب القرآن ورغائب الفرقان </w:t>
            </w:r>
            <w:r>
              <w:rPr>
                <w:rStyle w:val="IndexLink"/>
                <w:rtl w:val="true"/>
              </w:rPr>
              <w:t>(</w:t>
            </w:r>
            <w:r>
              <w:rPr>
                <w:rStyle w:val="IndexLink"/>
                <w:rtl w:val="true"/>
              </w:rPr>
              <w:t>النیشابوری</w:t>
            </w:r>
            <w:r>
              <w:rPr>
                <w:rStyle w:val="IndexLink"/>
                <w:rtl w:val="true"/>
              </w:rPr>
              <w:t>)</w:t>
              <w:tab/>
            </w:r>
            <w:r>
              <w:rPr>
                <w:rStyle w:val="IndexLink"/>
              </w:rPr>
              <w:t>341</w:t>
            </w:r>
          </w:hyperlink>
        </w:p>
        <w:p>
          <w:pPr>
            <w:pStyle w:val="Contents5"/>
            <w:tabs>
              <w:tab w:val="clear" w:pos="7892"/>
              <w:tab w:val="right" w:pos="9026" w:leader="dot"/>
            </w:tabs>
            <w:rPr/>
          </w:pPr>
          <w:hyperlink w:anchor="__RefHeading___Toc634513_581953129">
            <w:r>
              <w:rPr>
                <w:webHidden/>
                <w:rStyle w:val="IndexLink"/>
                <w:rtl w:val="true"/>
              </w:rPr>
              <w:t>اشارة</w:t>
            </w:r>
            <w:r>
              <w:rPr>
                <w:rStyle w:val="IndexLink"/>
                <w:rtl w:val="true"/>
              </w:rPr>
              <w:tab/>
            </w:r>
            <w:r>
              <w:rPr>
                <w:rStyle w:val="IndexLink"/>
              </w:rPr>
              <w:t>341</w:t>
            </w:r>
          </w:hyperlink>
        </w:p>
        <w:p>
          <w:pPr>
            <w:pStyle w:val="Contents5"/>
            <w:tabs>
              <w:tab w:val="clear" w:pos="7892"/>
              <w:tab w:val="right" w:pos="9026" w:leader="dot"/>
            </w:tabs>
            <w:rPr/>
          </w:pPr>
          <w:hyperlink w:anchor="__RefHeading___Toc634515_581953129">
            <w:r>
              <w:rPr>
                <w:webHidden/>
                <w:rStyle w:val="IndexLink"/>
                <w:rtl w:val="true"/>
              </w:rPr>
              <w:t>المصادر التفسیریة</w:t>
            </w:r>
            <w:r>
              <w:rPr>
                <w:rStyle w:val="IndexLink"/>
                <w:rtl w:val="true"/>
              </w:rPr>
              <w:tab/>
            </w:r>
            <w:r>
              <w:rPr>
                <w:rStyle w:val="IndexLink"/>
              </w:rPr>
              <w:t>342</w:t>
            </w:r>
          </w:hyperlink>
        </w:p>
        <w:p>
          <w:pPr>
            <w:pStyle w:val="Contents4"/>
            <w:tabs>
              <w:tab w:val="clear" w:pos="8176"/>
              <w:tab w:val="right" w:pos="9026" w:leader="dot"/>
            </w:tabs>
            <w:rPr/>
          </w:pPr>
          <w:hyperlink w:anchor="__RefHeading___Toc634517_581953129">
            <w:r>
              <w:rPr>
                <w:webHidden/>
                <w:rStyle w:val="IndexLink"/>
              </w:rPr>
              <w:t>7</w:t>
            </w:r>
            <w:r>
              <w:rPr>
                <w:rStyle w:val="IndexLink"/>
                <w:rtl w:val="true"/>
              </w:rPr>
              <w:t xml:space="preserve">. </w:t>
            </w:r>
            <w:r>
              <w:rPr>
                <w:rStyle w:val="IndexLink"/>
                <w:rtl w:val="true"/>
              </w:rPr>
              <w:t>البحر المحیط فی التفسیر</w:t>
            </w:r>
            <w:r>
              <w:rPr>
                <w:rStyle w:val="IndexLink"/>
                <w:rtl w:val="true"/>
              </w:rPr>
              <w:tab/>
            </w:r>
            <w:r>
              <w:rPr>
                <w:rStyle w:val="IndexLink"/>
              </w:rPr>
              <w:t>343</w:t>
            </w:r>
          </w:hyperlink>
        </w:p>
        <w:p>
          <w:pPr>
            <w:pStyle w:val="Contents4"/>
            <w:tabs>
              <w:tab w:val="clear" w:pos="8176"/>
              <w:tab w:val="right" w:pos="9026" w:leader="dot"/>
            </w:tabs>
            <w:rPr/>
          </w:pPr>
          <w:hyperlink w:anchor="__RefHeading___Toc634519_581953129">
            <w:r>
              <w:rPr>
                <w:webHidden/>
                <w:rStyle w:val="IndexLink"/>
              </w:rPr>
              <w:t>8</w:t>
            </w:r>
            <w:r>
              <w:rPr>
                <w:rStyle w:val="IndexLink"/>
                <w:rtl w:val="true"/>
              </w:rPr>
              <w:t xml:space="preserve">. </w:t>
            </w:r>
            <w:r>
              <w:rPr>
                <w:rStyle w:val="IndexLink"/>
                <w:rtl w:val="true"/>
              </w:rPr>
              <w:t xml:space="preserve">تفسیر القرآن العظیم </w:t>
            </w:r>
            <w:r>
              <w:rPr>
                <w:rStyle w:val="IndexLink"/>
                <w:rtl w:val="true"/>
              </w:rPr>
              <w:t>(</w:t>
            </w:r>
            <w:r>
              <w:rPr>
                <w:rStyle w:val="IndexLink"/>
                <w:rtl w:val="true"/>
              </w:rPr>
              <w:t>ابن کثیر</w:t>
            </w:r>
            <w:r>
              <w:rPr>
                <w:rStyle w:val="IndexLink"/>
                <w:rtl w:val="true"/>
              </w:rPr>
              <w:t>)</w:t>
              <w:tab/>
            </w:r>
            <w:r>
              <w:rPr>
                <w:rStyle w:val="IndexLink"/>
              </w:rPr>
              <w:t>345</w:t>
            </w:r>
          </w:hyperlink>
        </w:p>
        <w:p>
          <w:pPr>
            <w:pStyle w:val="Contents4"/>
            <w:tabs>
              <w:tab w:val="clear" w:pos="8176"/>
              <w:tab w:val="right" w:pos="9026" w:leader="dot"/>
            </w:tabs>
            <w:rPr/>
          </w:pPr>
          <w:hyperlink w:anchor="__RefHeading___Toc634521_581953129">
            <w:r>
              <w:rPr>
                <w:webHidden/>
                <w:rStyle w:val="IndexLink"/>
              </w:rPr>
              <w:t>9</w:t>
            </w:r>
            <w:r>
              <w:rPr>
                <w:rStyle w:val="IndexLink"/>
                <w:rtl w:val="true"/>
              </w:rPr>
              <w:t xml:space="preserve">. </w:t>
            </w:r>
            <w:r>
              <w:rPr>
                <w:rStyle w:val="IndexLink"/>
                <w:rtl w:val="true"/>
              </w:rPr>
              <w:t xml:space="preserve">الجواهر الحسان فی تفسیر القرآن </w:t>
            </w:r>
            <w:r>
              <w:rPr>
                <w:rStyle w:val="IndexLink"/>
                <w:rtl w:val="true"/>
              </w:rPr>
              <w:t>(</w:t>
            </w:r>
            <w:r>
              <w:rPr>
                <w:rStyle w:val="IndexLink"/>
                <w:rtl w:val="true"/>
              </w:rPr>
              <w:t>تفسیر الثعالبی</w:t>
            </w:r>
            <w:r>
              <w:rPr>
                <w:rStyle w:val="IndexLink"/>
                <w:rtl w:val="true"/>
              </w:rPr>
              <w:t>)</w:t>
              <w:tab/>
            </w:r>
            <w:r>
              <w:rPr>
                <w:rStyle w:val="IndexLink"/>
              </w:rPr>
              <w:t>346</w:t>
            </w:r>
          </w:hyperlink>
        </w:p>
        <w:p>
          <w:pPr>
            <w:pStyle w:val="Contents4"/>
            <w:tabs>
              <w:tab w:val="clear" w:pos="8176"/>
              <w:tab w:val="right" w:pos="9026" w:leader="dot"/>
            </w:tabs>
            <w:rPr/>
          </w:pPr>
          <w:hyperlink w:anchor="__RefHeading___Toc634523_581953129">
            <w:r>
              <w:rPr>
                <w:webHidden/>
                <w:rStyle w:val="IndexLink"/>
              </w:rPr>
              <w:t>10</w:t>
            </w:r>
            <w:r>
              <w:rPr>
                <w:rStyle w:val="IndexLink"/>
                <w:rtl w:val="true"/>
              </w:rPr>
              <w:t xml:space="preserve"> </w:t>
            </w:r>
            <w:r>
              <w:rPr>
                <w:rStyle w:val="IndexLink"/>
                <w:rtl w:val="true"/>
              </w:rPr>
              <w:t>نظم الدرر فی تناسب الآیات و السور</w:t>
            </w:r>
            <w:r>
              <w:rPr>
                <w:rStyle w:val="IndexLink"/>
                <w:rtl w:val="true"/>
              </w:rPr>
              <w:tab/>
            </w:r>
            <w:r>
              <w:rPr>
                <w:rStyle w:val="IndexLink"/>
              </w:rPr>
              <w:t>347</w:t>
            </w:r>
          </w:hyperlink>
        </w:p>
        <w:p>
          <w:pPr>
            <w:pStyle w:val="Contents3"/>
            <w:tabs>
              <w:tab w:val="clear" w:pos="8459"/>
              <w:tab w:val="right" w:pos="9026" w:leader="dot"/>
            </w:tabs>
            <w:rPr/>
          </w:pPr>
          <w:hyperlink w:anchor="__RefHeading___Toc634525_581953129">
            <w:r>
              <w:rPr>
                <w:webHidden/>
                <w:rStyle w:val="IndexLink"/>
                <w:rtl w:val="true"/>
              </w:rPr>
              <w:t>المفسّرون الآخرون فی هذه القرون الثلاثة</w:t>
            </w:r>
            <w:r>
              <w:rPr>
                <w:rStyle w:val="IndexLink"/>
                <w:rtl w:val="true"/>
              </w:rPr>
              <w:tab/>
            </w:r>
            <w:r>
              <w:rPr>
                <w:rStyle w:val="IndexLink"/>
              </w:rPr>
              <w:t>349</w:t>
            </w:r>
          </w:hyperlink>
        </w:p>
        <w:p>
          <w:pPr>
            <w:pStyle w:val="Contents3"/>
            <w:tabs>
              <w:tab w:val="clear" w:pos="8459"/>
              <w:tab w:val="right" w:pos="9026" w:leader="dot"/>
            </w:tabs>
            <w:rPr/>
          </w:pPr>
          <w:hyperlink w:anchor="__RefHeading___Toc634527_581953129">
            <w:r>
              <w:rPr>
                <w:webHidden/>
                <w:rStyle w:val="IndexLink"/>
                <w:rtl w:val="true"/>
              </w:rPr>
              <w:t>رحمة من الرحمن فی تفسیر وإشارات القرآن</w:t>
            </w:r>
            <w:r>
              <w:rPr>
                <w:rStyle w:val="IndexLink"/>
                <w:rtl w:val="true"/>
              </w:rPr>
              <w:tab/>
            </w:r>
            <w:r>
              <w:rPr>
                <w:rStyle w:val="IndexLink"/>
              </w:rPr>
              <w:t>350</w:t>
            </w:r>
          </w:hyperlink>
        </w:p>
        <w:p>
          <w:pPr>
            <w:pStyle w:val="Contents3"/>
            <w:tabs>
              <w:tab w:val="clear" w:pos="8459"/>
              <w:tab w:val="right" w:pos="9026" w:leader="dot"/>
            </w:tabs>
            <w:rPr/>
          </w:pPr>
          <w:hyperlink w:anchor="__RefHeading___Toc634529_581953129">
            <w:r>
              <w:rPr>
                <w:webHidden/>
                <w:rStyle w:val="IndexLink"/>
                <w:rtl w:val="true"/>
              </w:rPr>
              <w:t>الخلاصة</w:t>
            </w:r>
            <w:r>
              <w:rPr>
                <w:rStyle w:val="IndexLink"/>
                <w:rtl w:val="true"/>
              </w:rPr>
              <w:tab/>
            </w:r>
            <w:r>
              <w:rPr>
                <w:rStyle w:val="IndexLink"/>
              </w:rPr>
              <w:t>354</w:t>
            </w:r>
          </w:hyperlink>
        </w:p>
        <w:p>
          <w:pPr>
            <w:pStyle w:val="Contents3"/>
            <w:tabs>
              <w:tab w:val="clear" w:pos="8459"/>
              <w:tab w:val="right" w:pos="9026" w:leader="dot"/>
            </w:tabs>
            <w:rPr/>
          </w:pPr>
          <w:hyperlink w:anchor="__RefHeading___Toc634531_581953129">
            <w:r>
              <w:rPr>
                <w:webHidden/>
                <w:rStyle w:val="IndexLink"/>
                <w:rtl w:val="true"/>
              </w:rPr>
              <w:t>الأسئلة</w:t>
            </w:r>
            <w:r>
              <w:rPr>
                <w:rStyle w:val="IndexLink"/>
                <w:rtl w:val="true"/>
              </w:rPr>
              <w:tab/>
            </w:r>
            <w:r>
              <w:rPr>
                <w:rStyle w:val="IndexLink"/>
              </w:rPr>
              <w:t>355</w:t>
            </w:r>
          </w:hyperlink>
        </w:p>
        <w:p>
          <w:pPr>
            <w:pStyle w:val="Contents2"/>
            <w:tabs>
              <w:tab w:val="clear" w:pos="8743"/>
              <w:tab w:val="right" w:pos="9026" w:leader="dot"/>
            </w:tabs>
            <w:rPr/>
          </w:pPr>
          <w:hyperlink w:anchor="__RefHeading___Toc634533_581953129">
            <w:r>
              <w:rPr>
                <w:webHidden/>
                <w:rStyle w:val="IndexLink"/>
              </w:rPr>
              <w:t>12</w:t>
            </w:r>
            <w:r>
              <w:rPr>
                <w:rStyle w:val="IndexLink"/>
                <w:rtl w:val="true"/>
              </w:rPr>
              <w:t xml:space="preserve">- </w:t>
            </w:r>
            <w:r>
              <w:rPr>
                <w:rStyle w:val="IndexLink"/>
                <w:rtl w:val="true"/>
              </w:rPr>
              <w:t>تفاسیر القرون العاشر و الحادی عشر و الثانی عشر</w:t>
            </w:r>
            <w:r>
              <w:rPr>
                <w:rStyle w:val="IndexLink"/>
                <w:rtl w:val="true"/>
              </w:rPr>
              <w:tab/>
            </w:r>
            <w:r>
              <w:rPr>
                <w:rStyle w:val="IndexLink"/>
              </w:rPr>
              <w:t>357</w:t>
            </w:r>
          </w:hyperlink>
        </w:p>
        <w:p>
          <w:pPr>
            <w:pStyle w:val="Contents3"/>
            <w:tabs>
              <w:tab w:val="clear" w:pos="8459"/>
              <w:tab w:val="right" w:pos="9026" w:leader="dot"/>
            </w:tabs>
            <w:rPr/>
          </w:pPr>
          <w:hyperlink w:anchor="__RefHeading___Toc634535_581953129">
            <w:r>
              <w:rPr>
                <w:webHidden/>
                <w:rStyle w:val="IndexLink"/>
                <w:rtl w:val="true"/>
              </w:rPr>
              <w:t>اشارة</w:t>
            </w:r>
            <w:r>
              <w:rPr>
                <w:rStyle w:val="IndexLink"/>
                <w:rtl w:val="true"/>
              </w:rPr>
              <w:tab/>
            </w:r>
            <w:r>
              <w:rPr>
                <w:rStyle w:val="IndexLink"/>
              </w:rPr>
              <w:t>357</w:t>
            </w:r>
          </w:hyperlink>
        </w:p>
        <w:p>
          <w:pPr>
            <w:pStyle w:val="Contents3"/>
            <w:tabs>
              <w:tab w:val="clear" w:pos="8459"/>
              <w:tab w:val="right" w:pos="9026" w:leader="dot"/>
            </w:tabs>
            <w:rPr/>
          </w:pPr>
          <w:hyperlink w:anchor="__RefHeading___Toc634537_581953129">
            <w:r>
              <w:rPr>
                <w:webHidden/>
                <w:rStyle w:val="IndexLink"/>
                <w:rtl w:val="true"/>
              </w:rPr>
              <w:t>الخصوصّیات المشترکة بین القرن ال</w:t>
            </w:r>
            <w:r>
              <w:rPr>
                <w:rStyle w:val="IndexLink"/>
                <w:rtl w:val="true"/>
              </w:rPr>
              <w:t>-</w:t>
            </w:r>
            <w:r>
              <w:rPr>
                <w:rStyle w:val="IndexLink"/>
              </w:rPr>
              <w:t>12</w:t>
            </w:r>
            <w:r>
              <w:rPr>
                <w:rStyle w:val="IndexLink"/>
              </w:rPr>
              <w:t>،</w:t>
            </w:r>
            <w:r>
              <w:rPr>
                <w:rStyle w:val="IndexLink"/>
              </w:rPr>
              <w:t>11</w:t>
            </w:r>
            <w:r>
              <w:rPr>
                <w:rStyle w:val="IndexLink"/>
              </w:rPr>
              <w:t>،</w:t>
            </w:r>
            <w:r>
              <w:rPr>
                <w:rStyle w:val="IndexLink"/>
              </w:rPr>
              <w:t>10</w:t>
            </w:r>
            <w:r>
              <w:rPr>
                <w:rStyle w:val="IndexLink"/>
                <w:rtl w:val="true"/>
              </w:rPr>
              <w:tab/>
            </w:r>
            <w:r>
              <w:rPr>
                <w:rStyle w:val="IndexLink"/>
              </w:rPr>
              <w:t>358</w:t>
            </w:r>
          </w:hyperlink>
        </w:p>
        <w:p>
          <w:pPr>
            <w:pStyle w:val="Contents3"/>
            <w:tabs>
              <w:tab w:val="clear" w:pos="8459"/>
              <w:tab w:val="right" w:pos="9026" w:leader="dot"/>
            </w:tabs>
            <w:rPr/>
          </w:pPr>
          <w:hyperlink w:anchor="__RefHeading___Toc634539_581953129">
            <w:r>
              <w:rPr>
                <w:webHidden/>
                <w:rStyle w:val="IndexLink"/>
                <w:rtl w:val="true"/>
              </w:rPr>
              <w:t>التفاسیر الشیعیة المعروفة</w:t>
            </w:r>
            <w:r>
              <w:rPr>
                <w:rStyle w:val="IndexLink"/>
                <w:rtl w:val="true"/>
              </w:rPr>
              <w:tab/>
            </w:r>
            <w:r>
              <w:rPr>
                <w:rStyle w:val="IndexLink"/>
              </w:rPr>
              <w:t>360</w:t>
            </w:r>
          </w:hyperlink>
        </w:p>
        <w:p>
          <w:pPr>
            <w:pStyle w:val="Contents4"/>
            <w:tabs>
              <w:tab w:val="clear" w:pos="8176"/>
              <w:tab w:val="right" w:pos="9026" w:leader="dot"/>
            </w:tabs>
            <w:rPr/>
          </w:pPr>
          <w:hyperlink w:anchor="__RefHeading___Toc634541_581953129">
            <w:r>
              <w:rPr>
                <w:webHidden/>
                <w:rStyle w:val="IndexLink"/>
              </w:rPr>
              <w:t>1</w:t>
            </w:r>
            <w:r>
              <w:rPr>
                <w:rStyle w:val="IndexLink"/>
                <w:rtl w:val="true"/>
              </w:rPr>
              <w:t xml:space="preserve">. </w:t>
            </w:r>
            <w:r>
              <w:rPr>
                <w:rStyle w:val="IndexLink"/>
                <w:rtl w:val="true"/>
              </w:rPr>
              <w:t>منهج الصادقین فی الزام المخالفین</w:t>
            </w:r>
            <w:r>
              <w:rPr>
                <w:rStyle w:val="IndexLink"/>
                <w:rtl w:val="true"/>
              </w:rPr>
              <w:tab/>
            </w:r>
            <w:r>
              <w:rPr>
                <w:rStyle w:val="IndexLink"/>
              </w:rPr>
              <w:t>360</w:t>
            </w:r>
          </w:hyperlink>
        </w:p>
        <w:p>
          <w:pPr>
            <w:pStyle w:val="Contents4"/>
            <w:tabs>
              <w:tab w:val="clear" w:pos="8176"/>
              <w:tab w:val="right" w:pos="9026" w:leader="dot"/>
            </w:tabs>
            <w:rPr/>
          </w:pPr>
          <w:hyperlink w:anchor="__RefHeading___Toc634543_581953129">
            <w:r>
              <w:rPr>
                <w:webHidden/>
                <w:rStyle w:val="IndexLink"/>
              </w:rPr>
              <w:t>2</w:t>
            </w:r>
            <w:r>
              <w:rPr>
                <w:rStyle w:val="IndexLink"/>
                <w:rtl w:val="true"/>
              </w:rPr>
              <w:t xml:space="preserve">. </w:t>
            </w:r>
            <w:r>
              <w:rPr>
                <w:rStyle w:val="IndexLink"/>
                <w:rtl w:val="true"/>
              </w:rPr>
              <w:t>تفسیر الصافی</w:t>
            </w:r>
            <w:r>
              <w:rPr>
                <w:rStyle w:val="IndexLink"/>
                <w:rtl w:val="true"/>
              </w:rPr>
              <w:tab/>
            </w:r>
            <w:r>
              <w:rPr>
                <w:rStyle w:val="IndexLink"/>
              </w:rPr>
              <w:t>361</w:t>
            </w:r>
          </w:hyperlink>
        </w:p>
        <w:p>
          <w:pPr>
            <w:pStyle w:val="Contents5"/>
            <w:tabs>
              <w:tab w:val="clear" w:pos="7892"/>
              <w:tab w:val="right" w:pos="9026" w:leader="dot"/>
            </w:tabs>
            <w:rPr/>
          </w:pPr>
          <w:hyperlink w:anchor="__RefHeading___Toc634545_581953129">
            <w:r>
              <w:rPr>
                <w:webHidden/>
                <w:rStyle w:val="IndexLink"/>
                <w:rtl w:val="true"/>
              </w:rPr>
              <w:t>اشارة</w:t>
            </w:r>
            <w:r>
              <w:rPr>
                <w:rStyle w:val="IndexLink"/>
                <w:rtl w:val="true"/>
              </w:rPr>
              <w:tab/>
            </w:r>
            <w:r>
              <w:rPr>
                <w:rStyle w:val="IndexLink"/>
              </w:rPr>
              <w:t>361</w:t>
            </w:r>
          </w:hyperlink>
        </w:p>
        <w:p>
          <w:pPr>
            <w:pStyle w:val="Contents5"/>
            <w:tabs>
              <w:tab w:val="clear" w:pos="7892"/>
              <w:tab w:val="right" w:pos="9026" w:leader="dot"/>
            </w:tabs>
            <w:rPr/>
          </w:pPr>
          <w:hyperlink w:anchor="__RefHeading___Toc634547_581953129">
            <w:r>
              <w:rPr>
                <w:webHidden/>
                <w:rStyle w:val="IndexLink"/>
                <w:rtl w:val="true"/>
              </w:rPr>
              <w:t>التوصیف</w:t>
            </w:r>
            <w:r>
              <w:rPr>
                <w:rStyle w:val="IndexLink"/>
                <w:rtl w:val="true"/>
              </w:rPr>
              <w:tab/>
            </w:r>
            <w:r>
              <w:rPr>
                <w:rStyle w:val="IndexLink"/>
              </w:rPr>
              <w:t>362</w:t>
            </w:r>
          </w:hyperlink>
        </w:p>
        <w:p>
          <w:pPr>
            <w:pStyle w:val="Contents5"/>
            <w:tabs>
              <w:tab w:val="clear" w:pos="7892"/>
              <w:tab w:val="right" w:pos="9026" w:leader="dot"/>
            </w:tabs>
            <w:rPr/>
          </w:pPr>
          <w:hyperlink w:anchor="__RefHeading___Toc634549_581953129">
            <w:r>
              <w:rPr>
                <w:webHidden/>
                <w:rStyle w:val="IndexLink"/>
                <w:rtl w:val="true"/>
              </w:rPr>
              <w:t>مصادر تفسیر الصافی</w:t>
            </w:r>
            <w:r>
              <w:rPr>
                <w:rStyle w:val="IndexLink"/>
                <w:rtl w:val="true"/>
              </w:rPr>
              <w:tab/>
            </w:r>
            <w:r>
              <w:rPr>
                <w:rStyle w:val="IndexLink"/>
              </w:rPr>
              <w:t>362</w:t>
            </w:r>
          </w:hyperlink>
        </w:p>
        <w:p>
          <w:pPr>
            <w:pStyle w:val="Contents4"/>
            <w:tabs>
              <w:tab w:val="clear" w:pos="8176"/>
              <w:tab w:val="right" w:pos="9026" w:leader="dot"/>
            </w:tabs>
            <w:rPr/>
          </w:pPr>
          <w:hyperlink w:anchor="__RefHeading___Toc634551_581953129">
            <w:r>
              <w:rPr>
                <w:webHidden/>
                <w:rStyle w:val="IndexLink"/>
              </w:rPr>
              <w:t>3</w:t>
            </w:r>
            <w:r>
              <w:rPr>
                <w:rStyle w:val="IndexLink"/>
                <w:rtl w:val="true"/>
              </w:rPr>
              <w:t xml:space="preserve">. </w:t>
            </w:r>
            <w:r>
              <w:rPr>
                <w:rStyle w:val="IndexLink"/>
                <w:rtl w:val="true"/>
              </w:rPr>
              <w:t>البرهان فی تفسیر القرآن</w:t>
            </w:r>
            <w:r>
              <w:rPr>
                <w:rStyle w:val="IndexLink"/>
                <w:rtl w:val="true"/>
              </w:rPr>
              <w:tab/>
            </w:r>
            <w:r>
              <w:rPr>
                <w:rStyle w:val="IndexLink"/>
              </w:rPr>
              <w:t>363</w:t>
            </w:r>
          </w:hyperlink>
        </w:p>
        <w:p>
          <w:pPr>
            <w:pStyle w:val="Contents5"/>
            <w:tabs>
              <w:tab w:val="clear" w:pos="7892"/>
              <w:tab w:val="right" w:pos="9026" w:leader="dot"/>
            </w:tabs>
            <w:rPr/>
          </w:pPr>
          <w:hyperlink w:anchor="__RefHeading___Toc634553_581953129">
            <w:r>
              <w:rPr>
                <w:webHidden/>
                <w:rStyle w:val="IndexLink"/>
                <w:rtl w:val="true"/>
              </w:rPr>
              <w:t>اشارة</w:t>
            </w:r>
            <w:r>
              <w:rPr>
                <w:rStyle w:val="IndexLink"/>
                <w:rtl w:val="true"/>
              </w:rPr>
              <w:tab/>
            </w:r>
            <w:r>
              <w:rPr>
                <w:rStyle w:val="IndexLink"/>
              </w:rPr>
              <w:t>363</w:t>
            </w:r>
          </w:hyperlink>
        </w:p>
        <w:p>
          <w:pPr>
            <w:pStyle w:val="Contents5"/>
            <w:tabs>
              <w:tab w:val="clear" w:pos="7892"/>
              <w:tab w:val="right" w:pos="9026" w:leader="dot"/>
            </w:tabs>
            <w:rPr/>
          </w:pPr>
          <w:hyperlink w:anchor="__RefHeading___Toc634555_581953129">
            <w:r>
              <w:rPr>
                <w:webHidden/>
                <w:rStyle w:val="IndexLink"/>
                <w:rtl w:val="true"/>
              </w:rPr>
              <w:t>التوصیف</w:t>
            </w:r>
            <w:r>
              <w:rPr>
                <w:rStyle w:val="IndexLink"/>
                <w:rtl w:val="true"/>
              </w:rPr>
              <w:tab/>
            </w:r>
            <w:r>
              <w:rPr>
                <w:rStyle w:val="IndexLink"/>
              </w:rPr>
              <w:t>363</w:t>
            </w:r>
          </w:hyperlink>
        </w:p>
        <w:p>
          <w:pPr>
            <w:pStyle w:val="Contents4"/>
            <w:tabs>
              <w:tab w:val="clear" w:pos="8176"/>
              <w:tab w:val="right" w:pos="9026" w:leader="dot"/>
            </w:tabs>
            <w:rPr/>
          </w:pPr>
          <w:hyperlink w:anchor="__RefHeading___Toc634557_581953129">
            <w:r>
              <w:rPr>
                <w:webHidden/>
                <w:rStyle w:val="IndexLink"/>
              </w:rPr>
              <w:t>4</w:t>
            </w:r>
            <w:r>
              <w:rPr>
                <w:rStyle w:val="IndexLink"/>
                <w:rtl w:val="true"/>
              </w:rPr>
              <w:t xml:space="preserve">. </w:t>
            </w:r>
            <w:r>
              <w:rPr>
                <w:rStyle w:val="IndexLink"/>
                <w:rtl w:val="true"/>
              </w:rPr>
              <w:t>نور الثقلین</w:t>
            </w:r>
            <w:r>
              <w:rPr>
                <w:rStyle w:val="IndexLink"/>
                <w:rtl w:val="true"/>
              </w:rPr>
              <w:tab/>
            </w:r>
            <w:r>
              <w:rPr>
                <w:rStyle w:val="IndexLink"/>
              </w:rPr>
              <w:t>366</w:t>
            </w:r>
          </w:hyperlink>
        </w:p>
        <w:p>
          <w:pPr>
            <w:pStyle w:val="Contents5"/>
            <w:tabs>
              <w:tab w:val="clear" w:pos="7892"/>
              <w:tab w:val="right" w:pos="9026" w:leader="dot"/>
            </w:tabs>
            <w:rPr/>
          </w:pPr>
          <w:hyperlink w:anchor="__RefHeading___Toc634559_581953129">
            <w:r>
              <w:rPr>
                <w:webHidden/>
                <w:rStyle w:val="IndexLink"/>
                <w:rtl w:val="true"/>
              </w:rPr>
              <w:t>اشارة</w:t>
            </w:r>
            <w:r>
              <w:rPr>
                <w:rStyle w:val="IndexLink"/>
                <w:rtl w:val="true"/>
              </w:rPr>
              <w:tab/>
            </w:r>
            <w:r>
              <w:rPr>
                <w:rStyle w:val="IndexLink"/>
              </w:rPr>
              <w:t>366</w:t>
            </w:r>
          </w:hyperlink>
        </w:p>
        <w:p>
          <w:pPr>
            <w:pStyle w:val="Contents5"/>
            <w:tabs>
              <w:tab w:val="clear" w:pos="7892"/>
              <w:tab w:val="right" w:pos="9026" w:leader="dot"/>
            </w:tabs>
            <w:rPr/>
          </w:pPr>
          <w:hyperlink w:anchor="__RefHeading___Toc634561_581953129">
            <w:r>
              <w:rPr>
                <w:webHidden/>
                <w:rStyle w:val="IndexLink"/>
                <w:rtl w:val="true"/>
              </w:rPr>
              <w:t>التوصیف العام</w:t>
            </w:r>
            <w:r>
              <w:rPr>
                <w:rStyle w:val="IndexLink"/>
                <w:rtl w:val="true"/>
              </w:rPr>
              <w:tab/>
            </w:r>
            <w:r>
              <w:rPr>
                <w:rStyle w:val="IndexLink"/>
              </w:rPr>
              <w:t>366</w:t>
            </w:r>
          </w:hyperlink>
        </w:p>
        <w:p>
          <w:pPr>
            <w:pStyle w:val="Contents4"/>
            <w:tabs>
              <w:tab w:val="clear" w:pos="8176"/>
              <w:tab w:val="right" w:pos="9026" w:leader="dot"/>
            </w:tabs>
            <w:rPr/>
          </w:pPr>
          <w:hyperlink w:anchor="__RefHeading___Toc634563_581953129">
            <w:r>
              <w:rPr>
                <w:webHidden/>
                <w:rStyle w:val="IndexLink"/>
              </w:rPr>
              <w:t>5</w:t>
            </w:r>
            <w:r>
              <w:rPr>
                <w:rStyle w:val="IndexLink"/>
                <w:rtl w:val="true"/>
              </w:rPr>
              <w:t xml:space="preserve">. </w:t>
            </w:r>
            <w:r>
              <w:rPr>
                <w:rStyle w:val="IndexLink"/>
                <w:rtl w:val="true"/>
              </w:rPr>
              <w:t>تفسیر کنز الدقائق</w:t>
            </w:r>
            <w:r>
              <w:rPr>
                <w:rStyle w:val="IndexLink"/>
                <w:rtl w:val="true"/>
              </w:rPr>
              <w:tab/>
            </w:r>
            <w:r>
              <w:rPr>
                <w:rStyle w:val="IndexLink"/>
              </w:rPr>
              <w:t>368</w:t>
            </w:r>
          </w:hyperlink>
        </w:p>
        <w:p>
          <w:pPr>
            <w:pStyle w:val="Contents4"/>
            <w:tabs>
              <w:tab w:val="clear" w:pos="8176"/>
              <w:tab w:val="right" w:pos="9026" w:leader="dot"/>
            </w:tabs>
            <w:rPr/>
          </w:pPr>
          <w:hyperlink w:anchor="__RefHeading___Toc634565_581953129">
            <w:r>
              <w:rPr>
                <w:webHidden/>
                <w:rStyle w:val="IndexLink"/>
              </w:rPr>
              <w:t>6</w:t>
            </w:r>
            <w:r>
              <w:rPr>
                <w:rStyle w:val="IndexLink"/>
                <w:rtl w:val="true"/>
              </w:rPr>
              <w:t xml:space="preserve">. </w:t>
            </w:r>
            <w:r>
              <w:rPr>
                <w:rStyle w:val="IndexLink"/>
                <w:rtl w:val="true"/>
              </w:rPr>
              <w:t>زبدة البیان فی أحکام القرآن</w:t>
            </w:r>
            <w:r>
              <w:rPr>
                <w:rStyle w:val="IndexLink"/>
                <w:rtl w:val="true"/>
              </w:rPr>
              <w:tab/>
            </w:r>
            <w:r>
              <w:rPr>
                <w:rStyle w:val="IndexLink"/>
              </w:rPr>
              <w:t>369</w:t>
            </w:r>
          </w:hyperlink>
        </w:p>
        <w:p>
          <w:pPr>
            <w:pStyle w:val="Contents4"/>
            <w:tabs>
              <w:tab w:val="clear" w:pos="8176"/>
              <w:tab w:val="right" w:pos="9026" w:leader="dot"/>
            </w:tabs>
            <w:rPr/>
          </w:pPr>
          <w:hyperlink w:anchor="__RefHeading___Toc634567_581953129">
            <w:r>
              <w:rPr>
                <w:webHidden/>
                <w:rStyle w:val="IndexLink"/>
              </w:rPr>
              <w:t>7</w:t>
            </w:r>
            <w:r>
              <w:rPr>
                <w:rStyle w:val="IndexLink"/>
                <w:rtl w:val="true"/>
              </w:rPr>
              <w:t xml:space="preserve">. </w:t>
            </w:r>
            <w:r>
              <w:rPr>
                <w:rStyle w:val="IndexLink"/>
                <w:rtl w:val="true"/>
              </w:rPr>
              <w:t>تفسیر القرآن الکریم</w:t>
            </w:r>
            <w:r>
              <w:rPr>
                <w:rStyle w:val="IndexLink"/>
                <w:rtl w:val="true"/>
              </w:rPr>
              <w:tab/>
            </w:r>
            <w:r>
              <w:rPr>
                <w:rStyle w:val="IndexLink"/>
              </w:rPr>
              <w:t>370</w:t>
            </w:r>
          </w:hyperlink>
        </w:p>
        <w:p>
          <w:pPr>
            <w:pStyle w:val="Contents5"/>
            <w:tabs>
              <w:tab w:val="clear" w:pos="7892"/>
              <w:tab w:val="right" w:pos="9026" w:leader="dot"/>
            </w:tabs>
            <w:rPr/>
          </w:pPr>
          <w:hyperlink w:anchor="__RefHeading___Toc634569_581953129">
            <w:r>
              <w:rPr>
                <w:webHidden/>
                <w:rStyle w:val="IndexLink"/>
                <w:rtl w:val="true"/>
              </w:rPr>
              <w:t>اشارة</w:t>
            </w:r>
            <w:r>
              <w:rPr>
                <w:rStyle w:val="IndexLink"/>
                <w:rtl w:val="true"/>
              </w:rPr>
              <w:tab/>
            </w:r>
            <w:r>
              <w:rPr>
                <w:rStyle w:val="IndexLink"/>
              </w:rPr>
              <w:t>370</w:t>
            </w:r>
          </w:hyperlink>
        </w:p>
        <w:p>
          <w:pPr>
            <w:pStyle w:val="Contents5"/>
            <w:tabs>
              <w:tab w:val="clear" w:pos="7892"/>
              <w:tab w:val="right" w:pos="9026" w:leader="dot"/>
            </w:tabs>
            <w:rPr/>
          </w:pPr>
          <w:hyperlink w:anchor="__RefHeading___Toc634571_581953129">
            <w:r>
              <w:rPr>
                <w:webHidden/>
                <w:rStyle w:val="IndexLink"/>
                <w:rtl w:val="true"/>
              </w:rPr>
              <w:t>ضوء علی تفسیر القرآن الکریم</w:t>
            </w:r>
            <w:r>
              <w:rPr>
                <w:rStyle w:val="IndexLink"/>
                <w:rtl w:val="true"/>
              </w:rPr>
              <w:tab/>
            </w:r>
            <w:r>
              <w:rPr>
                <w:rStyle w:val="IndexLink"/>
              </w:rPr>
              <w:t>371</w:t>
            </w:r>
          </w:hyperlink>
        </w:p>
        <w:p>
          <w:pPr>
            <w:pStyle w:val="Contents3"/>
            <w:tabs>
              <w:tab w:val="clear" w:pos="8459"/>
              <w:tab w:val="right" w:pos="9026" w:leader="dot"/>
            </w:tabs>
            <w:rPr/>
          </w:pPr>
          <w:hyperlink w:anchor="__RefHeading___Toc634573_581953129">
            <w:r>
              <w:rPr>
                <w:webHidden/>
                <w:rStyle w:val="IndexLink"/>
                <w:rtl w:val="true"/>
              </w:rPr>
              <w:t>تفاسیر أهل السنة</w:t>
            </w:r>
            <w:r>
              <w:rPr>
                <w:rStyle w:val="IndexLink"/>
                <w:rtl w:val="true"/>
              </w:rPr>
              <w:tab/>
            </w:r>
            <w:r>
              <w:rPr>
                <w:rStyle w:val="IndexLink"/>
              </w:rPr>
              <w:t>372</w:t>
            </w:r>
          </w:hyperlink>
        </w:p>
        <w:p>
          <w:pPr>
            <w:pStyle w:val="Contents4"/>
            <w:tabs>
              <w:tab w:val="clear" w:pos="8176"/>
              <w:tab w:val="right" w:pos="9026" w:leader="dot"/>
            </w:tabs>
            <w:rPr/>
          </w:pPr>
          <w:hyperlink w:anchor="__RefHeading___Toc634575_581953129">
            <w:r>
              <w:rPr>
                <w:webHidden/>
                <w:rStyle w:val="IndexLink"/>
              </w:rPr>
              <w:t>1</w:t>
            </w:r>
            <w:r>
              <w:rPr>
                <w:rStyle w:val="IndexLink"/>
                <w:rtl w:val="true"/>
              </w:rPr>
              <w:t xml:space="preserve">. </w:t>
            </w:r>
            <w:r>
              <w:rPr>
                <w:rStyle w:val="IndexLink"/>
                <w:rtl w:val="true"/>
              </w:rPr>
              <w:t>الدرّ المنثور فی التفسیر بالمأثور</w:t>
            </w:r>
            <w:r>
              <w:rPr>
                <w:rStyle w:val="IndexLink"/>
                <w:rtl w:val="true"/>
              </w:rPr>
              <w:tab/>
            </w:r>
            <w:r>
              <w:rPr>
                <w:rStyle w:val="IndexLink"/>
              </w:rPr>
              <w:t>372</w:t>
            </w:r>
          </w:hyperlink>
        </w:p>
        <w:p>
          <w:pPr>
            <w:pStyle w:val="Contents4"/>
            <w:tabs>
              <w:tab w:val="clear" w:pos="8176"/>
              <w:tab w:val="right" w:pos="9026" w:leader="dot"/>
            </w:tabs>
            <w:rPr/>
          </w:pPr>
          <w:hyperlink w:anchor="__RefHeading___Toc634577_581953129">
            <w:r>
              <w:rPr>
                <w:webHidden/>
                <w:rStyle w:val="IndexLink"/>
              </w:rPr>
              <w:t>2</w:t>
            </w:r>
            <w:r>
              <w:rPr>
                <w:rStyle w:val="IndexLink"/>
                <w:rtl w:val="true"/>
              </w:rPr>
              <w:t xml:space="preserve">. </w:t>
            </w:r>
            <w:r>
              <w:rPr>
                <w:rStyle w:val="IndexLink"/>
                <w:rtl w:val="true"/>
              </w:rPr>
              <w:t>روح البیان</w:t>
            </w:r>
            <w:r>
              <w:rPr>
                <w:rStyle w:val="IndexLink"/>
                <w:rtl w:val="true"/>
              </w:rPr>
              <w:tab/>
            </w:r>
            <w:r>
              <w:rPr>
                <w:rStyle w:val="IndexLink"/>
              </w:rPr>
              <w:t>374</w:t>
            </w:r>
          </w:hyperlink>
        </w:p>
        <w:p>
          <w:pPr>
            <w:pStyle w:val="Contents3"/>
            <w:tabs>
              <w:tab w:val="clear" w:pos="8459"/>
              <w:tab w:val="right" w:pos="9026" w:leader="dot"/>
            </w:tabs>
            <w:rPr/>
          </w:pPr>
          <w:hyperlink w:anchor="__RefHeading___Toc634579_581953129">
            <w:r>
              <w:rPr>
                <w:webHidden/>
                <w:rStyle w:val="IndexLink"/>
                <w:rtl w:val="true"/>
              </w:rPr>
              <w:t>الخاتِمة</w:t>
            </w:r>
            <w:r>
              <w:rPr>
                <w:rStyle w:val="IndexLink"/>
                <w:rtl w:val="true"/>
              </w:rPr>
              <w:tab/>
            </w:r>
            <w:r>
              <w:rPr>
                <w:rStyle w:val="IndexLink"/>
              </w:rPr>
              <w:t>375</w:t>
            </w:r>
          </w:hyperlink>
        </w:p>
        <w:p>
          <w:pPr>
            <w:pStyle w:val="Contents3"/>
            <w:tabs>
              <w:tab w:val="clear" w:pos="8459"/>
              <w:tab w:val="right" w:pos="9026" w:leader="dot"/>
            </w:tabs>
            <w:rPr/>
          </w:pPr>
          <w:hyperlink w:anchor="__RefHeading___Toc634581_581953129">
            <w:r>
              <w:rPr>
                <w:webHidden/>
                <w:rStyle w:val="IndexLink"/>
                <w:rtl w:val="true"/>
              </w:rPr>
              <w:t>المحصّلة</w:t>
            </w:r>
            <w:r>
              <w:rPr>
                <w:rStyle w:val="IndexLink"/>
                <w:rtl w:val="true"/>
              </w:rPr>
              <w:tab/>
            </w:r>
            <w:r>
              <w:rPr>
                <w:rStyle w:val="IndexLink"/>
              </w:rPr>
              <w:t>375</w:t>
            </w:r>
          </w:hyperlink>
        </w:p>
        <w:p>
          <w:pPr>
            <w:pStyle w:val="Contents3"/>
            <w:tabs>
              <w:tab w:val="clear" w:pos="8459"/>
              <w:tab w:val="right" w:pos="9026" w:leader="dot"/>
            </w:tabs>
            <w:rPr/>
          </w:pPr>
          <w:hyperlink w:anchor="__RefHeading___Toc634583_581953129">
            <w:r>
              <w:rPr>
                <w:webHidden/>
                <w:rStyle w:val="IndexLink"/>
                <w:rtl w:val="true"/>
              </w:rPr>
              <w:t>الأسئلة</w:t>
            </w:r>
            <w:r>
              <w:rPr>
                <w:rStyle w:val="IndexLink"/>
                <w:rtl w:val="true"/>
              </w:rPr>
              <w:tab/>
            </w:r>
            <w:r>
              <w:rPr>
                <w:rStyle w:val="IndexLink"/>
              </w:rPr>
              <w:t>377</w:t>
            </w:r>
          </w:hyperlink>
        </w:p>
        <w:p>
          <w:pPr>
            <w:pStyle w:val="Contents3"/>
            <w:tabs>
              <w:tab w:val="clear" w:pos="8459"/>
              <w:tab w:val="right" w:pos="9026" w:leader="dot"/>
            </w:tabs>
            <w:rPr/>
          </w:pPr>
          <w:hyperlink w:anchor="__RefHeading___Toc634585_581953129">
            <w:r>
              <w:rPr>
                <w:webHidden/>
                <w:rStyle w:val="IndexLink"/>
                <w:rtl w:val="true"/>
              </w:rPr>
              <w:t>المصادر</w:t>
            </w:r>
            <w:r>
              <w:rPr>
                <w:rStyle w:val="IndexLink"/>
                <w:rtl w:val="true"/>
              </w:rPr>
              <w:tab/>
            </w:r>
            <w:r>
              <w:rPr>
                <w:rStyle w:val="IndexLink"/>
              </w:rPr>
              <w:t>378</w:t>
            </w:r>
          </w:hyperlink>
        </w:p>
        <w:p>
          <w:pPr>
            <w:pStyle w:val="Contents2"/>
            <w:tabs>
              <w:tab w:val="clear" w:pos="8743"/>
              <w:tab w:val="right" w:pos="9026" w:leader="dot"/>
            </w:tabs>
            <w:rPr/>
          </w:pPr>
          <w:hyperlink w:anchor="__RefHeading___Toc634587_581953129">
            <w:r>
              <w:rPr>
                <w:webHidden/>
                <w:rStyle w:val="IndexLink"/>
              </w:rPr>
              <w:t>13</w:t>
            </w:r>
            <w:r>
              <w:rPr>
                <w:rStyle w:val="IndexLink"/>
                <w:rtl w:val="true"/>
              </w:rPr>
              <w:t xml:space="preserve">- </w:t>
            </w:r>
            <w:r>
              <w:rPr>
                <w:rStyle w:val="IndexLink"/>
                <w:rtl w:val="true"/>
              </w:rPr>
              <w:t>تفاسیر القرن الثالث عشر و الرابع عشر</w:t>
            </w:r>
            <w:r>
              <w:rPr>
                <w:rStyle w:val="IndexLink"/>
                <w:rtl w:val="true"/>
              </w:rPr>
              <w:tab/>
            </w:r>
            <w:r>
              <w:rPr>
                <w:rStyle w:val="IndexLink"/>
              </w:rPr>
              <w:t>379</w:t>
            </w:r>
          </w:hyperlink>
        </w:p>
        <w:p>
          <w:pPr>
            <w:pStyle w:val="Contents3"/>
            <w:tabs>
              <w:tab w:val="clear" w:pos="8459"/>
              <w:tab w:val="right" w:pos="9026" w:leader="dot"/>
            </w:tabs>
            <w:rPr/>
          </w:pPr>
          <w:hyperlink w:anchor="__RefHeading___Toc634589_581953129">
            <w:r>
              <w:rPr>
                <w:webHidden/>
                <w:rStyle w:val="IndexLink"/>
                <w:rtl w:val="true"/>
              </w:rPr>
              <w:t>اشارة</w:t>
            </w:r>
            <w:r>
              <w:rPr>
                <w:rStyle w:val="IndexLink"/>
                <w:rtl w:val="true"/>
              </w:rPr>
              <w:tab/>
            </w:r>
            <w:r>
              <w:rPr>
                <w:rStyle w:val="IndexLink"/>
              </w:rPr>
              <w:t>379</w:t>
            </w:r>
          </w:hyperlink>
        </w:p>
        <w:p>
          <w:pPr>
            <w:pStyle w:val="Contents3"/>
            <w:tabs>
              <w:tab w:val="clear" w:pos="8459"/>
              <w:tab w:val="right" w:pos="9026" w:leader="dot"/>
            </w:tabs>
            <w:rPr/>
          </w:pPr>
          <w:hyperlink w:anchor="__RefHeading___Toc634591_581953129">
            <w:r>
              <w:rPr>
                <w:webHidden/>
                <w:rStyle w:val="IndexLink"/>
                <w:rtl w:val="true"/>
              </w:rPr>
              <w:t xml:space="preserve">علّة رکود التفاسیر فی القرن </w:t>
            </w:r>
            <w:r>
              <w:rPr>
                <w:rStyle w:val="IndexLink"/>
              </w:rPr>
              <w:t>13</w:t>
            </w:r>
            <w:r>
              <w:rPr>
                <w:rStyle w:val="IndexLink"/>
                <w:rtl w:val="true"/>
              </w:rPr>
              <w:t>ه</w:t>
            </w:r>
            <w:r>
              <w:rPr>
                <w:rStyle w:val="IndexLink"/>
                <w:rtl w:val="true"/>
              </w:rPr>
              <w:tab/>
            </w:r>
            <w:r>
              <w:rPr>
                <w:rStyle w:val="IndexLink"/>
              </w:rPr>
              <w:t>380</w:t>
            </w:r>
          </w:hyperlink>
        </w:p>
        <w:p>
          <w:pPr>
            <w:pStyle w:val="Contents3"/>
            <w:tabs>
              <w:tab w:val="clear" w:pos="8459"/>
              <w:tab w:val="right" w:pos="9026" w:leader="dot"/>
            </w:tabs>
            <w:rPr/>
          </w:pPr>
          <w:hyperlink w:anchor="__RefHeading___Toc634593_581953129">
            <w:r>
              <w:rPr>
                <w:webHidden/>
                <w:rStyle w:val="IndexLink"/>
                <w:rtl w:val="true"/>
              </w:rPr>
              <w:t xml:space="preserve">تقریر عن تفاسیر القرن </w:t>
            </w:r>
            <w:r>
              <w:rPr>
                <w:rStyle w:val="IndexLink"/>
              </w:rPr>
              <w:t>13</w:t>
            </w:r>
            <w:r>
              <w:rPr>
                <w:rStyle w:val="IndexLink"/>
                <w:rtl w:val="true"/>
              </w:rPr>
              <w:t>ق</w:t>
            </w:r>
            <w:r>
              <w:rPr>
                <w:rStyle w:val="IndexLink"/>
                <w:rtl w:val="true"/>
              </w:rPr>
              <w:tab/>
            </w:r>
            <w:r>
              <w:rPr>
                <w:rStyle w:val="IndexLink"/>
              </w:rPr>
              <w:t>380</w:t>
            </w:r>
          </w:hyperlink>
        </w:p>
        <w:p>
          <w:pPr>
            <w:pStyle w:val="Contents4"/>
            <w:tabs>
              <w:tab w:val="clear" w:pos="8176"/>
              <w:tab w:val="right" w:pos="9026" w:leader="dot"/>
            </w:tabs>
            <w:rPr/>
          </w:pPr>
          <w:hyperlink w:anchor="__RefHeading___Toc634595_581953129">
            <w:r>
              <w:rPr>
                <w:webHidden/>
                <w:rStyle w:val="IndexLink"/>
                <w:rtl w:val="true"/>
              </w:rPr>
              <w:t>اشارة</w:t>
            </w:r>
            <w:r>
              <w:rPr>
                <w:rStyle w:val="IndexLink"/>
                <w:rtl w:val="true"/>
              </w:rPr>
              <w:tab/>
            </w:r>
            <w:r>
              <w:rPr>
                <w:rStyle w:val="IndexLink"/>
              </w:rPr>
              <w:t>380</w:t>
            </w:r>
          </w:hyperlink>
        </w:p>
        <w:p>
          <w:pPr>
            <w:pStyle w:val="Contents4"/>
            <w:tabs>
              <w:tab w:val="clear" w:pos="8176"/>
              <w:tab w:val="right" w:pos="9026" w:leader="dot"/>
            </w:tabs>
            <w:rPr/>
          </w:pPr>
          <w:hyperlink w:anchor="__RefHeading___Toc634597_581953129">
            <w:r>
              <w:rPr>
                <w:webHidden/>
                <w:rStyle w:val="IndexLink"/>
              </w:rPr>
              <w:t>1</w:t>
            </w:r>
            <w:r>
              <w:rPr>
                <w:rStyle w:val="IndexLink"/>
                <w:rtl w:val="true"/>
              </w:rPr>
              <w:t xml:space="preserve">. </w:t>
            </w:r>
            <w:r>
              <w:rPr>
                <w:rStyle w:val="IndexLink"/>
                <w:rtl w:val="true"/>
              </w:rPr>
              <w:t>الجوهر الثمین فی تفسیر الکتاب المبین</w:t>
            </w:r>
            <w:r>
              <w:rPr>
                <w:rStyle w:val="IndexLink"/>
                <w:rtl w:val="true"/>
              </w:rPr>
              <w:tab/>
            </w:r>
            <w:r>
              <w:rPr>
                <w:rStyle w:val="IndexLink"/>
              </w:rPr>
              <w:t>382</w:t>
            </w:r>
          </w:hyperlink>
        </w:p>
        <w:p>
          <w:pPr>
            <w:pStyle w:val="Contents4"/>
            <w:tabs>
              <w:tab w:val="clear" w:pos="8176"/>
              <w:tab w:val="right" w:pos="9026" w:leader="dot"/>
            </w:tabs>
            <w:rPr/>
          </w:pPr>
          <w:hyperlink w:anchor="__RefHeading___Toc634599_581953129">
            <w:r>
              <w:rPr>
                <w:webHidden/>
                <w:rStyle w:val="IndexLink"/>
              </w:rPr>
              <w:t>2</w:t>
            </w:r>
            <w:r>
              <w:rPr>
                <w:rStyle w:val="IndexLink"/>
                <w:rtl w:val="true"/>
              </w:rPr>
              <w:t xml:space="preserve">. </w:t>
            </w:r>
            <w:r>
              <w:rPr>
                <w:rStyle w:val="IndexLink"/>
                <w:rtl w:val="true"/>
              </w:rPr>
              <w:t xml:space="preserve">فتح القدیر </w:t>
            </w:r>
            <w:r>
              <w:rPr>
                <w:rStyle w:val="IndexLink"/>
                <w:rtl w:val="true"/>
              </w:rPr>
              <w:t>(</w:t>
            </w:r>
            <w:r>
              <w:rPr>
                <w:rStyle w:val="IndexLink"/>
                <w:rtl w:val="true"/>
              </w:rPr>
              <w:t>للشوکانی</w:t>
            </w:r>
            <w:r>
              <w:rPr>
                <w:rStyle w:val="IndexLink"/>
                <w:rtl w:val="true"/>
              </w:rPr>
              <w:t>)</w:t>
              <w:tab/>
            </w:r>
            <w:r>
              <w:rPr>
                <w:rStyle w:val="IndexLink"/>
              </w:rPr>
              <w:t>383</w:t>
            </w:r>
          </w:hyperlink>
        </w:p>
        <w:p>
          <w:pPr>
            <w:pStyle w:val="Contents4"/>
            <w:tabs>
              <w:tab w:val="clear" w:pos="8176"/>
              <w:tab w:val="right" w:pos="9026" w:leader="dot"/>
            </w:tabs>
            <w:rPr/>
          </w:pPr>
          <w:hyperlink w:anchor="__RefHeading___Toc634601_581953129">
            <w:r>
              <w:rPr>
                <w:webHidden/>
                <w:rStyle w:val="IndexLink"/>
              </w:rPr>
              <w:t>3</w:t>
            </w:r>
            <w:r>
              <w:rPr>
                <w:rStyle w:val="IndexLink"/>
                <w:rtl w:val="true"/>
              </w:rPr>
              <w:t xml:space="preserve">. </w:t>
            </w:r>
            <w:r>
              <w:rPr>
                <w:rStyle w:val="IndexLink"/>
                <w:rtl w:val="true"/>
              </w:rPr>
              <w:t>روح المعانی</w:t>
            </w:r>
            <w:r>
              <w:rPr>
                <w:rStyle w:val="IndexLink"/>
                <w:rtl w:val="true"/>
              </w:rPr>
              <w:tab/>
            </w:r>
            <w:r>
              <w:rPr>
                <w:rStyle w:val="IndexLink"/>
              </w:rPr>
              <w:t>384</w:t>
            </w:r>
          </w:hyperlink>
        </w:p>
        <w:p>
          <w:pPr>
            <w:pStyle w:val="Contents2"/>
            <w:tabs>
              <w:tab w:val="clear" w:pos="8743"/>
              <w:tab w:val="right" w:pos="9026" w:leader="dot"/>
            </w:tabs>
            <w:rPr/>
          </w:pPr>
          <w:hyperlink w:anchor="__RefHeading___Toc634603_581953129">
            <w:r>
              <w:rPr>
                <w:webHidden/>
                <w:rStyle w:val="IndexLink"/>
              </w:rPr>
              <w:t>14</w:t>
            </w:r>
            <w:r>
              <w:rPr>
                <w:rStyle w:val="IndexLink"/>
                <w:rtl w:val="true"/>
              </w:rPr>
              <w:t xml:space="preserve">- </w:t>
            </w:r>
            <w:r>
              <w:rPr>
                <w:rStyle w:val="IndexLink"/>
                <w:rtl w:val="true"/>
              </w:rPr>
              <w:t xml:space="preserve">التفسیر فی العصر الحاضر </w:t>
            </w:r>
            <w:r>
              <w:rPr>
                <w:rStyle w:val="IndexLink"/>
                <w:rtl w:val="true"/>
              </w:rPr>
              <w:t>(</w:t>
            </w:r>
            <w:r>
              <w:rPr>
                <w:rStyle w:val="IndexLink"/>
                <w:rtl w:val="true"/>
              </w:rPr>
              <w:t>القرن الخامس عشر</w:t>
            </w:r>
            <w:r>
              <w:rPr>
                <w:rStyle w:val="IndexLink"/>
                <w:rtl w:val="true"/>
              </w:rPr>
              <w:t>)</w:t>
              <w:tab/>
            </w:r>
            <w:r>
              <w:rPr>
                <w:rStyle w:val="IndexLink"/>
              </w:rPr>
              <w:t>386</w:t>
            </w:r>
          </w:hyperlink>
        </w:p>
        <w:p>
          <w:pPr>
            <w:pStyle w:val="Contents3"/>
            <w:tabs>
              <w:tab w:val="clear" w:pos="8459"/>
              <w:tab w:val="right" w:pos="9026" w:leader="dot"/>
            </w:tabs>
            <w:rPr/>
          </w:pPr>
          <w:hyperlink w:anchor="__RefHeading___Toc634605_581953129">
            <w:r>
              <w:rPr>
                <w:webHidden/>
                <w:rStyle w:val="IndexLink"/>
                <w:rtl w:val="true"/>
              </w:rPr>
              <w:t>اشارة</w:t>
            </w:r>
            <w:r>
              <w:rPr>
                <w:rStyle w:val="IndexLink"/>
                <w:rtl w:val="true"/>
              </w:rPr>
              <w:tab/>
            </w:r>
            <w:r>
              <w:rPr>
                <w:rStyle w:val="IndexLink"/>
              </w:rPr>
              <w:t>386</w:t>
            </w:r>
          </w:hyperlink>
        </w:p>
        <w:p>
          <w:pPr>
            <w:pStyle w:val="Contents3"/>
            <w:tabs>
              <w:tab w:val="clear" w:pos="8459"/>
              <w:tab w:val="right" w:pos="9026" w:leader="dot"/>
            </w:tabs>
            <w:rPr/>
          </w:pPr>
          <w:hyperlink w:anchor="__RefHeading___Toc634607_581953129">
            <w:r>
              <w:rPr>
                <w:webHidden/>
                <w:rStyle w:val="IndexLink"/>
                <w:rtl w:val="true"/>
              </w:rPr>
              <w:t>الخصوصیات و التطوّرات للتفسیر فی العصر الحاضر</w:t>
            </w:r>
            <w:r>
              <w:rPr>
                <w:rStyle w:val="IndexLink"/>
                <w:rtl w:val="true"/>
              </w:rPr>
              <w:tab/>
            </w:r>
            <w:r>
              <w:rPr>
                <w:rStyle w:val="IndexLink"/>
              </w:rPr>
              <w:t>387</w:t>
            </w:r>
          </w:hyperlink>
        </w:p>
        <w:p>
          <w:pPr>
            <w:pStyle w:val="Contents4"/>
            <w:tabs>
              <w:tab w:val="clear" w:pos="8176"/>
              <w:tab w:val="right" w:pos="9026" w:leader="dot"/>
            </w:tabs>
            <w:rPr/>
          </w:pPr>
          <w:hyperlink w:anchor="__RefHeading___Toc634609_581953129">
            <w:r>
              <w:rPr>
                <w:webHidden/>
                <w:rStyle w:val="IndexLink"/>
                <w:rtl w:val="true"/>
              </w:rPr>
              <w:t>اشارة</w:t>
            </w:r>
            <w:r>
              <w:rPr>
                <w:rStyle w:val="IndexLink"/>
                <w:rtl w:val="true"/>
              </w:rPr>
              <w:tab/>
            </w:r>
            <w:r>
              <w:rPr>
                <w:rStyle w:val="IndexLink"/>
              </w:rPr>
              <w:t>387</w:t>
            </w:r>
          </w:hyperlink>
        </w:p>
        <w:p>
          <w:pPr>
            <w:pStyle w:val="Contents4"/>
            <w:tabs>
              <w:tab w:val="clear" w:pos="8176"/>
              <w:tab w:val="right" w:pos="9026" w:leader="dot"/>
            </w:tabs>
            <w:rPr/>
          </w:pPr>
          <w:hyperlink w:anchor="__RefHeading___Toc634611_581953129">
            <w:r>
              <w:rPr>
                <w:webHidden/>
                <w:rStyle w:val="IndexLink"/>
                <w:rtl w:val="true"/>
              </w:rPr>
              <w:t>التفسیر فی العصر الجدید</w:t>
            </w:r>
            <w:r>
              <w:rPr>
                <w:rStyle w:val="IndexLink"/>
                <w:rtl w:val="true"/>
              </w:rPr>
              <w:tab/>
            </w:r>
            <w:r>
              <w:rPr>
                <w:rStyle w:val="IndexLink"/>
              </w:rPr>
              <w:t>387</w:t>
            </w:r>
          </w:hyperlink>
        </w:p>
        <w:p>
          <w:pPr>
            <w:pStyle w:val="Contents4"/>
            <w:tabs>
              <w:tab w:val="clear" w:pos="8176"/>
              <w:tab w:val="right" w:pos="9026" w:leader="dot"/>
            </w:tabs>
            <w:rPr/>
          </w:pPr>
          <w:hyperlink w:anchor="__RefHeading___Toc634613_581953129">
            <w:r>
              <w:rPr>
                <w:webHidden/>
                <w:rStyle w:val="IndexLink"/>
                <w:rtl w:val="true"/>
              </w:rPr>
              <w:t>خصائص التفسیر فی العصر الحاضر</w:t>
            </w:r>
            <w:r>
              <w:rPr>
                <w:rStyle w:val="IndexLink"/>
                <w:rtl w:val="true"/>
              </w:rPr>
              <w:tab/>
            </w:r>
            <w:r>
              <w:rPr>
                <w:rStyle w:val="IndexLink"/>
              </w:rPr>
              <w:t>388</w:t>
            </w:r>
          </w:hyperlink>
        </w:p>
        <w:p>
          <w:pPr>
            <w:pStyle w:val="Contents4"/>
            <w:tabs>
              <w:tab w:val="clear" w:pos="8176"/>
              <w:tab w:val="right" w:pos="9026" w:leader="dot"/>
            </w:tabs>
            <w:rPr/>
          </w:pPr>
          <w:hyperlink w:anchor="__RefHeading___Toc634615_581953129">
            <w:r>
              <w:rPr>
                <w:webHidden/>
                <w:rStyle w:val="IndexLink"/>
                <w:rtl w:val="true"/>
              </w:rPr>
              <w:t>الأسالیب التفسیریة المختلفة فی العصر الحاضر</w:t>
            </w:r>
            <w:r>
              <w:rPr>
                <w:rStyle w:val="IndexLink"/>
                <w:rtl w:val="true"/>
              </w:rPr>
              <w:tab/>
            </w:r>
            <w:r>
              <w:rPr>
                <w:rStyle w:val="IndexLink"/>
              </w:rPr>
              <w:t>390</w:t>
            </w:r>
          </w:hyperlink>
        </w:p>
        <w:p>
          <w:pPr>
            <w:pStyle w:val="Contents3"/>
            <w:tabs>
              <w:tab w:val="clear" w:pos="8459"/>
              <w:tab w:val="right" w:pos="9026" w:leader="dot"/>
            </w:tabs>
            <w:rPr/>
          </w:pPr>
          <w:hyperlink w:anchor="__RefHeading___Toc634617_581953129">
            <w:r>
              <w:rPr>
                <w:webHidden/>
                <w:rStyle w:val="IndexLink"/>
                <w:rtl w:val="true"/>
              </w:rPr>
              <w:t>النهضة الإصلاحیة و الیقْظة الفکریة</w:t>
            </w:r>
            <w:r>
              <w:rPr>
                <w:rStyle w:val="IndexLink"/>
                <w:rtl w:val="true"/>
              </w:rPr>
              <w:tab/>
            </w:r>
            <w:r>
              <w:rPr>
                <w:rStyle w:val="IndexLink"/>
              </w:rPr>
              <w:t>391</w:t>
            </w:r>
          </w:hyperlink>
        </w:p>
        <w:p>
          <w:pPr>
            <w:pStyle w:val="Contents3"/>
            <w:tabs>
              <w:tab w:val="clear" w:pos="8459"/>
              <w:tab w:val="right" w:pos="9026" w:leader="dot"/>
            </w:tabs>
            <w:rPr/>
          </w:pPr>
          <w:hyperlink w:anchor="__RefHeading___Toc634619_581953129">
            <w:r>
              <w:rPr>
                <w:webHidden/>
                <w:rStyle w:val="IndexLink"/>
                <w:rtl w:val="true"/>
              </w:rPr>
              <w:t>السنّة و النزعة التجدیدیة فی التفاسیر المعاصرة</w:t>
            </w:r>
            <w:r>
              <w:rPr>
                <w:rStyle w:val="IndexLink"/>
                <w:rtl w:val="true"/>
              </w:rPr>
              <w:tab/>
            </w:r>
            <w:r>
              <w:rPr>
                <w:rStyle w:val="IndexLink"/>
              </w:rPr>
              <w:t>392</w:t>
            </w:r>
          </w:hyperlink>
        </w:p>
        <w:p>
          <w:pPr>
            <w:pStyle w:val="Contents3"/>
            <w:tabs>
              <w:tab w:val="clear" w:pos="8459"/>
              <w:tab w:val="right" w:pos="9026" w:leader="dot"/>
            </w:tabs>
            <w:rPr/>
          </w:pPr>
          <w:hyperlink w:anchor="__RefHeading___Toc634621_581953129">
            <w:r>
              <w:rPr>
                <w:webHidden/>
                <w:rStyle w:val="IndexLink"/>
                <w:rtl w:val="true"/>
              </w:rPr>
              <w:t>التفسیر البیانی فی العصر الجدید</w:t>
            </w:r>
            <w:r>
              <w:rPr>
                <w:rStyle w:val="IndexLink"/>
                <w:rtl w:val="true"/>
              </w:rPr>
              <w:tab/>
            </w:r>
            <w:r>
              <w:rPr>
                <w:rStyle w:val="IndexLink"/>
              </w:rPr>
              <w:t>393</w:t>
            </w:r>
          </w:hyperlink>
        </w:p>
        <w:p>
          <w:pPr>
            <w:pStyle w:val="Contents3"/>
            <w:tabs>
              <w:tab w:val="clear" w:pos="8459"/>
              <w:tab w:val="right" w:pos="9026" w:leader="dot"/>
            </w:tabs>
            <w:rPr/>
          </w:pPr>
          <w:hyperlink w:anchor="__RefHeading___Toc634623_581953129">
            <w:r>
              <w:rPr>
                <w:webHidden/>
                <w:rStyle w:val="IndexLink"/>
                <w:rtl w:val="true"/>
              </w:rPr>
              <w:t>مراحل التفسیر البیانی بشکله الجدید</w:t>
            </w:r>
            <w:r>
              <w:rPr>
                <w:rStyle w:val="IndexLink"/>
                <w:rtl w:val="true"/>
              </w:rPr>
              <w:tab/>
            </w:r>
            <w:r>
              <w:rPr>
                <w:rStyle w:val="IndexLink"/>
              </w:rPr>
              <w:t>393</w:t>
            </w:r>
          </w:hyperlink>
        </w:p>
        <w:p>
          <w:pPr>
            <w:pStyle w:val="Contents3"/>
            <w:tabs>
              <w:tab w:val="clear" w:pos="8459"/>
              <w:tab w:val="right" w:pos="9026" w:leader="dot"/>
            </w:tabs>
            <w:rPr/>
          </w:pPr>
          <w:hyperlink w:anchor="__RefHeading___Toc634625_581953129">
            <w:r>
              <w:rPr>
                <w:webHidden/>
                <w:rStyle w:val="IndexLink"/>
                <w:rtl w:val="true"/>
              </w:rPr>
              <w:t>التعریف بالمفسّرین بالأسلوب البیانی فی العصر الجدید</w:t>
            </w:r>
            <w:r>
              <w:rPr>
                <w:rStyle w:val="IndexLink"/>
                <w:rtl w:val="true"/>
              </w:rPr>
              <w:tab/>
            </w:r>
            <w:r>
              <w:rPr>
                <w:rStyle w:val="IndexLink"/>
              </w:rPr>
              <w:t>395</w:t>
            </w:r>
          </w:hyperlink>
        </w:p>
        <w:p>
          <w:pPr>
            <w:pStyle w:val="Contents3"/>
            <w:tabs>
              <w:tab w:val="clear" w:pos="8459"/>
              <w:tab w:val="right" w:pos="9026" w:leader="dot"/>
            </w:tabs>
            <w:rPr/>
          </w:pPr>
          <w:hyperlink w:anchor="__RefHeading___Toc634627_581953129">
            <w:r>
              <w:rPr>
                <w:webHidden/>
                <w:rStyle w:val="IndexLink"/>
                <w:rtl w:val="true"/>
              </w:rPr>
              <w:t>التفسیر الترتیبی المطابق لترتیب النزول</w:t>
            </w:r>
            <w:r>
              <w:rPr>
                <w:rStyle w:val="IndexLink"/>
                <w:rtl w:val="true"/>
              </w:rPr>
              <w:tab/>
            </w:r>
            <w:r>
              <w:rPr>
                <w:rStyle w:val="IndexLink"/>
              </w:rPr>
              <w:t>395</w:t>
            </w:r>
          </w:hyperlink>
        </w:p>
        <w:p>
          <w:pPr>
            <w:pStyle w:val="Contents3"/>
            <w:tabs>
              <w:tab w:val="clear" w:pos="8459"/>
              <w:tab w:val="right" w:pos="9026" w:leader="dot"/>
            </w:tabs>
            <w:rPr/>
          </w:pPr>
          <w:hyperlink w:anchor="__RefHeading___Toc634629_581953129">
            <w:r>
              <w:rPr>
                <w:webHidden/>
                <w:rStyle w:val="IndexLink"/>
                <w:rtl w:val="true"/>
              </w:rPr>
              <w:t>التفاسیر العلمیة</w:t>
            </w:r>
            <w:r>
              <w:rPr>
                <w:rStyle w:val="IndexLink"/>
                <w:rtl w:val="true"/>
              </w:rPr>
              <w:tab/>
            </w:r>
            <w:r>
              <w:rPr>
                <w:rStyle w:val="IndexLink"/>
              </w:rPr>
              <w:t>397</w:t>
            </w:r>
          </w:hyperlink>
        </w:p>
        <w:p>
          <w:pPr>
            <w:pStyle w:val="Contents3"/>
            <w:tabs>
              <w:tab w:val="clear" w:pos="8459"/>
              <w:tab w:val="right" w:pos="9026" w:leader="dot"/>
            </w:tabs>
            <w:rPr/>
          </w:pPr>
          <w:hyperlink w:anchor="__RefHeading___Toc634631_581953129">
            <w:r>
              <w:rPr>
                <w:webHidden/>
                <w:rStyle w:val="IndexLink"/>
                <w:rtl w:val="true"/>
              </w:rPr>
              <w:t>سائر التفاسیر العلمیة للقرآن الکریم</w:t>
            </w:r>
            <w:r>
              <w:rPr>
                <w:rStyle w:val="IndexLink"/>
                <w:rtl w:val="true"/>
              </w:rPr>
              <w:tab/>
            </w:r>
            <w:r>
              <w:rPr>
                <w:rStyle w:val="IndexLink"/>
              </w:rPr>
              <w:t>398</w:t>
            </w:r>
          </w:hyperlink>
        </w:p>
        <w:p>
          <w:pPr>
            <w:pStyle w:val="Contents3"/>
            <w:tabs>
              <w:tab w:val="clear" w:pos="8459"/>
              <w:tab w:val="right" w:pos="9026" w:leader="dot"/>
            </w:tabs>
            <w:rPr/>
          </w:pPr>
          <w:hyperlink w:anchor="__RefHeading___Toc634633_581953129">
            <w:r>
              <w:rPr>
                <w:webHidden/>
                <w:rStyle w:val="IndexLink"/>
                <w:rtl w:val="true"/>
              </w:rPr>
              <w:t xml:space="preserve">التفاسیر الفقهیة فی القرن </w:t>
            </w:r>
            <w:r>
              <w:rPr>
                <w:rStyle w:val="IndexLink"/>
              </w:rPr>
              <w:t>14</w:t>
            </w:r>
            <w:r>
              <w:rPr>
                <w:rStyle w:val="IndexLink"/>
                <w:rtl w:val="true"/>
              </w:rPr>
              <w:t>ق</w:t>
            </w:r>
            <w:r>
              <w:rPr>
                <w:rStyle w:val="IndexLink"/>
                <w:rtl w:val="true"/>
              </w:rPr>
              <w:tab/>
            </w:r>
            <w:r>
              <w:rPr>
                <w:rStyle w:val="IndexLink"/>
              </w:rPr>
              <w:t>399</w:t>
            </w:r>
          </w:hyperlink>
        </w:p>
        <w:p>
          <w:pPr>
            <w:pStyle w:val="Contents3"/>
            <w:tabs>
              <w:tab w:val="clear" w:pos="8459"/>
              <w:tab w:val="right" w:pos="9026" w:leader="dot"/>
            </w:tabs>
            <w:rPr/>
          </w:pPr>
          <w:hyperlink w:anchor="__RefHeading___Toc634635_581953129">
            <w:r>
              <w:rPr>
                <w:webHidden/>
                <w:rStyle w:val="IndexLink"/>
                <w:rtl w:val="true"/>
              </w:rPr>
              <w:t>تفاسیر الشیعة</w:t>
            </w:r>
            <w:r>
              <w:rPr>
                <w:rStyle w:val="IndexLink"/>
                <w:rtl w:val="true"/>
              </w:rPr>
              <w:tab/>
            </w:r>
            <w:r>
              <w:rPr>
                <w:rStyle w:val="IndexLink"/>
              </w:rPr>
              <w:t>401</w:t>
            </w:r>
          </w:hyperlink>
        </w:p>
        <w:p>
          <w:pPr>
            <w:pStyle w:val="Contents4"/>
            <w:tabs>
              <w:tab w:val="clear" w:pos="8176"/>
              <w:tab w:val="right" w:pos="9026" w:leader="dot"/>
            </w:tabs>
            <w:rPr/>
          </w:pPr>
          <w:hyperlink w:anchor="__RefHeading___Toc634637_581953129">
            <w:r>
              <w:rPr>
                <w:webHidden/>
                <w:rStyle w:val="IndexLink"/>
              </w:rPr>
              <w:t>1</w:t>
            </w:r>
            <w:r>
              <w:rPr>
                <w:rStyle w:val="IndexLink"/>
                <w:rtl w:val="true"/>
              </w:rPr>
              <w:t xml:space="preserve">. </w:t>
            </w:r>
            <w:r>
              <w:rPr>
                <w:rStyle w:val="IndexLink"/>
                <w:rtl w:val="true"/>
              </w:rPr>
              <w:t>پرتوی از قرآن، أی</w:t>
            </w:r>
            <w:r>
              <w:rPr>
                <w:rStyle w:val="IndexLink"/>
                <w:rtl w:val="true"/>
              </w:rPr>
              <w:t xml:space="preserve">: </w:t>
            </w:r>
            <w:r>
              <w:rPr>
                <w:rStyle w:val="IndexLink"/>
                <w:rtl w:val="true"/>
              </w:rPr>
              <w:t>من سناء القرآن</w:t>
            </w:r>
            <w:r>
              <w:rPr>
                <w:rStyle w:val="IndexLink"/>
                <w:rtl w:val="true"/>
              </w:rPr>
              <w:t>.</w:t>
              <w:tab/>
            </w:r>
            <w:r>
              <w:rPr>
                <w:rStyle w:val="IndexLink"/>
              </w:rPr>
              <w:t>401</w:t>
            </w:r>
          </w:hyperlink>
        </w:p>
        <w:p>
          <w:pPr>
            <w:pStyle w:val="Contents4"/>
            <w:tabs>
              <w:tab w:val="clear" w:pos="8176"/>
              <w:tab w:val="right" w:pos="9026" w:leader="dot"/>
            </w:tabs>
            <w:rPr/>
          </w:pPr>
          <w:hyperlink w:anchor="__RefHeading___Toc634639_581953129">
            <w:r>
              <w:rPr>
                <w:webHidden/>
                <w:rStyle w:val="IndexLink"/>
              </w:rPr>
              <w:t>2</w:t>
            </w:r>
            <w:r>
              <w:rPr>
                <w:rStyle w:val="IndexLink"/>
                <w:rtl w:val="true"/>
              </w:rPr>
              <w:t xml:space="preserve">. </w:t>
            </w:r>
            <w:r>
              <w:rPr>
                <w:rStyle w:val="IndexLink"/>
                <w:rtl w:val="true"/>
              </w:rPr>
              <w:t>القرآن و العقل</w:t>
            </w:r>
            <w:r>
              <w:rPr>
                <w:rStyle w:val="IndexLink"/>
                <w:rtl w:val="true"/>
              </w:rPr>
              <w:tab/>
            </w:r>
            <w:r>
              <w:rPr>
                <w:rStyle w:val="IndexLink"/>
              </w:rPr>
              <w:t>401</w:t>
            </w:r>
          </w:hyperlink>
        </w:p>
        <w:p>
          <w:pPr>
            <w:pStyle w:val="Contents4"/>
            <w:tabs>
              <w:tab w:val="clear" w:pos="8176"/>
              <w:tab w:val="right" w:pos="9026" w:leader="dot"/>
            </w:tabs>
            <w:rPr/>
          </w:pPr>
          <w:hyperlink w:anchor="__RefHeading___Toc634641_581953129">
            <w:r>
              <w:rPr>
                <w:webHidden/>
                <w:rStyle w:val="IndexLink"/>
              </w:rPr>
              <w:t>3</w:t>
            </w:r>
            <w:r>
              <w:rPr>
                <w:rStyle w:val="IndexLink"/>
                <w:rtl w:val="true"/>
              </w:rPr>
              <w:t xml:space="preserve">. </w:t>
            </w:r>
            <w:r>
              <w:rPr>
                <w:rStyle w:val="IndexLink"/>
                <w:rtl w:val="true"/>
              </w:rPr>
              <w:t>بیان السعادة فی مقامات العبادة</w:t>
            </w:r>
            <w:r>
              <w:rPr>
                <w:rStyle w:val="IndexLink"/>
                <w:rtl w:val="true"/>
              </w:rPr>
              <w:tab/>
            </w:r>
            <w:r>
              <w:rPr>
                <w:rStyle w:val="IndexLink"/>
              </w:rPr>
              <w:t>403</w:t>
            </w:r>
          </w:hyperlink>
        </w:p>
        <w:p>
          <w:pPr>
            <w:pStyle w:val="Contents4"/>
            <w:tabs>
              <w:tab w:val="clear" w:pos="8176"/>
              <w:tab w:val="right" w:pos="9026" w:leader="dot"/>
            </w:tabs>
            <w:rPr/>
          </w:pPr>
          <w:hyperlink w:anchor="__RefHeading___Toc634643_581953129">
            <w:r>
              <w:rPr>
                <w:webHidden/>
                <w:rStyle w:val="IndexLink"/>
              </w:rPr>
              <w:t>4</w:t>
            </w:r>
            <w:r>
              <w:rPr>
                <w:rStyle w:val="IndexLink"/>
                <w:rtl w:val="true"/>
              </w:rPr>
              <w:t xml:space="preserve">. </w:t>
            </w:r>
            <w:r>
              <w:rPr>
                <w:rStyle w:val="IndexLink"/>
                <w:rtl w:val="true"/>
              </w:rPr>
              <w:t>آلاء الرحمن فی تفسیر القرآن</w:t>
            </w:r>
            <w:r>
              <w:rPr>
                <w:rStyle w:val="IndexLink"/>
                <w:rtl w:val="true"/>
              </w:rPr>
              <w:tab/>
            </w:r>
            <w:r>
              <w:rPr>
                <w:rStyle w:val="IndexLink"/>
              </w:rPr>
              <w:t>403</w:t>
            </w:r>
          </w:hyperlink>
        </w:p>
        <w:p>
          <w:pPr>
            <w:pStyle w:val="Contents4"/>
            <w:tabs>
              <w:tab w:val="clear" w:pos="8176"/>
              <w:tab w:val="right" w:pos="9026" w:leader="dot"/>
            </w:tabs>
            <w:rPr/>
          </w:pPr>
          <w:hyperlink w:anchor="__RefHeading___Toc634645_581953129">
            <w:r>
              <w:rPr>
                <w:webHidden/>
                <w:rStyle w:val="IndexLink"/>
              </w:rPr>
              <w:t>5</w:t>
            </w:r>
            <w:r>
              <w:rPr>
                <w:rStyle w:val="IndexLink"/>
                <w:rtl w:val="true"/>
              </w:rPr>
              <w:t xml:space="preserve">. </w:t>
            </w:r>
            <w:r>
              <w:rPr>
                <w:rStyle w:val="IndexLink"/>
                <w:rtl w:val="true"/>
              </w:rPr>
              <w:t>سائر تفاسیر الشیعة فی القرن الرابع عشر</w:t>
            </w:r>
            <w:r>
              <w:rPr>
                <w:rStyle w:val="IndexLink"/>
                <w:rtl w:val="true"/>
              </w:rPr>
              <w:tab/>
            </w:r>
            <w:r>
              <w:rPr>
                <w:rStyle w:val="IndexLink"/>
              </w:rPr>
              <w:t>404</w:t>
            </w:r>
          </w:hyperlink>
        </w:p>
        <w:p>
          <w:pPr>
            <w:pStyle w:val="Contents3"/>
            <w:tabs>
              <w:tab w:val="clear" w:pos="8459"/>
              <w:tab w:val="right" w:pos="9026" w:leader="dot"/>
            </w:tabs>
            <w:rPr/>
          </w:pPr>
          <w:hyperlink w:anchor="__RefHeading___Toc634647_581953129">
            <w:r>
              <w:rPr>
                <w:webHidden/>
                <w:rStyle w:val="IndexLink"/>
                <w:rtl w:val="true"/>
              </w:rPr>
              <w:t>أهمُّ تفاسیر أهل السُنّة فی القرن ال</w:t>
            </w:r>
            <w:r>
              <w:rPr>
                <w:rStyle w:val="IndexLink"/>
                <w:rtl w:val="true"/>
              </w:rPr>
              <w:t>-</w:t>
            </w:r>
            <w:r>
              <w:rPr>
                <w:rStyle w:val="IndexLink"/>
              </w:rPr>
              <w:t>14</w:t>
            </w:r>
            <w:r>
              <w:rPr>
                <w:rStyle w:val="IndexLink"/>
                <w:rtl w:val="true"/>
              </w:rPr>
              <w:t>ق</w:t>
            </w:r>
            <w:r>
              <w:rPr>
                <w:rStyle w:val="IndexLink"/>
                <w:rtl w:val="true"/>
              </w:rPr>
              <w:tab/>
            </w:r>
            <w:r>
              <w:rPr>
                <w:rStyle w:val="IndexLink"/>
              </w:rPr>
              <w:t>407</w:t>
            </w:r>
          </w:hyperlink>
        </w:p>
        <w:p>
          <w:pPr>
            <w:pStyle w:val="Contents4"/>
            <w:tabs>
              <w:tab w:val="clear" w:pos="8176"/>
              <w:tab w:val="right" w:pos="9026" w:leader="dot"/>
            </w:tabs>
            <w:rPr/>
          </w:pPr>
          <w:hyperlink w:anchor="__RefHeading___Toc634649_581953129">
            <w:r>
              <w:rPr>
                <w:webHidden/>
                <w:rStyle w:val="IndexLink"/>
              </w:rPr>
              <w:t>1</w:t>
            </w:r>
            <w:r>
              <w:rPr>
                <w:rStyle w:val="IndexLink"/>
                <w:rtl w:val="true"/>
              </w:rPr>
              <w:t xml:space="preserve">. </w:t>
            </w:r>
            <w:r>
              <w:rPr>
                <w:rStyle w:val="IndexLink"/>
                <w:rtl w:val="true"/>
              </w:rPr>
              <w:t>فی ظلال القرآن</w:t>
            </w:r>
            <w:r>
              <w:rPr>
                <w:rStyle w:val="IndexLink"/>
                <w:rtl w:val="true"/>
              </w:rPr>
              <w:t>:</w:t>
              <w:tab/>
            </w:r>
            <w:r>
              <w:rPr>
                <w:rStyle w:val="IndexLink"/>
              </w:rPr>
              <w:t>407</w:t>
            </w:r>
          </w:hyperlink>
        </w:p>
        <w:p>
          <w:pPr>
            <w:pStyle w:val="Contents4"/>
            <w:tabs>
              <w:tab w:val="clear" w:pos="8176"/>
              <w:tab w:val="right" w:pos="9026" w:leader="dot"/>
            </w:tabs>
            <w:rPr/>
          </w:pPr>
          <w:hyperlink w:anchor="__RefHeading___Toc634651_581953129">
            <w:r>
              <w:rPr>
                <w:webHidden/>
                <w:rStyle w:val="IndexLink"/>
              </w:rPr>
              <w:t>2</w:t>
            </w:r>
            <w:r>
              <w:rPr>
                <w:rStyle w:val="IndexLink"/>
                <w:rtl w:val="true"/>
              </w:rPr>
              <w:t xml:space="preserve">. </w:t>
            </w:r>
            <w:r>
              <w:rPr>
                <w:rStyle w:val="IndexLink"/>
                <w:rtl w:val="true"/>
              </w:rPr>
              <w:t xml:space="preserve">المنار </w:t>
            </w:r>
            <w:r>
              <w:rPr>
                <w:rStyle w:val="IndexLink"/>
                <w:rtl w:val="true"/>
              </w:rPr>
              <w:t>(</w:t>
            </w:r>
            <w:r>
              <w:rPr>
                <w:rStyle w:val="IndexLink"/>
                <w:rtl w:val="true"/>
              </w:rPr>
              <w:t>تفسیر القرآن الکریم</w:t>
            </w:r>
            <w:r>
              <w:rPr>
                <w:rStyle w:val="IndexLink"/>
                <w:rtl w:val="true"/>
              </w:rPr>
              <w:t>)</w:t>
              <w:tab/>
            </w:r>
            <w:r>
              <w:rPr>
                <w:rStyle w:val="IndexLink"/>
              </w:rPr>
              <w:t>407</w:t>
            </w:r>
          </w:hyperlink>
        </w:p>
        <w:p>
          <w:pPr>
            <w:pStyle w:val="Contents4"/>
            <w:tabs>
              <w:tab w:val="clear" w:pos="8176"/>
              <w:tab w:val="right" w:pos="9026" w:leader="dot"/>
            </w:tabs>
            <w:rPr/>
          </w:pPr>
          <w:hyperlink w:anchor="__RefHeading___Toc634653_581953129">
            <w:r>
              <w:rPr>
                <w:webHidden/>
                <w:rStyle w:val="IndexLink"/>
              </w:rPr>
              <w:t>3</w:t>
            </w:r>
            <w:r>
              <w:rPr>
                <w:rStyle w:val="IndexLink"/>
                <w:rtl w:val="true"/>
              </w:rPr>
              <w:t xml:space="preserve">. </w:t>
            </w:r>
            <w:r>
              <w:rPr>
                <w:rStyle w:val="IndexLink"/>
                <w:rtl w:val="true"/>
              </w:rPr>
              <w:t xml:space="preserve">تفسیر القاسمی </w:t>
            </w:r>
            <w:r>
              <w:rPr>
                <w:rStyle w:val="IndexLink"/>
                <w:rtl w:val="true"/>
              </w:rPr>
              <w:t>(</w:t>
            </w:r>
            <w:r>
              <w:rPr>
                <w:rStyle w:val="IndexLink"/>
                <w:rtl w:val="true"/>
              </w:rPr>
              <w:t>محاسن التأویل</w:t>
            </w:r>
            <w:r>
              <w:rPr>
                <w:rStyle w:val="IndexLink"/>
                <w:rtl w:val="true"/>
              </w:rPr>
              <w:t>)</w:t>
              <w:tab/>
            </w:r>
            <w:r>
              <w:rPr>
                <w:rStyle w:val="IndexLink"/>
              </w:rPr>
              <w:t>409</w:t>
            </w:r>
          </w:hyperlink>
        </w:p>
        <w:p>
          <w:pPr>
            <w:pStyle w:val="Contents4"/>
            <w:tabs>
              <w:tab w:val="clear" w:pos="8176"/>
              <w:tab w:val="right" w:pos="9026" w:leader="dot"/>
            </w:tabs>
            <w:rPr/>
          </w:pPr>
          <w:hyperlink w:anchor="__RefHeading___Toc634655_581953129">
            <w:r>
              <w:rPr>
                <w:webHidden/>
                <w:rStyle w:val="IndexLink"/>
              </w:rPr>
              <w:t>4</w:t>
            </w:r>
            <w:r>
              <w:rPr>
                <w:rStyle w:val="IndexLink"/>
                <w:rtl w:val="true"/>
              </w:rPr>
              <w:t xml:space="preserve">. </w:t>
            </w:r>
            <w:r>
              <w:rPr>
                <w:rStyle w:val="IndexLink"/>
                <w:rtl w:val="true"/>
              </w:rPr>
              <w:t>تفسیر المراغی</w:t>
            </w:r>
            <w:r>
              <w:rPr>
                <w:rStyle w:val="IndexLink"/>
                <w:rtl w:val="true"/>
              </w:rPr>
              <w:tab/>
            </w:r>
            <w:r>
              <w:rPr>
                <w:rStyle w:val="IndexLink"/>
              </w:rPr>
              <w:t>410</w:t>
            </w:r>
          </w:hyperlink>
        </w:p>
        <w:p>
          <w:pPr>
            <w:pStyle w:val="Contents4"/>
            <w:tabs>
              <w:tab w:val="clear" w:pos="8176"/>
              <w:tab w:val="right" w:pos="9026" w:leader="dot"/>
            </w:tabs>
            <w:rPr/>
          </w:pPr>
          <w:hyperlink w:anchor="__RefHeading___Toc634657_581953129">
            <w:r>
              <w:rPr>
                <w:webHidden/>
                <w:rStyle w:val="IndexLink"/>
              </w:rPr>
              <w:t>5</w:t>
            </w:r>
            <w:r>
              <w:rPr>
                <w:rStyle w:val="IndexLink"/>
                <w:rtl w:val="true"/>
              </w:rPr>
              <w:t xml:space="preserve">. </w:t>
            </w:r>
            <w:r>
              <w:rPr>
                <w:rStyle w:val="IndexLink"/>
                <w:rtl w:val="true"/>
              </w:rPr>
              <w:t>أضواء البیان فی إیضاح القرآن بالقرآن</w:t>
            </w:r>
            <w:r>
              <w:rPr>
                <w:rStyle w:val="IndexLink"/>
                <w:rtl w:val="true"/>
              </w:rPr>
              <w:tab/>
            </w:r>
            <w:r>
              <w:rPr>
                <w:rStyle w:val="IndexLink"/>
              </w:rPr>
              <w:t>412</w:t>
            </w:r>
          </w:hyperlink>
        </w:p>
        <w:p>
          <w:pPr>
            <w:pStyle w:val="Contents4"/>
            <w:tabs>
              <w:tab w:val="clear" w:pos="8176"/>
              <w:tab w:val="right" w:pos="9026" w:leader="dot"/>
            </w:tabs>
            <w:rPr/>
          </w:pPr>
          <w:hyperlink w:anchor="__RefHeading___Toc634659_581953129">
            <w:r>
              <w:rPr>
                <w:webHidden/>
                <w:rStyle w:val="IndexLink"/>
              </w:rPr>
              <w:t>6</w:t>
            </w:r>
            <w:r>
              <w:rPr>
                <w:rStyle w:val="IndexLink"/>
                <w:rtl w:val="true"/>
              </w:rPr>
              <w:t xml:space="preserve">. </w:t>
            </w:r>
            <w:r>
              <w:rPr>
                <w:rStyle w:val="IndexLink"/>
                <w:rtl w:val="true"/>
              </w:rPr>
              <w:t>التفسیر القرآنی للقرآن الکریم</w:t>
            </w:r>
            <w:r>
              <w:rPr>
                <w:rStyle w:val="IndexLink"/>
                <w:rtl w:val="true"/>
              </w:rPr>
              <w:tab/>
            </w:r>
            <w:r>
              <w:rPr>
                <w:rStyle w:val="IndexLink"/>
              </w:rPr>
              <w:t>412</w:t>
            </w:r>
          </w:hyperlink>
        </w:p>
        <w:p>
          <w:pPr>
            <w:pStyle w:val="Contents4"/>
            <w:tabs>
              <w:tab w:val="clear" w:pos="8176"/>
              <w:tab w:val="right" w:pos="9026" w:leader="dot"/>
            </w:tabs>
            <w:rPr/>
          </w:pPr>
          <w:hyperlink w:anchor="__RefHeading___Toc634661_581953129">
            <w:r>
              <w:rPr>
                <w:webHidden/>
                <w:rStyle w:val="IndexLink"/>
              </w:rPr>
              <w:t>7</w:t>
            </w:r>
            <w:r>
              <w:rPr>
                <w:rStyle w:val="IndexLink"/>
                <w:rtl w:val="true"/>
              </w:rPr>
              <w:t xml:space="preserve">. </w:t>
            </w:r>
            <w:r>
              <w:rPr>
                <w:rStyle w:val="IndexLink"/>
                <w:rtl w:val="true"/>
              </w:rPr>
              <w:t>التحریر و التنویر</w:t>
            </w:r>
            <w:r>
              <w:rPr>
                <w:rStyle w:val="IndexLink"/>
                <w:rtl w:val="true"/>
              </w:rPr>
              <w:tab/>
            </w:r>
            <w:r>
              <w:rPr>
                <w:rStyle w:val="IndexLink"/>
              </w:rPr>
              <w:t>413</w:t>
            </w:r>
          </w:hyperlink>
        </w:p>
        <w:p>
          <w:pPr>
            <w:pStyle w:val="Contents4"/>
            <w:tabs>
              <w:tab w:val="clear" w:pos="8176"/>
              <w:tab w:val="right" w:pos="9026" w:leader="dot"/>
            </w:tabs>
            <w:rPr/>
          </w:pPr>
          <w:hyperlink w:anchor="__RefHeading___Toc634663_581953129">
            <w:r>
              <w:rPr>
                <w:webHidden/>
                <w:rStyle w:val="IndexLink"/>
              </w:rPr>
              <w:t>8</w:t>
            </w:r>
            <w:r>
              <w:rPr>
                <w:rStyle w:val="IndexLink"/>
                <w:rtl w:val="true"/>
              </w:rPr>
              <w:t xml:space="preserve">. </w:t>
            </w:r>
            <w:r>
              <w:rPr>
                <w:rStyle w:val="IndexLink"/>
                <w:rtl w:val="true"/>
              </w:rPr>
              <w:t>زهرة التفاسیر</w:t>
            </w:r>
            <w:r>
              <w:rPr>
                <w:rStyle w:val="IndexLink"/>
                <w:rtl w:val="true"/>
              </w:rPr>
              <w:tab/>
            </w:r>
            <w:r>
              <w:rPr>
                <w:rStyle w:val="IndexLink"/>
              </w:rPr>
              <w:t>416</w:t>
            </w:r>
          </w:hyperlink>
        </w:p>
        <w:p>
          <w:pPr>
            <w:pStyle w:val="Contents3"/>
            <w:tabs>
              <w:tab w:val="clear" w:pos="8459"/>
              <w:tab w:val="right" w:pos="9026" w:leader="dot"/>
            </w:tabs>
            <w:rPr/>
          </w:pPr>
          <w:hyperlink w:anchor="__RefHeading___Toc634665_581953129">
            <w:r>
              <w:rPr>
                <w:webHidden/>
                <w:rStyle w:val="IndexLink"/>
                <w:rtl w:val="true"/>
              </w:rPr>
              <w:t>سائر تفاسیر أهل السُنّة فی القرن ال</w:t>
            </w:r>
            <w:r>
              <w:rPr>
                <w:rStyle w:val="IndexLink"/>
                <w:rtl w:val="true"/>
              </w:rPr>
              <w:t>-</w:t>
            </w:r>
            <w:r>
              <w:rPr>
                <w:rStyle w:val="IndexLink"/>
              </w:rPr>
              <w:t>14</w:t>
            </w:r>
            <w:r>
              <w:rPr>
                <w:rStyle w:val="IndexLink"/>
                <w:rtl w:val="true"/>
              </w:rPr>
              <w:t>ق</w:t>
            </w:r>
            <w:r>
              <w:rPr>
                <w:rStyle w:val="IndexLink"/>
                <w:rtl w:val="true"/>
              </w:rPr>
              <w:tab/>
            </w:r>
            <w:r>
              <w:rPr>
                <w:rStyle w:val="IndexLink"/>
              </w:rPr>
              <w:t>417</w:t>
            </w:r>
          </w:hyperlink>
        </w:p>
        <w:p>
          <w:pPr>
            <w:pStyle w:val="Contents2"/>
            <w:tabs>
              <w:tab w:val="clear" w:pos="8743"/>
              <w:tab w:val="right" w:pos="9026" w:leader="dot"/>
            </w:tabs>
            <w:rPr/>
          </w:pPr>
          <w:hyperlink w:anchor="__RefHeading___Toc634667_581953129">
            <w:r>
              <w:rPr>
                <w:webHidden/>
                <w:rStyle w:val="IndexLink"/>
              </w:rPr>
              <w:t>15</w:t>
            </w:r>
            <w:r>
              <w:rPr>
                <w:rStyle w:val="IndexLink"/>
                <w:rtl w:val="true"/>
              </w:rPr>
              <w:t xml:space="preserve">- </w:t>
            </w:r>
            <w:r>
              <w:rPr>
                <w:rStyle w:val="IndexLink"/>
                <w:rtl w:val="true"/>
              </w:rPr>
              <w:t>الدرس الخامس عشر</w:t>
            </w:r>
            <w:r>
              <w:rPr>
                <w:rStyle w:val="IndexLink"/>
                <w:rtl w:val="true"/>
              </w:rPr>
              <w:tab/>
            </w:r>
            <w:r>
              <w:rPr>
                <w:rStyle w:val="IndexLink"/>
              </w:rPr>
              <w:t>419</w:t>
            </w:r>
          </w:hyperlink>
        </w:p>
        <w:p>
          <w:pPr>
            <w:pStyle w:val="Contents3"/>
            <w:tabs>
              <w:tab w:val="clear" w:pos="8459"/>
              <w:tab w:val="right" w:pos="9026" w:leader="dot"/>
            </w:tabs>
            <w:rPr/>
          </w:pPr>
          <w:hyperlink w:anchor="__RefHeading___Toc634669_581953129">
            <w:r>
              <w:rPr>
                <w:webHidden/>
                <w:rStyle w:val="IndexLink"/>
                <w:rtl w:val="true"/>
              </w:rPr>
              <w:t>اشارة</w:t>
            </w:r>
            <w:r>
              <w:rPr>
                <w:rStyle w:val="IndexLink"/>
                <w:rtl w:val="true"/>
              </w:rPr>
              <w:tab/>
            </w:r>
            <w:r>
              <w:rPr>
                <w:rStyle w:val="IndexLink"/>
              </w:rPr>
              <w:t>419</w:t>
            </w:r>
          </w:hyperlink>
        </w:p>
        <w:p>
          <w:pPr>
            <w:pStyle w:val="Contents3"/>
            <w:tabs>
              <w:tab w:val="clear" w:pos="8459"/>
              <w:tab w:val="right" w:pos="9026" w:leader="dot"/>
            </w:tabs>
            <w:rPr/>
          </w:pPr>
          <w:hyperlink w:anchor="__RefHeading___Toc634671_581953129">
            <w:r>
              <w:rPr>
                <w:webHidden/>
                <w:rStyle w:val="IndexLink"/>
                <w:rtl w:val="true"/>
              </w:rPr>
              <w:t>مفهوم التفسیر العصری</w:t>
            </w:r>
            <w:r>
              <w:rPr>
                <w:rStyle w:val="IndexLink"/>
                <w:rtl w:val="true"/>
              </w:rPr>
              <w:tab/>
            </w:r>
            <w:r>
              <w:rPr>
                <w:rStyle w:val="IndexLink"/>
              </w:rPr>
              <w:t>420</w:t>
            </w:r>
          </w:hyperlink>
        </w:p>
        <w:p>
          <w:pPr>
            <w:pStyle w:val="Contents3"/>
            <w:tabs>
              <w:tab w:val="clear" w:pos="8459"/>
              <w:tab w:val="right" w:pos="9026" w:leader="dot"/>
            </w:tabs>
            <w:rPr/>
          </w:pPr>
          <w:hyperlink w:anchor="__RefHeading___Toc634673_581953129">
            <w:r>
              <w:rPr>
                <w:webHidden/>
                <w:rStyle w:val="IndexLink"/>
                <w:rtl w:val="true"/>
              </w:rPr>
              <w:t>خصوصیات التفسیر العصری</w:t>
            </w:r>
            <w:r>
              <w:rPr>
                <w:rStyle w:val="IndexLink"/>
                <w:rtl w:val="true"/>
              </w:rPr>
              <w:tab/>
            </w:r>
            <w:r>
              <w:rPr>
                <w:rStyle w:val="IndexLink"/>
              </w:rPr>
              <w:t>421</w:t>
            </w:r>
          </w:hyperlink>
        </w:p>
        <w:p>
          <w:pPr>
            <w:pStyle w:val="Contents4"/>
            <w:tabs>
              <w:tab w:val="clear" w:pos="8176"/>
              <w:tab w:val="right" w:pos="9026" w:leader="dot"/>
            </w:tabs>
            <w:rPr/>
          </w:pPr>
          <w:hyperlink w:anchor="__RefHeading___Toc634675_581953129">
            <w:r>
              <w:rPr>
                <w:webHidden/>
                <w:rStyle w:val="IndexLink"/>
                <w:rtl w:val="true"/>
              </w:rPr>
              <w:t>اشارة</w:t>
            </w:r>
            <w:r>
              <w:rPr>
                <w:rStyle w:val="IndexLink"/>
                <w:rtl w:val="true"/>
              </w:rPr>
              <w:tab/>
            </w:r>
            <w:r>
              <w:rPr>
                <w:rStyle w:val="IndexLink"/>
              </w:rPr>
              <w:t>421</w:t>
            </w:r>
          </w:hyperlink>
        </w:p>
        <w:p>
          <w:pPr>
            <w:pStyle w:val="Contents4"/>
            <w:tabs>
              <w:tab w:val="clear" w:pos="8176"/>
              <w:tab w:val="right" w:pos="9026" w:leader="dot"/>
            </w:tabs>
            <w:rPr/>
          </w:pPr>
          <w:hyperlink w:anchor="__RefHeading___Toc634677_581953129">
            <w:r>
              <w:rPr>
                <w:webHidden/>
                <w:rStyle w:val="IndexLink"/>
              </w:rPr>
              <w:t>1</w:t>
            </w:r>
            <w:r>
              <w:rPr>
                <w:rStyle w:val="IndexLink"/>
                <w:rtl w:val="true"/>
              </w:rPr>
              <w:t xml:space="preserve">. </w:t>
            </w:r>
            <w:r>
              <w:rPr>
                <w:rStyle w:val="IndexLink"/>
                <w:rtl w:val="true"/>
              </w:rPr>
              <w:t>الإجابة علی شبهات العصر</w:t>
            </w:r>
            <w:r>
              <w:rPr>
                <w:rStyle w:val="IndexLink"/>
                <w:rtl w:val="true"/>
              </w:rPr>
              <w:tab/>
            </w:r>
            <w:r>
              <w:rPr>
                <w:rStyle w:val="IndexLink"/>
              </w:rPr>
              <w:t>422</w:t>
            </w:r>
          </w:hyperlink>
        </w:p>
        <w:p>
          <w:pPr>
            <w:pStyle w:val="Contents4"/>
            <w:tabs>
              <w:tab w:val="clear" w:pos="8176"/>
              <w:tab w:val="right" w:pos="9026" w:leader="dot"/>
            </w:tabs>
            <w:rPr/>
          </w:pPr>
          <w:hyperlink w:anchor="__RefHeading___Toc634679_581953129">
            <w:r>
              <w:rPr>
                <w:webHidden/>
                <w:rStyle w:val="IndexLink"/>
              </w:rPr>
              <w:t>2</w:t>
            </w:r>
            <w:r>
              <w:rPr>
                <w:rStyle w:val="IndexLink"/>
                <w:rtl w:val="true"/>
              </w:rPr>
              <w:t xml:space="preserve">. </w:t>
            </w:r>
            <w:r>
              <w:rPr>
                <w:rStyle w:val="IndexLink"/>
                <w:rtl w:val="true"/>
              </w:rPr>
              <w:t>الاهتمام بالنزعة العقلیة فی التفسیر</w:t>
            </w:r>
            <w:r>
              <w:rPr>
                <w:rStyle w:val="IndexLink"/>
                <w:rtl w:val="true"/>
              </w:rPr>
              <w:tab/>
            </w:r>
            <w:r>
              <w:rPr>
                <w:rStyle w:val="IndexLink"/>
              </w:rPr>
              <w:t>423</w:t>
            </w:r>
          </w:hyperlink>
        </w:p>
        <w:p>
          <w:pPr>
            <w:pStyle w:val="Contents3"/>
            <w:tabs>
              <w:tab w:val="clear" w:pos="8459"/>
              <w:tab w:val="right" w:pos="9026" w:leader="dot"/>
            </w:tabs>
            <w:rPr/>
          </w:pPr>
          <w:hyperlink w:anchor="__RefHeading___Toc634681_581953129">
            <w:r>
              <w:rPr>
                <w:webHidden/>
                <w:rStyle w:val="IndexLink"/>
                <w:rtl w:val="true"/>
              </w:rPr>
              <w:t>آفات التفاسیر العصریة</w:t>
            </w:r>
            <w:r>
              <w:rPr>
                <w:rStyle w:val="IndexLink"/>
                <w:rtl w:val="true"/>
              </w:rPr>
              <w:tab/>
            </w:r>
            <w:r>
              <w:rPr>
                <w:rStyle w:val="IndexLink"/>
              </w:rPr>
              <w:t>429</w:t>
            </w:r>
          </w:hyperlink>
        </w:p>
        <w:p>
          <w:pPr>
            <w:pStyle w:val="Contents3"/>
            <w:tabs>
              <w:tab w:val="clear" w:pos="8459"/>
              <w:tab w:val="right" w:pos="9026" w:leader="dot"/>
            </w:tabs>
            <w:rPr/>
          </w:pPr>
          <w:hyperlink w:anchor="__RefHeading___Toc634683_581953129">
            <w:r>
              <w:rPr>
                <w:webHidden/>
                <w:rStyle w:val="IndexLink"/>
                <w:rtl w:val="true"/>
              </w:rPr>
              <w:t>التفسیر الموضوعی</w:t>
            </w:r>
            <w:r>
              <w:rPr>
                <w:rStyle w:val="IndexLink"/>
                <w:rtl w:val="true"/>
              </w:rPr>
              <w:tab/>
            </w:r>
            <w:r>
              <w:rPr>
                <w:rStyle w:val="IndexLink"/>
              </w:rPr>
              <w:t>429</w:t>
            </w:r>
          </w:hyperlink>
        </w:p>
        <w:p>
          <w:pPr>
            <w:pStyle w:val="Contents3"/>
            <w:tabs>
              <w:tab w:val="clear" w:pos="8459"/>
              <w:tab w:val="right" w:pos="9026" w:leader="dot"/>
            </w:tabs>
            <w:rPr/>
          </w:pPr>
          <w:hyperlink w:anchor="__RefHeading___Toc634685_581953129">
            <w:r>
              <w:rPr>
                <w:webHidden/>
                <w:rStyle w:val="IndexLink"/>
                <w:rtl w:val="true"/>
              </w:rPr>
              <w:t>أقسام التفسیر الموضوعی</w:t>
            </w:r>
            <w:r>
              <w:rPr>
                <w:rStyle w:val="IndexLink"/>
                <w:rtl w:val="true"/>
              </w:rPr>
              <w:tab/>
            </w:r>
            <w:r>
              <w:rPr>
                <w:rStyle w:val="IndexLink"/>
              </w:rPr>
              <w:t>431</w:t>
            </w:r>
          </w:hyperlink>
        </w:p>
        <w:p>
          <w:pPr>
            <w:pStyle w:val="Contents3"/>
            <w:tabs>
              <w:tab w:val="clear" w:pos="8459"/>
              <w:tab w:val="right" w:pos="9026" w:leader="dot"/>
            </w:tabs>
            <w:rPr/>
          </w:pPr>
          <w:hyperlink w:anchor="__RefHeading___Toc634687_581953129">
            <w:r>
              <w:rPr>
                <w:webHidden/>
                <w:rStyle w:val="IndexLink"/>
                <w:rtl w:val="true"/>
              </w:rPr>
              <w:t>بعض التفاسیر الاتّحادیة</w:t>
            </w:r>
            <w:r>
              <w:rPr>
                <w:rStyle w:val="IndexLink"/>
                <w:rtl w:val="true"/>
              </w:rPr>
              <w:tab/>
            </w:r>
            <w:r>
              <w:rPr>
                <w:rStyle w:val="IndexLink"/>
              </w:rPr>
              <w:t>431</w:t>
            </w:r>
          </w:hyperlink>
        </w:p>
        <w:p>
          <w:pPr>
            <w:pStyle w:val="Contents3"/>
            <w:tabs>
              <w:tab w:val="clear" w:pos="8459"/>
              <w:tab w:val="right" w:pos="9026" w:leader="dot"/>
            </w:tabs>
            <w:rPr/>
          </w:pPr>
          <w:hyperlink w:anchor="__RefHeading___Toc634689_581953129">
            <w:r>
              <w:rPr>
                <w:webHidden/>
                <w:rStyle w:val="IndexLink"/>
                <w:rtl w:val="true"/>
              </w:rPr>
              <w:t>بعض التفاسیر الارتباطیة</w:t>
            </w:r>
            <w:r>
              <w:rPr>
                <w:rStyle w:val="IndexLink"/>
                <w:rtl w:val="true"/>
              </w:rPr>
              <w:tab/>
            </w:r>
            <w:r>
              <w:rPr>
                <w:rStyle w:val="IndexLink"/>
              </w:rPr>
              <w:t>431</w:t>
            </w:r>
          </w:hyperlink>
        </w:p>
        <w:p>
          <w:pPr>
            <w:pStyle w:val="Contents3"/>
            <w:tabs>
              <w:tab w:val="clear" w:pos="8459"/>
              <w:tab w:val="right" w:pos="9026" w:leader="dot"/>
            </w:tabs>
            <w:rPr/>
          </w:pPr>
          <w:hyperlink w:anchor="__RefHeading___Toc634691_581953129">
            <w:r>
              <w:rPr>
                <w:webHidden/>
                <w:rStyle w:val="IndexLink"/>
                <w:rtl w:val="true"/>
              </w:rPr>
              <w:t>أشهر التفاسیر الموضوعیة</w:t>
            </w:r>
            <w:r>
              <w:rPr>
                <w:rStyle w:val="IndexLink"/>
                <w:rtl w:val="true"/>
              </w:rPr>
              <w:tab/>
            </w:r>
            <w:r>
              <w:rPr>
                <w:rStyle w:val="IndexLink"/>
              </w:rPr>
              <w:t>432</w:t>
            </w:r>
          </w:hyperlink>
        </w:p>
        <w:p>
          <w:pPr>
            <w:pStyle w:val="Contents3"/>
            <w:tabs>
              <w:tab w:val="clear" w:pos="8459"/>
              <w:tab w:val="right" w:pos="9026" w:leader="dot"/>
            </w:tabs>
            <w:rPr/>
          </w:pPr>
          <w:hyperlink w:anchor="__RefHeading___Toc634693_581953129">
            <w:r>
              <w:rPr>
                <w:webHidden/>
                <w:rStyle w:val="IndexLink"/>
                <w:rtl w:val="true"/>
              </w:rPr>
              <w:t>التفسیر البنائی للقرآن الکریم</w:t>
            </w:r>
            <w:r>
              <w:rPr>
                <w:rStyle w:val="IndexLink"/>
                <w:rtl w:val="true"/>
              </w:rPr>
              <w:tab/>
            </w:r>
            <w:r>
              <w:rPr>
                <w:rStyle w:val="IndexLink"/>
              </w:rPr>
              <w:t>432</w:t>
            </w:r>
          </w:hyperlink>
        </w:p>
        <w:p>
          <w:pPr>
            <w:pStyle w:val="Contents3"/>
            <w:tabs>
              <w:tab w:val="clear" w:pos="8459"/>
              <w:tab w:val="right" w:pos="9026" w:leader="dot"/>
            </w:tabs>
            <w:rPr/>
          </w:pPr>
          <w:hyperlink w:anchor="__RefHeading___Toc634695_581953129">
            <w:r>
              <w:rPr>
                <w:webHidden/>
                <w:rStyle w:val="IndexLink"/>
                <w:rtl w:val="true"/>
              </w:rPr>
              <w:t>التعریف بأشهر التفاسیر فی القرن ال</w:t>
            </w:r>
            <w:r>
              <w:rPr>
                <w:rStyle w:val="IndexLink"/>
                <w:rtl w:val="true"/>
              </w:rPr>
              <w:t>-</w:t>
            </w:r>
            <w:r>
              <w:rPr>
                <w:rStyle w:val="IndexLink"/>
              </w:rPr>
              <w:t>15</w:t>
            </w:r>
            <w:r>
              <w:rPr>
                <w:rStyle w:val="IndexLink"/>
                <w:rtl w:val="true"/>
              </w:rPr>
              <w:tab/>
            </w:r>
            <w:r>
              <w:rPr>
                <w:rStyle w:val="IndexLink"/>
              </w:rPr>
              <w:t>435</w:t>
            </w:r>
          </w:hyperlink>
        </w:p>
        <w:p>
          <w:pPr>
            <w:pStyle w:val="Contents4"/>
            <w:tabs>
              <w:tab w:val="clear" w:pos="8176"/>
              <w:tab w:val="right" w:pos="9026" w:leader="dot"/>
            </w:tabs>
            <w:rPr/>
          </w:pPr>
          <w:hyperlink w:anchor="__RefHeading___Toc634697_581953129">
            <w:r>
              <w:rPr>
                <w:webHidden/>
                <w:rStyle w:val="IndexLink"/>
                <w:rtl w:val="true"/>
              </w:rPr>
              <w:t>تفاسیر الشیعة</w:t>
            </w:r>
            <w:r>
              <w:rPr>
                <w:rStyle w:val="IndexLink"/>
                <w:rtl w:val="true"/>
              </w:rPr>
              <w:t>:</w:t>
              <w:tab/>
            </w:r>
            <w:r>
              <w:rPr>
                <w:rStyle w:val="IndexLink"/>
              </w:rPr>
              <w:t>435</w:t>
            </w:r>
          </w:hyperlink>
        </w:p>
        <w:p>
          <w:pPr>
            <w:pStyle w:val="Contents5"/>
            <w:tabs>
              <w:tab w:val="clear" w:pos="7892"/>
              <w:tab w:val="right" w:pos="9026" w:leader="dot"/>
            </w:tabs>
            <w:rPr/>
          </w:pPr>
          <w:hyperlink w:anchor="__RefHeading___Toc634699_581953129">
            <w:r>
              <w:rPr>
                <w:webHidden/>
                <w:rStyle w:val="IndexLink"/>
                <w:rtl w:val="true"/>
              </w:rPr>
              <w:t>تفسیر المیزان</w:t>
            </w:r>
            <w:r>
              <w:rPr>
                <w:rStyle w:val="IndexLink"/>
                <w:rtl w:val="true"/>
              </w:rPr>
              <w:t>:</w:t>
              <w:tab/>
            </w:r>
            <w:r>
              <w:rPr>
                <w:rStyle w:val="IndexLink"/>
              </w:rPr>
              <w:t>435</w:t>
            </w:r>
          </w:hyperlink>
        </w:p>
        <w:p>
          <w:pPr>
            <w:pStyle w:val="Contents6"/>
            <w:tabs>
              <w:tab w:val="clear" w:pos="7609"/>
              <w:tab w:val="right" w:pos="9026" w:leader="dot"/>
            </w:tabs>
            <w:rPr/>
          </w:pPr>
          <w:hyperlink w:anchor="__RefHeading___Toc634701_581953129">
            <w:r>
              <w:rPr>
                <w:webHidden/>
                <w:rStyle w:val="IndexLink"/>
                <w:rtl w:val="true"/>
              </w:rPr>
              <w:t>اشارة</w:t>
            </w:r>
            <w:r>
              <w:rPr>
                <w:rStyle w:val="IndexLink"/>
                <w:rtl w:val="true"/>
              </w:rPr>
              <w:tab/>
            </w:r>
            <w:r>
              <w:rPr>
                <w:rStyle w:val="IndexLink"/>
              </w:rPr>
              <w:t>435</w:t>
            </w:r>
          </w:hyperlink>
        </w:p>
        <w:p>
          <w:pPr>
            <w:pStyle w:val="Contents6"/>
            <w:tabs>
              <w:tab w:val="clear" w:pos="7609"/>
              <w:tab w:val="right" w:pos="9026" w:leader="dot"/>
            </w:tabs>
            <w:rPr/>
          </w:pPr>
          <w:hyperlink w:anchor="__RefHeading___Toc634703_581953129">
            <w:r>
              <w:rPr>
                <w:webHidden/>
                <w:rStyle w:val="IndexLink"/>
                <w:rtl w:val="true"/>
              </w:rPr>
              <w:t>ترجمة المیزان</w:t>
            </w:r>
            <w:r>
              <w:rPr>
                <w:rStyle w:val="IndexLink"/>
                <w:rtl w:val="true"/>
              </w:rPr>
              <w:tab/>
            </w:r>
            <w:r>
              <w:rPr>
                <w:rStyle w:val="IndexLink"/>
              </w:rPr>
              <w:t>437</w:t>
            </w:r>
          </w:hyperlink>
        </w:p>
        <w:p>
          <w:pPr>
            <w:pStyle w:val="Contents6"/>
            <w:tabs>
              <w:tab w:val="clear" w:pos="7609"/>
              <w:tab w:val="right" w:pos="9026" w:leader="dot"/>
            </w:tabs>
            <w:rPr/>
          </w:pPr>
          <w:hyperlink w:anchor="__RefHeading___Toc634705_581953129">
            <w:r>
              <w:rPr>
                <w:webHidden/>
                <w:rStyle w:val="IndexLink"/>
                <w:rtl w:val="true"/>
              </w:rPr>
              <w:t>فهارس المیزان</w:t>
            </w:r>
            <w:r>
              <w:rPr>
                <w:rStyle w:val="IndexLink"/>
                <w:rtl w:val="true"/>
              </w:rPr>
              <w:tab/>
            </w:r>
            <w:r>
              <w:rPr>
                <w:rStyle w:val="IndexLink"/>
              </w:rPr>
              <w:t>437</w:t>
            </w:r>
          </w:hyperlink>
        </w:p>
        <w:p>
          <w:pPr>
            <w:pStyle w:val="Contents6"/>
            <w:tabs>
              <w:tab w:val="clear" w:pos="7609"/>
              <w:tab w:val="right" w:pos="9026" w:leader="dot"/>
            </w:tabs>
            <w:rPr/>
          </w:pPr>
          <w:hyperlink w:anchor="__RefHeading___Toc634707_581953129">
            <w:r>
              <w:rPr>
                <w:webHidden/>
                <w:rStyle w:val="IndexLink"/>
                <w:rtl w:val="true"/>
              </w:rPr>
              <w:t>مصادر المیزان</w:t>
            </w:r>
            <w:r>
              <w:rPr>
                <w:rStyle w:val="IndexLink"/>
                <w:rtl w:val="true"/>
              </w:rPr>
              <w:tab/>
            </w:r>
            <w:r>
              <w:rPr>
                <w:rStyle w:val="IndexLink"/>
              </w:rPr>
              <w:t>437</w:t>
            </w:r>
          </w:hyperlink>
        </w:p>
        <w:p>
          <w:pPr>
            <w:pStyle w:val="Contents6"/>
            <w:tabs>
              <w:tab w:val="clear" w:pos="7609"/>
              <w:tab w:val="right" w:pos="9026" w:leader="dot"/>
            </w:tabs>
            <w:rPr/>
          </w:pPr>
          <w:hyperlink w:anchor="__RefHeading___Toc634709_581953129">
            <w:r>
              <w:rPr>
                <w:webHidden/>
                <w:rStyle w:val="IndexLink"/>
                <w:rtl w:val="true"/>
              </w:rPr>
              <w:t>اشارة</w:t>
            </w:r>
            <w:r>
              <w:rPr>
                <w:rStyle w:val="IndexLink"/>
                <w:rtl w:val="true"/>
              </w:rPr>
              <w:tab/>
            </w:r>
            <w:r>
              <w:rPr>
                <w:rStyle w:val="IndexLink"/>
              </w:rPr>
              <w:t>437</w:t>
            </w:r>
          </w:hyperlink>
        </w:p>
        <w:p>
          <w:pPr>
            <w:pStyle w:val="Contents6"/>
            <w:tabs>
              <w:tab w:val="clear" w:pos="7609"/>
              <w:tab w:val="right" w:pos="9026" w:leader="dot"/>
            </w:tabs>
            <w:rPr/>
          </w:pPr>
          <w:hyperlink w:anchor="__RefHeading___Toc634711_581953129">
            <w:r>
              <w:rPr>
                <w:webHidden/>
                <w:rStyle w:val="IndexLink"/>
                <w:rtl w:val="true"/>
              </w:rPr>
              <w:t>کتب اللغة</w:t>
            </w:r>
            <w:r>
              <w:rPr>
                <w:rStyle w:val="IndexLink"/>
                <w:rtl w:val="true"/>
              </w:rPr>
              <w:tab/>
            </w:r>
            <w:r>
              <w:rPr>
                <w:rStyle w:val="IndexLink"/>
              </w:rPr>
              <w:t>438</w:t>
            </w:r>
          </w:hyperlink>
        </w:p>
        <w:p>
          <w:pPr>
            <w:pStyle w:val="Contents6"/>
            <w:tabs>
              <w:tab w:val="clear" w:pos="7609"/>
              <w:tab w:val="right" w:pos="9026" w:leader="dot"/>
            </w:tabs>
            <w:rPr/>
          </w:pPr>
          <w:hyperlink w:anchor="__RefHeading___Toc634713_581953129">
            <w:r>
              <w:rPr>
                <w:webHidden/>
                <w:rStyle w:val="IndexLink"/>
                <w:rtl w:val="true"/>
              </w:rPr>
              <w:t>المصادر الحدیثیة</w:t>
            </w:r>
            <w:r>
              <w:rPr>
                <w:rStyle w:val="IndexLink"/>
                <w:rtl w:val="true"/>
              </w:rPr>
              <w:tab/>
            </w:r>
            <w:r>
              <w:rPr>
                <w:rStyle w:val="IndexLink"/>
              </w:rPr>
              <w:t>438</w:t>
            </w:r>
          </w:hyperlink>
        </w:p>
        <w:p>
          <w:pPr>
            <w:pStyle w:val="Contents6"/>
            <w:tabs>
              <w:tab w:val="clear" w:pos="7609"/>
              <w:tab w:val="right" w:pos="9026" w:leader="dot"/>
            </w:tabs>
            <w:rPr/>
          </w:pPr>
          <w:hyperlink w:anchor="__RefHeading___Toc634715_581953129">
            <w:r>
              <w:rPr>
                <w:webHidden/>
                <w:rStyle w:val="IndexLink"/>
                <w:rtl w:val="true"/>
              </w:rPr>
              <w:t>الکتب المقدّسة عند سائر الأدیان</w:t>
            </w:r>
            <w:r>
              <w:rPr>
                <w:rStyle w:val="IndexLink"/>
                <w:rtl w:val="true"/>
              </w:rPr>
              <w:tab/>
            </w:r>
            <w:r>
              <w:rPr>
                <w:rStyle w:val="IndexLink"/>
              </w:rPr>
              <w:t>439</w:t>
            </w:r>
          </w:hyperlink>
        </w:p>
        <w:p>
          <w:pPr>
            <w:pStyle w:val="Contents6"/>
            <w:tabs>
              <w:tab w:val="clear" w:pos="7609"/>
              <w:tab w:val="right" w:pos="9026" w:leader="dot"/>
            </w:tabs>
            <w:rPr/>
          </w:pPr>
          <w:hyperlink w:anchor="__RefHeading___Toc634717_581953129">
            <w:r>
              <w:rPr>
                <w:webHidden/>
                <w:rStyle w:val="IndexLink"/>
                <w:rtl w:val="true"/>
              </w:rPr>
              <w:t>المصادر التاریخیة</w:t>
            </w:r>
            <w:r>
              <w:rPr>
                <w:rStyle w:val="IndexLink"/>
                <w:rtl w:val="true"/>
              </w:rPr>
              <w:tab/>
            </w:r>
            <w:r>
              <w:rPr>
                <w:rStyle w:val="IndexLink"/>
              </w:rPr>
              <w:t>439</w:t>
            </w:r>
          </w:hyperlink>
        </w:p>
        <w:p>
          <w:pPr>
            <w:pStyle w:val="Contents6"/>
            <w:tabs>
              <w:tab w:val="clear" w:pos="7609"/>
              <w:tab w:val="right" w:pos="9026" w:leader="dot"/>
            </w:tabs>
            <w:rPr/>
          </w:pPr>
          <w:hyperlink w:anchor="__RefHeading___Toc634719_581953129">
            <w:r>
              <w:rPr>
                <w:webHidden/>
                <w:rStyle w:val="IndexLink"/>
                <w:rtl w:val="true"/>
              </w:rPr>
              <w:t>المصادر الأخری</w:t>
            </w:r>
            <w:r>
              <w:rPr>
                <w:rStyle w:val="IndexLink"/>
                <w:rtl w:val="true"/>
              </w:rPr>
              <w:tab/>
            </w:r>
            <w:r>
              <w:rPr>
                <w:rStyle w:val="IndexLink"/>
              </w:rPr>
              <w:t>440</w:t>
            </w:r>
          </w:hyperlink>
        </w:p>
        <w:p>
          <w:pPr>
            <w:pStyle w:val="Contents6"/>
            <w:tabs>
              <w:tab w:val="clear" w:pos="7609"/>
              <w:tab w:val="right" w:pos="9026" w:leader="dot"/>
            </w:tabs>
            <w:rPr/>
          </w:pPr>
          <w:hyperlink w:anchor="__RefHeading___Toc634721_581953129">
            <w:r>
              <w:rPr>
                <w:webHidden/>
                <w:rStyle w:val="IndexLink"/>
                <w:rtl w:val="true"/>
              </w:rPr>
              <w:t>المناهج والاتّجاهات التفسیریة فی المیزان</w:t>
            </w:r>
            <w:r>
              <w:rPr>
                <w:rStyle w:val="IndexLink"/>
                <w:rtl w:val="true"/>
              </w:rPr>
              <w:tab/>
            </w:r>
            <w:r>
              <w:rPr>
                <w:rStyle w:val="IndexLink"/>
              </w:rPr>
              <w:t>440</w:t>
            </w:r>
          </w:hyperlink>
        </w:p>
        <w:p>
          <w:pPr>
            <w:pStyle w:val="Contents6"/>
            <w:tabs>
              <w:tab w:val="clear" w:pos="7609"/>
              <w:tab w:val="right" w:pos="9026" w:leader="dot"/>
            </w:tabs>
            <w:rPr/>
          </w:pPr>
          <w:hyperlink w:anchor="__RefHeading___Toc634723_581953129">
            <w:r>
              <w:rPr>
                <w:webHidden/>
                <w:rStyle w:val="IndexLink"/>
                <w:rtl w:val="true"/>
              </w:rPr>
              <w:t>المناهج الأخری</w:t>
            </w:r>
            <w:r>
              <w:rPr>
                <w:rStyle w:val="IndexLink"/>
                <w:rtl w:val="true"/>
              </w:rPr>
              <w:tab/>
            </w:r>
            <w:r>
              <w:rPr>
                <w:rStyle w:val="IndexLink"/>
              </w:rPr>
              <w:t>441</w:t>
            </w:r>
          </w:hyperlink>
        </w:p>
        <w:p>
          <w:pPr>
            <w:pStyle w:val="Contents6"/>
            <w:tabs>
              <w:tab w:val="clear" w:pos="7609"/>
              <w:tab w:val="right" w:pos="9026" w:leader="dot"/>
            </w:tabs>
            <w:rPr/>
          </w:pPr>
          <w:hyperlink w:anchor="__RefHeading___Toc634725_581953129">
            <w:r>
              <w:rPr>
                <w:webHidden/>
                <w:rStyle w:val="IndexLink"/>
                <w:rtl w:val="true"/>
              </w:rPr>
              <w:t>التفسیر الموضوعی فی المیزان</w:t>
            </w:r>
            <w:r>
              <w:rPr>
                <w:rStyle w:val="IndexLink"/>
                <w:rtl w:val="true"/>
              </w:rPr>
              <w:tab/>
            </w:r>
            <w:r>
              <w:rPr>
                <w:rStyle w:val="IndexLink"/>
              </w:rPr>
              <w:t>441</w:t>
            </w:r>
          </w:hyperlink>
        </w:p>
        <w:p>
          <w:pPr>
            <w:pStyle w:val="Contents6"/>
            <w:tabs>
              <w:tab w:val="clear" w:pos="7609"/>
              <w:tab w:val="right" w:pos="9026" w:leader="dot"/>
            </w:tabs>
            <w:rPr/>
          </w:pPr>
          <w:hyperlink w:anchor="__RefHeading___Toc634727_581953129">
            <w:r>
              <w:rPr>
                <w:webHidden/>
                <w:rStyle w:val="IndexLink"/>
                <w:rtl w:val="true"/>
              </w:rPr>
              <w:t>الروایات فی المیزان</w:t>
            </w:r>
            <w:r>
              <w:rPr>
                <w:rStyle w:val="IndexLink"/>
                <w:rtl w:val="true"/>
              </w:rPr>
              <w:tab/>
            </w:r>
            <w:r>
              <w:rPr>
                <w:rStyle w:val="IndexLink"/>
              </w:rPr>
              <w:t>442</w:t>
            </w:r>
          </w:hyperlink>
        </w:p>
        <w:p>
          <w:pPr>
            <w:pStyle w:val="Contents6"/>
            <w:tabs>
              <w:tab w:val="clear" w:pos="7609"/>
              <w:tab w:val="right" w:pos="9026" w:leader="dot"/>
            </w:tabs>
            <w:rPr/>
          </w:pPr>
          <w:hyperlink w:anchor="__RefHeading___Toc634729_581953129">
            <w:r>
              <w:rPr>
                <w:webHidden/>
                <w:rStyle w:val="IndexLink"/>
                <w:rtl w:val="true"/>
              </w:rPr>
              <w:t>السیاق فی المیزان</w:t>
            </w:r>
            <w:r>
              <w:rPr>
                <w:rStyle w:val="IndexLink"/>
                <w:rtl w:val="true"/>
              </w:rPr>
              <w:tab/>
            </w:r>
            <w:r>
              <w:rPr>
                <w:rStyle w:val="IndexLink"/>
              </w:rPr>
              <w:t>443</w:t>
            </w:r>
          </w:hyperlink>
        </w:p>
        <w:p>
          <w:pPr>
            <w:pStyle w:val="Contents6"/>
            <w:tabs>
              <w:tab w:val="clear" w:pos="7609"/>
              <w:tab w:val="right" w:pos="9026" w:leader="dot"/>
            </w:tabs>
            <w:rPr/>
          </w:pPr>
          <w:hyperlink w:anchor="__RefHeading___Toc634731_581953129">
            <w:r>
              <w:rPr>
                <w:webHidden/>
                <w:rStyle w:val="IndexLink"/>
                <w:rtl w:val="true"/>
              </w:rPr>
              <w:t>فضائل السور</w:t>
            </w:r>
            <w:r>
              <w:rPr>
                <w:rStyle w:val="IndexLink"/>
                <w:rtl w:val="true"/>
              </w:rPr>
              <w:tab/>
            </w:r>
            <w:r>
              <w:rPr>
                <w:rStyle w:val="IndexLink"/>
              </w:rPr>
              <w:t>444</w:t>
            </w:r>
          </w:hyperlink>
        </w:p>
        <w:p>
          <w:pPr>
            <w:pStyle w:val="Contents6"/>
            <w:tabs>
              <w:tab w:val="clear" w:pos="7609"/>
              <w:tab w:val="right" w:pos="9026" w:leader="dot"/>
            </w:tabs>
            <w:rPr/>
          </w:pPr>
          <w:hyperlink w:anchor="__RefHeading___Toc634733_581953129">
            <w:r>
              <w:rPr>
                <w:webHidden/>
                <w:rStyle w:val="IndexLink"/>
                <w:rtl w:val="true"/>
              </w:rPr>
              <w:t>الإسرائیلیات</w:t>
            </w:r>
            <w:r>
              <w:rPr>
                <w:rStyle w:val="IndexLink"/>
                <w:rtl w:val="true"/>
              </w:rPr>
              <w:tab/>
            </w:r>
            <w:r>
              <w:rPr>
                <w:rStyle w:val="IndexLink"/>
              </w:rPr>
              <w:t>444</w:t>
            </w:r>
          </w:hyperlink>
        </w:p>
        <w:p>
          <w:pPr>
            <w:pStyle w:val="Contents5"/>
            <w:tabs>
              <w:tab w:val="clear" w:pos="7892"/>
              <w:tab w:val="right" w:pos="9026" w:leader="dot"/>
            </w:tabs>
            <w:rPr/>
          </w:pPr>
          <w:hyperlink w:anchor="__RefHeading___Toc634735_581953129">
            <w:r>
              <w:rPr>
                <w:webHidden/>
                <w:rStyle w:val="IndexLink"/>
                <w:rtl w:val="true"/>
              </w:rPr>
              <w:t xml:space="preserve">تفسیر نمونه </w:t>
            </w:r>
            <w:r>
              <w:rPr>
                <w:rStyle w:val="IndexLink"/>
                <w:rtl w:val="true"/>
              </w:rPr>
              <w:t>(</w:t>
            </w:r>
            <w:r>
              <w:rPr>
                <w:rStyle w:val="IndexLink"/>
                <w:rtl w:val="true"/>
              </w:rPr>
              <w:t>الأمثل</w:t>
            </w:r>
            <w:r>
              <w:rPr>
                <w:rStyle w:val="IndexLink"/>
                <w:rtl w:val="true"/>
              </w:rPr>
              <w:t>)</w:t>
              <w:tab/>
            </w:r>
            <w:r>
              <w:rPr>
                <w:rStyle w:val="IndexLink"/>
              </w:rPr>
              <w:t>444</w:t>
            </w:r>
          </w:hyperlink>
        </w:p>
        <w:p>
          <w:pPr>
            <w:pStyle w:val="Contents5"/>
            <w:tabs>
              <w:tab w:val="clear" w:pos="7892"/>
              <w:tab w:val="right" w:pos="9026" w:leader="dot"/>
            </w:tabs>
            <w:rPr/>
          </w:pPr>
          <w:hyperlink w:anchor="__RefHeading___Toc634737_581953129">
            <w:r>
              <w:rPr>
                <w:webHidden/>
                <w:rStyle w:val="IndexLink"/>
                <w:rtl w:val="true"/>
              </w:rPr>
              <w:t>من وحی القرآن</w:t>
            </w:r>
            <w:r>
              <w:rPr>
                <w:rStyle w:val="IndexLink"/>
                <w:rtl w:val="true"/>
              </w:rPr>
              <w:tab/>
            </w:r>
            <w:r>
              <w:rPr>
                <w:rStyle w:val="IndexLink"/>
              </w:rPr>
              <w:t>446</w:t>
            </w:r>
          </w:hyperlink>
        </w:p>
        <w:p>
          <w:pPr>
            <w:pStyle w:val="Contents5"/>
            <w:tabs>
              <w:tab w:val="clear" w:pos="7892"/>
              <w:tab w:val="right" w:pos="9026" w:leader="dot"/>
            </w:tabs>
            <w:rPr/>
          </w:pPr>
          <w:hyperlink w:anchor="__RefHeading___Toc634739_581953129">
            <w:r>
              <w:rPr>
                <w:webHidden/>
                <w:rStyle w:val="IndexLink"/>
                <w:rtl w:val="true"/>
              </w:rPr>
              <w:t>الکاشف</w:t>
            </w:r>
            <w:r>
              <w:rPr>
                <w:rStyle w:val="IndexLink"/>
                <w:rtl w:val="true"/>
              </w:rPr>
              <w:tab/>
            </w:r>
            <w:r>
              <w:rPr>
                <w:rStyle w:val="IndexLink"/>
              </w:rPr>
              <w:t>447</w:t>
            </w:r>
          </w:hyperlink>
        </w:p>
        <w:p>
          <w:pPr>
            <w:pStyle w:val="Contents5"/>
            <w:tabs>
              <w:tab w:val="clear" w:pos="7892"/>
              <w:tab w:val="right" w:pos="9026" w:leader="dot"/>
            </w:tabs>
            <w:rPr/>
          </w:pPr>
          <w:hyperlink w:anchor="__RefHeading___Toc634741_581953129">
            <w:r>
              <w:rPr>
                <w:webHidden/>
                <w:rStyle w:val="IndexLink"/>
                <w:rtl w:val="true"/>
              </w:rPr>
              <w:t>الفرقان فی تفسیر القرآن بالقرآن و السنّة</w:t>
            </w:r>
            <w:r>
              <w:rPr>
                <w:rStyle w:val="IndexLink"/>
                <w:rtl w:val="true"/>
              </w:rPr>
              <w:tab/>
            </w:r>
            <w:r>
              <w:rPr>
                <w:rStyle w:val="IndexLink"/>
              </w:rPr>
              <w:t>448</w:t>
            </w:r>
          </w:hyperlink>
        </w:p>
        <w:p>
          <w:pPr>
            <w:pStyle w:val="Contents5"/>
            <w:tabs>
              <w:tab w:val="clear" w:pos="7892"/>
              <w:tab w:val="right" w:pos="9026" w:leader="dot"/>
            </w:tabs>
            <w:rPr/>
          </w:pPr>
          <w:hyperlink w:anchor="__RefHeading___Toc634743_581953129">
            <w:r>
              <w:rPr>
                <w:webHidden/>
                <w:rStyle w:val="IndexLink"/>
                <w:rtl w:val="true"/>
              </w:rPr>
              <w:t>التفسیر الأثری الجامع</w:t>
            </w:r>
            <w:r>
              <w:rPr>
                <w:rStyle w:val="IndexLink"/>
                <w:rtl w:val="true"/>
              </w:rPr>
              <w:tab/>
            </w:r>
            <w:r>
              <w:rPr>
                <w:rStyle w:val="IndexLink"/>
              </w:rPr>
              <w:t>450</w:t>
            </w:r>
          </w:hyperlink>
        </w:p>
        <w:p>
          <w:pPr>
            <w:pStyle w:val="Contents5"/>
            <w:tabs>
              <w:tab w:val="clear" w:pos="7892"/>
              <w:tab w:val="right" w:pos="9026" w:leader="dot"/>
            </w:tabs>
            <w:rPr/>
          </w:pPr>
          <w:hyperlink w:anchor="__RefHeading___Toc634745_581953129">
            <w:r>
              <w:rPr>
                <w:webHidden/>
                <w:rStyle w:val="IndexLink"/>
                <w:rtl w:val="true"/>
              </w:rPr>
              <w:t>سائر تفاسیر الشیعة فی القرن ال</w:t>
            </w:r>
            <w:r>
              <w:rPr>
                <w:rStyle w:val="IndexLink"/>
                <w:rtl w:val="true"/>
              </w:rPr>
              <w:t>-</w:t>
            </w:r>
            <w:r>
              <w:rPr>
                <w:rStyle w:val="IndexLink"/>
              </w:rPr>
              <w:t>15</w:t>
            </w:r>
            <w:r>
              <w:rPr>
                <w:rStyle w:val="IndexLink"/>
                <w:rtl w:val="true"/>
              </w:rPr>
              <w:tab/>
            </w:r>
            <w:r>
              <w:rPr>
                <w:rStyle w:val="IndexLink"/>
              </w:rPr>
              <w:t>451</w:t>
            </w:r>
          </w:hyperlink>
        </w:p>
        <w:p>
          <w:pPr>
            <w:pStyle w:val="Contents5"/>
            <w:tabs>
              <w:tab w:val="clear" w:pos="7892"/>
              <w:tab w:val="right" w:pos="9026" w:leader="dot"/>
            </w:tabs>
            <w:rPr/>
          </w:pPr>
          <w:hyperlink w:anchor="__RefHeading___Toc634747_581953129">
            <w:r>
              <w:rPr>
                <w:webHidden/>
                <w:rStyle w:val="IndexLink"/>
                <w:rtl w:val="true"/>
              </w:rPr>
              <w:t>سائر تفاسیر فی أهل السنة القرن ال</w:t>
            </w:r>
            <w:r>
              <w:rPr>
                <w:rStyle w:val="IndexLink"/>
                <w:rtl w:val="true"/>
              </w:rPr>
              <w:t>-</w:t>
            </w:r>
            <w:r>
              <w:rPr>
                <w:rStyle w:val="IndexLink"/>
              </w:rPr>
              <w:t>15</w:t>
            </w:r>
            <w:r>
              <w:rPr>
                <w:rStyle w:val="IndexLink"/>
                <w:rtl w:val="true"/>
              </w:rPr>
              <w:tab/>
            </w:r>
            <w:r>
              <w:rPr>
                <w:rStyle w:val="IndexLink"/>
              </w:rPr>
              <w:t>457</w:t>
            </w:r>
          </w:hyperlink>
        </w:p>
        <w:p>
          <w:pPr>
            <w:pStyle w:val="Contents6"/>
            <w:tabs>
              <w:tab w:val="clear" w:pos="7609"/>
              <w:tab w:val="right" w:pos="9026" w:leader="dot"/>
            </w:tabs>
            <w:rPr/>
          </w:pPr>
          <w:hyperlink w:anchor="__RefHeading___Toc634749_581953129">
            <w:r>
              <w:rPr>
                <w:webHidden/>
                <w:rStyle w:val="IndexLink"/>
                <w:rtl w:val="true"/>
              </w:rPr>
              <w:t>اشارة</w:t>
            </w:r>
            <w:r>
              <w:rPr>
                <w:rStyle w:val="IndexLink"/>
                <w:rtl w:val="true"/>
              </w:rPr>
              <w:tab/>
            </w:r>
            <w:r>
              <w:rPr>
                <w:rStyle w:val="IndexLink"/>
              </w:rPr>
              <w:t>457</w:t>
            </w:r>
          </w:hyperlink>
        </w:p>
        <w:p>
          <w:pPr>
            <w:pStyle w:val="Contents6"/>
            <w:tabs>
              <w:tab w:val="clear" w:pos="7609"/>
              <w:tab w:val="right" w:pos="9026" w:leader="dot"/>
            </w:tabs>
            <w:rPr/>
          </w:pPr>
          <w:hyperlink w:anchor="__RefHeading___Toc634751_581953129">
            <w:r>
              <w:rPr>
                <w:webHidden/>
                <w:rStyle w:val="IndexLink"/>
                <w:rtl w:val="true"/>
              </w:rPr>
              <w:t>التفسیر المنیر</w:t>
            </w:r>
            <w:r>
              <w:rPr>
                <w:rStyle w:val="IndexLink"/>
                <w:rtl w:val="true"/>
              </w:rPr>
              <w:tab/>
            </w:r>
            <w:r>
              <w:rPr>
                <w:rStyle w:val="IndexLink"/>
              </w:rPr>
              <w:t>457</w:t>
            </w:r>
          </w:hyperlink>
        </w:p>
        <w:p>
          <w:pPr>
            <w:pStyle w:val="Contents6"/>
            <w:tabs>
              <w:tab w:val="clear" w:pos="7609"/>
              <w:tab w:val="right" w:pos="9026" w:leader="dot"/>
            </w:tabs>
            <w:rPr/>
          </w:pPr>
          <w:hyperlink w:anchor="__RefHeading___Toc634753_581953129">
            <w:r>
              <w:rPr>
                <w:webHidden/>
                <w:rStyle w:val="IndexLink"/>
                <w:rtl w:val="true"/>
              </w:rPr>
              <w:t>الأساس فی التفسیر</w:t>
            </w:r>
            <w:r>
              <w:rPr>
                <w:rStyle w:val="IndexLink"/>
                <w:rtl w:val="true"/>
              </w:rPr>
              <w:tab/>
            </w:r>
            <w:r>
              <w:rPr>
                <w:rStyle w:val="IndexLink"/>
              </w:rPr>
              <w:t>458</w:t>
            </w:r>
          </w:hyperlink>
        </w:p>
        <w:p>
          <w:pPr>
            <w:pStyle w:val="Contents6"/>
            <w:tabs>
              <w:tab w:val="clear" w:pos="7609"/>
              <w:tab w:val="right" w:pos="9026" w:leader="dot"/>
            </w:tabs>
            <w:rPr/>
          </w:pPr>
          <w:hyperlink w:anchor="__RefHeading___Toc634755_581953129">
            <w:r>
              <w:rPr>
                <w:webHidden/>
                <w:rStyle w:val="IndexLink"/>
                <w:rtl w:val="true"/>
              </w:rPr>
              <w:t>تفسیر الشعراوی</w:t>
            </w:r>
            <w:r>
              <w:rPr>
                <w:rStyle w:val="IndexLink"/>
                <w:rtl w:val="true"/>
              </w:rPr>
              <w:tab/>
            </w:r>
            <w:r>
              <w:rPr>
                <w:rStyle w:val="IndexLink"/>
              </w:rPr>
              <w:t>459</w:t>
            </w:r>
          </w:hyperlink>
        </w:p>
        <w:p>
          <w:pPr>
            <w:pStyle w:val="Contents5"/>
            <w:tabs>
              <w:tab w:val="clear" w:pos="7892"/>
              <w:tab w:val="right" w:pos="9026" w:leader="dot"/>
            </w:tabs>
            <w:rPr/>
          </w:pPr>
          <w:hyperlink w:anchor="__RefHeading___Toc634757_581953129">
            <w:r>
              <w:rPr>
                <w:webHidden/>
                <w:rStyle w:val="IndexLink"/>
                <w:rtl w:val="true"/>
              </w:rPr>
              <w:t>المحصّلة</w:t>
            </w:r>
            <w:r>
              <w:rPr>
                <w:rStyle w:val="IndexLink"/>
                <w:rtl w:val="true"/>
              </w:rPr>
              <w:tab/>
            </w:r>
            <w:r>
              <w:rPr>
                <w:rStyle w:val="IndexLink"/>
              </w:rPr>
              <w:t>461</w:t>
            </w:r>
          </w:hyperlink>
        </w:p>
        <w:p>
          <w:pPr>
            <w:pStyle w:val="Contents5"/>
            <w:tabs>
              <w:tab w:val="clear" w:pos="7892"/>
              <w:tab w:val="right" w:pos="9026" w:leader="dot"/>
            </w:tabs>
            <w:rPr/>
          </w:pPr>
          <w:hyperlink w:anchor="__RefHeading___Toc634759_581953129">
            <w:r>
              <w:rPr>
                <w:webHidden/>
                <w:rStyle w:val="IndexLink"/>
                <w:rtl w:val="true"/>
              </w:rPr>
              <w:t>الأسئلة</w:t>
            </w:r>
            <w:r>
              <w:rPr>
                <w:rStyle w:val="IndexLink"/>
                <w:rtl w:val="true"/>
              </w:rPr>
              <w:tab/>
            </w:r>
            <w:r>
              <w:rPr>
                <w:rStyle w:val="IndexLink"/>
              </w:rPr>
              <w:t>461</w:t>
            </w:r>
          </w:hyperlink>
        </w:p>
        <w:p>
          <w:pPr>
            <w:pStyle w:val="Contents5"/>
            <w:tabs>
              <w:tab w:val="clear" w:pos="7892"/>
              <w:tab w:val="right" w:pos="9026" w:leader="dot"/>
            </w:tabs>
            <w:rPr/>
          </w:pPr>
          <w:hyperlink w:anchor="__RefHeading___Toc634761_581953129">
            <w:r>
              <w:rPr>
                <w:webHidden/>
                <w:rStyle w:val="IndexLink"/>
                <w:rtl w:val="true"/>
              </w:rPr>
              <w:t>تمارین</w:t>
            </w:r>
            <w:r>
              <w:rPr>
                <w:rStyle w:val="IndexLink"/>
                <w:rtl w:val="true"/>
              </w:rPr>
              <w:tab/>
            </w:r>
            <w:r>
              <w:rPr>
                <w:rStyle w:val="IndexLink"/>
              </w:rPr>
              <w:t>462</w:t>
            </w:r>
          </w:hyperlink>
        </w:p>
        <w:p>
          <w:pPr>
            <w:pStyle w:val="Contents5"/>
            <w:tabs>
              <w:tab w:val="clear" w:pos="7892"/>
              <w:tab w:val="right" w:pos="9026" w:leader="dot"/>
            </w:tabs>
            <w:rPr/>
          </w:pPr>
          <w:hyperlink w:anchor="__RefHeading___Toc634763_581953129">
            <w:r>
              <w:rPr>
                <w:webHidden/>
                <w:rStyle w:val="IndexLink"/>
                <w:rtl w:val="true"/>
              </w:rPr>
              <w:t>المصادر</w:t>
            </w:r>
            <w:r>
              <w:rPr>
                <w:rStyle w:val="IndexLink"/>
                <w:rtl w:val="true"/>
              </w:rPr>
              <w:tab/>
            </w:r>
            <w:r>
              <w:rPr>
                <w:rStyle w:val="IndexLink"/>
              </w:rPr>
              <w:t>463</w:t>
            </w:r>
          </w:hyperlink>
        </w:p>
        <w:p>
          <w:pPr>
            <w:pStyle w:val="Contents2"/>
            <w:tabs>
              <w:tab w:val="clear" w:pos="8743"/>
              <w:tab w:val="right" w:pos="9026" w:leader="dot"/>
            </w:tabs>
            <w:rPr/>
          </w:pPr>
          <w:hyperlink w:anchor="__RefHeading___Toc634765_581953129">
            <w:r>
              <w:rPr>
                <w:webHidden/>
                <w:rStyle w:val="IndexLink"/>
                <w:rtl w:val="true"/>
              </w:rPr>
              <w:t>المصادر</w:t>
            </w:r>
            <w:r>
              <w:rPr>
                <w:rStyle w:val="IndexLink"/>
                <w:rtl w:val="true"/>
              </w:rPr>
              <w:tab/>
            </w:r>
            <w:r>
              <w:rPr>
                <w:rStyle w:val="IndexLink"/>
              </w:rPr>
              <w:t>464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285_67131"/>
      <w:bookmarkStart w:id="1" w:name="pg5285_67131"/>
      <w:bookmarkEnd w:id="1"/>
    </w:p>
    <w:p>
      <w:pPr>
        <w:pStyle w:val="Heading2"/>
        <w:numPr>
          <w:ilvl w:val="1"/>
          <w:numId w:val="1"/>
        </w:numPr>
        <w:rPr/>
      </w:pPr>
      <w:bookmarkStart w:id="2" w:name="pg5285_67131"/>
      <w:bookmarkStart w:id="3" w:name="__RefHeading___Toc633811_581953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علوی‌مهر، حسین،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آشنایی با تاریخ تفسیر و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 الی تاریخ‌التفسیر والمفسرین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المولف حسین علوی‌مهر؛ تعریب جعفر الخزاعی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العالمی للترجمه والنشر،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مرکزالمصطفی صلی‌الله علیه و آله‌العالمی للدراسات والتحقیق؛ </w:t>
      </w:r>
      <w:r>
        <w:rPr>
          <w:rFonts w:ascii="IRNazanin" w:hAnsi="IRNazanin" w:eastAsia="IRNazanin"/>
          <w:color w:val="111111"/>
          <w:sz w:val="28"/>
          <w:sz w:val="28"/>
          <w:szCs w:val="28"/>
          <w:lang w:bidi="fa-IR"/>
        </w:rPr>
        <w:t>۱۷۲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۴۶۴</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نقد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خزایی،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۵۰۴۳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۱۹</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۲۱۱۴۵۵۷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33813_58195312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المدخل الی تاریخ‌التفسیر والمفسرین</w:t>
      </w:r>
    </w:p>
    <w:p>
      <w:pPr>
        <w:pStyle w:val="BookText"/>
        <w:rPr/>
      </w:pPr>
      <w:r>
        <w:rPr>
          <w:rFonts w:ascii="IRNazanin" w:hAnsi="IRNazanin" w:eastAsia="IRNazanin"/>
          <w:color w:val="111111"/>
          <w:sz w:val="28"/>
          <w:sz w:val="28"/>
          <w:szCs w:val="28"/>
          <w:rtl w:val="true"/>
          <w:lang w:bidi="fa-IR"/>
        </w:rPr>
        <w:t>المولف حسین علوی‌مهر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تعریب جعفر الخزاعی</w:t>
      </w:r>
      <w:bookmarkStart w:id="7" w:name="pg5285_67135"/>
    </w:p>
    <w:p>
      <w:pPr>
        <w:pStyle w:val="Heading2"/>
        <w:numPr>
          <w:ilvl w:val="1"/>
          <w:numId w:val="1"/>
        </w:numPr>
        <w:rPr/>
      </w:pPr>
      <w:bookmarkStart w:id="8" w:name="__RefHeading___Toc633815_581953129"/>
      <w:bookmarkStart w:id="9" w:name="_Toc3"/>
      <w:bookmarkEnd w:id="7"/>
      <w:bookmarkEnd w:id="8"/>
      <w:r>
        <w:rPr>
          <w:rtl w:val="true"/>
        </w:rPr>
        <w:t>کلمة الناشر</w:t>
      </w:r>
      <w:bookmarkEnd w:id="9"/>
    </w:p>
    <w:p>
      <w:pPr>
        <w:pStyle w:val="BookText"/>
        <w:rPr/>
      </w:pPr>
      <w:r>
        <w:rPr>
          <w:rFonts w:ascii="IRNazanin" w:hAnsi="IRNazanin" w:eastAsia="IRNazanin"/>
          <w:color w:val="111111"/>
          <w:sz w:val="28"/>
          <w:sz w:val="28"/>
          <w:szCs w:val="28"/>
          <w:rtl w:val="true"/>
          <w:lang w:bidi="fa-IR"/>
        </w:rPr>
        <w:t>إن التطور العلمی الذی یشهده عالمنا الیوم، والوسائل التکنولوجیة الحدیثة قد دفعت بعجلة المدنیة و الثقافة الی الأمام، بل واصبح الانسان یرقب فی کل یوم تصورا آخر، و هذا التطور قد کشف لنا القناع عن بعض المناهج الدراسیة فی معاهدنا ومؤسساتنا العلمیة واذا بها مناهج تحتل زوایة ضیقة من هذا العالم العلمی الفسیح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اتخذت المؤسسات العلمیة فی الجمهوریة الاسلامیة فی ایران وفی مقدّمتها جامعة المصطفی صلّی الله علیه و آله العالمیة؛ أتخذت علی عاتقها صیاغة بعض المناهج الدراسیة صیاغة تلائم الحرکة العلمیة المعاصرة، ومالها من متطلّبات بحیث تنسجم مع المحیط العلمی 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بادرت الاقسام العلمیة فی جامعة المصطفی صلّی الله علیه و آله بمخاطبة الاساتذة ذوی الأختصاص لیساهموا فی وضع مناهج حدیثة فی علوم القرآن، والفقه، والاصول، والتفسیر، والتاریخ،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تلبّی احتیاجات الدارسین فی مختلف المستویات وعلی صعید کل الاختصاصات الأنسانیة و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خطوة الجامعة جریئة وموفقة حیث بذرت بذوراً صالحة تفتّقت من خلالها براعم طیبة، وانتجت ثماراً ناضجة تؤتی أکُلها فی کلّ حین</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لمّا کانت بعض المواد الدراسیة لم تتوفر فیها الکتب المنهجیة اللازمة التی</w:t>
      </w:r>
    </w:p>
    <w:p>
      <w:pPr>
        <w:pStyle w:val="BookText"/>
        <w:rPr/>
      </w:pPr>
      <w:r>
        <w:rPr>
          <w:rFonts w:ascii="IRNazanin" w:hAnsi="IRNazanin" w:eastAsia="IRNazanin"/>
          <w:color w:val="111111"/>
          <w:sz w:val="28"/>
          <w:sz w:val="28"/>
          <w:szCs w:val="28"/>
          <w:rtl w:val="true"/>
          <w:lang w:bidi="fa-IR"/>
        </w:rPr>
        <w:t>تنسجم مع السطح العلمی لعموم المعاهد و المؤسسات العلمیة، فقد أناطت ادارة جامعة المصطفی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الحقل العلمی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مهمّة تدوین وتألیف هذه المناهج الجدیدة و البحوث العلمیة ذات الطابع العلمی و الأکادیمی الی جملة من الاستاتذة المختصّین و العلماء الأفاضل، وأولتهم رعایة فائقة وتسهیلات محمودة کی یتمّ انجاز تلک البحوث علی وفق المناهج المقرّرة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وفعلا تصدّی للعمل نخبة من العلماء، وأنجز الکثیر من تلک البحوث و المؤلّفات، حیث بذل أصحاب الفضیلة جهوداً مضنیة، ومساعی متواصلة، بغیة المساهمة الجادة فی خلق کادرٍ متخصّصٍ فی شتی العلوم و الفنون، ثم جاءت هذه المساهمة صادقة فی کل ابعادها، تجلّلها النظرة الشمولیة و العمق العلمی و البیان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جامعة‌المصطفی صلّی الله علیه و آله العالمیة اصبحت الیوم محطّ انظار الدارسین فی الداخل و الخارج، وهی تعدّ بحقٍ من اکبر المؤسسات العلمیة فی عالمنا الاسلامی و العربی، و قد استقطبت العدید من اصحاب الاختصاص من الاساتذة و المؤلفین، کما أغنت المکتبة الاسلامیة بمجموعة بحوث ومؤلفات قد تم طبعها ونشرها خلال هذه السنین القلائل لتکون منهلاً عذباً للدارسین وطلاب الحقیقة و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منطلق الخدمة العلمیة یتقدّم دارالنشر المصطفی صلی الله علیه و آله العالمیة فی هذه الجامعة بالشکر و التقدیر لسماحة الاستاذ لما بذله من جهود تستحق الاحترام و التقدیر فی تألیفه لکتاب المدخل إلی تاریخ التفسیر و المفسّرین کما نشکر اعضاء الکادر الفنی الذی ساهم بشکل حثیث فی انجاز وطبع هذا الکتاب الماثل بین یدی القاریءالکریم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وکلّنا أمل ورجاء بأن نکون قد ساهمنا فی رفد الحقل العلمی و المکتبة الاسلامیة بالبحوث و المؤلفات خدمة للعلم و العلماء ومشارکة منّا فی تفعیل الحرکة الثقافیة فی العالم الاسلامی، وما التوفیق إلا من عندالله</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المصطفی صلّی الله علیه و آله العالمی للترجمة و النشر</w:t>
      </w:r>
      <w:bookmarkStart w:id="10" w:name="pg5285_67137"/>
    </w:p>
    <w:p>
      <w:pPr>
        <w:pStyle w:val="Heading2"/>
        <w:numPr>
          <w:ilvl w:val="1"/>
          <w:numId w:val="1"/>
        </w:numPr>
        <w:rPr/>
      </w:pPr>
      <w:bookmarkStart w:id="11" w:name="__RefHeading___Toc633817_581953129"/>
      <w:bookmarkStart w:id="12" w:name="_Toc4"/>
      <w:bookmarkEnd w:id="10"/>
      <w:bookmarkEnd w:id="11"/>
      <w:r>
        <w:rPr>
          <w:rtl w:val="true"/>
        </w:rPr>
        <w:t>کلمة مرکز المصطفی العالمی للدراسات و التحقیق</w:t>
      </w:r>
      <w:bookmarkEnd w:id="12"/>
    </w:p>
    <w:p>
      <w:pPr>
        <w:pStyle w:val="BookText"/>
        <w:rPr/>
      </w:pPr>
      <w:r>
        <w:rPr>
          <w:rFonts w:ascii="IRNazanin" w:hAnsi="IRNazanin" w:eastAsia="IRNazanin"/>
          <w:color w:val="111111"/>
          <w:sz w:val="28"/>
          <w:sz w:val="28"/>
          <w:szCs w:val="28"/>
          <w:rtl w:val="true"/>
          <w:lang w:bidi="fa-IR"/>
        </w:rPr>
        <w:t>وضعت الحوزات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 تاریخها المجید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مهمّة التربیة و التعلیم علی رأس مهامهّا و جزءاً من رسالاتها الأساسیة، الأمر الذی ضمن إیصال معارف الإسلام السامیة وعلوم أهل البیت علیهم السّلام إلینا خلال الأجیال المتعاقبة بأمانة علمیة صارمة، وفی هذا الإطار جاء اهتمام تلک الحوزة العلمیة بالمناهج الدراسیة التعلیمیة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لا شکّ فیه، أنّ التطوّر التکنولوجی الذی شهده عصرنا الحالی وثورة الاتصالات الکبری أفرزتا تحوّلاً هائلاً فی حقل العلم و المعرفة، حتی أصبح بمقدور البشریة فی عالم الیوم أن تحصل علی المعلومات و المعارف اللازمة فی جمیع الفروع بسرعة قیاسیة وبسهولة ویسر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حلّت الأسالیب التعلیمیة الحدیثة و المتطورة محلّ الأسالیب القدیمة و الموروثة کمّا و نوعاً، وسارت هذه التطّورات بسرعة نحو تحقیق الأهداف التعلیمیة المنشودة</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وبرزت جامعة المصطفی صلّی الله علیه و آله العالمیة فی هذا الخضم کمؤسسة حوزویة وأکادیمیة تأخذ علی عاتقها مسؤولیة إعداد الکوادر العلمیة و التعلیمیة الأجنبیة فی مجال العلوم الإسلامیة، حیث تعکف أعداد غفیرة من الطلبة الأجانب الذین ینتمون إلی جنسیات مختلفة علی مواصلة الدراسة فی مختلف المستویات التعلیمیة وضمن العدید من فروع العلوم الإسلامیة و العلوم الإنسانیة التابعة لهذه الجامعة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وبطبیعة الحال، إنّ العلوم و المعارف الإسلامیة التی یتوافر علیها الطلبة الأجانب تتمایز بتمایز البلدان و الأصقاع التی ینتمون إلیها، مما یدفع جامعة المصطفی صلّی الله علیه و آله العالمیة إلی تدوین مناهج حدیثة تستجیب لطبیعة التمایز الذی یفرضه تنوّع البلدان وتنوع حاجات مواطینها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لطالما أکّد أساتذة الحوزة ومفکّریها ولا سیما الإمام الخمینی رحمه الله، وسماحة قائد الثورة الإسلامیة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ضرورة أن یستند التعلیم الحوزوی للأسالیب الحدیثة المستلهمة من مناهج الاستنباط فی الفقه الجواهری، وأن یتمّ سوقه نحو مسارات التألّق والازدهار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هذا السیاق، نشیر إلی مقطع من الکلمة المهمّة التی ألقاها سماحة قائد الثورة السید الخامنئی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عام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 مخاطباً فیها رجال الدین الأفاضل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بالطبع، إنّ حرکة العلم فی العقدین القادمین ستشهد تعجیلاً متسارعاً فی حقول العلم و التکنولوجیا مقارنة بما مرّ علینا فی العقدین المنصرمین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یتعلّق بالمناهج الدراسیة یجب علینا توضیح العبارات و الأفکار التی تتضمّنها تلک المناهج إلی الدرجة التی تنزاح معها کلّ العقبات التی تقف فی طریق من یرید فهم تلک الأفکار، طبعاً، دون أن نُهبط بمستوی الفکرة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الحقیقة، لقد استطاعت الثورة الإسلامیة المبارکة فی إیران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تسند المحافل العلمیة و الجامعات بطاقات وإمکانات هائلة لتفعیلها و تطویرها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المنطلق، واستلهاماً من نمیر علوم أهل‌البیت علیهم السّلام وبفضل الأجواء التی أتاحتها هذه الثورة العظیمة لإحداث طفرة فی النظام التعلیمی، أناطت جامعة المصطفی صلّی الله علیه و آله العالمیة مهمّة ترجمة وطباعة ونشر المناهج الدراسیة التی تنسجم مع النظام المذکور إلی مرکز المصطفی صلّی الله علیه و آله العالمی، وذلک بالاعتماد علی اللجان العلمیة و التربویة الکفؤة، وتنظیم هذه المناهج بالترکیز علی الأهمیة الإقلیمیة و الدولیة الخاصة بها</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وللحقیقة فإنّ جامعة المصطفی صلّی الله علیه و آله العالمیة تملک خبرة عالیة فی مجال تدوین المناهج الدراسیة و البحوث العلمیة، حیث حقّقت تحوّلاً جدیداً فی میدان انتاج</w:t>
      </w:r>
    </w:p>
    <w:p>
      <w:pPr>
        <w:pStyle w:val="BookText"/>
        <w:rPr/>
      </w:pPr>
      <w:r>
        <w:rPr>
          <w:rFonts w:ascii="IRNazanin" w:hAnsi="IRNazanin" w:eastAsia="IRNazanin"/>
          <w:color w:val="111111"/>
          <w:sz w:val="28"/>
          <w:sz w:val="28"/>
          <w:szCs w:val="28"/>
          <w:rtl w:val="true"/>
          <w:lang w:bidi="fa-IR"/>
        </w:rPr>
        <w:t>المعرفة، وذلک من خلال تجربتها فی تدوین مجموعة المناهج الخاصّة بالمؤسّستین السابقتین التی انبثقت عنهما، 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المرکز العالمی للدراسات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الحوزات و المدارس العلمیة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حصیلة الفعالیات العلمیة لهذه الجامعة فی مجال تدوین المناهج؛ إصدار أکثر من مئتی منهجٍ دراسی لداخل البلاد وخارجها، وإعداد أکثر من مئتی منهجٍ وکرّاسةٍ علمیة، والتی نأمل بفضل العنایة الإلهیة وفی ظلّ رعایة الإمام المهدی المنتظر عجّل الله تعالی فرجه الشریف أن تکون قد ساهمت بقسط ولو غیر قلیل فی نشر الثقافة و المعارف الإسلامیة المحمدیة الأصیلة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وبدوره یشدّ مرکز المصطفی صلّی الله علیه و آله العالمی علی أیدی الروّاد الأوائل ویثمّن جهودهم المخلصة، کما یعلن عن شکره للتعاون البنّاء للّجان العلمیة التابعة لجامعة المصطفی صلّی الله علیه و آله العالمیة علی مواصلة هذه الانطلاقة المبارکة فی تلبیة المتطلبات التربویة و التعلیمیة من خلال توفیر المناهج الدراسیة طبقاً للمعاییر الجدیدة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والکتاب الذی بین یدی القارئ الکریم الذی یحمل عنوان المدخل إلی تاریخ التفسیر و المفسّرین هو ثمرة جهود و قد قام بترجمة الأستاذ الفاضل جعفر الخزاعی، من اللغة الفارسیة إلی اللغة العربیة، ویحرص مرکز المصطفی صلّی الله علیه و آله العالمی علی تسجیل تقدیره و شکره للمترجم المحترم علی مابذله من جهد وعنایة، کما یشکر کلّ من ساهم بجهوده لإعداد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یفوتنا أن نتوجّه بالرجاء إلی العلماء و الأساتذة و أصحاب الفضیلة أن یبعثوا إلینا بإرشاداتهم، و بما یستدرکونه علیه منه خطأ أو اشتباه؛ لتلافیه فی الطبعات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نسأله تعالی التوفیق و السداد، والله من وراء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المصطفی صلّی الله علیه و آله العالمی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للدراسات و التحقیق</w:t>
      </w:r>
      <w:bookmarkStart w:id="13" w:name="pg5285_67141"/>
    </w:p>
    <w:p>
      <w:pPr>
        <w:pStyle w:val="Heading2"/>
        <w:numPr>
          <w:ilvl w:val="1"/>
          <w:numId w:val="1"/>
        </w:numPr>
        <w:rPr/>
      </w:pPr>
      <w:bookmarkStart w:id="14" w:name="__RefHeading___Toc633819_581953129"/>
      <w:bookmarkStart w:id="15" w:name="_Toc5"/>
      <w:bookmarkEnd w:id="13"/>
      <w:bookmarkEnd w:id="14"/>
      <w:r>
        <w:rPr>
          <w:rtl w:val="true"/>
        </w:rPr>
        <w:t>الفهرس</w:t>
      </w:r>
      <w:bookmarkEnd w:id="15"/>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قواعد البحث فی التفاسیر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أهداف و خصائص الکتاب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إلی الأساتذة الکرام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بحوث تمهیدیة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معنی التفسیر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تعریف تاریخ التفسیر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أهمیة ومکانة تاریخ التفسیر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الخلفیة التاریخیة لتاریخ التفسیر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أوّل ما کتَبَ فی التفسیر </w:t>
      </w:r>
      <w:r>
        <w:rPr>
          <w:rFonts w:eastAsia="Amiri" w:cs="Amiri" w:ascii="Amiri" w:hAnsi="Amiri"/>
          <w:color w:val="111111"/>
          <w:sz w:val="28"/>
          <w:szCs w:val="28"/>
          <w:lang w:bidi="ar-SA"/>
        </w:rPr>
        <w:t>36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سعید بن جبیر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مجاهد بن جبر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الفرّاء النحوی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عَکرِمه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فی عصر الرسالة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التفسیر فی عصر الرسالة </w:t>
      </w:r>
      <w:r>
        <w:rPr>
          <w:rFonts w:eastAsia="IRNazanin" w:cs="IRNazanin"/>
          <w:color w:val="111111"/>
          <w:sz w:val="28"/>
          <w:szCs w:val="28"/>
          <w:lang w:bidi="fa-IR"/>
        </w:rPr>
        <w:t>44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مدرسة الرسول التفسیریة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الأسلوب العامّ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الأسلوب الخاصّ وإعداد المفسرین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حجم الروایات التفسیریة المنسوبة للنبی صلّی الله علیه و آله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الرأی الأوّل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الرأی الثانی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الرأی الثالث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المدرسة التفسیریة العامَّة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المدرسة التفسیریة الخاصّة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أقسام التفسیر النبوی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المصطلاحات القرآنیة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معانی الألفاظ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تقیید المُطلق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تخصیص العامّ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القرآن بالقرآن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المعارف القرآنیه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محطّات أخلاقیة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و الولایة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جهنّم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فی عصر الصحابة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التفسیر فی عصر الصحابة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تعریف الصحابی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علی بن أبی‌طالب علیه السّلام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أقوال رسول الله صلّی الله علیه و آله فیما یخصُّ علم علی علیه السّلام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علم علی علی لسان علی علیه السّلام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رأی الصحابة حول علم علی علیه السّلام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عبّاس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ابن عباس مفسراً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ابن عبّاس وولایة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التفاسیر المنسوبة إلی ابن عبّاس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المنهج التفسیری عند ابن عبّاس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الإفادة من الشعر العربی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اللغة العربیة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القرآن بالقرآن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الإفادة من أسباب النزول </w:t>
      </w:r>
      <w:r>
        <w:rPr>
          <w:rFonts w:eastAsia="Amiri" w:cs="Amiri" w:ascii="Amiri" w:hAnsi="Amiri"/>
          <w:color w:val="111111"/>
          <w:sz w:val="28"/>
          <w:szCs w:val="28"/>
          <w:lang w:bidi="ar-SA"/>
        </w:rPr>
        <w:t>90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الاعتماد علی سنّة الرسول صلّی الله علیه و آله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مسعود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مصحف ابن مسعود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بن کعب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الروایات التفسیریة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مصحف ابی بن کعب </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روایات فضائل السُوَر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من حیث السند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من حیث المتن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خصائص تفسیر الصحابة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فی عصر التابعین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الموضوعات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الاهداف</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التفسیر فی عصر التابعین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مدرسة مکّة </w:t>
      </w:r>
      <w:r>
        <w:rPr>
          <w:rFonts w:eastAsia="Amiri" w:cs="Amiri" w:ascii="Amiri" w:hAnsi="Amiri"/>
          <w:color w:val="111111"/>
          <w:sz w:val="28"/>
          <w:szCs w:val="28"/>
          <w:lang w:bidi="ar-SA"/>
        </w:rPr>
        <w:t>107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سعید بن جُبیر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مجاهد بن جبر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طاووس بن کیسان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عطاء بن أبی رباح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عکرمة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وثاقة عکرمة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المخالفون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الموافقون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عکرمة وآیة التطهیر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نماذج من تفسیره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مدرسة المدینة المنوّرة </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سعید بن المسیب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العالیة رفیع بن مَهران الریاحی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کعب القُرَظی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نماذج من تفسیره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المفاهیم العامّة </w:t>
      </w:r>
      <w:r>
        <w:rPr>
          <w:rFonts w:eastAsia="IRNazanin" w:cs="IRNazanin"/>
          <w:color w:val="111111"/>
          <w:sz w:val="28"/>
          <w:szCs w:val="28"/>
          <w:lang w:bidi="fa-IR"/>
        </w:rPr>
        <w:t>130</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المصطلحات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المصداق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أسلم العَدوی</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نماذج من تفسیره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مدرسة العراق التفسیریة </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قَتادة بن دعامة السَدُوسی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نماذج من تفسیره </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جابر بن یزید الجُعفی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آراء جابر التفسیریة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الناسخ و المنسوخ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التفسیر الولائی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التفسیر العقائدی الکلامی </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السدّی الکبیر</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مسروق بن الأجدع الکوفی</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علقمة بن قیس</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مُرّة الهمدانی الکوفی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عامر الشعبی</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 البصری</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صالح بآذان</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مفسّرون آخرون فی عصر التابعین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خصائص تفسیر التابعین </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 أهل البیت علیهم السّلام فی تفسیر القرآن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المُراد من أهل‌البیت علیهم السّلام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سعة علم اهل البیت بالقرآن </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العلوم الغیبیة </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تفصیل الأحکام </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العلم بظاهر وباطن القرآن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حجیة قول أهل‌البیت علیهم السّلام فی التفسیر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دور أهل‌البیت علیهم السّلام فی تفسیر القرآن </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 التربیة و التعلیم فی التفسیر </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تربیة وإعداد المفسّرین </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أسس المنهاج العملی </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مواجهة النظریات و الآراء المنحرفة </w:t>
      </w:r>
      <w:r>
        <w:rPr>
          <w:rFonts w:eastAsia="IRNazanin" w:cs="IRNazanin"/>
          <w:color w:val="111111"/>
          <w:sz w:val="28"/>
          <w:szCs w:val="28"/>
          <w:lang w:bidi="fa-IR"/>
        </w:rPr>
        <w:t>175</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أسالیب أهل‌البیت علیهم السّلام فی مواجهة الآراء المنحرفة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معنی التفسیر بالرأی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التحقیق للجمیع تحت إشراف الأستاذ</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مصادر التفسیر الروائی </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فی القرن الثالث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التفسیر فی القرن الثالث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عصر ازدهار العلوم وتدوین التفسیر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خصائص التفسیر فی القرن الثالث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التفاسیر و المفسّرون فی القرن الثالث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أشهر التفاسیر و المفسّرین الشیعة فی القرن الثالث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تفاسیر أخری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الاتّجاهات التفسیریة فی القرن الثالث </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الروائی </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الفقهی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التفاسیر الأدبیة </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مجاز القرآن </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الفرّاء معانی القرآن </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الجاحظ نظم القرآن </w:t>
      </w:r>
      <w:r>
        <w:rPr>
          <w:rFonts w:eastAsia="IRNazanin" w:cs="IRNazanin"/>
          <w:color w:val="111111"/>
          <w:sz w:val="28"/>
          <w:szCs w:val="28"/>
          <w:lang w:bidi="fa-IR"/>
        </w:rPr>
        <w:t>194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ابن قتیبة تأویل مشکل القرآن</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الاتّجاه العرفانی و الرمزی </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فی القرن الرابع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الأوضاع السیاسیة و الثقافیة فی القرن الرابع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التفسیر فی القرن الرابع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تثبیت المنهج الروائی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التفاسیر الروائیة عند الشیعة </w:t>
      </w:r>
      <w:r>
        <w:rPr>
          <w:rFonts w:eastAsia="IRNazanin" w:cs="IRNazanin"/>
          <w:color w:val="111111"/>
          <w:sz w:val="28"/>
          <w:szCs w:val="28"/>
          <w:lang w:bidi="fa-IR"/>
        </w:rPr>
        <w:t>202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مستویات القوّة و الضعف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أقسام روایات تفسیر القمّی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قیمة تفسیر القمّی </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فرات الکوفی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أقسام روایات فرات بن إبراهیم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القیمة الاعتباریة لتفسیر فرات </w:t>
      </w:r>
      <w:r>
        <w:rPr>
          <w:rFonts w:eastAsia="IRNazanin" w:cs="IRNazanin"/>
          <w:color w:val="111111"/>
          <w:sz w:val="28"/>
          <w:szCs w:val="28"/>
          <w:lang w:bidi="fa-IR"/>
        </w:rPr>
        <w:t>212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النعمانی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قسم من محتوی هذه الرسالة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محصّلة الدرس السابع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 xml:space="preserve">التفاسیر الروائیة عند الشیعة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تفسیر فرات الکوفی </w:t>
      </w:r>
      <w:r>
        <w:rPr>
          <w:rFonts w:eastAsia="IRNazanin" w:cs="IRNazanin"/>
          <w:color w:val="111111"/>
          <w:sz w:val="28"/>
          <w:szCs w:val="28"/>
          <w:lang w:bidi="fa-IR"/>
        </w:rPr>
        <w:t>220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فی القرن الرابع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التفسیر المنسوب إلی الإمام الحسن العسکری علیه السّلام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نظرة حول الکتاب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القیمة الاعتباریة للتفسیر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المخالفون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الموافقون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تفاسیر أهل السنّة </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الطبری</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تفسیر جامع البیان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منهج ومصادر التفسیر عند الطبری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 xml:space="preserve">الاستفادة من الأدب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الاستفادة من اللغة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 xml:space="preserve">الشعر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موقف الطبری من أهل‌البیت علیهم السّلام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الإسرائیلیات فی تفسیر الطبری </w:t>
      </w:r>
      <w:r>
        <w:rPr>
          <w:rFonts w:eastAsia="IRNazanin" w:cs="IRNazanin"/>
          <w:color w:val="111111"/>
          <w:sz w:val="28"/>
          <w:szCs w:val="28"/>
          <w:lang w:bidi="fa-IR"/>
        </w:rPr>
        <w:t>237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المسند </w:t>
      </w:r>
      <w:r>
        <w:rPr>
          <w:rFonts w:eastAsia="IRNazanin" w:cs="IRNazanin"/>
          <w:color w:val="111111"/>
          <w:sz w:val="28"/>
          <w:szCs w:val="28"/>
          <w:lang w:bidi="fa-IR"/>
        </w:rPr>
        <w:t>240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السمرقندی، تفسیر بحر العلوم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الاتّجاهات التفسیریة فی القرن الرابع </w:t>
      </w:r>
      <w:r>
        <w:rPr>
          <w:rFonts w:eastAsia="IRNazanin" w:cs="IRNazanin"/>
          <w:color w:val="111111"/>
          <w:sz w:val="28"/>
          <w:szCs w:val="28"/>
          <w:lang w:bidi="fa-IR"/>
        </w:rPr>
        <w:t>241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فی القرن الخامس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القرن الخامس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السمات السیاسیة و الثقافیة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السمة الأولی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السمة الثانیة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المذاهب الکلامیة فی القرن الخامس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تفاسیر الشیعة </w:t>
      </w:r>
      <w:r>
        <w:rPr>
          <w:rFonts w:eastAsia="IRNazanin" w:cs="IRNazanin"/>
          <w:color w:val="111111"/>
          <w:sz w:val="28"/>
          <w:szCs w:val="28"/>
          <w:lang w:bidi="fa-IR"/>
        </w:rPr>
        <w:t>252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حقائق التأویل فی متشابه التنزیل </w:t>
      </w:r>
      <w:r>
        <w:rPr>
          <w:rFonts w:eastAsia="IRNazanin" w:cs="IRNazanin"/>
          <w:color w:val="111111"/>
          <w:sz w:val="28"/>
          <w:szCs w:val="28"/>
          <w:lang w:bidi="fa-IR"/>
        </w:rPr>
        <w:t>252</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خصائص هذا التفسیر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نماذج من التفسیر </w:t>
      </w:r>
      <w:r>
        <w:rPr>
          <w:rFonts w:eastAsia="IRNazanin" w:cs="IRNazanin"/>
          <w:color w:val="111111"/>
          <w:sz w:val="28"/>
          <w:szCs w:val="28"/>
          <w:lang w:bidi="fa-IR"/>
        </w:rPr>
        <w:t>253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الشیخ المفید </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أمالی الشریف المرتضی </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التبیان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 xml:space="preserve">مقدِّمة التفسیر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 xml:space="preserve">الأسلوب العملی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اتّجاهه الکلامی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التفاسیر الأخری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تفاسیر أهل السنّة </w:t>
      </w:r>
      <w:r>
        <w:rPr>
          <w:rFonts w:eastAsia="IRNazanin" w:cs="IRNazanin"/>
          <w:color w:val="111111"/>
          <w:sz w:val="28"/>
          <w:szCs w:val="28"/>
          <w:lang w:bidi="fa-IR"/>
        </w:rPr>
        <w:t>264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حقائق التفسیر </w:t>
      </w:r>
      <w:r>
        <w:rPr>
          <w:rFonts w:eastAsia="IRNazanin" w:cs="IRNazanin"/>
          <w:color w:val="111111"/>
          <w:sz w:val="28"/>
          <w:szCs w:val="28"/>
          <w:lang w:bidi="fa-IR"/>
        </w:rPr>
        <w:t>264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الکشف و البیان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الملاحظات علی تفسیر الثعلبی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آراء الذهبی حول تفسیر الثعلبی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تحقیق ونقد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محاکمة الذهبی </w:t>
      </w:r>
      <w:r>
        <w:rPr>
          <w:rFonts w:eastAsia="IRNazanin" w:cs="IRNazanin"/>
          <w:color w:val="111111"/>
          <w:sz w:val="28"/>
          <w:szCs w:val="28"/>
          <w:lang w:bidi="fa-IR"/>
        </w:rPr>
        <w:t>269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الوسیط فی تفسیر القرآن المجید </w:t>
      </w:r>
      <w:r>
        <w:rPr>
          <w:rFonts w:eastAsia="IRNazanin" w:cs="IRNazanin"/>
          <w:color w:val="111111"/>
          <w:sz w:val="28"/>
          <w:szCs w:val="28"/>
          <w:lang w:bidi="fa-IR"/>
        </w:rPr>
        <w:t>269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النکت و العیون </w:t>
      </w:r>
      <w:r>
        <w:rPr>
          <w:rFonts w:eastAsia="IRNazanin" w:cs="IRNazanin"/>
          <w:color w:val="111111"/>
          <w:sz w:val="28"/>
          <w:szCs w:val="28"/>
          <w:lang w:bidi="fa-IR"/>
        </w:rPr>
        <w:t>270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القرآن </w:t>
      </w:r>
      <w:r>
        <w:rPr>
          <w:rFonts w:eastAsia="IRNazanin" w:cs="IRNazanin"/>
          <w:color w:val="111111"/>
          <w:sz w:val="28"/>
          <w:szCs w:val="28"/>
          <w:lang w:bidi="fa-IR"/>
        </w:rPr>
        <w:t>271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لطائف الإشارات </w:t>
      </w:r>
      <w:r>
        <w:rPr>
          <w:rFonts w:eastAsia="IRNazanin" w:cs="IRNazanin"/>
          <w:color w:val="111111"/>
          <w:sz w:val="28"/>
          <w:szCs w:val="28"/>
          <w:lang w:bidi="fa-IR"/>
        </w:rPr>
        <w:t>272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ابن سینا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تفاسیر أخری </w:t>
      </w:r>
      <w:r>
        <w:rPr>
          <w:rFonts w:eastAsia="IRNazanin" w:cs="IRNazanin"/>
          <w:color w:val="111111"/>
          <w:sz w:val="28"/>
          <w:szCs w:val="28"/>
          <w:lang w:bidi="fa-IR"/>
        </w:rPr>
        <w:t>274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فی القرن السادس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تنوع التفسیر فی القرن السادس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التفاسیر الشیعیة </w:t>
      </w:r>
      <w:r>
        <w:rPr>
          <w:rFonts w:eastAsia="IRNazanin" w:cs="IRNazanin"/>
          <w:color w:val="111111"/>
          <w:sz w:val="28"/>
          <w:szCs w:val="28"/>
          <w:lang w:bidi="fa-IR"/>
        </w:rPr>
        <w:t>281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مجمع‌البیان</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المقارَنَةُ بین مجمع البیان و التبیان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مقدّمة مجمع‌البیان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منهج الطبرسیّ فی التفسیر </w:t>
      </w:r>
      <w:r>
        <w:rPr>
          <w:rFonts w:eastAsia="IRNazanin" w:cs="IRNazanin"/>
          <w:color w:val="111111"/>
          <w:sz w:val="28"/>
          <w:szCs w:val="28"/>
          <w:lang w:bidi="fa-IR"/>
        </w:rPr>
        <w:t>284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 الجنان وروح الجنان </w:t>
      </w:r>
      <w:r>
        <w:rPr>
          <w:rFonts w:eastAsia="IRNazanin" w:cs="IRNazanin"/>
          <w:color w:val="111111"/>
          <w:sz w:val="28"/>
          <w:szCs w:val="28"/>
          <w:lang w:bidi="fa-IR"/>
        </w:rPr>
        <w:t>285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 القرآن </w:t>
      </w:r>
      <w:r>
        <w:rPr>
          <w:rFonts w:eastAsia="IRNazanin" w:cs="IRNazanin"/>
          <w:color w:val="111111"/>
          <w:sz w:val="28"/>
          <w:szCs w:val="28"/>
          <w:lang w:bidi="fa-IR"/>
        </w:rPr>
        <w:t>287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متشابه القرآن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تفاسیر أهل السنّة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الامتیازات </w:t>
      </w:r>
      <w:r>
        <w:rPr>
          <w:rFonts w:eastAsia="IRNazanin" w:cs="IRNazanin"/>
          <w:color w:val="111111"/>
          <w:sz w:val="28"/>
          <w:szCs w:val="28"/>
          <w:lang w:bidi="fa-IR"/>
        </w:rPr>
        <w:t>291</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مصادر کتاب الکشّاف </w:t>
      </w:r>
      <w:r>
        <w:rPr>
          <w:rFonts w:eastAsia="IRNazanin" w:cs="IRNazanin"/>
          <w:color w:val="111111"/>
          <w:sz w:val="28"/>
          <w:szCs w:val="28"/>
          <w:lang w:bidi="fa-IR"/>
        </w:rPr>
        <w:t>292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الزمخشری وأهل‌البیت علیهم السّلام </w:t>
      </w:r>
      <w:r>
        <w:rPr>
          <w:rFonts w:eastAsia="IRNazanin" w:cs="IRNazanin"/>
          <w:color w:val="111111"/>
          <w:sz w:val="28"/>
          <w:szCs w:val="28"/>
          <w:lang w:bidi="fa-IR"/>
        </w:rPr>
        <w:t>293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البغوی، معالم التنزیل </w:t>
      </w:r>
      <w:r>
        <w:rPr>
          <w:rFonts w:eastAsia="IRNazanin" w:cs="IRNazanin"/>
          <w:color w:val="111111"/>
          <w:sz w:val="28"/>
          <w:szCs w:val="28"/>
          <w:lang w:bidi="fa-IR"/>
        </w:rPr>
        <w:t>294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ابنُ عطیة المحرّر الوجیز </w:t>
      </w:r>
      <w:r>
        <w:rPr>
          <w:rFonts w:eastAsia="IRNazanin" w:cs="IRNazanin"/>
          <w:color w:val="111111"/>
          <w:sz w:val="28"/>
          <w:szCs w:val="28"/>
          <w:lang w:bidi="fa-IR"/>
        </w:rPr>
        <w:t>296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زاد المسیر فی علم التفسیر </w:t>
      </w:r>
      <w:r>
        <w:rPr>
          <w:rFonts w:eastAsia="IRNazanin" w:cs="IRNazanin"/>
          <w:color w:val="111111"/>
          <w:sz w:val="28"/>
          <w:szCs w:val="28"/>
          <w:lang w:bidi="fa-IR"/>
        </w:rPr>
        <w:t>298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الأسرار وعدّة الأبرار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المیبدی</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التفاسیر الأخری </w:t>
      </w:r>
      <w:r>
        <w:rPr>
          <w:rFonts w:eastAsia="IRNazanin" w:cs="IRNazanin"/>
          <w:color w:val="111111"/>
          <w:sz w:val="28"/>
          <w:szCs w:val="28"/>
          <w:lang w:bidi="fa-IR"/>
        </w:rPr>
        <w:t>303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فی القرون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 و الثامن و التاسع</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الشیعة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أهل السنة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الخصوصیات التفسیریة و الثقافیة فی القرون</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تفاسیر الشیعة </w:t>
      </w:r>
      <w:r>
        <w:rPr>
          <w:rFonts w:eastAsia="IRNazanin" w:cs="IRNazanin"/>
          <w:color w:val="111111"/>
          <w:sz w:val="28"/>
          <w:szCs w:val="28"/>
          <w:lang w:bidi="fa-IR"/>
        </w:rPr>
        <w:t>310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البیان عن کشف معانی القرآن</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البلابل القلاقل </w:t>
      </w:r>
      <w:r>
        <w:rPr>
          <w:rFonts w:eastAsia="IRNazanin" w:cs="IRNazanin"/>
          <w:color w:val="111111"/>
          <w:sz w:val="28"/>
          <w:szCs w:val="28"/>
          <w:lang w:bidi="fa-IR"/>
        </w:rPr>
        <w:t>312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المحیط الأعظم </w:t>
      </w:r>
      <w:r>
        <w:rPr>
          <w:rFonts w:eastAsia="IRNazanin" w:cs="IRNazanin"/>
          <w:color w:val="111111"/>
          <w:sz w:val="28"/>
          <w:szCs w:val="28"/>
          <w:lang w:bidi="fa-IR"/>
        </w:rPr>
        <w:t>314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گازر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 الأذهان وجلاء الأحزان</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سعد السعود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تقریر عن تفاسیر الشیعة فی القرن التاسع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تفاسیر أهل السنّة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الفخر الرازی وتمام التفسیر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مصادر التفسیر الکبیر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خصائص التفسیر الکبیر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الفخر الرازی وأهل‌البیت علیهم السّلام </w:t>
      </w:r>
      <w:r>
        <w:rPr>
          <w:rFonts w:eastAsia="IRNazanin" w:cs="IRNazanin"/>
          <w:color w:val="111111"/>
          <w:sz w:val="28"/>
          <w:szCs w:val="28"/>
          <w:lang w:bidi="fa-IR"/>
        </w:rPr>
        <w:t>323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لأحکام القرآن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القرطبی وأهل‌البیت علیهم السّلام </w:t>
      </w:r>
      <w:r>
        <w:rPr>
          <w:rFonts w:eastAsia="IRNazanin" w:cs="IRNazanin"/>
          <w:color w:val="111111"/>
          <w:sz w:val="28"/>
          <w:szCs w:val="28"/>
          <w:lang w:bidi="fa-IR"/>
        </w:rPr>
        <w:t>327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البیضاوی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التنزیل وأسرار التأویل</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أهمّ مصادر تفسیر البیضاوی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الممیزات اللاّمعة فی تفسیر البیضاوی </w:t>
      </w:r>
      <w:r>
        <w:rPr>
          <w:rFonts w:eastAsia="IRNazanin" w:cs="IRNazanin"/>
          <w:color w:val="111111"/>
          <w:sz w:val="28"/>
          <w:szCs w:val="28"/>
          <w:lang w:bidi="fa-IR"/>
        </w:rPr>
        <w:t>329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مدارک التنزیل وحقائق التأویل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النسفی</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الخازن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التأویل فی معانی التنزیل</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غرائب القرآن ورغائب الفرقان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النیشابوری</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المصادر التفسیریة </w:t>
      </w:r>
      <w:r>
        <w:rPr>
          <w:rFonts w:eastAsia="IRNazanin" w:cs="IRNazanin"/>
          <w:color w:val="111111"/>
          <w:sz w:val="28"/>
          <w:szCs w:val="28"/>
          <w:lang w:bidi="fa-IR"/>
        </w:rPr>
        <w:t>334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البحر المحیط فی التفسیر </w:t>
      </w:r>
      <w:r>
        <w:rPr>
          <w:rFonts w:eastAsia="IRNazanin" w:cs="IRNazanin"/>
          <w:color w:val="111111"/>
          <w:sz w:val="28"/>
          <w:szCs w:val="28"/>
          <w:lang w:bidi="fa-IR"/>
        </w:rPr>
        <w:t>335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القرآن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الجواهر الحسان فی 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الثعالبی</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الدرر فی تناسب الآیات و السور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المفسّرون الآخرون فی هذه القرون الثلاثة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رحمة من الرحمن فی تفسیر وإشارات القرآن </w:t>
      </w:r>
      <w:r>
        <w:rPr>
          <w:rFonts w:eastAsia="IRNazanin" w:cs="IRNazanin"/>
          <w:color w:val="111111"/>
          <w:sz w:val="28"/>
          <w:szCs w:val="28"/>
          <w:lang w:bidi="fa-IR"/>
        </w:rPr>
        <w:t>342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تفاسیر القرون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 و الحادی عشر و الثانی عشر</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الخصوصّیات المشترکة بین القرن ال</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التفاسیر الشیعیة المعروفة </w:t>
      </w:r>
      <w:r>
        <w:rPr>
          <w:rFonts w:eastAsia="IRNazanin" w:cs="IRNazanin"/>
          <w:color w:val="111111"/>
          <w:sz w:val="28"/>
          <w:szCs w:val="28"/>
          <w:lang w:bidi="fa-IR"/>
        </w:rPr>
        <w:t>352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منهج الصادقین فی الزام المخالفین </w:t>
      </w:r>
      <w:r>
        <w:rPr>
          <w:rFonts w:eastAsia="IRNazanin" w:cs="IRNazanin"/>
          <w:color w:val="111111"/>
          <w:sz w:val="28"/>
          <w:szCs w:val="28"/>
          <w:lang w:bidi="fa-IR"/>
        </w:rPr>
        <w:t>352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الصافی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مصادر تفسیر الصافی </w:t>
      </w:r>
      <w:r>
        <w:rPr>
          <w:rFonts w:eastAsia="IRNazanin" w:cs="IRNazanin"/>
          <w:color w:val="111111"/>
          <w:sz w:val="28"/>
          <w:szCs w:val="28"/>
          <w:lang w:bidi="fa-IR"/>
        </w:rPr>
        <w:t>354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البرهان فی تفسیر القرآن </w:t>
      </w:r>
      <w:r>
        <w:rPr>
          <w:rFonts w:eastAsia="IRNazanin" w:cs="IRNazanin"/>
          <w:color w:val="111111"/>
          <w:sz w:val="28"/>
          <w:szCs w:val="28"/>
          <w:lang w:bidi="fa-IR"/>
        </w:rPr>
        <w:t>355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 الثقلین </w:t>
      </w:r>
      <w:r>
        <w:rPr>
          <w:rFonts w:eastAsia="IRNazanin" w:cs="IRNazanin"/>
          <w:color w:val="111111"/>
          <w:sz w:val="28"/>
          <w:szCs w:val="28"/>
          <w:lang w:bidi="fa-IR"/>
        </w:rPr>
        <w:t>358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کنز الدقائق </w:t>
      </w:r>
      <w:r>
        <w:rPr>
          <w:rFonts w:eastAsia="IRNazanin" w:cs="IRNazanin"/>
          <w:color w:val="111111"/>
          <w:sz w:val="28"/>
          <w:szCs w:val="28"/>
          <w:lang w:bidi="fa-IR"/>
        </w:rPr>
        <w:t>360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زبدة البیان فی أحکام القرآن </w:t>
      </w:r>
      <w:r>
        <w:rPr>
          <w:rFonts w:eastAsia="IRNazanin" w:cs="IRNazanin"/>
          <w:color w:val="111111"/>
          <w:sz w:val="28"/>
          <w:szCs w:val="28"/>
          <w:lang w:bidi="fa-IR"/>
        </w:rPr>
        <w:t>361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القرآن الکریم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ضوء علی تفسیر القرآن الکریم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تفاسیر أهل السنة </w:t>
      </w:r>
      <w:r>
        <w:rPr>
          <w:rFonts w:eastAsia="IRNazanin" w:cs="IRNazanin"/>
          <w:color w:val="111111"/>
          <w:sz w:val="28"/>
          <w:szCs w:val="28"/>
          <w:lang w:bidi="fa-IR"/>
        </w:rPr>
        <w:t>364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المنثور فی التفسیر بالمأثور </w:t>
      </w:r>
      <w:r>
        <w:rPr>
          <w:rFonts w:eastAsia="IRNazanin" w:cs="IRNazanin"/>
          <w:color w:val="111111"/>
          <w:sz w:val="28"/>
          <w:szCs w:val="28"/>
          <w:lang w:bidi="fa-IR"/>
        </w:rPr>
        <w:t>364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البیان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lang w:bidi="ar-SA"/>
        </w:rPr>
        <w:t>367</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تفاسیر القرن الثالث عشر و الرابع عشر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علّة رکود التفاسیر فی القرن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تقریر عن تفاسیر القرن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372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الجوهر الثمین فی تفسیر الکتاب المبین </w:t>
      </w:r>
      <w:r>
        <w:rPr>
          <w:rFonts w:eastAsia="IRNazanin" w:cs="IRNazanin"/>
          <w:color w:val="111111"/>
          <w:sz w:val="28"/>
          <w:szCs w:val="28"/>
          <w:lang w:bidi="fa-IR"/>
        </w:rPr>
        <w:t>374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للشوکانی</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المعانی </w:t>
      </w:r>
      <w:r>
        <w:rPr>
          <w:rFonts w:eastAsia="IRNazanin" w:cs="IRNazanin"/>
          <w:color w:val="111111"/>
          <w:sz w:val="28"/>
          <w:szCs w:val="28"/>
          <w:lang w:bidi="fa-IR"/>
        </w:rPr>
        <w:t>376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فی العصر الحاضر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الخامس عشر</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الخصوصیات و التطوّرات للتفسیر فی العصر الحاضر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التفسیر فی العصر الجدید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خصائص التفسیر فی العصر الحاضر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الأسالیب التفسیریة المختلفة فی العصر الحاضر </w:t>
      </w:r>
      <w:r>
        <w:rPr>
          <w:rFonts w:eastAsia="IRNazanin" w:cs="IRNazanin"/>
          <w:color w:val="111111"/>
          <w:sz w:val="28"/>
          <w:szCs w:val="28"/>
          <w:lang w:bidi="fa-IR"/>
        </w:rPr>
        <w:t>383</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النهضة الإصلاحیة و الیقْظة الفکریة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السنّة و النزعة التجدیدیة فی التفاسیر المعاصرة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التفسیر البیانی فی العصر الجدید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مراحل التفسیر البیانی بشکله الجدید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التعریف بالمفسّرین بالأسلوب البیانی فی العصر الجدید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التفسیر الترتیبی المطابق لترتیب النزول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التفاسیر العلمیة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سائر التفاسیر العلمیة للقرآن الکریم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التفاسیر الفقهیة فی القرن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تفاسیر الشیعة </w:t>
      </w:r>
      <w:r>
        <w:rPr>
          <w:rFonts w:eastAsia="IRNazanin" w:cs="IRNazanin"/>
          <w:color w:val="111111"/>
          <w:sz w:val="28"/>
          <w:szCs w:val="28"/>
          <w:lang w:bidi="fa-IR"/>
        </w:rPr>
        <w:t>394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پرتوی از قرآن،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سناء القرآن</w:t>
      </w:r>
      <w:r>
        <w:rPr>
          <w:rFonts w:eastAsia="IRNazanin" w:cs="IRNazanin"/>
          <w:color w:val="111111"/>
          <w:sz w:val="28"/>
          <w:szCs w:val="28"/>
          <w:rtl w:val="true"/>
          <w:lang w:bidi="fa-IR"/>
        </w:rPr>
        <w:t>.</w:t>
      </w:r>
      <w:r>
        <w:rPr>
          <w:rFonts w:eastAsia="IRNazanin" w:cs="IRNazanin"/>
          <w:color w:val="111111"/>
          <w:sz w:val="28"/>
          <w:szCs w:val="28"/>
          <w:lang w:bidi="fa-IR"/>
        </w:rPr>
        <w:t>394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القرآن و العقل </w:t>
      </w:r>
      <w:r>
        <w:rPr>
          <w:rFonts w:eastAsia="IRNazanin" w:cs="IRNazanin"/>
          <w:color w:val="111111"/>
          <w:sz w:val="28"/>
          <w:szCs w:val="28"/>
          <w:lang w:bidi="fa-IR"/>
        </w:rPr>
        <w:t>394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السعادة فی مقامات العبادة </w:t>
      </w:r>
      <w:r>
        <w:rPr>
          <w:rFonts w:eastAsia="IRNazanin" w:cs="IRNazanin"/>
          <w:color w:val="111111"/>
          <w:sz w:val="28"/>
          <w:szCs w:val="28"/>
          <w:lang w:bidi="fa-IR"/>
        </w:rPr>
        <w:t>396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آلاء الرحمن فی تفسیر القرآن </w:t>
      </w:r>
      <w:r>
        <w:rPr>
          <w:rFonts w:eastAsia="IRNazanin" w:cs="IRNazanin"/>
          <w:color w:val="111111"/>
          <w:sz w:val="28"/>
          <w:szCs w:val="28"/>
          <w:lang w:bidi="fa-IR"/>
        </w:rPr>
        <w:t>396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سائر تفاسیر الشیعة فی القرن الرابع عشر </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أهمُّ تفاسیر أهل السُنّة فی القرن 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400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ظلال القرآن</w:t>
      </w:r>
      <w:r>
        <w:rPr>
          <w:rFonts w:eastAsia="IRNazanin" w:cs="IRNazanin"/>
          <w:color w:val="111111"/>
          <w:sz w:val="28"/>
          <w:szCs w:val="28"/>
          <w:rtl w:val="true"/>
          <w:lang w:bidi="fa-IR"/>
        </w:rPr>
        <w:t>:</w:t>
      </w:r>
      <w:r>
        <w:rPr>
          <w:rFonts w:eastAsia="IRNazanin" w:cs="IRNazanin"/>
          <w:color w:val="111111"/>
          <w:sz w:val="28"/>
          <w:szCs w:val="28"/>
          <w:lang w:bidi="fa-IR"/>
        </w:rPr>
        <w:t>400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 الکریم</w:t>
      </w:r>
      <w:r>
        <w:rPr>
          <w:rFonts w:eastAsia="IRNazanin" w:cs="IRNazanin"/>
          <w:color w:val="111111"/>
          <w:sz w:val="28"/>
          <w:szCs w:val="28"/>
          <w:rtl w:val="true"/>
          <w:lang w:bidi="fa-IR"/>
        </w:rPr>
        <w:t>)</w:t>
      </w:r>
      <w:r>
        <w:rPr>
          <w:rFonts w:eastAsia="IRNazanin" w:cs="IRNazanin"/>
          <w:color w:val="111111"/>
          <w:sz w:val="28"/>
          <w:szCs w:val="28"/>
          <w:lang w:bidi="fa-IR"/>
        </w:rPr>
        <w:t>400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القاسمی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التأویل</w:t>
      </w:r>
      <w:r>
        <w:rPr>
          <w:rFonts w:eastAsia="IRNazanin" w:cs="IRNazanin"/>
          <w:color w:val="111111"/>
          <w:sz w:val="28"/>
          <w:szCs w:val="28"/>
          <w:rtl w:val="true"/>
          <w:lang w:bidi="fa-IR"/>
        </w:rPr>
        <w:t>)</w:t>
      </w:r>
      <w:r>
        <w:rPr>
          <w:rFonts w:eastAsia="IRNazanin" w:cs="IRNazanin"/>
          <w:color w:val="111111"/>
          <w:sz w:val="28"/>
          <w:szCs w:val="28"/>
          <w:lang w:bidi="fa-IR"/>
        </w:rPr>
        <w:t>402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المراغی </w:t>
      </w:r>
      <w:r>
        <w:rPr>
          <w:rFonts w:eastAsia="IRNazanin" w:cs="IRNazanin"/>
          <w:color w:val="111111"/>
          <w:sz w:val="28"/>
          <w:szCs w:val="28"/>
          <w:lang w:bidi="fa-IR"/>
        </w:rPr>
        <w:t>403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أضواء البیان فی إیضاح القرآن بالقرآن </w:t>
      </w:r>
      <w:r>
        <w:rPr>
          <w:rFonts w:eastAsia="IRNazanin" w:cs="IRNazanin"/>
          <w:color w:val="111111"/>
          <w:sz w:val="28"/>
          <w:szCs w:val="28"/>
          <w:lang w:bidi="fa-IR"/>
        </w:rPr>
        <w:t>405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القرآنی للقرآن الکریم </w:t>
      </w:r>
      <w:r>
        <w:rPr>
          <w:rFonts w:eastAsia="IRNazanin" w:cs="IRNazanin"/>
          <w:color w:val="111111"/>
          <w:sz w:val="28"/>
          <w:szCs w:val="28"/>
          <w:lang w:bidi="fa-IR"/>
        </w:rPr>
        <w:t>405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التحریر و التنویر </w:t>
      </w:r>
      <w:r>
        <w:rPr>
          <w:rFonts w:eastAsia="IRNazanin" w:cs="IRNazanin"/>
          <w:color w:val="111111"/>
          <w:sz w:val="28"/>
          <w:szCs w:val="28"/>
          <w:lang w:bidi="fa-IR"/>
        </w:rPr>
        <w:t>406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زهرة التفاسیر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سائر تفاسیر أهل السُنّة فی القرن ال</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410</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الدرس الخامس عشر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مفهوم التفسیر العصری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خصوصیات التفسیر العصری </w:t>
      </w:r>
      <w:r>
        <w:rPr>
          <w:rFonts w:eastAsia="IRNazanin" w:cs="IRNazanin"/>
          <w:color w:val="111111"/>
          <w:sz w:val="28"/>
          <w:szCs w:val="28"/>
          <w:lang w:bidi="fa-IR"/>
        </w:rPr>
        <w:t>415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الإجابة علی شبهات العصر </w:t>
      </w:r>
      <w:r>
        <w:rPr>
          <w:rFonts w:eastAsia="IRNazanin" w:cs="IRNazanin"/>
          <w:color w:val="111111"/>
          <w:sz w:val="28"/>
          <w:szCs w:val="28"/>
          <w:lang w:bidi="fa-IR"/>
        </w:rPr>
        <w:t>416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الاهتمام بالنزعة العقلیة فی التفسیر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آفات التفاسیر العصریة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التفسیر الموضوعی </w:t>
      </w:r>
      <w:r>
        <w:rPr>
          <w:rFonts w:eastAsia="IRNazanin" w:cs="IRNazanin"/>
          <w:color w:val="111111"/>
          <w:sz w:val="28"/>
          <w:szCs w:val="28"/>
          <w:lang w:bidi="fa-IR"/>
        </w:rPr>
        <w:t>423</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أقسام التفسیر الموضوعی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بعض التفاسیر الاتّحادیة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بعض التفاسیر الارتباطیة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أشهر التفاسیر الموضوعیة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التفسیر البنائی للقرآن الکریم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التعریف بأشهر التفاسیر فی القرن ال</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ترجمة المیزان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فهارس المیزان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مصادر المیزان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کتب اللغة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المصادر الحدیثیة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الکتب المقدّسة عند سائر الأدیان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المصادر التاریخیة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المصادر الأخری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المناهج والاتّجاهات التفسیریة فی المیزان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المناهج الأخری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التفسیر الموضوعی فی المیزان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الروایات فی المیزان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السیاق فی المیزان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فضائل السور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الإسرائیلیات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الأمثل</w:t>
      </w:r>
      <w:r>
        <w:rPr>
          <w:rFonts w:eastAsia="IRNazanin" w:cs="IRNazanin"/>
          <w:color w:val="111111"/>
          <w:sz w:val="28"/>
          <w:szCs w:val="28"/>
          <w:rtl w:val="true"/>
          <w:lang w:bidi="fa-IR"/>
        </w:rPr>
        <w:t>)</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من وحی القرآن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الکاشف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الفرقان فی تفسیر القرآن بالقرآن و السنّة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التفسیر الأثری الجامع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سائر تفاسیر الشیعة فی القرن ال</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سائر تفاسیر فی أهل السنة القرن ال</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التفسیر المنیر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الأساس فی التفسیر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تفسیر الشعراوی </w:t>
      </w:r>
      <w:r>
        <w:rPr>
          <w:rFonts w:eastAsia="IRNazanin" w:cs="IRNazanin"/>
          <w:color w:val="111111"/>
          <w:sz w:val="28"/>
          <w:szCs w:val="28"/>
          <w:lang w:bidi="fa-IR"/>
        </w:rPr>
        <w:t>453</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ثبت المصادر </w:t>
      </w:r>
      <w:r>
        <w:rPr>
          <w:rFonts w:eastAsia="IRNazanin" w:cs="IRNazanin"/>
          <w:color w:val="111111"/>
          <w:sz w:val="28"/>
          <w:szCs w:val="28"/>
          <w:lang w:bidi="fa-IR"/>
        </w:rPr>
        <w:t>459</w:t>
      </w:r>
      <w:bookmarkStart w:id="16" w:name="pg5285_67153"/>
    </w:p>
    <w:p>
      <w:pPr>
        <w:pStyle w:val="Heading2"/>
        <w:numPr>
          <w:ilvl w:val="1"/>
          <w:numId w:val="1"/>
        </w:numPr>
        <w:rPr/>
      </w:pPr>
      <w:bookmarkStart w:id="17" w:name="__RefHeading___Toc633821_581953129"/>
      <w:bookmarkStart w:id="18" w:name="_Toc6"/>
      <w:bookmarkEnd w:id="16"/>
      <w:bookmarkEnd w:id="17"/>
      <w:r>
        <w:rPr>
          <w:rtl w:val="true"/>
        </w:rPr>
        <w:t>المقدّمة</w:t>
      </w:r>
      <w:bookmarkEnd w:id="18"/>
    </w:p>
    <w:p>
      <w:pPr>
        <w:pStyle w:val="Heading3"/>
        <w:numPr>
          <w:ilvl w:val="2"/>
          <w:numId w:val="1"/>
        </w:numPr>
        <w:rPr/>
      </w:pPr>
      <w:bookmarkStart w:id="19" w:name="__RefHeading___Toc633823_581953129"/>
      <w:bookmarkStart w:id="20" w:name="_Toc7"/>
      <w:bookmarkEnd w:id="19"/>
      <w:r>
        <w:rPr>
          <w:rtl w:val="true"/>
        </w:rPr>
        <w:t>اشارة</w:t>
      </w:r>
      <w:bookmarkEnd w:id="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إِلَیْکَ الذِّکْرَ لِتُبَیِّنَ لِلنّاسِ ما نُزِّلَ إِلَیْهِمْ وَ لَعَلَّهُمْ یَتَفَکَّرُونَ</w:t>
      </w:r>
      <w:r>
        <w:rPr>
          <w:rFonts w:eastAsia="Amiri" w:cs="Amiri" w:ascii="Amiri" w:hAnsi="Amiri"/>
          <w:color w:val="111111"/>
          <w:sz w:val="28"/>
          <w:szCs w:val="28"/>
          <w:rtl w:val="true"/>
          <w:lang w:bidi="ar-SA"/>
        </w:rPr>
        <w:t xml:space="preserve">) .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کان القرآن المجید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صدر الإسلام وإلی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اهتمام المسلمین و المفکّرین؛ و قدکان رسول الإسلام صلّی الله علیه و آله أوّل مفسّرٍ للقرآن، و قد خطا فی ذلک أهمّ الخطوات فی مجال التفسیر، وشرح الآیات القرآنیة ووضّح معانیها، وعمل علی تربیة المفسّرین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الإمام علی علیه السّلام وخلفاءه الأئمّة الأطهار علیهم السّلام، کان لهم دور أساسی فی توسعة الثقافة القرآنیة، والتفسیر الصحیح للآیات، والحیلولة دون الانحرافات التفسیریة</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عمل الصحابة الکرام علی هذا النحو فلهم إسهاماتهم فی السعی لإزالة الغبار عن وجه القرآن، ثُمّ جاء دور التابعین، وقاموا بهذه المهمّة الجادّة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ثمَّ بدأت مرحلة التألیف فی التفسیر، و فی أوائل عصر التألیف لم یتعدَّ اهتمامهم الروایات التفسیریة، وبیان مفردات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القرن الثالث استمر التألیف وظهرت الکتب التفسیریة، وتصاعد نشاط الحرکة التفسیریة باضطراد مستمر حتّی عصرنا الحاضر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وبشکلٍ دائمٍ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بلغت الذروة فی تنوّع کتب التفسیر واتجاهاته، فشکر اللهُ مساعیهم</w:t>
      </w:r>
      <w:bookmarkStart w:id="21" w:name="pg5285_67154"/>
    </w:p>
    <w:p>
      <w:pPr>
        <w:pStyle w:val="BookText"/>
        <w:rPr/>
      </w:pPr>
      <w:bookmarkEnd w:id="21"/>
      <w:r>
        <w:rPr>
          <w:rFonts w:ascii="IRNazanin" w:hAnsi="IRNazanin" w:eastAsia="IRNazanin"/>
          <w:color w:val="111111"/>
          <w:sz w:val="28"/>
          <w:sz w:val="28"/>
          <w:szCs w:val="28"/>
          <w:rtl w:val="true"/>
          <w:lang w:bidi="fa-IR"/>
        </w:rPr>
        <w:t>الجلیلة، و أمدّهم بألطافه و تغمّد الماضین منهم برحمته الواسعة، الذین بذلوا جهداً مشکوراً فی هذا الطریق فورّثونا هذا التراث الدینیّ القَیم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والکتاب الذی بَینَ یدیک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عزیزی القارئ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یقتصر علی الدراسة التاریخیة للتفسیر و المفسّرین، و إنّما هو محاولة جادة فی تحلیل لمناهج المفسّرین، ونقدهما حتّی یتمکنَ الباحث من تشخیص التفسیر الأهمّ من المهّم، والجید من غیره، یعرف المنهج الصحیح من غیره</w:t>
      </w:r>
      <w:r>
        <w:rPr>
          <w:rFonts w:eastAsia="IRNazanin" w:cs="IRNazanin"/>
          <w:color w:val="111111"/>
          <w:sz w:val="28"/>
          <w:szCs w:val="28"/>
          <w:rtl w:val="true"/>
          <w:lang w:bidi="fa-IR"/>
        </w:rPr>
        <w:t>.</w:t>
      </w:r>
    </w:p>
    <w:p>
      <w:pPr>
        <w:pStyle w:val="Heading3"/>
        <w:numPr>
          <w:ilvl w:val="2"/>
          <w:numId w:val="1"/>
        </w:numPr>
        <w:rPr/>
      </w:pPr>
      <w:bookmarkStart w:id="22" w:name="__RefHeading___Toc633825_581953129"/>
      <w:bookmarkStart w:id="23" w:name="_Toc8"/>
      <w:bookmarkEnd w:id="22"/>
      <w:r>
        <w:rPr>
          <w:rtl w:val="true"/>
        </w:rPr>
        <w:t>قواعد البحث فی التفاسیر</w:t>
      </w:r>
      <w:bookmarkEnd w:id="23"/>
    </w:p>
    <w:p>
      <w:pPr>
        <w:pStyle w:val="BookText"/>
        <w:rPr/>
      </w:pPr>
      <w:r>
        <w:rPr>
          <w:rFonts w:ascii="IRNazanin" w:hAnsi="IRNazanin" w:eastAsia="IRNazanin"/>
          <w:color w:val="111111"/>
          <w:sz w:val="28"/>
          <w:sz w:val="28"/>
          <w:szCs w:val="28"/>
          <w:rtl w:val="true"/>
          <w:lang w:bidi="fa-IR"/>
        </w:rPr>
        <w:t>إنّ قواعد البحث المعتمدة فی دراسَة فصول هذا الکتاب ومراجعة التفاسیر هی کالتالی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الزمن الذی عاش فیه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الزمن الذی وُلِدَ فیه المؤلِّف، والأوضاع الاجتهاعیة التی عاش فی کنفها، والبیئة التی نشأ فیها، وکتب فیها تفسیره، مع ملاحظة الأحوال الثقافیه و السیاسیة التی رافقتة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الاسم الذی اشتهر به التفسیر و عرف به، وکذا الاسم الذی لم یشتهر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اسم المؤلف ولقبه الذی اشتهر به، بالإضافة إلی الاسم الذی لم یعرف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مذهب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 ومعرفة مذهب المؤلف و عقائده، وطرح الشبهات التی تدور حوله و الإجابة علیها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منهج المفسّر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المنهج الذی اتبعه المؤلّف، هل أنّ المؤلِّف فی تفسیره استفاد من مَنهج تفسیر القرآن بالقرآن، أو المنهج الروائی أو غیره؟ و ما هو اتجاهه؟ هل یمیل إلی العرفان و التصوّف أو الکلامأ و الفلسفة؟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دراسة أنواع الروایات التی اعتمدها فی 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تفسیره روائیاً</w:t>
      </w:r>
      <w:r>
        <w:rPr>
          <w:rFonts w:eastAsia="IRNazanin" w:cs="IRNazanin"/>
          <w:color w:val="111111"/>
          <w:sz w:val="28"/>
          <w:szCs w:val="28"/>
          <w:rtl w:val="true"/>
          <w:lang w:bidi="fa-IR"/>
        </w:rPr>
        <w:t>-.</w:t>
      </w:r>
      <w:bookmarkStart w:id="24" w:name="pg5285_67155"/>
    </w:p>
    <w:p>
      <w:pPr>
        <w:pStyle w:val="BookText"/>
        <w:rPr/>
      </w:pPr>
      <w:bookmarkEnd w:id="24"/>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هی قیمة ومدی أهمیة الروایات التی اعتمدها؟ هل هی روایات مُسندة أم مُرسلة؟ و إذا کانت مسندة، فهل هی صحیحة أم غیر صحیحة؟ وهکذا دراسَة الروایات الإسرائیلیة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دراسَة مصادر وأدلّة التفسیر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دراسة ما یمتاز به کلّ تفسیر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دراسة صعوبات ومشاکل کلّ تفسیر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مراجعة مختصرة فی مقدمة کلّ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 الإمکان بیان بعض رؤی المفسّر فی مجال بحوث علوم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موقف المفسّر من أهل‌البیت علیهم السّلام فیما لو کان من أهل السنة؟</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نموذج أو عدة نماذج تفسیریة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الطریقة و المنهج العملی للمفسّر فی تفسیره، وبمعنی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البحوث التی یتناولها المفسّر عند تفسیره لآیات القرآن الکریم، وما هی طریقة فی التفسیر؟</w:t>
      </w:r>
    </w:p>
    <w:p>
      <w:pPr>
        <w:pStyle w:val="BookText"/>
        <w:rPr/>
      </w:pPr>
      <w:r>
        <w:rPr>
          <w:rFonts w:ascii="IRNazanin" w:hAnsi="IRNazanin" w:eastAsia="IRNazanin"/>
          <w:color w:val="111111"/>
          <w:sz w:val="28"/>
          <w:sz w:val="28"/>
          <w:szCs w:val="28"/>
          <w:rtl w:val="true"/>
          <w:lang w:bidi="fa-IR"/>
        </w:rPr>
        <w:t>هل یشرع فی بحث اختلاف القراءات؟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یبین شأن النزول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هو یقوم بتوضیح المفردات اللغویة فی الآیة أولاً، ثم یتناول بعدها الأبحاث الأدبیة، ثمّ یأتی بأسباب النزول وآراء المفسّرین بعد ذلک؟</w:t>
      </w:r>
    </w:p>
    <w:p>
      <w:pPr>
        <w:pStyle w:val="Heading3"/>
        <w:numPr>
          <w:ilvl w:val="2"/>
          <w:numId w:val="1"/>
        </w:numPr>
        <w:rPr/>
      </w:pPr>
      <w:bookmarkStart w:id="25" w:name="__RefHeading___Toc633827_581953129"/>
      <w:bookmarkStart w:id="26" w:name="_Toc9"/>
      <w:bookmarkEnd w:id="25"/>
      <w:r>
        <w:rPr>
          <w:rtl w:val="true"/>
        </w:rPr>
        <w:t>أهداف و خصائص الکتاب</w:t>
      </w:r>
      <w:bookmarkEnd w:id="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دوِّن هذا الکتاب لیکون منهجاً دراسیاً یتألّف من أربعة عشر فصلاً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سنعوّل فی عرضنا للتفاسیر و المفسّرین علی أساس القرون التی کتبت فیها تفاسیرهم ابتداءً من عصر الرسالة وإلی الآن،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 خمسة عشر قرناً، وبلحاظها اعتمدنا التقییم و التحلیل، ونسبة کل مفسّر إلی القرن باعتبار وفاته 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تشخیص التفاسیر الشیعیة من السنّیة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جعلنا لکلّ درسٍ غایته هدفة المطلوب منه، ودراسة الموضوعات المتنوعة، مثل</w:t>
      </w:r>
      <w:r>
        <w:rPr>
          <w:rFonts w:eastAsia="IRNazanin" w:cs="IRNazanin"/>
          <w:color w:val="111111"/>
          <w:sz w:val="28"/>
          <w:szCs w:val="28"/>
          <w:rtl w:val="true"/>
          <w:lang w:bidi="fa-IR"/>
        </w:rPr>
        <w:t>:</w:t>
      </w:r>
      <w:bookmarkStart w:id="27" w:name="pg5285_67156"/>
    </w:p>
    <w:p>
      <w:pPr>
        <w:pStyle w:val="BookText"/>
        <w:rPr/>
      </w:pPr>
      <w:bookmarkEnd w:id="27"/>
      <w:r>
        <w:rPr>
          <w:rFonts w:ascii="IRNazanin" w:hAnsi="IRNazanin" w:eastAsia="IRNazanin"/>
          <w:color w:val="111111"/>
          <w:sz w:val="28"/>
          <w:sz w:val="28"/>
          <w:szCs w:val="28"/>
          <w:rtl w:val="true"/>
          <w:lang w:bidi="fa-IR"/>
        </w:rPr>
        <w:t>بیان الأوضاع و الأحوال الثقافیة و السیاسیة، والإجتماعیة للقرون المختلفة، والخصائص الفکریة لکلّ قرنٍ، وکذلک التحقیق فی التفاسیر بلحاظ المناهج والاتّجاهات، والامتیازات و المشکلات، والأسئلة و البحوث، وذکر بعض المصادر، وتنظیم عناوین البحوث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تصنیف البحوث وتحلیلها بعد جمعها وتنسیقها وإخراجها بصورة دروسٍ تعلیمیةٍ، یسهل علی الأستاذ استیعابها، وإیصالها بسهولةٍ ویسرٍ إلی طلاّبه لفهمها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دُرّس هذا الکتاب عدّة مرّاتٍ وخضع لاختبار الکثیرین، وأنا لاأدعی کماله، مع ذلک لایوجد کتابٍ بشری خالٍ من الأخطاء و الإشکالات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یَتَدَبَّرُونَ الْقُرْآنَ وَ لَوْ کانَ مِنْ عِنْدِ غَیْرِ اللّهِ لَوَجَدُوا فِیهِ اخْتِلافاً کَثِیراً</w:t>
      </w:r>
      <w:r>
        <w:rPr>
          <w:rFonts w:eastAsia="Amiri" w:cs="Amiri" w:ascii="Amiri" w:hAnsi="Amiri"/>
          <w:color w:val="111111"/>
          <w:sz w:val="28"/>
          <w:szCs w:val="28"/>
          <w:rtl w:val="true"/>
          <w:lang w:bidi="ar-SA"/>
        </w:rPr>
        <w:t xml:space="preserve">) .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أرجو من الأساتذه الکرام ألّا یبخلوا علینا بتوجیه النقد البناء ومقترحاتهم المکتوبه وإرسالها إلی مکتب التخطیط و البرمجة للکتب الدراسیة فی جامعة المصطفی صلّی الله علیه و آله العالمیة شاکرین لهم اهتمامهم خدمة للعالم وللقرآن الکریم</w:t>
      </w:r>
      <w:r>
        <w:rPr>
          <w:rFonts w:eastAsia="IRNazanin" w:cs="IRNazanin"/>
          <w:color w:val="111111"/>
          <w:sz w:val="28"/>
          <w:szCs w:val="28"/>
          <w:rtl w:val="true"/>
          <w:lang w:bidi="fa-IR"/>
        </w:rPr>
        <w:t>.</w:t>
      </w:r>
    </w:p>
    <w:p>
      <w:pPr>
        <w:pStyle w:val="Heading3"/>
        <w:numPr>
          <w:ilvl w:val="2"/>
          <w:numId w:val="1"/>
        </w:numPr>
        <w:rPr/>
      </w:pPr>
      <w:bookmarkStart w:id="28" w:name="__RefHeading___Toc633829_581953129"/>
      <w:bookmarkStart w:id="29" w:name="_Toc10"/>
      <w:bookmarkEnd w:id="28"/>
      <w:r>
        <w:rPr>
          <w:rtl w:val="true"/>
        </w:rPr>
        <w:t>إلی الأساتذة الکرام</w:t>
      </w:r>
      <w:bookmarkEnd w:id="29"/>
    </w:p>
    <w:p>
      <w:pPr>
        <w:pStyle w:val="BookText"/>
        <w:rPr/>
      </w:pPr>
      <w:r>
        <w:rPr>
          <w:rFonts w:ascii="IRNazanin" w:hAnsi="IRNazanin" w:eastAsia="IRNazanin"/>
          <w:color w:val="111111"/>
          <w:sz w:val="28"/>
          <w:sz w:val="28"/>
          <w:szCs w:val="28"/>
          <w:rtl w:val="true"/>
          <w:lang w:bidi="fa-IR"/>
        </w:rPr>
        <w:t>یرجی من الأساتذة الکلام قبل البدء بتدریس هذا الکتاب الالتفات إلی نکات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یرجی الامتناع من التوقف الطویل عند أی درسٍ من الدروس؛ وذلک لأنّ هذا المنهج مع کونه یتّسع لأربعة وحداتٍ دراسیة إلاّ أنّه نُظّم علی مدی و حدتین دراسیتین فقط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رُوعیت لکلّ درس نِقاط علمیة مهمّة ولم نلتفت إلی ذکر المسائل الجزئیة وغیر المهمّة، ویستطیع الأستاذ إرشاد الطلّاب إلی مراجعة کتب التفسیر المهمة للتوسّع فی البحث، ویمکن للأستاذ أن یوکل مناقشة بعض الدروس إلی الطلبة للمناقشة ضمن ندوةٍ مفتوحة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یرجی العنایة بالأسلوب و المنهج العلمی الخاصّ بالتفاسیر التطبیقیة، مع لحاظ الأسلوب العملی المتعلّق بالمفسّرین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الأساتذة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الاعتناء بقسم البحث الخاص بالدرس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یقوموا بمساعدة الطلّاب فی متطلّبات البحث العلمی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جلب التفاسیر الأخری الخاصّة بکل درسٍ إلی الصف، بغیة توسیع آفاق التعرّف علی التفاسیر عند الطلّاب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الأستاذ فی کلّ دورةٍ تدریسیةٍ تخصیص ساعةً واحدةً للطلبة لزیارة المکتبة المختصّة بکتب علوم القرآن من أجل التعرّف عن قرب علی تلک التفاسیر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بما أن أی نتاج بشری لایخلو من نقصٍ، یرجی من الأساتذة و الباحثین أن یتفضّلوا علینا بآرائهم الصائبة لترشید هذا العمل العلمی وإکما و الله من وراء القصد له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علوی مهر</w:t>
      </w:r>
      <w:bookmarkStart w:id="30" w:name="pg5285_67159"/>
    </w:p>
    <w:p>
      <w:pPr>
        <w:pStyle w:val="Heading2"/>
        <w:numPr>
          <w:ilvl w:val="1"/>
          <w:numId w:val="1"/>
        </w:numPr>
        <w:rPr/>
      </w:pPr>
      <w:bookmarkStart w:id="31" w:name="__RefHeading___Toc633831_581953129"/>
      <w:bookmarkStart w:id="32" w:name="_Toc11"/>
      <w:bookmarkEnd w:id="30"/>
      <w:bookmarkEnd w:id="31"/>
      <w:r>
        <w:rPr/>
        <w:t>1</w:t>
      </w:r>
      <w:r>
        <w:rPr>
          <w:rtl w:val="true"/>
        </w:rPr>
        <w:t xml:space="preserve">- </w:t>
      </w:r>
      <w:r>
        <w:rPr>
          <w:rtl w:val="true"/>
        </w:rPr>
        <w:t>بحوث تمهیدیة</w:t>
      </w:r>
      <w:bookmarkEnd w:id="32"/>
    </w:p>
    <w:p>
      <w:pPr>
        <w:pStyle w:val="Heading3"/>
        <w:numPr>
          <w:ilvl w:val="2"/>
          <w:numId w:val="1"/>
        </w:numPr>
        <w:rPr/>
      </w:pPr>
      <w:bookmarkStart w:id="33" w:name="__RefHeading___Toc633833_581953129"/>
      <w:bookmarkStart w:id="34" w:name="_Toc12"/>
      <w:bookmarkEnd w:id="33"/>
      <w:r>
        <w:rPr>
          <w:rtl w:val="true"/>
        </w:rPr>
        <w:t>اشارة</w:t>
      </w:r>
      <w:bookmarkEnd w:id="34"/>
    </w:p>
    <w:p>
      <w:pPr>
        <w:pStyle w:val="BookText"/>
        <w:rPr/>
      </w:pPr>
      <w:r>
        <w:rPr>
          <w:rFonts w:ascii="IRNazanin" w:hAnsi="IRNazanin" w:eastAsia="IRNazanin"/>
          <w:color w:val="111111"/>
          <w:sz w:val="28"/>
          <w:sz w:val="28"/>
          <w:szCs w:val="28"/>
          <w:rtl w:val="true"/>
          <w:lang w:bidi="fa-IR"/>
        </w:rPr>
        <w:t>بحوث تمهیدیة</w:t>
      </w:r>
    </w:p>
    <w:p>
      <w:pPr>
        <w:pStyle w:val="BookText"/>
        <w:rPr/>
      </w:pPr>
      <w:r>
        <w:rPr>
          <w:rFonts w:ascii="IRNazanin" w:hAnsi="IRNazanin" w:eastAsia="IRNazanin"/>
          <w:color w:val="111111"/>
          <w:sz w:val="28"/>
          <w:sz w:val="28"/>
          <w:szCs w:val="28"/>
          <w:rtl w:val="true"/>
          <w:lang w:bidi="fa-IR"/>
        </w:rPr>
        <w:t>الموضوعات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التفسیر وتاریخه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أهمیة ومکانة تاریخ التفسیر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بدایات البحث وأهمّ الآثار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الأوّل فی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الأهداف</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التعرّف علی باختصار مفهوم التفسیر وتاریخه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التعرّف علی أهمیة علم تاریخ التفسیر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التعرّف علی المصادر فی علم التفسیر، وأهمّ الآثار التی دُوّنت فی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الاطلاع الإجمالی علی أهمّ الآراء التی ذُکرت عن أوّل کتابٍ تفسیری للقرآن الکریم</w:t>
      </w:r>
      <w:r>
        <w:rPr>
          <w:rFonts w:eastAsia="IRNazanin" w:cs="IRNazanin"/>
          <w:color w:val="111111"/>
          <w:sz w:val="28"/>
          <w:szCs w:val="28"/>
          <w:rtl w:val="true"/>
          <w:lang w:bidi="fa-IR"/>
        </w:rPr>
        <w:t>.</w:t>
      </w:r>
      <w:bookmarkStart w:id="35" w:name="pg5285_67160"/>
    </w:p>
    <w:p>
      <w:pPr>
        <w:pStyle w:val="Heading3"/>
        <w:numPr>
          <w:ilvl w:val="2"/>
          <w:numId w:val="1"/>
        </w:numPr>
        <w:rPr/>
      </w:pPr>
      <w:bookmarkStart w:id="36" w:name="__RefHeading___Toc633835_581953129"/>
      <w:bookmarkStart w:id="37" w:name="_Toc13"/>
      <w:bookmarkEnd w:id="35"/>
      <w:bookmarkEnd w:id="36"/>
      <w:r>
        <w:rPr>
          <w:rtl w:val="true"/>
        </w:rPr>
        <w:t>معنی التفسیر</w:t>
      </w:r>
      <w:bookmarkEnd w:id="37"/>
    </w:p>
    <w:p>
      <w:pPr>
        <w:pStyle w:val="Heading4"/>
        <w:numPr>
          <w:ilvl w:val="3"/>
          <w:numId w:val="1"/>
        </w:numPr>
        <w:rPr/>
      </w:pPr>
      <w:bookmarkStart w:id="38" w:name="__RefHeading___Toc633837_581953129"/>
      <w:bookmarkStart w:id="39" w:name="_Toc14"/>
      <w:bookmarkEnd w:id="38"/>
      <w:r>
        <w:rPr>
          <w:rtl w:val="true"/>
        </w:rPr>
        <w:t>التفسیر</w:t>
      </w:r>
      <w:r>
        <w:rPr>
          <w:rtl w:val="true"/>
        </w:rPr>
        <w:t>-</w:t>
      </w:r>
      <w:r>
        <w:rPr>
          <w:rtl w:val="true"/>
        </w:rPr>
        <w:t xml:space="preserve">لغةً </w:t>
      </w:r>
      <w:r>
        <w:rPr>
          <w:rtl w:val="true"/>
        </w:rPr>
        <w:t>-</w:t>
      </w:r>
      <w:bookmarkEnd w:id="39"/>
    </w:p>
    <w:p>
      <w:pPr>
        <w:pStyle w:val="BookText"/>
        <w:rPr/>
      </w:pPr>
      <w:r>
        <w:rPr>
          <w:rFonts w:ascii="Amiri" w:hAnsi="Amiri" w:eastAsia="Amiri" w:cs="Amiri"/>
          <w:color w:val="111111"/>
          <w:sz w:val="28"/>
          <w:sz w:val="28"/>
          <w:szCs w:val="28"/>
          <w:rtl w:val="true"/>
          <w:lang w:bidi="ar-SA"/>
        </w:rPr>
        <w:t xml:space="preserve">اشْتُقَّت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اللغة من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و أَوضَحَ، </w:t>
      </w:r>
      <w:r>
        <w:rPr>
          <w:rStyle w:val="FootnoteAnchor"/>
          <w:rtl w:val="true"/>
        </w:rPr>
        <w:footnoteReference w:id="4"/>
      </w:r>
      <w:r>
        <w:rPr>
          <w:rFonts w:ascii="IRNazanin" w:hAnsi="IRNazanin" w:eastAsia="IRNazanin"/>
          <w:color w:val="111111"/>
          <w:sz w:val="28"/>
          <w:sz w:val="28"/>
          <w:szCs w:val="28"/>
          <w:rtl w:val="true"/>
          <w:lang w:bidi="fa-IR"/>
        </w:rPr>
        <w:t>وأزاح الستار وکشف الغطاء</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وقال الزبیدی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الفَسرُ الإبانة وکشف المُغَطّی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الإیضاح وإزاحة الستر</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أمّا هل هی کلمةٌ عربیة الأصل أم لا؟ بعضی المستشرقین لا یرون أن هذه الکلمة عربیة، و إنّما هی من المفردات الدخیلة علی اللغة العربیة،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القراءه، والکتاب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ولابدَّ أن هؤلاء قاموا بالبحث و التدقیق عن أصلها غیر العربی </w:t>
      </w:r>
      <w:r>
        <w:rPr>
          <w:rStyle w:val="FootnoteAnchor"/>
          <w:rtl w:val="true"/>
        </w:rPr>
        <w:footnoteReference w:id="7"/>
      </w:r>
      <w:r>
        <w:rPr>
          <w:rFonts w:ascii="IRNazanin" w:hAnsi="IRNazanin" w:eastAsia="IRNazanin"/>
          <w:color w:val="111111"/>
          <w:sz w:val="28"/>
          <w:sz w:val="28"/>
          <w:szCs w:val="28"/>
          <w:rtl w:val="true"/>
          <w:lang w:bidi="fa-IR"/>
        </w:rPr>
        <w:t>فی اللغة الآرامیة، أو السریانیة، أو النصرانیة الفلسطینیة</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غیر أنّ هذا الادّعاء لایؤیده اللغویون العرب، خاصّةً أساطین اللغة 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ویری هؤلاء أنّ أصل مفردة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س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یعود جذرها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مقلوبة عنها، وکلاهما یحمل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الکشف وإزاحة الستار و الغطاء</w:t>
      </w:r>
      <w:r>
        <w:rPr>
          <w:rFonts w:eastAsia="IRNazanin" w:cs="IRNazanin"/>
          <w:color w:val="111111"/>
          <w:sz w:val="28"/>
          <w:szCs w:val="28"/>
          <w:rtl w:val="true"/>
          <w:lang w:bidi="fa-IR"/>
        </w:rPr>
        <w:t xml:space="preserve">. </w:t>
      </w:r>
      <w:r>
        <w:rPr>
          <w:rStyle w:val="FootnoteAnchor"/>
          <w:rtl w:val="true"/>
        </w:rPr>
        <w:footnoteReference w:id="9"/>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هذا التفاوت، یقال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إزاحة الستار فی الموارد المادیة، والتی تُدرک بالعین الباصرة، مثلما تقوم المرأة بإزاحة الخمار عن وجهها، ولا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فَسَرت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سَفَرَت المرأة عن وجهها</w:t>
      </w:r>
      <w:r>
        <w:rPr>
          <w:rFonts w:eastAsia="IRNazanin" w:cs="IRNazanin"/>
          <w:color w:val="111111"/>
          <w:sz w:val="28"/>
          <w:szCs w:val="28"/>
          <w:rtl w:val="true"/>
          <w:lang w:bidi="fa-IR"/>
        </w:rPr>
        <w:t xml:space="preserve">. </w:t>
      </w:r>
      <w:r>
        <w:rPr>
          <w:rStyle w:val="FootnoteAnchor"/>
          <w:rtl w:val="true"/>
        </w:rPr>
        <w:footnoteReference w:id="10"/>
      </w:r>
      <w:bookmarkStart w:id="40" w:name="pg5285_67161"/>
    </w:p>
    <w:p>
      <w:pPr>
        <w:pStyle w:val="BookText"/>
        <w:rPr/>
      </w:pPr>
      <w:bookmarkEnd w:id="40"/>
      <w:r>
        <w:rPr>
          <w:rFonts w:ascii="IRNazanin" w:hAnsi="IRNazanin" w:eastAsia="IRNazanin"/>
          <w:color w:val="111111"/>
          <w:sz w:val="28"/>
          <w:sz w:val="28"/>
          <w:szCs w:val="28"/>
          <w:rtl w:val="true"/>
          <w:lang w:bidi="fa-IR"/>
        </w:rPr>
        <w:t xml:space="preserve">من هنا فإنّ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بشکلٍ هی کلمة عربیة خالصة، ولها أوزان وتصریفات مختلفة</w:t>
      </w:r>
      <w:r>
        <w:rPr>
          <w:rFonts w:eastAsia="IRNazanin" w:cs="IRNazanin"/>
          <w:color w:val="111111"/>
          <w:sz w:val="28"/>
          <w:szCs w:val="28"/>
          <w:rtl w:val="true"/>
          <w:lang w:bidi="fa-IR"/>
        </w:rPr>
        <w:t>.</w:t>
      </w:r>
    </w:p>
    <w:p>
      <w:pPr>
        <w:pStyle w:val="Heading4"/>
        <w:numPr>
          <w:ilvl w:val="3"/>
          <w:numId w:val="1"/>
        </w:numPr>
        <w:rPr/>
      </w:pPr>
      <w:bookmarkStart w:id="41" w:name="__RefHeading___Toc633839_581953129"/>
      <w:bookmarkStart w:id="42" w:name="_Toc15"/>
      <w:bookmarkEnd w:id="41"/>
      <w:r>
        <w:rPr>
          <w:rtl w:val="true"/>
        </w:rPr>
        <w:t>التفسیر اصطلاحاً بیان ومعانی الآیات القرآنیة</w:t>
      </w:r>
      <w:bookmarkEnd w:id="42"/>
    </w:p>
    <w:p>
      <w:pPr>
        <w:pStyle w:val="BookText"/>
        <w:rPr/>
      </w:pPr>
      <w:r>
        <w:rPr>
          <w:rFonts w:ascii="IRNazanin" w:hAnsi="IRNazanin" w:eastAsia="IRNazanin"/>
          <w:color w:val="111111"/>
          <w:sz w:val="28"/>
          <w:sz w:val="28"/>
          <w:szCs w:val="28"/>
          <w:rtl w:val="true"/>
          <w:lang w:bidi="fa-IR"/>
        </w:rPr>
        <w:t>یقول الزرکشی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الباحثین فی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علم یفهم به کتاب الله تعالی المنزل علی نبیه محمّد صلّی الله علیه و آله، وبیان معانیه واستخراج أحکامه وحکمه</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ویقول العلاّمة الطباطبائی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بیان معانی الآیات القرآنیة و الکشف عن مقاصدها ومدالیلها</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وعلی أی حالٍ فإنّ الذی یستفاد من التعاریف الاصطلاحیة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أن یکونَ التفسیر، الکشف و إزاحة الستار عن مقصود الله تعالی فی آیات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والنتیجة فإنّه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للقراءة، والتجوید، والترجمة، والتدبّر، وتوضیح ألفاظ المتکلّم، وشرح الألفاظ غیر القرآنیة، تفسیراً</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 قد وصل الأمر إلی اعتراف المستشرقین بهذه الحقیقة فی أنّ مصطلح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بالإمکان استخدامه فی شرح الکتب المقدّسة، إلاّ أنّه إنّ جاء مطلقاً من دون قیدٍ فإنّه ینصرف إلی تفسیر القرآن</w:t>
      </w:r>
      <w:r>
        <w:rPr>
          <w:rFonts w:eastAsia="IRNazanin" w:cs="IRNazanin"/>
          <w:color w:val="111111"/>
          <w:sz w:val="28"/>
          <w:szCs w:val="28"/>
          <w:rtl w:val="true"/>
          <w:lang w:bidi="fa-IR"/>
        </w:rPr>
        <w:t xml:space="preserve">. </w:t>
      </w:r>
      <w:r>
        <w:rPr>
          <w:rStyle w:val="FootnoteAnchor"/>
          <w:rtl w:val="true"/>
        </w:rPr>
        <w:footnoteReference w:id="14"/>
      </w:r>
    </w:p>
    <w:p>
      <w:pPr>
        <w:pStyle w:val="Heading3"/>
        <w:numPr>
          <w:ilvl w:val="2"/>
          <w:numId w:val="1"/>
        </w:numPr>
        <w:rPr/>
      </w:pPr>
      <w:bookmarkStart w:id="43" w:name="__RefHeading___Toc633841_581953129"/>
      <w:bookmarkStart w:id="44" w:name="_Toc16"/>
      <w:bookmarkEnd w:id="43"/>
      <w:r>
        <w:rPr>
          <w:rtl w:val="true"/>
        </w:rPr>
        <w:t>تعریف تاریخ التفسیر</w:t>
      </w:r>
      <w:bookmarkEnd w:id="4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التاریخ، هو عبارة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وقائع الماضی و الأسلاف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هذا</w:t>
      </w:r>
      <w:bookmarkStart w:id="45" w:name="pg5285_67162"/>
    </w:p>
    <w:p>
      <w:pPr>
        <w:pStyle w:val="BookText"/>
        <w:rPr/>
      </w:pPr>
      <w:bookmarkEnd w:id="45"/>
      <w:r>
        <w:rPr>
          <w:rFonts w:ascii="IRNazanin" w:hAnsi="IRNazanin" w:eastAsia="IRNazanin"/>
          <w:color w:val="111111"/>
          <w:sz w:val="28"/>
          <w:sz w:val="28"/>
          <w:szCs w:val="28"/>
          <w:rtl w:val="true"/>
          <w:lang w:bidi="fa-IR"/>
        </w:rPr>
        <w:t>سیکون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الکشف عن معانی الآیات القرآنیة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النتیجة یکون المراد من تاریخ التفسیر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وقائع مصادر الماضین فی مجال الکشف و الشرح و التوضیح الذی کُتب عن آیات القرآن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التفاسیر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التعرف علی التطورات التی رافقت سیرة التکاملی التی ترعرعت فی أحضان التاریخ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هنا نحاول الإشارة إلی التفاسیر التی عُثر علیها منذ بدایات التأسیس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وإلی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ما رافقها من التطورات الحاصلة فی کلّ قرنٍ، والتی إلیها یعود سبب وجود مؤلّفات و کُتب مختلفة المناهج و الأسالیب التفسیریة التی حققّ فیها المفسّرون صعوداً ونزولاً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کانت نشأة الأفکار، وکان لکلّ مفسّرٍ نظریة تفسیرتة تظهر فی کتابه، ونحن هنا نحاول إعطاء صورة إجمالیة عن تلک الأفکار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وبملاحظة ما تقدمّ من أمورٍ یتّضح موضوع تاریخ التفسیر و المفسّرین، أنّه تحقیق فی التفاسیر و المفسّرین علی أساس القرون المختلفة من عصر الرسالة وإلی عصرنا الحاضر</w:t>
      </w:r>
      <w:r>
        <w:rPr>
          <w:rFonts w:eastAsia="IRNazanin" w:cs="IRNazanin"/>
          <w:color w:val="111111"/>
          <w:sz w:val="28"/>
          <w:szCs w:val="28"/>
          <w:rtl w:val="true"/>
          <w:lang w:bidi="fa-IR"/>
        </w:rPr>
        <w:t>.</w:t>
      </w:r>
    </w:p>
    <w:p>
      <w:pPr>
        <w:pStyle w:val="Heading3"/>
        <w:numPr>
          <w:ilvl w:val="2"/>
          <w:numId w:val="1"/>
        </w:numPr>
        <w:rPr/>
      </w:pPr>
      <w:bookmarkStart w:id="46" w:name="__RefHeading___Toc633843_581953129"/>
      <w:bookmarkStart w:id="47" w:name="_Toc17"/>
      <w:bookmarkEnd w:id="46"/>
      <w:r>
        <w:rPr>
          <w:rtl w:val="true"/>
        </w:rPr>
        <w:t>أهمیة ومکانة تاریخ التفسیر</w:t>
      </w:r>
      <w:bookmarkEnd w:id="47"/>
    </w:p>
    <w:p>
      <w:pPr>
        <w:pStyle w:val="BookText"/>
        <w:rPr/>
      </w:pPr>
      <w:r>
        <w:rPr>
          <w:rFonts w:ascii="IRNazanin" w:hAnsi="IRNazanin" w:eastAsia="IRNazanin"/>
          <w:color w:val="111111"/>
          <w:sz w:val="28"/>
          <w:sz w:val="28"/>
          <w:szCs w:val="28"/>
          <w:rtl w:val="true"/>
          <w:lang w:bidi="fa-IR"/>
        </w:rPr>
        <w:t>نستطیع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دون 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المعرفة بتاریخ بدایة أی علم لها دورها المهمّ فی فهم حقائق ذلک العلم، ومن هذا المنطلق فإنّ تاریخ التفسیر و المفسّرین لکونه یسلط الضوء علی التفاسیر، بإمکانه أن یکشف لنا ما خُفی من أمر التفسیر لکلام الله المجید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یقرّب الإنسان من الفهم الدقیق و العمیق لآیات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ومضافاً إلی ما ذکرنا تُوجد هناک أمور کثیرة تحثّنا علی 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ومکانة وأهمیة هذا العلم من بین سائر العلوم، ممّا یجعل منه أکثر وضوحاً، ونحن فیما یلی نشیر إلی بعضٍ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خلال دراسة تاریخ التفسیر و المفسّرین، ومراحل التطوّر التی مرّبها، والمسیرة التکاملیة لحرکة، وحیاة المفسّرین، یتصنع الحجم التقریبی لکتب التفسیر و عددها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یبدی لنا هذا العلم مدی اعتناء علماء الإسلام بالقرآن و علم التفسیر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توضّح دراسة تاریخ التفاسیر نِقاط الضعف التی کانت ترافق السیر التدوینی للتفاسیر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مثلما حصل فی القرن السابع و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وتبین لنا الأهداف المختلفة علی صَعید کتابة التفاسیر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سوف یمیز هذا العلم بین التفاسیر الاجتهادیة ذات العمق التفسیری، وبین التفاسیر التقلیدیة، والتی هی محض تکرار لماکتب، وأکثرها کتب سطحیة لاعمق فیها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یعرّفنا علی مناهج المفسّرین المختلفة التی اعتمدوها فی کتابة تفاسیرهم، وفی النتیجة تشکّل هذه المعرفة جواباً لحاجة الراغبین و الباحثین فی مجالات الموضوعات المختلفة العرفانیة و الروائیة، والتاریخیة و الکلامیة، والفلسفیة و الإجتماعیة و العلمیة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المعنی فإنّ المنقِّبین و المدقِّقین لهم أسئلتهم المختلفة فی المجالات القرآنیة المتنوّعة، وهم یسعون للحصول علی إجابات 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التحقیق فی التفاسیر وتاریخها یمکنهم العثور علی الإجابات المناسبة لتلک التساؤلات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من خلال البحث فی تاریخ التفاسیر التعرّفَ علی زوایا مختلفةٍ تخصُّ الإعجاز القرآنی، وعلی الخصوص الإعجاز العلمی؛ وذلک عن طریق الإفادة من التفاسیر التی تخصّ کلّ قرنٍ وما تعرّضت فیه لذلک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کان کل مفسّر ینتمی إلی أحد المذاهب الکلامیة المختلفة فإنّ البحث فی تاریخ التفاسیر یساعدنا ویمکّننا من التعرّف علی مذاهبهم الکلامیة المختلفة،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الأشاعرة، والمعتزلة، والإمامیة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 کلّ مفسّر یفسّر القرآن من خلال ما یعتقد به من عقیدة</w:t>
      </w:r>
      <w:r>
        <w:rPr>
          <w:rFonts w:eastAsia="IRNazanin" w:cs="IRNazanin"/>
          <w:color w:val="111111"/>
          <w:sz w:val="28"/>
          <w:szCs w:val="28"/>
          <w:rtl w:val="true"/>
          <w:lang w:bidi="fa-IR"/>
        </w:rPr>
        <w:t xml:space="preserve">. </w:t>
      </w:r>
      <w:r>
        <w:rPr>
          <w:rStyle w:val="FootnoteAnchor"/>
          <w:rtl w:val="true"/>
        </w:rPr>
        <w:footnoteReference w:id="15"/>
      </w:r>
      <w:bookmarkStart w:id="48" w:name="pg5285_67164"/>
    </w:p>
    <w:p>
      <w:pPr>
        <w:pStyle w:val="BookText"/>
        <w:rPr/>
      </w:pPr>
      <w:bookmarkEnd w:id="48"/>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التعرّف علی الآیات التی تتعلّق بأحکام الدین و فروعه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 القرآن یبین القضایا الکلّیة أمّا جزئیات هذه القضایا و الأحکام المنقوله عن النبی صلّی الله علیه و آله نتعرّف علیها فی کتب التفسیر</w:t>
      </w:r>
      <w:r>
        <w:rPr>
          <w:rFonts w:eastAsia="IRNazanin" w:cs="IRNazanin"/>
          <w:color w:val="111111"/>
          <w:sz w:val="28"/>
          <w:szCs w:val="28"/>
          <w:rtl w:val="true"/>
          <w:lang w:bidi="fa-IR"/>
        </w:rPr>
        <w:t>.</w:t>
      </w:r>
    </w:p>
    <w:p>
      <w:pPr>
        <w:pStyle w:val="Heading3"/>
        <w:numPr>
          <w:ilvl w:val="2"/>
          <w:numId w:val="1"/>
        </w:numPr>
        <w:rPr/>
      </w:pPr>
      <w:bookmarkStart w:id="49" w:name="__RefHeading___Toc633845_581953129"/>
      <w:bookmarkStart w:id="50" w:name="_Toc18"/>
      <w:bookmarkEnd w:id="49"/>
      <w:r>
        <w:rPr>
          <w:rtl w:val="true"/>
        </w:rPr>
        <w:t>الخلفیة التاریخیة لتاریخ التفسیر</w:t>
      </w:r>
      <w:bookmarkEnd w:id="50"/>
    </w:p>
    <w:p>
      <w:pPr>
        <w:pStyle w:val="BookText"/>
        <w:rPr/>
      </w:pPr>
      <w:r>
        <w:rPr>
          <w:rFonts w:ascii="IRNazanin" w:hAnsi="IRNazanin" w:eastAsia="IRNazanin"/>
          <w:color w:val="111111"/>
          <w:sz w:val="28"/>
          <w:sz w:val="28"/>
          <w:szCs w:val="28"/>
          <w:rtl w:val="true"/>
          <w:lang w:bidi="fa-IR"/>
        </w:rPr>
        <w:t>لَم یکتب الماضون کتاباً مستقّلاً فی 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التفسیر، نعم، تُوجد هناک بحوث متفرّقة فی بطون الکتب، منها الکتب العامة،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الفهارس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جاءت إشارات إجمالیة فی کتب الرجال عن المفسّرین وتفاسیرهم،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الفهرست، ورجال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ورجال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والفهرست لابن الندیم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وکشف الظنون للحاجی خلیفة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بعض المفسّرین فی القرن الخامس وما بعده، فقد أشاروا فی مقدّمات تفاسیرهم إلی مسیرة تطور التفاسیر و البحث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هؤلاء المفسّرین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ذکر فی مقدِّمة تفسیره التبیان وجود سبعة مناهج تفسیریة، وذکر أسماءها، کما ذکر لکّل مجموعهٍ منها اسم أبرز مفسّریها</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ومع مضی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أجل تنظیم وفَهرَسة التفاسیر و المفسّرین، والتحقیق فی عصورهم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ألّفت کتب مستقلّة فی هذا المجال، و قد اشتهر أکثرها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المفسّرین</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القرن العاشر قام جلال الدین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بتألیف کتابٍ مستقّلٍ یحمل</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المفسّرین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فیه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 من المفسّرین، کفهرست لأسمائهم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جاء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المفسّرین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للداوودی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طبقات المفسّرین للشیخ أبو سعید صنع الله کوزه کنانی </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وبعده کتاب طبقات المفسّرین للأدنوی فی القرن الحادی عشر، و هذا ما یمکن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خصوص الشیعة تَمَّ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الشیعة </w:t>
      </w:r>
      <w:r>
        <w:rPr>
          <w:rStyle w:val="FootnoteAnchor"/>
          <w:rtl w:val="true"/>
        </w:rPr>
        <w:footnoteReference w:id="18"/>
      </w:r>
      <w:r>
        <w:rPr>
          <w:rFonts w:ascii="IRNazanin" w:hAnsi="IRNazanin" w:eastAsia="IRNazanin"/>
          <w:color w:val="111111"/>
          <w:sz w:val="28"/>
          <w:sz w:val="28"/>
          <w:szCs w:val="28"/>
          <w:rtl w:val="true"/>
          <w:lang w:bidi="fa-IR"/>
        </w:rPr>
        <w:t>لمؤلِّفه عقیقی بخشایشی، و تفسیر المأثور وتطویره عند الشیعة الإمامیة تألیف إحسان أمین، و سیر تطوّر تفاسیر الشیعة لسید محمّد علی أیازی، کلّها فی هذا القرن، و هذا ما یمکن ذکره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فإنَّ بعضاً من المحقّقین فی علوم القرآن خصّصوا قسماً من کتبهم للتفسیر و المفسّرین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الإتقان</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ففی النوع الثمانین من أنواع علوم القرآن قصر بحثه علی طبقات المفسّرین، وبعده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وبشکل مُقتضب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تحدّث عن تفاسیر الصحابة و المفسّرین بعدهم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الزرقانی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مناهل العرفان فی علوم القرآن، </w:t>
      </w:r>
      <w:r>
        <w:rPr>
          <w:rStyle w:val="FootnoteAnchor"/>
          <w:rtl w:val="true"/>
        </w:rPr>
        <w:footnoteReference w:id="20"/>
      </w:r>
      <w:r>
        <w:rPr>
          <w:rFonts w:ascii="IRNazanin" w:hAnsi="IRNazanin" w:eastAsia="IRNazanin"/>
          <w:color w:val="111111"/>
          <w:sz w:val="28"/>
          <w:sz w:val="28"/>
          <w:szCs w:val="28"/>
          <w:rtl w:val="true"/>
          <w:lang w:bidi="fa-IR"/>
        </w:rPr>
        <w:t>المبحث الثانی عشر، فقد بحث فیه 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و المفسّرین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العلاّمة السید حسن الصدر فی کتاب تأسیس الشیعة</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والعلاّمة الطباطبائی رحمه الله 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فی الإسلام، فقد أشار إلی طبقات المفسّرین</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أوّل کتابٍ مستقلٍ کُتب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التفسیر، فهو لقاسم القیسی تاریخ التفسیر، وذلک فی سنة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Style w:val="FootnoteAnchor"/>
          <w:rtl w:val="true"/>
        </w:rPr>
        <w:footnoteReference w:id="22"/>
      </w:r>
      <w:bookmarkStart w:id="51" w:name="pg5285_67166"/>
    </w:p>
    <w:p>
      <w:pPr>
        <w:pStyle w:val="BookText"/>
        <w:rPr/>
      </w:pPr>
      <w:bookmarkEnd w:id="51"/>
      <w:r>
        <w:rPr>
          <w:rFonts w:ascii="IRNazanin" w:hAnsi="IRNazanin" w:eastAsia="IRNazanin"/>
          <w:color w:val="111111"/>
          <w:sz w:val="28"/>
          <w:sz w:val="28"/>
          <w:szCs w:val="28"/>
          <w:rtl w:val="true"/>
          <w:lang w:bidi="fa-IR"/>
        </w:rPr>
        <w:t>و قد ألّفت بعده کتب أخری تحمل نفس هذا العنوان،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مقاله در تاریخ تفسیر، للسید محمّد باقر حجّتی، و تاریخ تفسیر قرآن کریم،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الله جلالیان، و تاریخ تفسیر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الطالقانی، و تاریخ تفسیر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بالمائة الهجریة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للدکتور سُهراب مروتی، و مفسّران شیعة، للدکتور محمّد شفیعی، و التفسیر المأثور وتطوّره عند الشیعة الإمامیة،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إحسان الأمین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و المفسّرون، للدکتور محمّد حسین الذهبی، من مؤلّفات القرن الرابع عشر، و قد حرّره فی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محرّم لسنة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 دراسات فی التفسیر ورجاله، بقلم أبو یقظان عطیة الجبوری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والتفسیر و المفسّرون فی ثوبه القشیب، تألیف آیة الله محمّد هادی معرفة، و هو من العلماء المعاصرین، و أستاذ فی علوم القرآن، ومعجم مصنّفات القرآن الکریم، لعبد الکریم الشوّاخ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ونلفت النظر إلی کُتب المعاجم،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الذریعة إلی تصانیف الشیعة، للعلاّمة الشیخ آغا بزرک الطهرانی، وأعیان الشیعة، للعلاّمة السید محسن الأمین، ومعجم رجال الحدیث لآیة الله العظمی السید أبو القاسم الخوئی، و الفهرست لابن الندیم، وکشف الظنون لحاجی خلیفه، هی من المصادر العامّة، وفی ضمنها إشارة إلی التفاسیر و المفسّرین</w:t>
      </w:r>
      <w:r>
        <w:rPr>
          <w:rFonts w:eastAsia="IRNazanin" w:cs="IRNazanin"/>
          <w:color w:val="111111"/>
          <w:sz w:val="28"/>
          <w:szCs w:val="28"/>
          <w:rtl w:val="true"/>
          <w:lang w:bidi="fa-IR"/>
        </w:rPr>
        <w:t>.</w:t>
      </w:r>
    </w:p>
    <w:p>
      <w:pPr>
        <w:pStyle w:val="Heading3"/>
        <w:numPr>
          <w:ilvl w:val="2"/>
          <w:numId w:val="1"/>
        </w:numPr>
        <w:rPr/>
      </w:pPr>
      <w:bookmarkStart w:id="52" w:name="__RefHeading___Toc633847_581953129"/>
      <w:bookmarkStart w:id="53" w:name="_Toc19"/>
      <w:bookmarkEnd w:id="52"/>
      <w:r>
        <w:rPr>
          <w:rtl w:val="true"/>
        </w:rPr>
        <w:t>أوّل ما کتَبَ فی التفسیر</w:t>
      </w:r>
      <w:bookmarkEnd w:id="53"/>
    </w:p>
    <w:p>
      <w:pPr>
        <w:pStyle w:val="Heading4"/>
        <w:numPr>
          <w:ilvl w:val="3"/>
          <w:numId w:val="1"/>
        </w:numPr>
        <w:rPr/>
      </w:pPr>
      <w:bookmarkStart w:id="54" w:name="__RefHeading___Toc633849_581953129"/>
      <w:bookmarkStart w:id="55" w:name="_Toc20"/>
      <w:bookmarkEnd w:id="54"/>
      <w:r>
        <w:rPr>
          <w:rtl w:val="true"/>
        </w:rPr>
        <w:t>اشارة</w:t>
      </w:r>
      <w:bookmarkEnd w:id="5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أوّل ما ألّف فی التفسیر کان فی النصف الأوّل من القرن الثانی للهجرة، غیر أنّه لم یکن علی صورةٍ منفردةٍ ومستقلّةٍ، و إنّما هو جمع لشتات الروایات التفسیریة تحت عنوان باب خاصّ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ضمن کتاب جمع لروایات أخری، و قد کانت</w:t>
      </w:r>
      <w:bookmarkStart w:id="56" w:name="pg5285_67167"/>
    </w:p>
    <w:p>
      <w:pPr>
        <w:pStyle w:val="BookText"/>
        <w:rPr/>
      </w:pPr>
      <w:bookmarkEnd w:id="56"/>
      <w:r>
        <w:rPr>
          <w:rFonts w:ascii="IRNazanin" w:hAnsi="IRNazanin" w:eastAsia="IRNazanin"/>
          <w:color w:val="111111"/>
          <w:sz w:val="28"/>
          <w:sz w:val="28"/>
          <w:szCs w:val="28"/>
          <w:rtl w:val="true"/>
          <w:lang w:bidi="fa-IR"/>
        </w:rPr>
        <w:t>باکورة هذا النوع من الخطوات التفسیریة الأولی علی ید الأشخاص المهتمّین بکتابة الحدیث،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هارون السلمی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أبان بن تَغلِب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شُعبة 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ووکیع بن الجرّاح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سفیان بن عُیینَه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ولکن الآراء قد اختلفت فی تحدید وتشخیص الکتاب التفسیری الأوّل و الزمان الذی کتب فیه، ونحن لم نعثر علی رأی صائبٍ فی ذلک، ولیس بمقدورنا إعطاء ترجیح لرأی معینٍ، و نتطرّق هنا إلی ذکر طائفة من الآراء المعنیة بهذا الأمر کالاتی</w:t>
      </w:r>
      <w:r>
        <w:rPr>
          <w:rFonts w:eastAsia="IRNazanin" w:cs="IRNazanin"/>
          <w:color w:val="111111"/>
          <w:sz w:val="28"/>
          <w:szCs w:val="28"/>
          <w:rtl w:val="true"/>
          <w:lang w:bidi="fa-IR"/>
        </w:rPr>
        <w:t>:</w:t>
      </w:r>
    </w:p>
    <w:p>
      <w:pPr>
        <w:pStyle w:val="Heading4"/>
        <w:numPr>
          <w:ilvl w:val="3"/>
          <w:numId w:val="1"/>
        </w:numPr>
        <w:rPr/>
      </w:pPr>
      <w:bookmarkStart w:id="57" w:name="__RefHeading___Toc633851_581953129"/>
      <w:bookmarkStart w:id="58" w:name="_Toc21"/>
      <w:bookmarkEnd w:id="57"/>
      <w:r>
        <w:rPr/>
        <w:t>1</w:t>
      </w:r>
      <w:r>
        <w:rPr>
          <w:rtl w:val="true"/>
        </w:rPr>
        <w:t xml:space="preserve">. </w:t>
      </w:r>
      <w:r>
        <w:rPr>
          <w:rtl w:val="true"/>
        </w:rPr>
        <w:t xml:space="preserve">ابن عبّاس </w:t>
      </w:r>
      <w:r>
        <w:rPr>
          <w:rtl w:val="true"/>
        </w:rPr>
        <w:t>(</w:t>
      </w:r>
      <w:r>
        <w:rPr>
          <w:rtl w:val="true"/>
        </w:rPr>
        <w:t>ت</w:t>
      </w:r>
      <w:r>
        <w:rPr/>
        <w:t>68</w:t>
      </w:r>
      <w:r>
        <w:rPr>
          <w:rtl w:val="true"/>
        </w:rPr>
        <w:t>ه</w:t>
      </w:r>
      <w:r>
        <w:rPr>
          <w:rtl w:val="true"/>
        </w:rPr>
        <w:t>)</w:t>
      </w:r>
      <w:bookmarkEnd w:id="58"/>
    </w:p>
    <w:p>
      <w:pPr>
        <w:pStyle w:val="BookText"/>
        <w:rPr/>
      </w:pP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یعتبر البعض أنّ أوّل من دوّن فی التفسیر هو،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الطبری فی جامع 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مجاهداً یسأل ابن عبّاس عن تفسیر القرآن، ومعه ألواحه، فیقول له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سأله عن التفسیر کلّه</w:t>
      </w:r>
      <w:r>
        <w:rPr>
          <w:rFonts w:eastAsia="IRNazanin" w:cs="IRNazanin"/>
          <w:color w:val="111111"/>
          <w:sz w:val="28"/>
          <w:szCs w:val="28"/>
          <w:rtl w:val="true"/>
          <w:lang w:bidi="fa-IR"/>
        </w:rPr>
        <w:t xml:space="preserve">. </w:t>
      </w:r>
      <w:r>
        <w:rPr>
          <w:rStyle w:val="FootnoteAnchor"/>
          <w:rtl w:val="true"/>
        </w:rPr>
        <w:footnoteReference w:id="25"/>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عوّل البعض علی هذه الروایة واعتبرها دلیلاً علی أنّ لابن عبّاس تفسیراً، ولکن هذه الروایة لا تشکّل دلیلاً علی أنّ لابن عبّاس تفسیراً مکتوباً، وامّا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تنویر المِقباس من تفسیر ابن عبّاس، فهو تجمیع محمد بن یعقوب الفیروز أبادی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 القاموس المحیط</w:t>
      </w:r>
      <w:r>
        <w:rPr>
          <w:rFonts w:eastAsia="IRNazanin" w:cs="IRNazanin"/>
          <w:color w:val="111111"/>
          <w:sz w:val="28"/>
          <w:szCs w:val="28"/>
          <w:rtl w:val="true"/>
          <w:lang w:bidi="fa-IR"/>
        </w:rPr>
        <w:t>.</w:t>
      </w:r>
      <w:bookmarkStart w:id="59" w:name="pg5285_67168"/>
    </w:p>
    <w:p>
      <w:pPr>
        <w:pStyle w:val="Heading4"/>
        <w:numPr>
          <w:ilvl w:val="3"/>
          <w:numId w:val="1"/>
        </w:numPr>
        <w:rPr/>
      </w:pPr>
      <w:bookmarkStart w:id="60" w:name="__RefHeading___Toc633853_581953129"/>
      <w:bookmarkStart w:id="61" w:name="_Toc22"/>
      <w:bookmarkEnd w:id="59"/>
      <w:bookmarkEnd w:id="60"/>
      <w:r>
        <w:rPr/>
        <w:t>2</w:t>
      </w:r>
      <w:r>
        <w:rPr>
          <w:rtl w:val="true"/>
        </w:rPr>
        <w:t xml:space="preserve">. </w:t>
      </w:r>
      <w:r>
        <w:rPr>
          <w:rtl w:val="true"/>
        </w:rPr>
        <w:t xml:space="preserve">سعید بن جبیر </w:t>
      </w:r>
      <w:r>
        <w:rPr>
          <w:rtl w:val="true"/>
        </w:rPr>
        <w:t>(</w:t>
      </w:r>
      <w:r>
        <w:rPr>
          <w:rtl w:val="true"/>
        </w:rPr>
        <w:t>ت</w:t>
      </w:r>
      <w:r>
        <w:rPr/>
        <w:t>94</w:t>
      </w:r>
      <w:r>
        <w:rPr>
          <w:rtl w:val="true"/>
        </w:rPr>
        <w:t xml:space="preserve"> </w:t>
      </w:r>
      <w:r>
        <w:rPr>
          <w:rtl w:val="true"/>
        </w:rPr>
        <w:t xml:space="preserve">أو </w:t>
      </w:r>
      <w:r>
        <w:rPr/>
        <w:t>95</w:t>
      </w:r>
      <w:r>
        <w:rPr>
          <w:rtl w:val="true"/>
        </w:rPr>
        <w:t>ه</w:t>
      </w:r>
      <w:r>
        <w:rPr>
          <w:rtl w:val="true"/>
        </w:rPr>
        <w:t>)</w:t>
      </w:r>
      <w:bookmarkEnd w:id="61"/>
    </w:p>
    <w:p>
      <w:pPr>
        <w:pStyle w:val="BookText"/>
        <w:rPr/>
      </w:pPr>
      <w:r>
        <w:rPr>
          <w:rFonts w:ascii="IRNazanin" w:hAnsi="IRNazanin" w:eastAsia="IRNazanin"/>
          <w:color w:val="111111"/>
          <w:sz w:val="28"/>
          <w:sz w:val="28"/>
          <w:szCs w:val="28"/>
          <w:rtl w:val="true"/>
          <w:lang w:bidi="fa-IR"/>
        </w:rPr>
        <w:t>کتب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عبد الملک بن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طلب من سعید بن جُبیر أن یکتبَ له تفسیر القرآن، و قد کتب سعید بن جُبَیر ذلک، واحتفظ بهذا الکتاب عطاء بن دینار فی الدیوان، ولکونه لم یرَ سعید بن جُبیر، فرواه عنه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الروایة فیها تصریح بأنّ سعید بن جُبیر له کتاب تفسیر القرآن من غیر شکٍ، و أنّ تفسیره کان قبل موت عبد الملک بن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 قد کتب المحقّق المعاصر السید محمّد باقر حجّتی فی مجموع الآراء المتمحورة حول هذا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بلحاظ أنّ سعید بن جُبیر هو أعلم التابعین عند علماء أهل السنة و الشیعة، وثمّة روایات تخبر أنّ له تفسیراً کاملاً للقرآن، کذلک فإنّ من المحتمل أن یکونا مؤلِّف أوّل کتاب تفسیر للقرآن الکریم</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 هذا الرأی قد لایکون صحیحاً لعدم وصول نسخة أو أثر مکتوب إلینا من تفسیر سعید بن جُبَیر</w:t>
      </w:r>
      <w:r>
        <w:rPr>
          <w:rFonts w:eastAsia="IRNazanin" w:cs="IRNazanin"/>
          <w:color w:val="111111"/>
          <w:sz w:val="28"/>
          <w:szCs w:val="28"/>
          <w:rtl w:val="true"/>
          <w:lang w:bidi="fa-IR"/>
        </w:rPr>
        <w:t>.</w:t>
      </w:r>
    </w:p>
    <w:p>
      <w:pPr>
        <w:pStyle w:val="Heading4"/>
        <w:numPr>
          <w:ilvl w:val="3"/>
          <w:numId w:val="1"/>
        </w:numPr>
        <w:rPr/>
      </w:pPr>
      <w:bookmarkStart w:id="62" w:name="__RefHeading___Toc633855_581953129"/>
      <w:bookmarkStart w:id="63" w:name="_Toc23"/>
      <w:bookmarkEnd w:id="62"/>
      <w:r>
        <w:rPr/>
        <w:t>3</w:t>
      </w:r>
      <w:r>
        <w:rPr>
          <w:rtl w:val="true"/>
        </w:rPr>
        <w:t xml:space="preserve">. </w:t>
      </w:r>
      <w:r>
        <w:rPr>
          <w:rtl w:val="true"/>
        </w:rPr>
        <w:t xml:space="preserve">مجاهد بن جبر </w:t>
      </w:r>
      <w:r>
        <w:rPr>
          <w:rtl w:val="true"/>
        </w:rPr>
        <w:t>(</w:t>
      </w:r>
      <w:r>
        <w:rPr>
          <w:rtl w:val="true"/>
        </w:rPr>
        <w:t>ت</w:t>
      </w:r>
      <w:r>
        <w:rPr/>
        <w:t>104</w:t>
      </w:r>
      <w:r>
        <w:rPr>
          <w:rtl w:val="true"/>
        </w:rPr>
        <w:t>ه</w:t>
      </w:r>
      <w:r>
        <w:rPr>
          <w:rtl w:val="true"/>
        </w:rPr>
        <w:t>)</w:t>
      </w:r>
      <w:bookmarkEnd w:id="63"/>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یری الشیخ معرفة، أنّ لمجاهد بن جبر تفسیراً یبدأ من سورة البقرة حتی نهایة القرآن، و أنّ الراوی لذلک هو أبو یسار عبدالله بن أبی نجیح الثَقفی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أرباب الحدیث أیضاً یوثّقون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فالبخاری یؤیده، وابن تیمیة یراه أصلح التفاسیر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بجهود مجمع البحوث الإسلامیة فی الباکستان سنة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قد نقل الطبری عنه فی تفسیره حدود</w:t>
      </w:r>
      <w:r>
        <w:rPr>
          <w:rFonts w:eastAsia="IRNazanin" w:cs="IRNazanin"/>
          <w:color w:val="111111"/>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وفی مواضع مختلفة</w:t>
      </w:r>
      <w:r>
        <w:rPr>
          <w:rFonts w:eastAsia="IRNazanin" w:cs="IRNazanin"/>
          <w:color w:val="111111"/>
          <w:sz w:val="28"/>
          <w:szCs w:val="28"/>
          <w:rtl w:val="true"/>
          <w:lang w:bidi="fa-IR"/>
        </w:rPr>
        <w:t xml:space="preserve">. </w:t>
      </w:r>
      <w:r>
        <w:rPr>
          <w:rStyle w:val="FootnoteAnchor"/>
          <w:rtl w:val="true"/>
        </w:rPr>
        <w:footnoteReference w:id="28"/>
      </w:r>
      <w:bookmarkStart w:id="64" w:name="pg5285_67169"/>
    </w:p>
    <w:p>
      <w:pPr>
        <w:pStyle w:val="Heading4"/>
        <w:numPr>
          <w:ilvl w:val="3"/>
          <w:numId w:val="1"/>
        </w:numPr>
        <w:rPr/>
      </w:pPr>
      <w:bookmarkStart w:id="65" w:name="__RefHeading___Toc633857_581953129"/>
      <w:bookmarkStart w:id="66" w:name="_Toc24"/>
      <w:bookmarkEnd w:id="64"/>
      <w:bookmarkEnd w:id="65"/>
      <w:r>
        <w:rPr/>
        <w:t>4</w:t>
      </w:r>
      <w:r>
        <w:rPr>
          <w:rtl w:val="true"/>
        </w:rPr>
        <w:t xml:space="preserve">. </w:t>
      </w:r>
      <w:r>
        <w:rPr>
          <w:rtl w:val="true"/>
        </w:rPr>
        <w:t xml:space="preserve">الفرّاء النحوی </w:t>
      </w:r>
      <w:r>
        <w:rPr>
          <w:rtl w:val="true"/>
        </w:rPr>
        <w:t>(</w:t>
      </w:r>
      <w:r>
        <w:rPr>
          <w:rtl w:val="true"/>
        </w:rPr>
        <w:t>ت</w:t>
      </w:r>
      <w:r>
        <w:rPr/>
        <w:t>207</w:t>
      </w:r>
      <w:r>
        <w:rPr>
          <w:rtl w:val="true"/>
        </w:rPr>
        <w:t xml:space="preserve"> </w:t>
      </w:r>
      <w:r>
        <w:rPr>
          <w:rtl w:val="true"/>
        </w:rPr>
        <w:t>ه</w:t>
      </w:r>
      <w:r>
        <w:rPr>
          <w:rtl w:val="true"/>
        </w:rPr>
        <w:t>)</w:t>
      </w:r>
      <w:bookmarkEnd w:id="66"/>
    </w:p>
    <w:p>
      <w:pPr>
        <w:pStyle w:val="BookText"/>
        <w:rPr/>
      </w:pP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اعتقد الکثیر من المؤرخین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جملتهم ابن الندیم </w:t>
      </w:r>
      <w:r>
        <w:rPr>
          <w:rStyle w:val="FootnoteAnchor"/>
          <w:rtl w:val="true"/>
        </w:rPr>
        <w:footnoteReference w:id="30"/>
      </w:r>
      <w:r>
        <w:rPr>
          <w:rFonts w:ascii="IRNazanin" w:hAnsi="IRNazanin" w:eastAsia="IRNazanin"/>
          <w:color w:val="111111"/>
          <w:sz w:val="28"/>
          <w:sz w:val="28"/>
          <w:szCs w:val="28"/>
          <w:rtl w:val="true"/>
          <w:lang w:bidi="fa-IR"/>
        </w:rPr>
        <w:t>و المفسّرون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الفرّاء النحوی صاحب معانی القرآن هو أوّل مدوّن للتفسیر، غیر أنّ الدکتور الذهبی صاحب التفسیر و المفسّرون یرفض ذلک</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وعلی أی حال فإنّ تفسیر معانی القرآن إلی الآن هو من الآثار المکتوبة، و یقع فی ثلاثة 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طُبع لعدّمرّات و تُوجد من طبعاته نسخ متوفّرة لحد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أسند ابن شهر آشوب فی کتابه أسباب النزول روایاته إلی الفرّاء، و قد ذکر له الکتب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القرآن، لغات القرآن کتاب الوقف والابتداء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یعدّ أحد أکثر المؤلِّفین فی مجال علوم القرآن</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ویبدو لی أنّ هذا هو الرأی الأصوب من سائر الآراء الأخری</w:t>
      </w:r>
      <w:r>
        <w:rPr>
          <w:rFonts w:eastAsia="IRNazanin" w:cs="IRNazanin"/>
          <w:color w:val="111111"/>
          <w:sz w:val="28"/>
          <w:szCs w:val="28"/>
          <w:rtl w:val="true"/>
          <w:lang w:bidi="fa-IR"/>
        </w:rPr>
        <w:t>.</w:t>
      </w:r>
    </w:p>
    <w:p>
      <w:pPr>
        <w:pStyle w:val="Heading4"/>
        <w:numPr>
          <w:ilvl w:val="3"/>
          <w:numId w:val="1"/>
        </w:numPr>
        <w:rPr/>
      </w:pPr>
      <w:bookmarkStart w:id="67" w:name="__RefHeading___Toc633859_581953129"/>
      <w:bookmarkStart w:id="68" w:name="_Toc25"/>
      <w:bookmarkEnd w:id="67"/>
      <w:r>
        <w:rPr/>
        <w:t>5</w:t>
      </w:r>
      <w:r>
        <w:rPr>
          <w:rtl w:val="true"/>
        </w:rPr>
        <w:t xml:space="preserve">. </w:t>
      </w:r>
      <w:r>
        <w:rPr>
          <w:rtl w:val="true"/>
        </w:rPr>
        <w:t xml:space="preserve">عَکرِمه </w:t>
      </w:r>
      <w:r>
        <w:rPr>
          <w:rtl w:val="true"/>
        </w:rPr>
        <w:t>(</w:t>
      </w:r>
      <w:r>
        <w:rPr>
          <w:rtl w:val="true"/>
        </w:rPr>
        <w:t>ت</w:t>
      </w:r>
      <w:r>
        <w:rPr/>
        <w:t>105</w:t>
      </w:r>
      <w:r>
        <w:rPr>
          <w:rtl w:val="true"/>
        </w:rPr>
        <w:t xml:space="preserve"> </w:t>
      </w:r>
      <w:r>
        <w:rPr>
          <w:rtl w:val="true"/>
        </w:rPr>
        <w:t>ه</w:t>
      </w:r>
      <w:r>
        <w:rPr>
          <w:rtl w:val="true"/>
        </w:rPr>
        <w:t>)</w:t>
      </w:r>
      <w:bookmarkEnd w:id="68"/>
    </w:p>
    <w:p>
      <w:pPr>
        <w:pStyle w:val="BookText"/>
        <w:rPr/>
      </w:pPr>
      <w:r>
        <w:rPr>
          <w:rFonts w:ascii="IRNazanin" w:hAnsi="IRNazanin" w:eastAsia="IRNazanin"/>
          <w:color w:val="111111"/>
          <w:sz w:val="28"/>
          <w:sz w:val="28"/>
          <w:szCs w:val="28"/>
          <w:rtl w:val="true"/>
          <w:lang w:bidi="fa-IR"/>
        </w:rPr>
        <w:t xml:space="preserve">ذکر ابن الندیم فی الفهرست </w:t>
      </w:r>
      <w:r>
        <w:rPr>
          <w:rStyle w:val="FootnoteAnchor"/>
          <w:rtl w:val="true"/>
        </w:rPr>
        <w:footnoteReference w:id="33"/>
      </w:r>
      <w:r>
        <w:rPr>
          <w:rFonts w:ascii="IRNazanin" w:hAnsi="IRNazanin" w:eastAsia="IRNazanin"/>
          <w:color w:val="111111"/>
          <w:sz w:val="28"/>
          <w:sz w:val="28"/>
          <w:szCs w:val="28"/>
          <w:rtl w:val="true"/>
          <w:lang w:bidi="fa-IR"/>
        </w:rPr>
        <w:t>ضمن تعداده للکتب التی دُوّنت فی تفسیر القرآن، تفسیر عِکرَمه</w:t>
      </w:r>
      <w:r>
        <w:rPr>
          <w:rFonts w:eastAsia="IRNazanin" w:cs="IRNazanin"/>
          <w:color w:val="111111"/>
          <w:sz w:val="28"/>
          <w:szCs w:val="28"/>
          <w:rtl w:val="true"/>
          <w:lang w:bidi="fa-IR"/>
        </w:rPr>
        <w:t>.</w:t>
      </w:r>
    </w:p>
    <w:p>
      <w:pPr>
        <w:pStyle w:val="Heading4"/>
        <w:numPr>
          <w:ilvl w:val="3"/>
          <w:numId w:val="1"/>
        </w:numPr>
        <w:rPr/>
      </w:pPr>
      <w:bookmarkStart w:id="69" w:name="__RefHeading___Toc633861_581953129"/>
      <w:bookmarkStart w:id="70" w:name="_Toc26"/>
      <w:bookmarkEnd w:id="69"/>
      <w:r>
        <w:rPr/>
        <w:t>6</w:t>
      </w:r>
      <w:r>
        <w:rPr>
          <w:rtl w:val="true"/>
        </w:rPr>
        <w:t xml:space="preserve">. </w:t>
      </w:r>
      <w:r>
        <w:rPr>
          <w:rtl w:val="true"/>
        </w:rPr>
        <w:t xml:space="preserve">ابن جریح </w:t>
      </w:r>
      <w:r>
        <w:rPr>
          <w:rtl w:val="true"/>
        </w:rPr>
        <w:t>(</w:t>
      </w:r>
      <w:r>
        <w:rPr>
          <w:rtl w:val="true"/>
        </w:rPr>
        <w:t>ت</w:t>
      </w:r>
      <w:r>
        <w:rPr/>
        <w:t>105</w:t>
      </w:r>
      <w:r>
        <w:rPr>
          <w:rtl w:val="true"/>
        </w:rPr>
        <w:t>ه</w:t>
      </w:r>
      <w:r>
        <w:rPr>
          <w:rtl w:val="true"/>
        </w:rPr>
        <w:t>)</w:t>
      </w:r>
      <w:bookmarkEnd w:id="7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أنّ ابن جریح کتب ثلاثة أجزاء کبیرة فی تفسیر القرآن، </w:t>
      </w:r>
      <w:r>
        <w:rPr>
          <w:rStyle w:val="FootnoteAnchor"/>
          <w:rtl w:val="true"/>
        </w:rPr>
        <w:footnoteReference w:id="34"/>
      </w:r>
      <w:r>
        <w:rPr>
          <w:rFonts w:ascii="IRNazanin" w:hAnsi="IRNazanin" w:eastAsia="IRNazanin"/>
          <w:color w:val="111111"/>
          <w:sz w:val="28"/>
          <w:sz w:val="28"/>
          <w:szCs w:val="28"/>
          <w:rtl w:val="true"/>
          <w:lang w:bidi="fa-IR"/>
        </w:rPr>
        <w:t>والذهبی بعد نقله الأقوال المختلفة فی تقویة ابن جریح فی هذا المجال، أضاف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وجود ثلاثة</w:t>
      </w:r>
      <w:bookmarkStart w:id="71" w:name="pg5285_67170"/>
    </w:p>
    <w:p>
      <w:pPr>
        <w:pStyle w:val="BookText"/>
        <w:rPr/>
      </w:pPr>
      <w:bookmarkEnd w:id="71"/>
      <w:r>
        <w:rPr>
          <w:rFonts w:ascii="IRNazanin" w:hAnsi="IRNazanin" w:eastAsia="IRNazanin"/>
          <w:color w:val="111111"/>
          <w:sz w:val="28"/>
          <w:sz w:val="28"/>
          <w:szCs w:val="28"/>
          <w:rtl w:val="true"/>
          <w:lang w:bidi="fa-IR"/>
        </w:rPr>
        <w:t>أجزاء کبیرة من تفسیر القرآن الکریم، ومع اهتمام الناس واحتیاجهم إلی آیات القرآن فی الأحکام، والمسائل الشرعیة الأخری یمکننی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قبل الفرّاء یوجد أشخاص صبّوا اهتمامهم فی تفسیرٍ کاملٍ للقرآن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عدَلَ فی آخر بحثه عن هذا الرأی،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لا یمکننا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وبشکل جازم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هناک شخصاً معیناً قام بهذا العمل، ولو أنّ کلّ التفاسیر التی کُتبت من بدایة عهد التدوین وصلت إلینا نستطیع عندها تشخیص المدوّن التفسیری الأوّل</w:t>
      </w:r>
      <w:r>
        <w:rPr>
          <w:rFonts w:eastAsia="IRNazanin" w:cs="IRNazanin"/>
          <w:color w:val="111111"/>
          <w:sz w:val="28"/>
          <w:szCs w:val="28"/>
          <w:rtl w:val="true"/>
          <w:lang w:bidi="fa-IR"/>
        </w:rPr>
        <w:t xml:space="preserve">. </w:t>
      </w:r>
      <w:r>
        <w:rPr>
          <w:rStyle w:val="FootnoteAnchor"/>
          <w:rtl w:val="true"/>
        </w:rPr>
        <w:footnoteReference w:id="35"/>
      </w:r>
    </w:p>
    <w:p>
      <w:pPr>
        <w:pStyle w:val="Heading3"/>
        <w:numPr>
          <w:ilvl w:val="2"/>
          <w:numId w:val="1"/>
        </w:numPr>
        <w:rPr/>
      </w:pPr>
      <w:bookmarkStart w:id="72" w:name="__RefHeading___Toc633863_581953129"/>
      <w:bookmarkStart w:id="73" w:name="_Toc27"/>
      <w:bookmarkEnd w:id="72"/>
      <w:r>
        <w:rPr>
          <w:rtl w:val="true"/>
        </w:rPr>
        <w:t>الخلاصة</w:t>
      </w:r>
      <w:bookmarkEnd w:id="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التفسیر فی اللغة، هو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الکشف، وإزاحة الستار، والتوضیح، وفی الاصطلاح العلمی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مراد الله فی الآیات القرآنیة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الترجمة و القراءة، والتدبّر، وتوضیح الألفاظ غیر القرآنیة لا یعبّر عنها تفسیراً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یتعلّق تاریخ التفسیر و المفسّرین بشرح الوقائع التاریخیة للتفسیر و المفسّرین من عصر الرسالة وإلی الآن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خلال البحث و التحقیق فی تاریخ التفسیر، واهتمام علماء الإسلام بالقرآن الکریم، یتّضح النقص الحاصل فی مسیرة تدوین التفاسیر ویتمُّ، جرّاء هذا تبیین أسالیب التفاسیر و الأغراض المختلفة فیها، وکذلک التعرّف علی وجوه الإعجاز العلمی، أوالاعتقادی و المذاهبی المختلفة، کما و یمکننا التوصل إلی جزئیات الأحکام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المتقدِّمین لم یؤلّفوا کتاباً مستقّلاً فی مجال تاریخ التفسیر، ولکنهم تعرّضوا له فی بعض مقدّمات تفاسیرهم وبصورةٍ متفرقةٍ،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التبیان للشیخ الطوسی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الفهارس و الرجال،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الشیخ الطوسی، والفهرست لابن الندیم، فقد تطرّقوا إلی هذا الموضوع، ویمکن الإشارة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بشکل مستّقل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کتب</w:t>
      </w:r>
      <w:bookmarkStart w:id="74" w:name="pg5285_67171"/>
    </w:p>
    <w:p>
      <w:pPr>
        <w:pStyle w:val="BookText"/>
        <w:rPr/>
      </w:pPr>
      <w:bookmarkEnd w:id="74"/>
      <w:r>
        <w:rPr>
          <w:rFonts w:ascii="IRNazanin" w:hAnsi="IRNazanin" w:eastAsia="IRNazanin"/>
          <w:color w:val="111111"/>
          <w:sz w:val="28"/>
          <w:sz w:val="28"/>
          <w:szCs w:val="28"/>
          <w:rtl w:val="true"/>
          <w:lang w:bidi="fa-IR"/>
        </w:rPr>
        <w:t>طبقات المفسّرین للسیوطی، والأدنه وی و الداودی، وکذا طبقات مفسّری الشیعة لعقیقی بخشایشی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 أوّل کتاب مستقّل کُتب تحت هذا العنوان،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التفسیر،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القیسی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اختلفت الآراء فی تحدید الکتاب الأوّل فی التفسیر، فبعض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أول من کتب فی التفسیر هو ابن عبّاس، وبعض آخر یرای مجاهد بن جبر، وآخرین یرونه لسعید بن جبیر، وغیرهم یرونه للفرّاء، وآخرون یرونه لعکرمة أو ابن جریح، إلاّ أنّی ارجّح أن یکون التفسیر الأوّل هو للفرّاء النحوی علی الأکثر</w:t>
      </w:r>
      <w:r>
        <w:rPr>
          <w:rFonts w:eastAsia="IRNazanin" w:cs="IRNazanin"/>
          <w:color w:val="111111"/>
          <w:sz w:val="28"/>
          <w:szCs w:val="28"/>
          <w:rtl w:val="true"/>
          <w:lang w:bidi="fa-IR"/>
        </w:rPr>
        <w:t>.</w:t>
      </w:r>
    </w:p>
    <w:p>
      <w:pPr>
        <w:pStyle w:val="Heading3"/>
        <w:numPr>
          <w:ilvl w:val="2"/>
          <w:numId w:val="1"/>
        </w:numPr>
        <w:rPr/>
      </w:pPr>
      <w:bookmarkStart w:id="75" w:name="__RefHeading___Toc633865_581953129"/>
      <w:bookmarkStart w:id="76" w:name="_Toc28"/>
      <w:bookmarkEnd w:id="75"/>
      <w:r>
        <w:rPr>
          <w:rtl w:val="true"/>
        </w:rPr>
        <w:t>الأسئلة</w:t>
      </w:r>
      <w:bookmarkEnd w:id="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هی العوامل المؤثِّرة فی تعریف التفسیر؟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هی الموضوعات التی تُعدّ خارجةً عن التعریف الاصطلاحی للتفسیر؟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أذکر المجالات التی تُبحث فی علم تاریخ التفسیر؟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أهمّ الثمار و الفوائد التی تُجتنی من دراسة علم التفسیر؟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عدد المصادر القدیمة و الحدیثة فی علم تاریخ التفاسیر التی درستها؟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اکتب عما تعرفه عن أوّل کتاب فی تفسیر القرآن؟</w:t>
      </w:r>
    </w:p>
    <w:p>
      <w:pPr>
        <w:pStyle w:val="Heading3"/>
        <w:numPr>
          <w:ilvl w:val="2"/>
          <w:numId w:val="1"/>
        </w:numPr>
        <w:rPr/>
      </w:pPr>
      <w:bookmarkStart w:id="77" w:name="__RefHeading___Toc633867_581953129"/>
      <w:bookmarkStart w:id="78" w:name="_Toc29"/>
      <w:bookmarkEnd w:id="77"/>
      <w:r>
        <w:rPr>
          <w:rtl w:val="true"/>
        </w:rPr>
        <w:t>البحث و التحقیق</w:t>
      </w:r>
      <w:bookmarkEnd w:id="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خلال الاستعانة بالکتب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الإتقان للسیوطی؛</w:t>
      </w:r>
    </w:p>
    <w:p>
      <w:pPr>
        <w:pStyle w:val="BookText"/>
        <w:rPr/>
      </w:pPr>
      <w:r>
        <w:rPr>
          <w:rFonts w:ascii="IRNazanin" w:hAnsi="IRNazanin" w:eastAsia="IRNazanin"/>
          <w:color w:val="111111"/>
          <w:sz w:val="28"/>
          <w:sz w:val="28"/>
          <w:szCs w:val="28"/>
          <w:rtl w:val="true"/>
          <w:lang w:bidi="fa-IR"/>
        </w:rPr>
        <w:t>القرآن فی الإسلام، للعلاّمة الطباطبائی رحمه الله؛</w:t>
      </w:r>
    </w:p>
    <w:p>
      <w:pPr>
        <w:pStyle w:val="BookText"/>
        <w:rPr/>
      </w:pPr>
      <w:r>
        <w:rPr>
          <w:rFonts w:ascii="IRNazanin" w:hAnsi="IRNazanin" w:eastAsia="IRNazanin"/>
          <w:color w:val="111111"/>
          <w:sz w:val="28"/>
          <w:sz w:val="28"/>
          <w:szCs w:val="28"/>
          <w:rtl w:val="true"/>
          <w:lang w:bidi="fa-IR"/>
        </w:rPr>
        <w:t>تأسیس الشیعة، للسید حسن الصدر؛</w:t>
      </w:r>
    </w:p>
    <w:p>
      <w:pPr>
        <w:pStyle w:val="BookText"/>
        <w:rPr/>
      </w:pPr>
      <w:r>
        <w:rPr>
          <w:rFonts w:ascii="IRNazanin" w:hAnsi="IRNazanin" w:eastAsia="IRNazanin"/>
          <w:color w:val="111111"/>
          <w:sz w:val="28"/>
          <w:sz w:val="28"/>
          <w:szCs w:val="28"/>
          <w:rtl w:val="true"/>
          <w:lang w:bidi="fa-IR"/>
        </w:rPr>
        <w:t>طبقات المفسّرین، للشیعة و السنة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اکتب فهرسة لأسماء التفاسیر الموجودة فی المکتبات، والتی تُنسب إلی الصحابة و التابعین</w:t>
      </w:r>
      <w:r>
        <w:rPr>
          <w:rFonts w:eastAsia="IRNazanin" w:cs="IRNazanin"/>
          <w:color w:val="111111"/>
          <w:sz w:val="28"/>
          <w:szCs w:val="28"/>
          <w:rtl w:val="true"/>
          <w:lang w:bidi="fa-IR"/>
        </w:rPr>
        <w:t>.</w:t>
      </w:r>
      <w:bookmarkStart w:id="79" w:name="pg5285_67173"/>
    </w:p>
    <w:p>
      <w:pPr>
        <w:pStyle w:val="Heading2"/>
        <w:numPr>
          <w:ilvl w:val="1"/>
          <w:numId w:val="1"/>
        </w:numPr>
        <w:rPr/>
      </w:pPr>
      <w:bookmarkStart w:id="80" w:name="__RefHeading___Toc633869_581953129"/>
      <w:bookmarkStart w:id="81" w:name="_Toc30"/>
      <w:bookmarkEnd w:id="79"/>
      <w:bookmarkEnd w:id="80"/>
      <w:r>
        <w:rPr/>
        <w:t>2</w:t>
      </w:r>
      <w:r>
        <w:rPr>
          <w:rtl w:val="true"/>
        </w:rPr>
        <w:t xml:space="preserve">- </w:t>
      </w:r>
      <w:r>
        <w:rPr>
          <w:rtl w:val="true"/>
        </w:rPr>
        <w:t>التفسیر فی عصر الرسالة</w:t>
      </w:r>
      <w:bookmarkEnd w:id="81"/>
    </w:p>
    <w:p>
      <w:pPr>
        <w:pStyle w:val="Heading3"/>
        <w:numPr>
          <w:ilvl w:val="2"/>
          <w:numId w:val="1"/>
        </w:numPr>
        <w:rPr/>
      </w:pPr>
      <w:bookmarkStart w:id="82" w:name="__RefHeading___Toc633871_581953129"/>
      <w:bookmarkStart w:id="83" w:name="_Toc31"/>
      <w:bookmarkEnd w:id="82"/>
      <w:r>
        <w:rPr>
          <w:rtl w:val="true"/>
        </w:rPr>
        <w:t>اشارة</w:t>
      </w:r>
      <w:bookmarkEnd w:id="83"/>
    </w:p>
    <w:p>
      <w:pPr>
        <w:pStyle w:val="BookText"/>
        <w:rPr/>
      </w:pPr>
      <w:r>
        <w:rPr>
          <w:rFonts w:ascii="IRNazanin" w:hAnsi="IRNazanin" w:eastAsia="IRNazanin"/>
          <w:color w:val="111111"/>
          <w:sz w:val="28"/>
          <w:sz w:val="28"/>
          <w:szCs w:val="28"/>
          <w:rtl w:val="true"/>
          <w:lang w:bidi="fa-IR"/>
        </w:rPr>
        <w:t>التفسیر فی عصر الرسالة</w:t>
      </w:r>
    </w:p>
    <w:p>
      <w:pPr>
        <w:pStyle w:val="BookText"/>
        <w:rPr/>
      </w:pPr>
      <w:r>
        <w:rPr>
          <w:rFonts w:ascii="IRNazanin" w:hAnsi="IRNazanin" w:eastAsia="IRNazanin"/>
          <w:color w:val="111111"/>
          <w:sz w:val="28"/>
          <w:sz w:val="28"/>
          <w:szCs w:val="28"/>
          <w:rtl w:val="true"/>
          <w:lang w:bidi="fa-IR"/>
        </w:rPr>
        <w:t>الموضوعات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فی عصر الرسالة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فی عصر الرسول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حَجم الروایات التفسیریة المنسوبة إلی الرسول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الطُرق التفسیریة عند الرسول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الأهداف</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التعرّف علی حاجة القرآن إلی تفسیر الرسول صلّی الله علیه و آله وعلی الخصوص فی تفسیر الآیات القرآنیة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الاطلاع علی مقدار ما فسّره النبی صلّی الله علیه و آله بالطریقتین التعلیمیة و التربویة الخاصّة و العامّة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الاطلاع علی مقدار تشجیع الرسول صلّی الله علیه و آله الناس علی المرجعیة الفکریة لأهل‌البیت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التعرّف علی أسالیب التفسیر لدی النبی صلّی الله علیه و آله وبیان نماذج منها</w:t>
      </w:r>
      <w:r>
        <w:rPr>
          <w:rFonts w:eastAsia="IRNazanin" w:cs="IRNazanin"/>
          <w:color w:val="111111"/>
          <w:sz w:val="28"/>
          <w:szCs w:val="28"/>
          <w:rtl w:val="true"/>
          <w:lang w:bidi="fa-IR"/>
        </w:rPr>
        <w:t>.</w:t>
      </w:r>
      <w:bookmarkStart w:id="84" w:name="pg5285_67174"/>
    </w:p>
    <w:p>
      <w:pPr>
        <w:pStyle w:val="Heading3"/>
        <w:numPr>
          <w:ilvl w:val="2"/>
          <w:numId w:val="1"/>
        </w:numPr>
        <w:rPr/>
      </w:pPr>
      <w:bookmarkStart w:id="85" w:name="__RefHeading___Toc633873_581953129"/>
      <w:bookmarkStart w:id="86" w:name="_Toc32"/>
      <w:bookmarkEnd w:id="84"/>
      <w:bookmarkEnd w:id="85"/>
      <w:r>
        <w:rPr>
          <w:rtl w:val="true"/>
        </w:rPr>
        <w:t>التفسیر فی عصر الرسالة</w:t>
      </w:r>
      <w:bookmarkEnd w:id="86"/>
    </w:p>
    <w:p>
      <w:pPr>
        <w:pStyle w:val="BookText"/>
        <w:rPr/>
      </w:pPr>
      <w:r>
        <w:rPr>
          <w:rFonts w:ascii="IRNazanin" w:hAnsi="IRNazanin" w:eastAsia="IRNazanin"/>
          <w:color w:val="111111"/>
          <w:sz w:val="28"/>
          <w:sz w:val="28"/>
          <w:szCs w:val="28"/>
          <w:rtl w:val="true"/>
          <w:lang w:bidi="fa-IR"/>
        </w:rPr>
        <w:t>کان الناس فی صدر الإسلام من أجل أن یتعلّموا القرآن، یستفیدون من التعالیم الإلهیة مباشرة من رسول الله صلّی الله علیه و آله وکان صلّی الله علیه و آله المفسّر الأوّل لآیات الکتاب العزیز، فهو الذی یتلوا علیهم القرآن، و هو الذی یفسّر معانی ألفاظه، ویکشف عن مرامیه و مقاصده، ویقوم یتعلیمهم إیاه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بَعَثَ فِی الْأُمِّیِّینَ رَسُولاً مِنْهُمْ یَتْلُوا عَلَیْهِمْ آیاتِهِ وَ یُزَکِّیهِمْ وَ یُعَلِّمُهُمُ الْکِتابَ وَ الْحِکْمَةَ</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مضافاً إلی هذا فهو یقوم بدور المفسّر؛ وذلک لأنّ الله سبحانه أناط به مهمّة التفسیر وجعلها من أهمّ وظائفه صلّی الله علیه و آله، قال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إِلَیْکَ الذِّکْرَ لِتُبَیِّنَ لِلنّاسِ ما نُزِّلَ إِلَیْهِمْ</w:t>
      </w:r>
      <w:r>
        <w:rPr>
          <w:rFonts w:eastAsia="Amiri" w:cs="Amiri" w:ascii="Amiri" w:hAnsi="Amiri"/>
          <w:color w:val="111111"/>
          <w:sz w:val="28"/>
          <w:szCs w:val="28"/>
          <w:rtl w:val="true"/>
          <w:lang w:bidi="ar-SA"/>
        </w:rPr>
        <w:t xml:space="preserve">) .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هذا مع أنّ القرآن الکریم قد نزل بلغة القوم، فهو عربی فصیح، وکان من السهل علیهم إدراک معانیه الظاهرة و هذا لا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فهم معانی القرآن فی تلک المرحلة قد فرغ منه، و أنّ کلّ المعانی واضحة لدی جمیع الناس، کما یدّعیه ابن خلدون فی مقدِّمته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وبشکل مفرط ومبالغ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جمیع الناس کانوا یدرکون بصورةٍ جیدةٍ کلّ مفردات القرآن وعباراته</w:t>
      </w:r>
      <w:r>
        <w:rPr>
          <w:rFonts w:eastAsia="IRNazanin" w:cs="IRNazanin"/>
          <w:color w:val="111111"/>
          <w:sz w:val="28"/>
          <w:szCs w:val="28"/>
          <w:rtl w:val="true"/>
          <w:lang w:bidi="fa-IR"/>
        </w:rPr>
        <w:t xml:space="preserve">. </w:t>
      </w:r>
      <w:r>
        <w:rPr>
          <w:rStyle w:val="FootnoteAnchor"/>
          <w:rtl w:val="true"/>
        </w:rPr>
        <w:footnoteReference w:id="38"/>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لأنه لا یقتضی کون القرآن منزّل باللغة العربیة و المطابقة للفهم العرفی، أن یکونَ واضحاً و معروفاً لجمیع العرب، ولأنه لیس فهم معانی الآیات الإلهیة مقصور فقط علی الجانب اللغوی، بل هناک کثیر من موارد تحتاج إلی الإدراک العقلی، </w:t>
      </w:r>
      <w:r>
        <w:rPr>
          <w:rStyle w:val="FootnoteAnchor"/>
          <w:rtl w:val="true"/>
        </w:rPr>
        <w:footnoteReference w:id="39"/>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w:t>
      </w:r>
    </w:p>
    <w:p>
      <w:pPr>
        <w:pStyle w:val="BookText"/>
        <w:rPr/>
      </w:pPr>
      <w:r>
        <w:rPr>
          <w:rFonts w:ascii="Amiri" w:hAnsi="Amiri" w:eastAsia="Amiri" w:cs="Amiri"/>
          <w:color w:val="111111"/>
          <w:sz w:val="28"/>
          <w:sz w:val="28"/>
          <w:szCs w:val="28"/>
          <w:rtl w:val="true"/>
          <w:lang w:bidi="ar-SA"/>
        </w:rPr>
        <w:t>بالآیة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کانَ فِیهِما آلِهَةٌ إِلاَّ اللّهُ لَفَسَدَتا</w:t>
      </w:r>
      <w:r>
        <w:rPr>
          <w:rFonts w:eastAsia="Amiri" w:cs="Amiri" w:ascii="Amiri" w:hAnsi="Amiri"/>
          <w:color w:val="111111"/>
          <w:sz w:val="28"/>
          <w:szCs w:val="28"/>
          <w:rtl w:val="true"/>
          <w:lang w:bidi="ar-SA"/>
        </w:rPr>
        <w:t xml:space="preserve">) . </w:t>
      </w:r>
      <w:r>
        <w:rPr>
          <w:rStyle w:val="FootnoteAnchor"/>
          <w:rtl w:val="true"/>
        </w:rPr>
        <w:footnoteReference w:id="40"/>
      </w:r>
      <w:r>
        <w:rPr>
          <w:rFonts w:ascii="Amiri" w:hAnsi="Amiri" w:eastAsia="Amiri" w:cs="Amiri"/>
          <w:color w:val="111111"/>
          <w:sz w:val="28"/>
          <w:sz w:val="28"/>
          <w:szCs w:val="28"/>
          <w:rtl w:val="true"/>
          <w:lang w:bidi="ar-SA"/>
        </w:rPr>
        <w:t>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الأفول، والذی استدّل به إبراهیم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لا أُحِبُّ الْآفِلِینَ</w:t>
      </w:r>
      <w:r>
        <w:rPr>
          <w:rFonts w:eastAsia="Amiri" w:cs="Amiri" w:ascii="Amiri" w:hAnsi="Amiri"/>
          <w:color w:val="111111"/>
          <w:sz w:val="28"/>
          <w:szCs w:val="28"/>
          <w:rtl w:val="true"/>
          <w:lang w:bidi="ar-SA"/>
        </w:rPr>
        <w:t xml:space="preserve">) </w:t>
      </w:r>
      <w:r>
        <w:rPr>
          <w:rStyle w:val="FootnoteAnchor"/>
          <w:rtl w:val="true"/>
        </w:rPr>
        <w:footnoteReference w:id="41"/>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یحتاج إلی البرهان و الاستدلال بصورة القیاس المنطقی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شاء الله الحکیم أن تکونَ آیات الأحکام ناطقةً بالعمومیات و الأحکام الکلیة، و لم یشرَ إلی الکثیر من جزئیاتها، فقد جاء فی القرآن الکریم،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الصَّلاةَ لِدُلُوکِ الشَّمْسِ</w:t>
      </w:r>
      <w:r>
        <w:rPr>
          <w:rFonts w:eastAsia="IRNazanin" w:cs="IRNazanin"/>
          <w:color w:val="111111"/>
          <w:sz w:val="28"/>
          <w:szCs w:val="28"/>
          <w:rtl w:val="true"/>
          <w:lang w:bidi="fa-IR"/>
        </w:rPr>
        <w:t xml:space="preserve">) .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فاالقرآن لم یبین لنا ما هو المفهوم الشرعی الاصطلاحی للصلاة؟ وکم هی عدد رکعاتها؟ وما هی أجزاؤها وشراؤطها وکیفیتها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فالقرآن المجید لم یتعرّض لمثل هذه التفاصیل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الأمر بالنسبه إلی الحجّ و الزکاة وأمثالها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لم یشر إلی تفاصیلها الکثیرة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یخفی أنّها تحتاج إلی التوضیح و التفسیر، و هذه المهمّة أوکلت إلی رسول الله صلّی الله علیه و آله، ومن بعده إلی أهل‌بیته 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 xml:space="preserve">) .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یقول الإمام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رسول الله صلّی الله علیه و آله نزلت علیه الصلاة، ولم یسمّ لهم ثلاثاً ولا أربعاً حتّی کان رسول الله صلّی الله علیه و آله، و هو الذی فسّر لهم ذلک</w:t>
      </w:r>
      <w:r>
        <w:rPr>
          <w:rFonts w:eastAsia="IRNazanin" w:cs="IRNazanin"/>
          <w:color w:val="111111"/>
          <w:sz w:val="28"/>
          <w:szCs w:val="28"/>
          <w:rtl w:val="true"/>
          <w:lang w:bidi="fa-IR"/>
        </w:rPr>
        <w:t xml:space="preserve">.... </w:t>
      </w:r>
      <w:r>
        <w:rPr>
          <w:rStyle w:val="FootnoteAnchor"/>
          <w:rtl w:val="true"/>
        </w:rPr>
        <w:footnoteReference w:id="44"/>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إلی ذلک فإنّ القرآن الکریم یشتمل علی الأمثال، والکنایات والاستعارات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 الْأَرْضِ مَثَلُ نُورِهِ کَمِشْکاةٍ</w:t>
      </w:r>
      <w:r>
        <w:rPr>
          <w:rFonts w:eastAsia="Amiri" w:cs="Amiri" w:ascii="Amiri" w:hAnsi="Amiri"/>
          <w:color w:val="111111"/>
          <w:sz w:val="28"/>
          <w:szCs w:val="28"/>
          <w:rtl w:val="true"/>
          <w:lang w:bidi="ar-SA"/>
        </w:rPr>
        <w:t xml:space="preserve">...) </w:t>
      </w:r>
      <w:r>
        <w:rPr>
          <w:rStyle w:val="FootnoteAnchor"/>
          <w:rtl w:val="true"/>
        </w:rPr>
        <w:footnoteReference w:id="45"/>
      </w:r>
      <w:r>
        <w:rPr>
          <w:rFonts w:ascii="IRNazanin" w:hAnsi="IRNazanin" w:eastAsia="IRNazanin"/>
          <w:color w:val="111111"/>
          <w:sz w:val="28"/>
          <w:sz w:val="28"/>
          <w:szCs w:val="28"/>
          <w:rtl w:val="true"/>
          <w:lang w:bidi="fa-IR"/>
        </w:rPr>
        <w:t>فالعرب تفهم معنی النور، أمّا أنّ الله هو نور السماوات کیف یکون ذلک؟ ولماذا</w:t>
      </w:r>
      <w:bookmarkStart w:id="87" w:name="pg5285_67176"/>
    </w:p>
    <w:p>
      <w:pPr>
        <w:pStyle w:val="BookText"/>
        <w:rPr/>
      </w:pPr>
      <w:bookmarkEnd w:id="87"/>
      <w:r>
        <w:rPr>
          <w:rFonts w:ascii="IRNazanin" w:hAnsi="IRNazanin" w:eastAsia="IRNazanin"/>
          <w:color w:val="111111"/>
          <w:sz w:val="28"/>
          <w:sz w:val="28"/>
          <w:szCs w:val="28"/>
          <w:rtl w:val="true"/>
          <w:lang w:bidi="fa-IR"/>
        </w:rPr>
        <w:t>وردت المشکاة فی هذه الآیة؟ فإنّ مثل هذه التعابیر تحتاج إلی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الحال فی المتشابهات و العمومات، والإطلاقات و المجملات، والتی کلّها تحتاج إلی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ومضافاً علی ذلک فإنّ القرآن یشتمل علی مفاهیم باطنیة معنویة، و إنّ ألیقَ وأکفأَ شخصٍ یستطیع الکشف عنها هو رسول الله صلّی الله علیه و آله، و هو الذی أخبرنا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للقرآن ظهراً وبطناً، ولبطنه بطناً إلی سبعة أبطُن</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وفی النتیجة فإنّ الوظیفة الأساسیة لرسول الإسلام صلّی الله علیه و آله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وتفصیل معانی آیات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بصورة واضحة شفافة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لتکونَ فی متناول ید الناس فیتعلّمونها ویعرفوا بواسطتها طریق سعادتهم</w:t>
      </w:r>
      <w:r>
        <w:rPr>
          <w:rFonts w:eastAsia="IRNazanin" w:cs="IRNazanin"/>
          <w:color w:val="111111"/>
          <w:sz w:val="28"/>
          <w:szCs w:val="28"/>
          <w:rtl w:val="true"/>
          <w:lang w:bidi="fa-IR"/>
        </w:rPr>
        <w:t>.</w:t>
      </w:r>
    </w:p>
    <w:p>
      <w:pPr>
        <w:pStyle w:val="Heading3"/>
        <w:numPr>
          <w:ilvl w:val="2"/>
          <w:numId w:val="1"/>
        </w:numPr>
        <w:rPr/>
      </w:pPr>
      <w:bookmarkStart w:id="88" w:name="__RefHeading___Toc633875_581953129"/>
      <w:bookmarkStart w:id="89" w:name="_Toc33"/>
      <w:bookmarkEnd w:id="88"/>
      <w:r>
        <w:rPr>
          <w:rtl w:val="true"/>
        </w:rPr>
        <w:t>مدرسة الرسول التفسیریة</w:t>
      </w:r>
      <w:bookmarkEnd w:id="89"/>
    </w:p>
    <w:p>
      <w:pPr>
        <w:pStyle w:val="Heading4"/>
        <w:numPr>
          <w:ilvl w:val="3"/>
          <w:numId w:val="1"/>
        </w:numPr>
        <w:rPr/>
      </w:pPr>
      <w:bookmarkStart w:id="90" w:name="__RefHeading___Toc633877_581953129"/>
      <w:bookmarkStart w:id="91" w:name="_Toc34"/>
      <w:bookmarkEnd w:id="90"/>
      <w:r>
        <w:rPr>
          <w:rtl w:val="true"/>
        </w:rPr>
        <w:t>اشارة</w:t>
      </w:r>
      <w:bookmarkEnd w:id="91"/>
    </w:p>
    <w:p>
      <w:pPr>
        <w:pStyle w:val="BookText"/>
        <w:rPr/>
      </w:pPr>
      <w:r>
        <w:rPr>
          <w:rFonts w:ascii="IRNazanin" w:hAnsi="IRNazanin" w:eastAsia="IRNazanin"/>
          <w:color w:val="111111"/>
          <w:sz w:val="28"/>
          <w:sz w:val="28"/>
          <w:szCs w:val="28"/>
          <w:rtl w:val="true"/>
          <w:lang w:bidi="fa-IR"/>
        </w:rPr>
        <w:t xml:space="preserve">النبی صلّی الله علیه و آله هو المعلّم و المفسّر الأوّل للقرآن الکریم فی مدرسته التفسیریة، و قد عرض فی ذلک صوراً تفسیریة متنوّعة ضمن تعلیمه المبارک، کما ویمکن القول أنّ له صلّی الله علیه و آله مدرسة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تفسیریة عامّة، ومدرسة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تفسیریة خاصّه، والتی من خلالها یبین عمق المفاهیم القرآنیة ونشرها</w:t>
      </w:r>
      <w:r>
        <w:rPr>
          <w:rFonts w:eastAsia="IRNazanin" w:cs="IRNazanin"/>
          <w:color w:val="111111"/>
          <w:sz w:val="28"/>
          <w:szCs w:val="28"/>
          <w:rtl w:val="true"/>
          <w:lang w:bidi="fa-IR"/>
        </w:rPr>
        <w:t>:</w:t>
      </w:r>
    </w:p>
    <w:p>
      <w:pPr>
        <w:pStyle w:val="Heading4"/>
        <w:numPr>
          <w:ilvl w:val="3"/>
          <w:numId w:val="1"/>
        </w:numPr>
        <w:rPr/>
      </w:pPr>
      <w:bookmarkStart w:id="92" w:name="__RefHeading___Toc633879_581953129"/>
      <w:bookmarkStart w:id="93" w:name="_Toc35"/>
      <w:bookmarkEnd w:id="92"/>
      <w:r>
        <w:rPr/>
        <w:t>1</w:t>
      </w:r>
      <w:r>
        <w:rPr>
          <w:rtl w:val="true"/>
        </w:rPr>
        <w:t xml:space="preserve">. </w:t>
      </w:r>
      <w:r>
        <w:rPr>
          <w:rtl w:val="true"/>
        </w:rPr>
        <w:t>الأسلوب العامّ</w:t>
      </w:r>
      <w:bookmarkEnd w:id="93"/>
    </w:p>
    <w:p>
      <w:pPr>
        <w:pStyle w:val="Heading5"/>
        <w:numPr>
          <w:ilvl w:val="4"/>
          <w:numId w:val="1"/>
        </w:numPr>
        <w:rPr/>
      </w:pPr>
      <w:bookmarkStart w:id="94" w:name="__RefHeading___Toc633881_581953129"/>
      <w:bookmarkStart w:id="95" w:name="_Toc36"/>
      <w:bookmarkEnd w:id="94"/>
      <w:r>
        <w:rPr>
          <w:rtl w:val="true"/>
        </w:rPr>
        <w:t>اشارة</w:t>
      </w:r>
      <w:bookmarkEnd w:id="95"/>
    </w:p>
    <w:p>
      <w:pPr>
        <w:pStyle w:val="BookText"/>
        <w:rPr/>
      </w:pPr>
      <w:r>
        <w:rPr>
          <w:rFonts w:ascii="IRNazanin" w:hAnsi="IRNazanin" w:eastAsia="IRNazanin"/>
          <w:color w:val="111111"/>
          <w:sz w:val="28"/>
          <w:sz w:val="28"/>
          <w:szCs w:val="28"/>
          <w:rtl w:val="true"/>
          <w:lang w:bidi="fa-IR"/>
        </w:rPr>
        <w:t>فی هذا الإسلوب التفسیری العام، یتّجه بتعلیماته إلی عامّة الناس ویوصلها إلیهم، عبر طریقین هما</w:t>
      </w:r>
      <w:r>
        <w:rPr>
          <w:rFonts w:eastAsia="IRNazanin" w:cs="IRNazanin"/>
          <w:color w:val="111111"/>
          <w:sz w:val="28"/>
          <w:szCs w:val="28"/>
          <w:rtl w:val="true"/>
          <w:lang w:bidi="fa-IR"/>
        </w:rPr>
        <w:t>:</w:t>
      </w:r>
    </w:p>
    <w:p>
      <w:pPr>
        <w:pStyle w:val="Heading5"/>
        <w:numPr>
          <w:ilvl w:val="4"/>
          <w:numId w:val="1"/>
        </w:numPr>
        <w:rPr/>
      </w:pPr>
      <w:bookmarkStart w:id="96" w:name="__RefHeading___Toc633883_581953129"/>
      <w:bookmarkStart w:id="97" w:name="_Toc37"/>
      <w:bookmarkEnd w:id="96"/>
      <w:r>
        <w:rPr>
          <w:rtl w:val="true"/>
        </w:rPr>
        <w:t>أ</w:t>
      </w:r>
      <w:r>
        <w:rPr>
          <w:rtl w:val="true"/>
        </w:rPr>
        <w:t xml:space="preserve">) </w:t>
      </w:r>
      <w:r>
        <w:rPr>
          <w:rtl w:val="true"/>
        </w:rPr>
        <w:t>المحاورة</w:t>
      </w:r>
      <w:r>
        <w:rPr>
          <w:rtl w:val="true"/>
        </w:rPr>
        <w:t>:</w:t>
      </w:r>
      <w:bookmarkEnd w:id="97"/>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وذلک ببیانٍ واضحٍ وطلیقٍ و الذی نقلت لنا الأحادیثُ الکثیرَة منه علی صور تفسیر</w:t>
      </w:r>
      <w:bookmarkStart w:id="98" w:name="pg5285_67177"/>
    </w:p>
    <w:p>
      <w:pPr>
        <w:pStyle w:val="BookText"/>
        <w:rPr/>
      </w:pPr>
      <w:bookmarkEnd w:id="98"/>
      <w:r>
        <w:rPr>
          <w:rFonts w:ascii="IRNazanin" w:hAnsi="IRNazanin" w:eastAsia="IRNazanin"/>
          <w:color w:val="111111"/>
          <w:sz w:val="28"/>
          <w:sz w:val="28"/>
          <w:szCs w:val="28"/>
          <w:rtl w:val="true"/>
          <w:lang w:bidi="fa-IR"/>
        </w:rPr>
        <w:t>للآیات القرآنیه، و من هذا القبیل هو ما نقله السیوطی عن رسول الله صلّی الله علیه و آله</w:t>
      </w:r>
      <w:r>
        <w:rPr>
          <w:rFonts w:eastAsia="IRNazanin" w:cs="IRNazanin"/>
          <w:color w:val="111111"/>
          <w:sz w:val="28"/>
          <w:szCs w:val="28"/>
          <w:rtl w:val="true"/>
          <w:lang w:bidi="fa-IR"/>
        </w:rPr>
        <w:t>.</w:t>
      </w:r>
    </w:p>
    <w:p>
      <w:pPr>
        <w:pStyle w:val="Heading5"/>
        <w:numPr>
          <w:ilvl w:val="4"/>
          <w:numId w:val="1"/>
        </w:numPr>
        <w:rPr/>
      </w:pPr>
      <w:bookmarkStart w:id="99" w:name="__RefHeading___Toc633885_581953129"/>
      <w:bookmarkStart w:id="100" w:name="_Toc38"/>
      <w:bookmarkEnd w:id="99"/>
      <w:r>
        <w:rPr>
          <w:rtl w:val="true"/>
        </w:rPr>
        <w:t>ب</w:t>
      </w:r>
      <w:r>
        <w:rPr>
          <w:rtl w:val="true"/>
        </w:rPr>
        <w:t xml:space="preserve">) </w:t>
      </w:r>
      <w:r>
        <w:rPr>
          <w:rtl w:val="true"/>
        </w:rPr>
        <w:t>العملی</w:t>
      </w:r>
      <w:r>
        <w:rPr>
          <w:rtl w:val="true"/>
        </w:rPr>
        <w:t>:</w:t>
      </w:r>
      <w:bookmarkEnd w:id="100"/>
    </w:p>
    <w:p>
      <w:pPr>
        <w:pStyle w:val="BookText"/>
        <w:rPr/>
      </w:pPr>
      <w:r>
        <w:rPr>
          <w:rFonts w:ascii="IRNazanin" w:hAnsi="IRNazanin" w:eastAsia="IRNazanin"/>
          <w:color w:val="111111"/>
          <w:sz w:val="28"/>
          <w:sz w:val="28"/>
          <w:szCs w:val="28"/>
          <w:rtl w:val="true"/>
          <w:lang w:bidi="fa-IR"/>
        </w:rPr>
        <w:t>وذلک من خلال التجسید العملی لمصطلحات القرآن ومفاهیم آیاته أمام الناس لتعلیمهم، ففی کیفیة الصلاة فی الآیة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أَقِیمُوا الصَّلاةَ</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کما رأیتمونی أصلّی</w:t>
      </w:r>
      <w:r>
        <w:rPr>
          <w:rFonts w:eastAsia="IRNazanin" w:cs="IRNazanin"/>
          <w:color w:val="111111"/>
          <w:sz w:val="28"/>
          <w:szCs w:val="28"/>
          <w:rtl w:val="true"/>
          <w:lang w:bidi="fa-IR"/>
        </w:rPr>
        <w:t xml:space="preserve">». </w:t>
      </w:r>
      <w:r>
        <w:rPr>
          <w:rStyle w:val="FootnoteAnchor"/>
          <w:rtl w:val="true"/>
        </w:rPr>
        <w:footnoteReference w:id="48"/>
      </w:r>
      <w:r>
        <w:rPr>
          <w:rFonts w:ascii="Amiri" w:hAnsi="Amiri" w:eastAsia="Amiri" w:cs="Amiri"/>
          <w:color w:val="111111"/>
          <w:sz w:val="28"/>
          <w:sz w:val="28"/>
          <w:szCs w:val="28"/>
          <w:rtl w:val="true"/>
          <w:lang w:bidi="ar-SA"/>
        </w:rPr>
        <w:t>أو فی کیفیة القیام بفریضة الحجّ وإجراء مناسکه وأعماله من خلال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عَلَی النّاسِ حِجُّ الْبَیْتِ</w:t>
      </w:r>
      <w:r>
        <w:rPr>
          <w:rFonts w:eastAsia="Amiri" w:cs="Amiri" w:ascii="Amiri" w:hAnsi="Amiri"/>
          <w:color w:val="111111"/>
          <w:sz w:val="28"/>
          <w:szCs w:val="28"/>
          <w:rtl w:val="true"/>
          <w:lang w:bidi="ar-SA"/>
        </w:rPr>
        <w:t xml:space="preserve">...) </w:t>
      </w:r>
      <w:r>
        <w:rPr>
          <w:rStyle w:val="FootnoteAnchor"/>
          <w:rtl w:val="true"/>
        </w:rPr>
        <w:footnoteReference w:id="49"/>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عنّی مناسککم</w:t>
      </w:r>
      <w:r>
        <w:rPr>
          <w:rFonts w:eastAsia="IRNazanin" w:cs="IRNazanin"/>
          <w:color w:val="111111"/>
          <w:sz w:val="28"/>
          <w:szCs w:val="28"/>
          <w:rtl w:val="true"/>
          <w:lang w:bidi="fa-IR"/>
        </w:rPr>
        <w:t xml:space="preserve">». </w:t>
      </w:r>
      <w:r>
        <w:rPr>
          <w:rStyle w:val="FootnoteAnchor"/>
          <w:rtl w:val="true"/>
        </w:rPr>
        <w:footnoteReference w:id="50"/>
      </w:r>
    </w:p>
    <w:p>
      <w:pPr>
        <w:pStyle w:val="Heading4"/>
        <w:numPr>
          <w:ilvl w:val="3"/>
          <w:numId w:val="1"/>
        </w:numPr>
        <w:rPr/>
      </w:pPr>
      <w:bookmarkStart w:id="101" w:name="__RefHeading___Toc633887_581953129"/>
      <w:bookmarkStart w:id="102" w:name="_Toc39"/>
      <w:bookmarkEnd w:id="101"/>
      <w:r>
        <w:rPr/>
        <w:t>2</w:t>
      </w:r>
      <w:r>
        <w:rPr>
          <w:rtl w:val="true"/>
        </w:rPr>
        <w:t xml:space="preserve">. </w:t>
      </w:r>
      <w:r>
        <w:rPr>
          <w:rtl w:val="true"/>
        </w:rPr>
        <w:t>الأسلوب الخاصّ وإعداد المفسرین</w:t>
      </w:r>
      <w:bookmarkEnd w:id="102"/>
    </w:p>
    <w:p>
      <w:pPr>
        <w:pStyle w:val="BookText"/>
        <w:rPr/>
      </w:pPr>
      <w:r>
        <w:rPr>
          <w:rFonts w:ascii="IRNazanin" w:hAnsi="IRNazanin" w:eastAsia="IRNazanin"/>
          <w:color w:val="111111"/>
          <w:sz w:val="28"/>
          <w:sz w:val="28"/>
          <w:szCs w:val="28"/>
          <w:rtl w:val="true"/>
          <w:lang w:bidi="fa-IR"/>
        </w:rPr>
        <w:t>إنّ رسول الإسلام صلّی الله علیه و آله مضافاً إلی أسلوبه العام، له أسلوب خاصّ فی التربیة و التعلیم أیضاً، و هذا الأسلوب یکون علی طریقتین 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النُخبة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 الرسول صلّی الله علیه و آله عند ما تنزل علیه الآیات القرآنیة الکریمة، یقوم مضافاً إلی تلاوتها وتعلیمها الناس بدعوة عدّة من خواصّ أصحابه،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و أبی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ویعلّمهم تفسیرها ومعانیها، و من هذا المنطلق کان الصحابة أیضاً یتلقّون بشوقٍ معرفة مقاصد ومعانی الآیات و الأحکام</w:t>
      </w:r>
      <w:r>
        <w:rPr>
          <w:rFonts w:eastAsia="IRNazanin" w:cs="IRNazanin"/>
          <w:color w:val="111111"/>
          <w:sz w:val="28"/>
          <w:szCs w:val="28"/>
          <w:rtl w:val="true"/>
          <w:lang w:bidi="fa-IR"/>
        </w:rPr>
        <w:t xml:space="preserve">. </w:t>
      </w:r>
      <w:r>
        <w:rPr>
          <w:rStyle w:val="FootnoteAnchor"/>
          <w:rtl w:val="true"/>
        </w:rPr>
        <w:footnoteReference w:id="51"/>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نقل الطبری فی تفسیره عن ابن مسعود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کانوا إذا تعلّموا من</w:t>
      </w:r>
    </w:p>
    <w:p>
      <w:pPr>
        <w:pStyle w:val="BookText"/>
        <w:rPr/>
      </w:pPr>
      <w:r>
        <w:rPr>
          <w:rFonts w:ascii="IRNazanin" w:hAnsi="IRNazanin" w:eastAsia="IRNazanin"/>
          <w:color w:val="111111"/>
          <w:sz w:val="28"/>
          <w:sz w:val="28"/>
          <w:szCs w:val="28"/>
          <w:rtl w:val="true"/>
          <w:lang w:bidi="fa-IR"/>
        </w:rPr>
        <w:t>النبی صلّی الله علیه و آله عشر آیات، لم یجاوزوها حتّی یتعلّموا ما فیها من العلم و العمل،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فتعلّمنا القرآن و العلم و العمل جمیعاً</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وهکذا فی روایة أخری عند ما کان أصحاب رسول الله صلّی الله علیه و آله یطلبون قراءة آیات فإذا تعلّموا عشرة منها لم یتخلّوا عنها حتّی یعملوا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عبد الرحمان السُلمی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تعلّمنا القرآن و العمل به فی آنٍ واحدٍ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تربیة الخواصّ من النُخبة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النبی صلّی الله علیه و آله یولی اهتماماً خاصّاً وفریداً بعلی بن أبی طالب علیه السّلام أکثر من الجمیع، وکان یعدّه مرجعاً فکرّیاً یقوم مقامه من بعده فی کلّ الأمور، و قد ربّاه علی تفسیر آیات القرآن بشکل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نزلت علی رسول الله صلّی الله علیه و آله آیة من القرآن إلاّ أقرأنیها فأکتبها بخطی، و علّمنی تأویلها و تفسیرها، و ناسخها و منسوخها</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وفی روایة طویلة یقول الإمام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کنت أدخلُ علی رسول الله صلّی الله علیه و آله کلّ یوم دخلة وکلّ لیلة دخلة، فیخلّینی فیها أدور حیث دار، و قد علّم أصحاب رسول الله صلّی الله علیه و آله أنّه لم یصنع ذلک بأحد من الناس غیری، فربّما کان فی بیتی یأتینی رسول الله صلّی الله علیه و آله أکثر ذلک فی بیتی، و کنتُ إذا دخلتُ علیه بعض منازله أخلالی، و أقام عنی نسائه فلا یبقی عنده غیری، و إذا أتانی للخلوة معی فی منزلی لم تقُم عنّی فاطمة و لا أحد من بنی</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کنتُ إذا سألته أجانبی و إذا أمسکتُ عنه وُفنیت مسائلی ابتدانی فما نزلت علی رسول الله صلّی الله علیه و آله آیة من القرآن إلاّ أقرأنیها وأملاها علی فکتبتُها بخطی و</w:t>
      </w:r>
    </w:p>
    <w:p>
      <w:pPr>
        <w:pStyle w:val="BookText"/>
        <w:rPr/>
      </w:pPr>
      <w:r>
        <w:rPr>
          <w:rFonts w:ascii="IRNazanin" w:hAnsi="IRNazanin" w:eastAsia="IRNazanin"/>
          <w:color w:val="111111"/>
          <w:sz w:val="28"/>
          <w:sz w:val="28"/>
          <w:szCs w:val="28"/>
          <w:rtl w:val="true"/>
          <w:lang w:bidi="fa-IR"/>
        </w:rPr>
        <w:t>علّمنی تأویلها وتفسیرها، وناسخها ومنسوخها ومحکمها ومتشابهها، وخاصّها وعامّها، ودعا الله أن یعطینی فهمها وحفظها فما نَسیتُ آیة من کتاب الله تعالی ولا علماً أملاه علی، وکتبتُه منذُ دعا الله لی بما دعا</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هذه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وهناک الکثیر من أمثالها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تُخبرنا أنّ النبی صلّی الله علیه و آله کان یعتنی عنایة فائقة وخاصّة فی تعلیم الإمام علیاً علیه السّلام کلّ العلوم السماویة وعلی وجه 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نکتفی فی بیان منزلة الإمام علی علیه السّلام العلمیة فی فهم القرآن واستیعابه، بذکر روایة واحدة جرت علی لسانه المبارک، قال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نزلت آیة إلاّ و قد علمتُ فیما نزلت؟ وأین نزلت؟ وعلی من نزلت؟ إنّ ربّی وهب لی قلباً عقولاً ولساناً طلقاً سؤلاً</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اتّساع رقعة الإسلام وقیام الدولة الإسلامیة ألاولی فی المدینة المنوّرة علی ید الرسول صلّی الله علیه و آله وانشغاله بتنظیم الدولة الإسلامیة و معالجة المشاکل الاجتماعیه وغیرها، لم تُتح له الظروف المطلوبة فی التصدّی لمهمّة التفسیر بصورة واسعة، ومع عموم الناس أو التفرّغ بشکل أکثر لتربیة النخبة، و إنّما عملیة التفسیر کان تجری بصورة عفویة غیر منتظمة، تأتی کإجابات علی سؤال السائل عن معرفة تفسیر آیةٍ ما، ثمَّ ینبری النبی صلّی الله علیه و آله لتفسیرها فیصغی الأصحاب للإجابة ویتعلّموا تفسیرها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علی علیه السّلام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کلّ اصحاب رسول الله صلّی الله علیه و آله کان یسأله و یستفهمه، حتّی کانوا لیحبّون أن یجیءَ الأعرابی أو الطاریء، فیسأله علیه السّلام حتّی یسمعوا</w:t>
      </w:r>
      <w:r>
        <w:rPr>
          <w:rFonts w:eastAsia="IRNazanin" w:cs="IRNazanin"/>
          <w:color w:val="111111"/>
          <w:sz w:val="28"/>
          <w:szCs w:val="28"/>
          <w:rtl w:val="true"/>
          <w:lang w:bidi="fa-IR"/>
        </w:rPr>
        <w:t xml:space="preserve">...». </w:t>
      </w:r>
      <w:r>
        <w:rPr>
          <w:rStyle w:val="FootnoteAnchor"/>
          <w:rtl w:val="true"/>
        </w:rPr>
        <w:footnoteReference w:id="57"/>
      </w:r>
      <w:bookmarkStart w:id="103" w:name="pg5285_67180"/>
    </w:p>
    <w:p>
      <w:pPr>
        <w:pStyle w:val="Heading3"/>
        <w:numPr>
          <w:ilvl w:val="2"/>
          <w:numId w:val="1"/>
        </w:numPr>
        <w:rPr/>
      </w:pPr>
      <w:bookmarkStart w:id="104" w:name="__RefHeading___Toc633889_581953129"/>
      <w:bookmarkStart w:id="105" w:name="_Toc40"/>
      <w:bookmarkEnd w:id="103"/>
      <w:bookmarkEnd w:id="104"/>
      <w:r>
        <w:rPr>
          <w:rtl w:val="true"/>
        </w:rPr>
        <w:t>حجم الروایات التفسیریة المنسوبة للنبی صلّی الله علیه و آله</w:t>
      </w:r>
      <w:bookmarkEnd w:id="105"/>
    </w:p>
    <w:p>
      <w:pPr>
        <w:pStyle w:val="BookText"/>
        <w:rPr/>
      </w:pPr>
      <w:r>
        <w:rPr>
          <w:rFonts w:ascii="IRNazanin" w:hAnsi="IRNazanin" w:eastAsia="IRNazanin"/>
          <w:color w:val="111111"/>
          <w:sz w:val="28"/>
          <w:sz w:val="28"/>
          <w:szCs w:val="28"/>
          <w:rtl w:val="true"/>
          <w:lang w:bidi="fa-IR"/>
        </w:rPr>
        <w:t>حول نسبة الروایات التفسیریة التی وصلت إلینا عن رسول الإسلام صلّی الله علیه و آله، فقد نقل جلال الدین 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آخر بحث الإتقان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یقربُ من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عن الرسول الأکرم صلّی الله علیه و آله منها ما هو صحیح ومنها ما هو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وبشکل عامّ فإنّه یوجد اختلاف فی الرأی بین علماء الإسلام و المحقّقین فی علوم القرآن حول المقدار الذی فسّره النبی صلّی الله علیه و آله من القرآن الکریم، و مقدار صحة نسبته إلیه صلّی الله علیه و آله؟</w:t>
      </w:r>
    </w:p>
    <w:p>
      <w:pPr>
        <w:pStyle w:val="BookText"/>
        <w:rPr/>
      </w:pPr>
      <w:r>
        <w:rPr>
          <w:rFonts w:ascii="IRNazanin" w:hAnsi="IRNazanin" w:eastAsia="IRNazanin"/>
          <w:color w:val="111111"/>
          <w:sz w:val="28"/>
          <w:sz w:val="28"/>
          <w:szCs w:val="28"/>
          <w:rtl w:val="true"/>
          <w:lang w:bidi="fa-IR"/>
        </w:rPr>
        <w:t>ویمکن الإشارة فی هذا المجال إلی ثلاثة آراء،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الرأی الأوّل</w:t>
      </w:r>
    </w:p>
    <w:p>
      <w:pPr>
        <w:pStyle w:val="BookText"/>
        <w:rPr/>
      </w:pPr>
      <w:r>
        <w:rPr>
          <w:rFonts w:ascii="IRNazanin" w:hAnsi="IRNazanin" w:eastAsia="IRNazanin"/>
          <w:color w:val="111111"/>
          <w:sz w:val="28"/>
          <w:sz w:val="28"/>
          <w:szCs w:val="28"/>
          <w:rtl w:val="true"/>
          <w:lang w:bidi="fa-IR"/>
        </w:rPr>
        <w:t>إنّ النبیّ صلّی الله علیه و آله فسّر جمیع ألفاظ القرآن وبین تمام معانیه، و هذا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یبدوا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شاملاً لکامل السور و الآیات القرآنیة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یذهب إلی هذا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أورد أدلّته علی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الدلیل القرآنی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الخالق المتعال عرّف نبیه صلّی الله علیه و آله بوصفه مفسّراً ومبیناً للقرآن،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أَنْزَلْنا إِلَیْکَ الذِّکْرَ لِتُبَیِّنَ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8"/>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أنزلنا إلیک القرآن من أجل أن تُبین للناس، والتبیین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یشمل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و التبیین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الدلیل الروائی</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رُوی عن الصحابة أنهّم إذا تعلّموا من رسول الله صلّی الله علیه و آله عشرة آیات، لم یتجاوزوها حتّی یتعرّفوا علیها بشکلٍ کاملٍ ویعملّوا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والنتیجة النهائیة أنّ أصحاب النبی صلّی الله علیه و آله تعلّموا القرآن وعملوا به فی وقتٍ واحدٍ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الدلیل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الآخیر هو الدلیل العقلی،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الطبیعی لمن یؤلِّف کتاباً لمجموعةٍ ما، أن یعلّمهم محتوی ما جاء فیه، سواءً کان ذلک الکتاب فی الطبّ أو الریاضیات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یدعه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متعارف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شرح وتبیینٍ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والقرآن الکریم هو کذلک کتاب قانون المسلمین، و هو خیر کتاب عرفته البشرّیة لِمَا یحتوی علیه من القوانین الکاملة فی طریق السعادة، والسلام للدنیا و الآخرة، فهل من الممکن ألاّ یعرّف محتوی و مضمون هکذا کتاب؟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فی حین أنّ مهمّة النبی صلّی الله علیه و آله هی تبیین ما هو یخصّ الناس ویتعلّق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الرأی الثانی</w:t>
      </w:r>
    </w:p>
    <w:p>
      <w:pPr>
        <w:pStyle w:val="BookText"/>
        <w:rPr/>
      </w:pPr>
      <w:r>
        <w:rPr>
          <w:rFonts w:ascii="IRNazanin" w:hAnsi="IRNazanin" w:eastAsia="IRNazanin"/>
          <w:color w:val="111111"/>
          <w:sz w:val="28"/>
          <w:sz w:val="28"/>
          <w:szCs w:val="28"/>
          <w:rtl w:val="true"/>
          <w:lang w:bidi="fa-IR"/>
        </w:rPr>
        <w:t xml:space="preserve">یذهب إلی أنّ النبی صلّی الله علیه و آله لم یبین من التفسیر إلاّ القلیل، وممّن ذهب إلی هذا الرأی وقال بهذه النظریة، السید الخُوَییّ </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کتب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صحّ من ذلک قلیل جّداً، بل أصل المرفوع منه فی غایة القلّة</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و قد تمسّکت هذه المجموعة من أجل إثبات نظریتهم بالأدلّة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الطبری فی تفسیره عن عایشة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رسول الله صلّی الله علیه و آله</w:t>
      </w:r>
    </w:p>
    <w:p>
      <w:pPr>
        <w:pStyle w:val="BookText"/>
        <w:rPr/>
      </w:pPr>
      <w:r>
        <w:rPr>
          <w:rFonts w:ascii="Amiri" w:hAnsi="Amiri" w:eastAsia="Amiri" w:cs="Amiri"/>
          <w:color w:val="111111"/>
          <w:sz w:val="28"/>
          <w:sz w:val="28"/>
          <w:szCs w:val="28"/>
          <w:rtl w:val="true"/>
          <w:lang w:bidi="ar-SA"/>
        </w:rPr>
        <w:t>یفسّر من کتاب الله إلاّ آیاً بعدد علّمه إیاهُنَّ جبرئیل علیه السّلام</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الله دعا الناس إلی التدبّر و التأمل فی آیات القرآن الکریم، لکی یتعلموا ویفهموا القرآن، ثم أنّه لم نعثر علی نصٍّ صریحٍ یبین أنّ تکلیف النبی صلّی الله علیه و آله هو تفسیر کلّ الآیات، والذی هو یتنافی فی الأساس مع دعوة الناس إلی التأمل و التدبّر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ما تقدّم، فإنّ النبی صلّی الله علیه و آله لم یفسّر من الآیات إلاّ القلیل و أمّا الکثیر، فقد عهد به إلی الناس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ذلک فإنّه لم تَصلنا من روایات التفسیر عن رسول الله صلّی الله علیه و آله إلاّ ما یقربُ من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فقط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رسول الله صلّی الله علیه و آله دعا بعض الصحابة منهم عبد الله بن عبّاس لتعلّم تفسیر القرآن، ودعا له لأجل ذلک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فقّهْهُ فی الدین وعلّمه التأویل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وعلی هذا الأساس فإنّ الرسول صلّی الله علیه و آله وضع فی عهدة الآخرین تفسیر قسم من الآیات، حتّی یقوم هؤلاء بتفسیر القرآن ولم یر حاجةً إلی تفسیر کلّ القرآن بنفسه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الرأی الثالث</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الرأی هی یمثل الرأی الأقرب الأقرب إلی الاعتدال و الوسطیة بین الآراء، وفیها یعتقد أصحابها أنّ النبی صلّی الله علیه و آله لم یفسّر کلّ القرآن ولا أنه صلّی الله علیه و آله فرّ البعض منه فقط، بل فسّر الکثیر من آیات القرآن، ولیس جمیع الآیات بحاجة إلی تفسیر، فبعض الآیات تکون قابلةً للفهم من خلال مراجعة اللغة و الأدب، وکذلک بالتدبّر، کما أنّ هناک آیات کثیرة نزلت لمخاطبة عامّة الناس وبسطائهم، والناس بإمکانهم معرفتها</w:t>
      </w:r>
    </w:p>
    <w:p>
      <w:pPr>
        <w:pStyle w:val="BookText"/>
        <w:rPr/>
      </w:pPr>
      <w:r>
        <w:rPr>
          <w:rFonts w:ascii="Amiri" w:hAnsi="Amiri" w:eastAsia="Amiri" w:cs="Amiri"/>
          <w:color w:val="111111"/>
          <w:sz w:val="28"/>
          <w:sz w:val="28"/>
          <w:szCs w:val="28"/>
          <w:rtl w:val="true"/>
          <w:lang w:bidi="ar-SA"/>
        </w:rPr>
        <w:t>بأدنی ملاحظه،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تَقْرَبُوا مالَ الْیَتِیمِ إِلاّ بِالَّتِی هِیَ أَحْسَنُ</w:t>
      </w:r>
      <w:r>
        <w:rPr>
          <w:rFonts w:eastAsia="Amiri" w:cs="Amiri" w:ascii="Amiri" w:hAnsi="Amiri"/>
          <w:color w:val="111111"/>
          <w:sz w:val="28"/>
          <w:szCs w:val="28"/>
          <w:rtl w:val="true"/>
          <w:lang w:bidi="ar-SA"/>
        </w:rPr>
        <w:t xml:space="preserve">...) . </w:t>
      </w:r>
      <w:r>
        <w:rPr>
          <w:rStyle w:val="FootnoteAnchor"/>
          <w:rtl w:val="true"/>
        </w:rPr>
        <w:footnoteReference w:id="64"/>
      </w: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تَقْرَبُوا الزِّنی إِنَّهُ کانَ فاحِشَةً</w:t>
      </w:r>
      <w:r>
        <w:rPr>
          <w:rFonts w:eastAsia="Amiri" w:cs="Amiri" w:ascii="Amiri" w:hAnsi="Amiri"/>
          <w:color w:val="111111"/>
          <w:sz w:val="28"/>
          <w:szCs w:val="28"/>
          <w:rtl w:val="true"/>
          <w:lang w:bidi="ar-SA"/>
        </w:rPr>
        <w:t xml:space="preserve">...) .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و قد أکدّ الدکتور الذهبی علی هذه النظریة، وقام بدعمها علمّیاً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الانتباه إلی نقد الرأیین السابقین، وتوجیه هذا الرأی، ومن خلال ما سنُورده علیه من ملاحظات یمکننا القول أنّه أفضل الآراء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یمکن ملاحظة و الموارد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الروایة التی نُقلت عن عائشة، من أنّ النبی صلّی الله علیه و آله لم یفسر للناس إلاّ بعض الآیات التی علّمه إیاها جبرائیل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علیها مایلی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الطبری الذی روی هذه الروایة یراها مخدوشة سنداً</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الروایة معارضة لغیرها من الروایات التی تکشف بأنّ لبعض الصحابة العلم الکامل بتضیر القرآن الکریم،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فرض صحة هذه الروایة سنداً، یکون 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کلّ ما نزل جبرائیل بآیةٍ علی النبی صلّی الله علیه و آله کان النبی صلّی الله علیه و آله یقوم بتعلیمها الناس؛ وذلک بسبب النزول التدریجی للقرآن الکریم، فکلّما نزل قسم من القرآن قام الرسول صلّی الله علیه و آله بتفسیره 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کلّ ما جاء فی القرآن العزیز بحاجة إلی التفسیر مثلما مرّ بیانه، فالقرآن ناطق بالعربیة ونازل فی بین أناس یتکلمون تتکلّم اللغة العربیة ویضهمونها، وبإمکان</w:t>
      </w:r>
    </w:p>
    <w:p>
      <w:pPr>
        <w:pStyle w:val="BookText"/>
        <w:rPr/>
      </w:pPr>
      <w:r>
        <w:rPr>
          <w:rFonts w:ascii="IRNazanin" w:hAnsi="IRNazanin" w:eastAsia="IRNazanin"/>
          <w:color w:val="111111"/>
          <w:sz w:val="28"/>
          <w:sz w:val="28"/>
          <w:szCs w:val="28"/>
          <w:rtl w:val="true"/>
          <w:lang w:bidi="fa-IR"/>
        </w:rPr>
        <w:t>الناس إدراکه بکلّ بساطه</w:t>
      </w:r>
      <w:r>
        <w:rPr>
          <w:rFonts w:eastAsia="IRNazanin" w:cs="IRNazanin"/>
          <w:color w:val="111111"/>
          <w:sz w:val="28"/>
          <w:szCs w:val="28"/>
          <w:rtl w:val="true"/>
          <w:lang w:bidi="fa-IR"/>
        </w:rPr>
        <w:t xml:space="preserve">. </w:t>
      </w:r>
      <w:r>
        <w:rPr>
          <w:rStyle w:val="FootnoteAnchor"/>
          <w:rtl w:val="true"/>
        </w:rPr>
        <w:footnoteReference w:id="67"/>
      </w:r>
      <w:r>
        <w:rPr>
          <w:rFonts w:ascii="Amiri" w:hAnsi="Amiri" w:eastAsia="Amiri" w:cs="Amiri"/>
          <w:color w:val="111111"/>
          <w:sz w:val="28"/>
          <w:sz w:val="28"/>
          <w:szCs w:val="28"/>
          <w:rtl w:val="true"/>
          <w:lang w:bidi="ar-SA"/>
        </w:rPr>
        <w:t>والله سبحانه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یَسَّرْنَا الْقُرْآنَ لِلذِّکْرِ</w:t>
      </w:r>
      <w:r>
        <w:rPr>
          <w:rFonts w:eastAsia="Amiri" w:cs="Amiri" w:ascii="Amiri" w:hAnsi="Amiri"/>
          <w:color w:val="111111"/>
          <w:sz w:val="28"/>
          <w:szCs w:val="28"/>
          <w:rtl w:val="true"/>
          <w:lang w:bidi="ar-SA"/>
        </w:rPr>
        <w:t xml:space="preserve">...) . </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هناک بعض المسائل القرآنیة یمکن معرفتها من خلال مراجعة اللغة و الأدب، واللغویون و الأدباء قد بینوها بشکلٍ جیدٍ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یمکن حصر المهمّة التفسیریة للنبی صلّی الله علیه و آله بعدد الأحادیث التی رواها السیوطی و التی هی</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 و إنّما نجزم یقیناً بأنّها أکثر من ذلک بکشیر من حیث إنّه صلّی الله علیه و آله کان یفسّر القرآن من جانب آخر بسیرته وسنتّه العملیه، مضافاً إلی أحادیثه فی الأصول و الفروع، والتی هی تتطابق مع مراد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جانب ومن جانب آخر، فإنّ الرجوع إلی باب مدینة علم الرسول صلّی الله علیه و آله ووارث علومه و المعین من قبله فی القیام بمقامه، فإنّ مدرسة الرسول التفسیریة سوف تتّسع لکلِّ المسائل القرآنیة، والذی یلجأ إلیها سوف لا یجد أبواباً مغلّقة تقف بوجه ما یبحث عنه ویرید معرفته، بل ستُحلُّ له العقد و المعضلات التفسیریة ولا یبقی أمامه إبهام ولا شک، ولا شبهة قرآنیة فی الأفق العریض و الواسع للعترة النبویة التی أرادها الله أن تکونَ عِدلَ القرآن وترجمانه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رسول الإسلام صلّی الله علیه و آله من أجل بقاء الدین الإسلامی وخلوده قام بأمر الله؛ و ذلک عبر إعلان وتعیین المرجعیة الفکریة بعده، وأعدّ علیاً علیه السّلام وبنیه من بعده لوراثة العلوم الإلهیة، والتی من 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فالإمام علی علیه السّلام استلهم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وبشکلٍ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رسول الله صلّی الله علیه و آله، و قد دعا له الرسول صلّی الله علیه و آله فی حفظ کلّ ذلک، کما أمره أن یعلّم أبناءه ما تعلّمه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قال رسول الله صلّی الله علیه و آله</w:t>
      </w:r>
      <w:r>
        <w:rPr>
          <w:rFonts w:eastAsia="IRNazanin" w:cs="IRNazanin"/>
          <w:color w:val="111111"/>
          <w:sz w:val="28"/>
          <w:szCs w:val="28"/>
          <w:rtl w:val="true"/>
          <w:lang w:bidi="fa-IR"/>
        </w:rPr>
        <w:t>:</w:t>
      </w:r>
      <w:bookmarkStart w:id="106" w:name="pg5285_67185"/>
    </w:p>
    <w:p>
      <w:pPr>
        <w:pStyle w:val="BookText"/>
        <w:rPr/>
      </w:pPr>
      <w:bookmarkEnd w:id="106"/>
      <w:r>
        <w:rPr>
          <w:rFonts w:ascii="IRNazanin" w:hAnsi="IRNazanin" w:eastAsia="IRNazanin"/>
          <w:color w:val="111111"/>
          <w:sz w:val="28"/>
          <w:sz w:val="28"/>
          <w:szCs w:val="28"/>
          <w:rtl w:val="true"/>
          <w:lang w:bidi="fa-IR"/>
        </w:rPr>
        <w:t>یا علی أکتب ما أملی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صلّی الله علیه و آله، أتخاف علی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قد دعوت الله أن یجعلک حافظاً، ولکن لشرکائک الأئمّة من ولدک</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وفی روایة الإمام الحسن بن علی علیه السّلام إنّه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العلم فینا، ونحن أهله و هو عندنا مجموع بحذافیره، وإنّه لا یحدث شیء إلی یوم القیامة حتّی أرشُ الخَدش إلاّ، و هو عندنا مکتوب بإملاء رسول الله صلّی الله علیه و آله وخط علی بیده</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وفی النتیجة یمکن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کلّ ما قاله الإمام علی علیه السّلام هو من رسول الله صلّی الله علیه و آله، وهکذا حال أقوال سائر الأئمّة الأطهار علیهم السّلام، و من ضمنها الروایات التفسیریة التی وصلت إلینا عن طریقهم، فهی ممّا یمکن نسبتها إلی رسول الله صلّی الله علیه و آله، والتی بمجموعها تکوّن کمیةً کبیرةً جداً من الأحادیث التفسیریة، ومن خلالها یکون بالمستطاع تفسیر کلّ القرآن أو أنّها تغطّی أکثره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تأکیداً علی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کانت للنبی صلّی الله علیه و آله مدرستان تفسیریتان، ولمعرفة نسبة الروایات التفسیرّیة علی أساسیهما یکون بالإمکان تقییم حجمها</w:t>
      </w:r>
      <w:r>
        <w:rPr>
          <w:rFonts w:eastAsia="IRNazanin" w:cs="IRNazanin"/>
          <w:color w:val="111111"/>
          <w:sz w:val="28"/>
          <w:szCs w:val="28"/>
          <w:rtl w:val="true"/>
          <w:lang w:bidi="fa-IR"/>
        </w:rPr>
        <w:t>.</w:t>
      </w:r>
    </w:p>
    <w:p>
      <w:pPr>
        <w:pStyle w:val="Heading3"/>
        <w:numPr>
          <w:ilvl w:val="2"/>
          <w:numId w:val="1"/>
        </w:numPr>
        <w:rPr/>
      </w:pPr>
      <w:bookmarkStart w:id="107" w:name="__RefHeading___Toc633891_581953129"/>
      <w:bookmarkStart w:id="108" w:name="_Toc41"/>
      <w:bookmarkEnd w:id="107"/>
      <w:r>
        <w:rPr>
          <w:rtl w:val="true"/>
        </w:rPr>
        <w:t>المدرسة التفسیریة العامَّة</w:t>
      </w:r>
      <w:bookmarkEnd w:id="108"/>
    </w:p>
    <w:p>
      <w:pPr>
        <w:pStyle w:val="BookText"/>
        <w:rPr/>
      </w:pPr>
      <w:r>
        <w:rPr>
          <w:rFonts w:ascii="IRNazanin" w:hAnsi="IRNazanin" w:eastAsia="IRNazanin"/>
          <w:color w:val="111111"/>
          <w:sz w:val="28"/>
          <w:sz w:val="28"/>
          <w:szCs w:val="28"/>
          <w:rtl w:val="true"/>
          <w:lang w:bidi="fa-IR"/>
        </w:rPr>
        <w:t xml:space="preserve">طبقا لما نقله البعض فإنّ حجم الروایات فی هذه المدرسة محدود، هذا ما نقله السیوطی، و أنّ روایاتها لاتتجاوز 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 تُعانی من مشاکل کثیرةٍ فی المتن أوالسند</w:t>
      </w:r>
      <w:r>
        <w:rPr>
          <w:rFonts w:eastAsia="IRNazanin" w:cs="IRNazanin"/>
          <w:color w:val="111111"/>
          <w:sz w:val="28"/>
          <w:szCs w:val="28"/>
          <w:rtl w:val="true"/>
          <w:lang w:bidi="fa-IR"/>
        </w:rPr>
        <w:t>.</w:t>
      </w:r>
    </w:p>
    <w:p>
      <w:pPr>
        <w:pStyle w:val="Heading3"/>
        <w:numPr>
          <w:ilvl w:val="2"/>
          <w:numId w:val="1"/>
        </w:numPr>
        <w:rPr/>
      </w:pPr>
      <w:bookmarkStart w:id="109" w:name="__RefHeading___Toc633893_581953129"/>
      <w:bookmarkStart w:id="110" w:name="_Toc42"/>
      <w:bookmarkEnd w:id="109"/>
      <w:r>
        <w:rPr>
          <w:rtl w:val="true"/>
        </w:rPr>
        <w:t>المدرسة التفسیریة الخاصّة</w:t>
      </w:r>
      <w:bookmarkEnd w:id="110"/>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المدرسة تقتصر علی الإمام علی علیه السّلام وأهل بیته علیهم السّلام باعتبارهم یشکّلون المرجعیة الفکریة فی الأمة الإسلامیة، والناس یلوذون بهم ویفزعون إلیهم فی کلّ ما</w:t>
      </w:r>
    </w:p>
    <w:p>
      <w:pPr>
        <w:pStyle w:val="BookText"/>
        <w:rPr/>
      </w:pPr>
      <w:r>
        <w:rPr>
          <w:rFonts w:ascii="IRNazanin" w:hAnsi="IRNazanin" w:eastAsia="IRNazanin"/>
          <w:color w:val="111111"/>
          <w:sz w:val="28"/>
          <w:sz w:val="28"/>
          <w:szCs w:val="28"/>
          <w:rtl w:val="true"/>
          <w:lang w:bidi="fa-IR"/>
        </w:rPr>
        <w:t>یعصف بهم، أو یریدون التعرّف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مُستفاد من الروایات السابقه، وفی هذه المدرسة قام النبی صلّی الله علیه و آله فی تفسیر کلّ القرآن أو أکثره، غیر أنّه لم یکن عاماً لجمیع الصحابة أو عامة المؤمنین</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ولقد أکّدت روایات کثیرة جدّاً علی سعة علم علی علیه السّلام، والتی تدلّ علی هذه الحقیقة، هی أنّه علیه السّلام کان التلمیذ الأوّل فی هذه المدرسة الخاصّة برسول الله صلّی الله علیه و آله، و هو المکلّف الوحید من قِبَلِه فی أن یجمعَ القرآن بین الدّفتین بعد رحیله متضمّناً علوم الناسخ و المنسوخ، وشأن النزول و العامّ و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ابن الندیم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مُصحَف جُمع هو مُصحَف علی علیه السّلام، وکان هذا المُصحَف عند آل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ورایتُ أنا فی زماننا عند أبی یعلی حمزة الحسنی مصحفاً قد سقط منه أوراق، بخط علی بن أبی طالب علیه السّلام یتوارثونه بنو الحسن علی مرِّ الزمان</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تبین ممّا مضی أنّ أحادیث النبی صلّی الله علیه و آله، وسیرته العملیة، والروایات الواردة فی الأصول و الفروع، والتی هی مطابقة للقرآن، وهکذا الروایات التی وردت عن الأئمّة الأطهار علیهم السّلام، والذین هم خلفاء رسول الله صلّی الله علیه و آله من بعده، وهی أکثر بکثیر مما ذکر من العدد المزبور، وبشکل قاطع یمکن معه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قد فسّر جمیع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ذهب الی هذا الرأی الأستاذ الشیخ معرفة</w:t>
      </w:r>
      <w:r>
        <w:rPr>
          <w:rFonts w:eastAsia="IRNazanin" w:cs="IRNazanin"/>
          <w:color w:val="111111"/>
          <w:sz w:val="28"/>
          <w:szCs w:val="28"/>
          <w:rtl w:val="true"/>
          <w:lang w:bidi="fa-IR"/>
        </w:rPr>
        <w:t xml:space="preserve">. </w:t>
      </w:r>
      <w:r>
        <w:rPr>
          <w:rStyle w:val="FootnoteAnchor"/>
          <w:rtl w:val="true"/>
        </w:rPr>
        <w:footnoteReference w:id="73"/>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ولتوضیح هذه الحقیقة، فإنّ تفسیر العیاشی السمرقندی و الذی ینتهی بسورة الکهف یشتمل لوحده مایقرب </w:t>
      </w:r>
      <w:r>
        <w:rPr>
          <w:rFonts w:eastAsia="IRNazanin" w:cs="IRNazanin"/>
          <w:color w:val="111111"/>
          <w:sz w:val="28"/>
          <w:szCs w:val="28"/>
          <w:lang w:bidi="fa-IR"/>
        </w:rPr>
        <w:t>2700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تفسیر البرهان، للمحدّث البحرانی،</w:t>
      </w:r>
    </w:p>
    <w:p>
      <w:pPr>
        <w:pStyle w:val="BookText"/>
        <w:rPr/>
      </w:pPr>
      <w:r>
        <w:rPr>
          <w:rFonts w:ascii="IRNazanin" w:hAnsi="IRNazanin" w:eastAsia="IRNazanin"/>
          <w:color w:val="111111"/>
          <w:sz w:val="28"/>
          <w:sz w:val="28"/>
          <w:szCs w:val="28"/>
          <w:rtl w:val="true"/>
          <w:lang w:bidi="fa-IR"/>
        </w:rPr>
        <w:t xml:space="preserve">یوجد قُرابة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وتفسیر نور الثقلین للحویزی فیه ما یقرب من </w:t>
      </w:r>
      <w:r>
        <w:rPr>
          <w:rFonts w:eastAsia="IRNazanin" w:cs="IRNazanin"/>
          <w:color w:val="111111"/>
          <w:sz w:val="28"/>
          <w:szCs w:val="28"/>
          <w:lang w:bidi="fa-IR"/>
        </w:rPr>
        <w:t>14000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وتوجد هناک روایات أخری لم تصل إلی أیدینا لحدِّ الآن، وردت فی مجالات فروع الدین و الأحکام، ویمکننا أن نذکر منها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والزکاة، والحجّ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ملاحظ أنّ القرآن الکریم یضمُّ بین دفتیه أوامر کثیرة تخصُّ الصلاة و الزکاة وغیرهما من الفروع، مثل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أَقِیمُوا الصَّلاةَ وَ آتُوا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74"/>
      </w:r>
      <w:r>
        <w:rPr>
          <w:rFonts w:ascii="Amiri" w:hAnsi="Amiri" w:eastAsia="Amiri" w:cs="Amiri"/>
          <w:color w:val="111111"/>
          <w:sz w:val="28"/>
          <w:sz w:val="28"/>
          <w:szCs w:val="28"/>
          <w:rtl w:val="true"/>
          <w:lang w:bidi="ar-SA"/>
        </w:rPr>
        <w:t>وکذلک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عَلَی النّاسِ حِجُّ الْبَیْتِ مَنِ اسْتَطاعَ إِلَیْهِ سَبِیلاً</w:t>
      </w:r>
      <w:r>
        <w:rPr>
          <w:rFonts w:eastAsia="Amiri" w:cs="Amiri" w:ascii="Amiri" w:hAnsi="Amiri"/>
          <w:color w:val="111111"/>
          <w:sz w:val="28"/>
          <w:szCs w:val="28"/>
          <w:rtl w:val="true"/>
          <w:lang w:bidi="ar-SA"/>
        </w:rPr>
        <w:t xml:space="preserve">) </w:t>
      </w:r>
      <w:r>
        <w:rPr>
          <w:rStyle w:val="FootnoteAnchor"/>
          <w:rtl w:val="true"/>
        </w:rPr>
        <w:footnoteReference w:id="75"/>
      </w:r>
      <w:r>
        <w:rPr>
          <w:rFonts w:ascii="IRNazanin" w:hAnsi="IRNazanin" w:eastAsia="IRNazanin"/>
          <w:color w:val="111111"/>
          <w:sz w:val="28"/>
          <w:sz w:val="28"/>
          <w:szCs w:val="28"/>
          <w:rtl w:val="true"/>
          <w:lang w:bidi="fa-IR"/>
        </w:rPr>
        <w:t>و هذه لاتعدو عن إشارات؛ أمّا التفصیل فی عدد الرکعات وغیرها من الأمور التی تخصُّ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وبأی شیء تتعلّق الزکاة؟ وما هو النصاب فی الزکاة؟ أو کیفیة الحجّ وعدد أشواط الطواف و السعی، وغیرها من المناسکّ، فإنّ القرآن الکریم لم یتعرّض لها بالتفصیل و التفریع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وحکمة ذلک واضحة،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القرآن المجید لم یکن کتاب قانون فقط، وحتّی فی مجال تشریع القوانین الدولیة یوجد هناک دستور دائم، و هو القانون الأساسی للدولة أو المؤسّسة 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یقتصر النظر فیه علی بیان العمومیات و الکلیات الرئیسة، وعنه تنبثق آلاف القوانین و الفروع الجزئیة بمدوّنات تفصیلیة کثیرة علی ید الشرّاح و المقنّنین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وإنّی أوتیتُ القرآن ومثلَهُ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6"/>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وأخیراً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شرح وتفصیل القوانین أو الأحکام هی من مهمّة الرسول صلّی الله علیه و آله و الأئمّة المعصومین علیهم السّلام</w:t>
      </w:r>
      <w:r>
        <w:rPr>
          <w:rFonts w:eastAsia="IRNazanin" w:cs="IRNazanin"/>
          <w:color w:val="111111"/>
          <w:sz w:val="28"/>
          <w:szCs w:val="28"/>
          <w:rtl w:val="true"/>
          <w:lang w:bidi="fa-IR"/>
        </w:rPr>
        <w:t>.</w:t>
      </w:r>
      <w:bookmarkStart w:id="111" w:name="pg5285_67188"/>
    </w:p>
    <w:p>
      <w:pPr>
        <w:pStyle w:val="Heading3"/>
        <w:numPr>
          <w:ilvl w:val="2"/>
          <w:numId w:val="1"/>
        </w:numPr>
        <w:rPr/>
      </w:pPr>
      <w:bookmarkStart w:id="112" w:name="__RefHeading___Toc633895_581953129"/>
      <w:bookmarkStart w:id="113" w:name="_Toc43"/>
      <w:bookmarkEnd w:id="111"/>
      <w:bookmarkEnd w:id="112"/>
      <w:r>
        <w:rPr>
          <w:rtl w:val="true"/>
        </w:rPr>
        <w:t>أقسام التفسیر النبوی</w:t>
      </w:r>
      <w:bookmarkEnd w:id="113"/>
    </w:p>
    <w:p>
      <w:pPr>
        <w:pStyle w:val="Heading4"/>
        <w:numPr>
          <w:ilvl w:val="3"/>
          <w:numId w:val="1"/>
        </w:numPr>
        <w:rPr/>
      </w:pPr>
      <w:bookmarkStart w:id="114" w:name="__RefHeading___Toc633897_581953129"/>
      <w:bookmarkStart w:id="115" w:name="_Toc44"/>
      <w:bookmarkEnd w:id="114"/>
      <w:r>
        <w:rPr/>
        <w:t>1</w:t>
      </w:r>
      <w:r>
        <w:rPr>
          <w:rtl w:val="true"/>
        </w:rPr>
        <w:t xml:space="preserve">. </w:t>
      </w:r>
      <w:r>
        <w:rPr>
          <w:rtl w:val="true"/>
        </w:rPr>
        <w:t>شرح المصطلاحات القرآنیة</w:t>
      </w:r>
      <w:bookmarkEnd w:id="115"/>
    </w:p>
    <w:p>
      <w:pPr>
        <w:pStyle w:val="BookText"/>
        <w:rPr/>
      </w:pPr>
      <w:r>
        <w:rPr>
          <w:rFonts w:ascii="IRNazanin" w:hAnsi="IRNazanin" w:eastAsia="IRNazanin"/>
          <w:color w:val="111111"/>
          <w:sz w:val="28"/>
          <w:sz w:val="28"/>
          <w:szCs w:val="28"/>
          <w:rtl w:val="true"/>
          <w:lang w:bidi="fa-IR"/>
        </w:rPr>
        <w:t>فی بعض الأحیان یقوم النبی صلّی الله علیه و آله بشرح وتفسیر آیةٍ من خلال توضیح المصطلاحات الخاصّة بالقرآن الکریم، و هذا النوع من التفسیر علی ضربین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الاصطلاحات ذات العلاقة بالأحکام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زُرارة عن الإمام الباقر علیه السّلام أنّ عمّار بن یاسر حضر بین یدی الرسول صلّی الله علیه و آله،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قد أجنبتُ لیلاً ولم یوجد عندی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وماذا عملت؟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تیمّمت؟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خلعت لباسی وتمرّغتُ بالتراب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فعلته من التمرّغ هو غلط، و إنّ الله عزّ وجّل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فَتَیَمَّمُوا صَعِیداً طَیِّباً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 موضّحاً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بیدیه علی الأرض، ثمّ ضرب أحداهما علی الأخری ثمّ مسح بجبینه، ثمّ مَسحَ کَفَّیه کلّ واحدة علی الأخری، فمسح الیسری علی الیمنی و الیمنی علی الیسری</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و قد روی الطبری فی تفسیره عن رسول الله صلّی الله علیه و آله روایةً فی تفسیر 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الصَّلاةِ الْوُسْطی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حافِظُوا عَلَی الصَّلَواتِ وَ الصَّلاةِ الْوُسْطی</w:t>
      </w:r>
      <w:r>
        <w:rPr>
          <w:rFonts w:eastAsia="Amiri" w:cs="Amiri" w:ascii="Amiri" w:hAnsi="Amiri"/>
          <w:color w:val="111111"/>
          <w:sz w:val="28"/>
          <w:szCs w:val="28"/>
          <w:rtl w:val="true"/>
          <w:lang w:bidi="ar-SA"/>
        </w:rPr>
        <w:t xml:space="preserve">) </w:t>
      </w:r>
      <w:r>
        <w:rPr>
          <w:rStyle w:val="FootnoteAnchor"/>
          <w:rtl w:val="true"/>
        </w:rPr>
        <w:footnoteReference w:id="78"/>
      </w:r>
      <w:r>
        <w:rPr>
          <w:rFonts w:ascii="IRNazanin" w:hAnsi="IRNazanin" w:eastAsia="IRNazanin"/>
          <w:color w:val="111111"/>
          <w:sz w:val="28"/>
          <w:sz w:val="28"/>
          <w:szCs w:val="28"/>
          <w:rtl w:val="true"/>
          <w:lang w:bidi="fa-IR"/>
        </w:rPr>
        <w:t>أن 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صلاة العصر</w:t>
      </w:r>
      <w:r>
        <w:rPr>
          <w:rFonts w:eastAsia="IRNazanin" w:cs="IRNazanin"/>
          <w:color w:val="111111"/>
          <w:sz w:val="28"/>
          <w:szCs w:val="28"/>
          <w:rtl w:val="true"/>
          <w:lang w:bidi="fa-IR"/>
        </w:rPr>
        <w:t xml:space="preserve">». </w:t>
      </w:r>
      <w:r>
        <w:rPr>
          <w:rStyle w:val="FootnoteAnchor"/>
          <w:rtl w:val="true"/>
        </w:rPr>
        <w:footnoteReference w:id="79"/>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مصطلحات غیر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تعرّض رسول الإسلام صلّی الله علیه و آله إلی تفسیر بعض المصطلحات القرآنیة التی لا تخصُّ الأحکام وشرحها وتوضیحا، و من جملة</w:t>
      </w:r>
      <w:bookmarkStart w:id="116" w:name="pg5285_67189"/>
    </w:p>
    <w:p>
      <w:pPr>
        <w:pStyle w:val="BookText"/>
        <w:rPr/>
      </w:pPr>
      <w:bookmarkEnd w:id="116"/>
      <w:r>
        <w:rPr>
          <w:rFonts w:ascii="Amiri" w:hAnsi="Amiri" w:eastAsia="Amiri" w:cs="Amiri"/>
          <w:color w:val="111111"/>
          <w:sz w:val="28"/>
          <w:sz w:val="28"/>
          <w:szCs w:val="28"/>
          <w:rtl w:val="true"/>
          <w:lang w:bidi="ar-SA"/>
        </w:rPr>
        <w:t>ذلک قوله فی معنی قوله صلّی الله علیه و آله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غَیْرِ الْمَغْضُوبِ عَلَیْهِمْ وَ لاَ الضّالِّینَ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المغضوب علیهم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الیهود، و إنّ الضالّین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النصاری</w:t>
      </w:r>
      <w:r>
        <w:rPr>
          <w:rFonts w:eastAsia="Amiri" w:cs="Amiri" w:ascii="Amiri" w:hAnsi="Amiri"/>
          <w:color w:val="111111"/>
          <w:sz w:val="28"/>
          <w:szCs w:val="28"/>
          <w:rtl w:val="true"/>
          <w:lang w:bidi="ar-SA"/>
        </w:rPr>
        <w:t xml:space="preserve">». </w:t>
      </w:r>
      <w:r>
        <w:rPr>
          <w:rStyle w:val="FootnoteAnchor"/>
          <w:rtl w:val="true"/>
        </w:rPr>
        <w:footnoteReference w:id="80"/>
      </w:r>
      <w:r>
        <w:rPr>
          <w:rFonts w:ascii="IRNazanin" w:hAnsi="IRNazanin" w:eastAsia="IRNazanin"/>
          <w:color w:val="111111"/>
          <w:sz w:val="28"/>
          <w:sz w:val="28"/>
          <w:szCs w:val="28"/>
          <w:rtl w:val="true"/>
          <w:lang w:bidi="fa-IR"/>
        </w:rPr>
        <w:t>و هذه الرؤیة التفسیریة هی المّتفق علیها بین مفسّری الخاصّة و العامّة علی نحو التقریب</w:t>
      </w:r>
      <w:r>
        <w:rPr>
          <w:rFonts w:eastAsia="IRNazanin" w:cs="IRNazanin"/>
          <w:color w:val="111111"/>
          <w:sz w:val="28"/>
          <w:szCs w:val="28"/>
          <w:rtl w:val="true"/>
          <w:lang w:bidi="fa-IR"/>
        </w:rPr>
        <w:t xml:space="preserve">. </w:t>
      </w:r>
      <w:r>
        <w:rPr>
          <w:rStyle w:val="FootnoteAnchor"/>
          <w:rtl w:val="true"/>
        </w:rPr>
        <w:footnoteReference w:id="81"/>
      </w:r>
      <w:r>
        <w:rPr>
          <w:rFonts w:ascii="Amiri" w:hAnsi="Amiri" w:eastAsia="Amiri" w:cs="Amiri"/>
          <w:color w:val="111111"/>
          <w:sz w:val="28"/>
          <w:sz w:val="28"/>
          <w:szCs w:val="28"/>
          <w:rtl w:val="true"/>
          <w:lang w:bidi="ar-SA"/>
        </w:rPr>
        <w:t>وهکذا أیضاً تفسیره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مَقاماً مَحْمُوداً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عَسی أَنْ یَبْعَثَکَ رَبُّکَ مَقاماً مَحْمُوداً</w:t>
      </w:r>
      <w:r>
        <w:rPr>
          <w:rFonts w:eastAsia="Amiri" w:cs="Amiri" w:ascii="Amiri" w:hAnsi="Amiri"/>
          <w:color w:val="111111"/>
          <w:sz w:val="28"/>
          <w:szCs w:val="28"/>
          <w:rtl w:val="true"/>
          <w:lang w:bidi="ar-SA"/>
        </w:rPr>
        <w:t xml:space="preserve">) . </w:t>
      </w:r>
      <w:r>
        <w:rPr>
          <w:rStyle w:val="FootnoteAnchor"/>
          <w:rtl w:val="true"/>
        </w:rPr>
        <w:footnoteReference w:id="82"/>
      </w:r>
      <w:r>
        <w:rPr>
          <w:rFonts w:ascii="IRNazanin" w:hAnsi="IRNazanin" w:eastAsia="IRNazanin"/>
          <w:color w:val="111111"/>
          <w:sz w:val="28"/>
          <w:sz w:val="28"/>
          <w:szCs w:val="28"/>
          <w:rtl w:val="true"/>
          <w:lang w:bidi="fa-IR"/>
        </w:rPr>
        <w:t>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المقامُ الذی أشفعُ فیه لأمتّی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الشفاعة</w:t>
      </w:r>
      <w:r>
        <w:rPr>
          <w:rFonts w:eastAsia="IRNazanin" w:cs="IRNazanin"/>
          <w:color w:val="111111"/>
          <w:sz w:val="28"/>
          <w:szCs w:val="28"/>
          <w:rtl w:val="true"/>
          <w:lang w:bidi="fa-IR"/>
        </w:rPr>
        <w:t xml:space="preserve">». </w:t>
      </w:r>
      <w:r>
        <w:rPr>
          <w:rStyle w:val="FootnoteAnchor"/>
          <w:rtl w:val="true"/>
        </w:rPr>
        <w:footnoteReference w:id="83"/>
      </w:r>
    </w:p>
    <w:p>
      <w:pPr>
        <w:pStyle w:val="Heading4"/>
        <w:numPr>
          <w:ilvl w:val="3"/>
          <w:numId w:val="1"/>
        </w:numPr>
        <w:rPr/>
      </w:pPr>
      <w:bookmarkStart w:id="117" w:name="__RefHeading___Toc633899_581953129"/>
      <w:bookmarkStart w:id="118" w:name="_Toc45"/>
      <w:bookmarkEnd w:id="117"/>
      <w:r>
        <w:rPr/>
        <w:t>2</w:t>
      </w:r>
      <w:r>
        <w:rPr>
          <w:rtl w:val="true"/>
        </w:rPr>
        <w:t xml:space="preserve">. </w:t>
      </w:r>
      <w:r>
        <w:rPr>
          <w:rtl w:val="true"/>
        </w:rPr>
        <w:t>شرح معانی الألفاظ</w:t>
      </w:r>
      <w:bookmarkEnd w:id="118"/>
    </w:p>
    <w:p>
      <w:pPr>
        <w:pStyle w:val="BookText"/>
        <w:rPr/>
      </w:pPr>
      <w:r>
        <w:rPr>
          <w:rFonts w:ascii="IRNazanin" w:hAnsi="IRNazanin" w:eastAsia="IRNazanin"/>
          <w:color w:val="111111"/>
          <w:sz w:val="28"/>
          <w:sz w:val="28"/>
          <w:szCs w:val="28"/>
          <w:rtl w:val="true"/>
          <w:lang w:bidi="fa-IR"/>
        </w:rPr>
        <w:t>بعض المفردات و الألفاظ القرآنیة غیر واضحة المعنی لدی الصحابة، ولأجل شرح معانیها یتوجّهون إلی رسول الله صلّی الله علیه و آله بالسؤال عنها قائلین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هذه اللفظة أو هذه المفرده؟ وکان النبی صلّی الله علیه و آله یبین لهم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أرأیت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جَعَلُوا الْقُرْآنَ عِضِینَ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4"/>
      </w:r>
      <w:r>
        <w:rPr>
          <w:rFonts w:ascii="IRNazanin" w:hAnsi="IRNazanin" w:eastAsia="IRNazanin"/>
          <w:color w:val="111111"/>
          <w:sz w:val="28"/>
          <w:sz w:val="28"/>
          <w:szCs w:val="28"/>
          <w:rtl w:val="true"/>
          <w:lang w:bidi="fa-IR"/>
        </w:rPr>
        <w:t>ما عِضِین؟ 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 ببعضٍ وکفروا ببعض</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وفی روایة أخری فی السیوطی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یا رسول الله صلّی الله علیه و آله، ما العدل؟ 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الفدیة</w:t>
      </w:r>
      <w:r>
        <w:rPr>
          <w:rFonts w:eastAsia="IRNazanin" w:cs="IRNazanin"/>
          <w:color w:val="111111"/>
          <w:sz w:val="28"/>
          <w:szCs w:val="28"/>
          <w:rtl w:val="true"/>
          <w:lang w:bidi="fa-IR"/>
        </w:rPr>
        <w:t xml:space="preserve">». </w:t>
      </w:r>
      <w:r>
        <w:rPr>
          <w:rStyle w:val="FootnoteAnchor"/>
          <w:rtl w:val="true"/>
        </w:rPr>
        <w:footnoteReference w:id="86"/>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ورد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یُؤْخَذُ مِنْها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کان صلّی الله علیه و آله قد سئل عن معناها أفأجابهم أنّها تعنی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الفدیة، والتی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العِوَض</w:t>
      </w:r>
      <w:r>
        <w:rPr>
          <w:rFonts w:eastAsia="Amiri" w:cs="Amiri" w:ascii="Amiri" w:hAnsi="Amiri"/>
          <w:color w:val="111111"/>
          <w:sz w:val="28"/>
          <w:szCs w:val="28"/>
          <w:rtl w:val="true"/>
          <w:lang w:bidi="ar-SA"/>
        </w:rPr>
        <w:t>.</w:t>
      </w:r>
      <w:bookmarkStart w:id="119" w:name="pg5285_67190"/>
    </w:p>
    <w:p>
      <w:pPr>
        <w:pStyle w:val="Heading4"/>
        <w:numPr>
          <w:ilvl w:val="3"/>
          <w:numId w:val="1"/>
        </w:numPr>
        <w:rPr/>
      </w:pPr>
      <w:bookmarkStart w:id="120" w:name="__RefHeading___Toc633901_581953129"/>
      <w:bookmarkStart w:id="121" w:name="_Toc46"/>
      <w:bookmarkEnd w:id="119"/>
      <w:bookmarkEnd w:id="120"/>
      <w:r>
        <w:rPr/>
        <w:t>3</w:t>
      </w:r>
      <w:r>
        <w:rPr>
          <w:rtl w:val="true"/>
        </w:rPr>
        <w:t xml:space="preserve">. </w:t>
      </w:r>
      <w:r>
        <w:rPr>
          <w:rtl w:val="true"/>
        </w:rPr>
        <w:t>تقیید المُطلق</w:t>
      </w:r>
      <w:bookmarkEnd w:id="121"/>
    </w:p>
    <w:p>
      <w:pPr>
        <w:pStyle w:val="BookText"/>
        <w:rPr/>
      </w:pPr>
      <w:r>
        <w:rPr>
          <w:rFonts w:ascii="IRNazanin" w:hAnsi="IRNazanin" w:eastAsia="IRNazanin"/>
          <w:color w:val="111111"/>
          <w:sz w:val="28"/>
          <w:sz w:val="28"/>
          <w:szCs w:val="28"/>
          <w:rtl w:val="true"/>
          <w:lang w:bidi="fa-IR"/>
        </w:rPr>
        <w:t xml:space="preserve">إنّ السنّة الصحیحة بإمکانها تقیید مطلقات القرآن وتخصیص عموماته، و اشتهر هذا </w:t>
      </w:r>
      <w:r>
        <w:rPr>
          <w:rStyle w:val="FootnoteAnchor"/>
          <w:rtl w:val="true"/>
        </w:rPr>
        <w:footnoteReference w:id="87"/>
      </w:r>
      <w:r>
        <w:rPr>
          <w:rFonts w:ascii="Amiri" w:hAnsi="Amiri" w:eastAsia="Amiri" w:cs="Amiri"/>
          <w:color w:val="111111"/>
          <w:sz w:val="28"/>
          <w:sz w:val="28"/>
          <w:szCs w:val="28"/>
          <w:rtl w:val="true"/>
          <w:lang w:bidi="ar-SA"/>
        </w:rPr>
        <w:t>عند علماء العامّة و الخاصّة، و قد تلقّوه بالقبول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جملة تلک الموارد التی قید فیها کلامُ الرسولِ صلّی الله علیه و آله کلامَ القرآنِ المطلق،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تحریم بیع الأسلحة من العدو المُحارب، مع أنّ الله تعالی أحلَّ فی القرآن مطلق البیع بقوله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أَحَلَّ اللّهُ الْبَیْعَ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الرسول صلّی الله علیه و آله قید هذا الإطلاق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جاء فی وصیته صلّی الله علیه و آله إلی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کَفَرَ بالله العظیم من هذه الأمّة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وبائع السلاح من أهل الحرب</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و من جملة تلک الأمور التی جاء حکم إطلاقها فی القرآن الکریم هو إجراء الوصیة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وَصِیَّةٍ یُوصِینَ بِها أَوْ دَیْنٍ</w:t>
      </w:r>
      <w:r>
        <w:rPr>
          <w:rFonts w:eastAsia="Amiri" w:cs="Amiri" w:ascii="Amiri" w:hAnsi="Amiri"/>
          <w:color w:val="111111"/>
          <w:sz w:val="28"/>
          <w:szCs w:val="28"/>
          <w:rtl w:val="true"/>
          <w:lang w:bidi="ar-SA"/>
        </w:rPr>
        <w:t xml:space="preserve">) . </w:t>
      </w:r>
      <w:r>
        <w:rPr>
          <w:rStyle w:val="FootnoteAnchor"/>
          <w:rtl w:val="true"/>
        </w:rPr>
        <w:footnoteReference w:id="89"/>
      </w:r>
      <w:r>
        <w:rPr>
          <w:rFonts w:ascii="IRNazanin" w:hAnsi="IRNazanin" w:eastAsia="IRNazanin"/>
          <w:color w:val="111111"/>
          <w:sz w:val="28"/>
          <w:sz w:val="28"/>
          <w:szCs w:val="28"/>
          <w:rtl w:val="true"/>
          <w:lang w:bidi="fa-IR"/>
        </w:rPr>
        <w:t>فالوصیة فی هذه الآیة مطلقة، وعلیه فإن أوصی أحد بکلّ ماله، فإنّ عمله سیکون صحیحاً وجائزاً، والحال أنّ الفقه قد قید هذا الحکم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أبی عبد الله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البّراء بن معرور الأنصاری بالمدینة، وکان رسول الله صلّی الله علیه و آله بمکّة وأنّه حضره الموت، وکان رسول الله صلّی الله علیه و آله وأصحابه و المسلمون یصلّون إلی بیت المَقدس، وأوصی البرّاءُ إذا دُفِنَ أن یجعلَ وجهَهُ تِلقاء النبی صلّی الله علیه و آله إلی القبلة، وأوصی بثلث ماله، فَجَرَت به السنّة</w:t>
      </w:r>
      <w:r>
        <w:rPr>
          <w:rFonts w:eastAsia="IRNazanin" w:cs="IRNazanin"/>
          <w:color w:val="111111"/>
          <w:sz w:val="28"/>
          <w:szCs w:val="28"/>
          <w:rtl w:val="true"/>
          <w:lang w:bidi="fa-IR"/>
        </w:rPr>
        <w:t xml:space="preserve">». </w:t>
      </w:r>
      <w:r>
        <w:rPr>
          <w:rStyle w:val="FootnoteAnchor"/>
          <w:rtl w:val="true"/>
        </w:rPr>
        <w:footnoteReference w:id="90"/>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به الکتاب</w:t>
      </w:r>
      <w:r>
        <w:rPr>
          <w:rFonts w:eastAsia="IRNazanin" w:cs="IRNazanin"/>
          <w:color w:val="111111"/>
          <w:sz w:val="28"/>
          <w:szCs w:val="28"/>
          <w:rtl w:val="true"/>
          <w:lang w:bidi="fa-IR"/>
        </w:rPr>
        <w:t xml:space="preserve">». </w:t>
      </w:r>
      <w:r>
        <w:rPr>
          <w:rStyle w:val="FootnoteAnchor"/>
          <w:rtl w:val="true"/>
        </w:rPr>
        <w:footnoteReference w:id="91"/>
      </w:r>
      <w:bookmarkStart w:id="122" w:name="pg5285_67191"/>
    </w:p>
    <w:p>
      <w:pPr>
        <w:pStyle w:val="Heading4"/>
        <w:numPr>
          <w:ilvl w:val="3"/>
          <w:numId w:val="1"/>
        </w:numPr>
        <w:rPr/>
      </w:pPr>
      <w:bookmarkStart w:id="123" w:name="__RefHeading___Toc633903_581953129"/>
      <w:bookmarkStart w:id="124" w:name="_Toc47"/>
      <w:bookmarkEnd w:id="122"/>
      <w:bookmarkEnd w:id="123"/>
      <w:r>
        <w:rPr/>
        <w:t>4</w:t>
      </w:r>
      <w:r>
        <w:rPr>
          <w:rtl w:val="true"/>
        </w:rPr>
        <w:t xml:space="preserve">. </w:t>
      </w:r>
      <w:r>
        <w:rPr>
          <w:rtl w:val="true"/>
        </w:rPr>
        <w:t>تخصیص العامّ</w:t>
      </w:r>
      <w:bookmarkEnd w:id="124"/>
    </w:p>
    <w:p>
      <w:pPr>
        <w:pStyle w:val="BookText"/>
        <w:rPr/>
      </w:pPr>
      <w:r>
        <w:rPr>
          <w:rFonts w:ascii="IRNazanin" w:hAnsi="IRNazanin" w:eastAsia="IRNazanin"/>
          <w:color w:val="111111"/>
          <w:sz w:val="28"/>
          <w:sz w:val="28"/>
          <w:szCs w:val="28"/>
          <w:rtl w:val="true"/>
          <w:lang w:bidi="fa-IR"/>
        </w:rPr>
        <w:t>ومن أقسام التفسیر عند رسول الله صلّی الله علیه و آله تخصیص بعض العمومات الواردة فی القرآن، مثلَما،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المشهور بین العلماء،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تخصیص الکتاب بالسنّة، وانّه یمکن تخصیص عمومات القرآن بواسطة الخبر المتواتر وخبر الآحاد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أحکام القرآن العامة التی خصّصتها السنّة المشرّفة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إرث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یُوصِیکُمُ اللّهُ فِی أَوْلادِکُمْ لِلذَّکَرِ مِثْلُ حَظِّ الْأُنْثَیَیْنِ</w:t>
      </w:r>
      <w:r>
        <w:rPr>
          <w:rFonts w:eastAsia="Amiri" w:cs="Amiri" w:ascii="Amiri" w:hAnsi="Amiri"/>
          <w:color w:val="111111"/>
          <w:sz w:val="28"/>
          <w:szCs w:val="28"/>
          <w:rtl w:val="true"/>
          <w:lang w:bidi="ar-SA"/>
        </w:rPr>
        <w:t xml:space="preserve">) </w:t>
      </w:r>
      <w:r>
        <w:rPr>
          <w:rStyle w:val="FootnoteAnchor"/>
          <w:rtl w:val="true"/>
        </w:rPr>
        <w:footnoteReference w:id="92"/>
      </w:r>
      <w:r>
        <w:rPr>
          <w:rFonts w:ascii="IRNazanin" w:hAnsi="IRNazanin" w:eastAsia="IRNazanin"/>
          <w:color w:val="111111"/>
          <w:sz w:val="28"/>
          <w:sz w:val="28"/>
          <w:szCs w:val="28"/>
          <w:rtl w:val="true"/>
          <w:lang w:bidi="fa-IR"/>
        </w:rPr>
        <w:t>فالولد الذکر یرث ضِعفَ ما ترثه الأنثی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خصّصت سنّة الرسول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الحکم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میراثَ للقاتِل</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أی إذا قتل الولُد أباه، فلا یحلّ له أن یرثه</w:t>
      </w:r>
      <w:r>
        <w:rPr>
          <w:rFonts w:eastAsia="IRNazanin" w:cs="IRNazanin"/>
          <w:color w:val="111111"/>
          <w:sz w:val="28"/>
          <w:szCs w:val="28"/>
          <w:rtl w:val="true"/>
          <w:lang w:bidi="fa-IR"/>
        </w:rPr>
        <w:t>.</w:t>
      </w:r>
    </w:p>
    <w:p>
      <w:pPr>
        <w:pStyle w:val="Heading4"/>
        <w:numPr>
          <w:ilvl w:val="3"/>
          <w:numId w:val="1"/>
        </w:numPr>
        <w:rPr/>
      </w:pPr>
      <w:bookmarkStart w:id="125" w:name="__RefHeading___Toc633905_581953129"/>
      <w:bookmarkStart w:id="126" w:name="_Toc48"/>
      <w:bookmarkEnd w:id="125"/>
      <w:r>
        <w:rPr/>
        <w:t>5</w:t>
      </w:r>
      <w:r>
        <w:rPr>
          <w:rtl w:val="true"/>
        </w:rPr>
        <w:t xml:space="preserve">. </w:t>
      </w:r>
      <w:r>
        <w:rPr>
          <w:rtl w:val="true"/>
        </w:rPr>
        <w:t>تفسیر القرآن بالقرآن</w:t>
      </w:r>
      <w:bookmarkEnd w:id="126"/>
    </w:p>
    <w:p>
      <w:pPr>
        <w:pStyle w:val="BookText"/>
        <w:rPr/>
      </w:pPr>
      <w:r>
        <w:rPr>
          <w:rFonts w:ascii="Amiri" w:hAnsi="Amiri" w:eastAsia="Amiri" w:cs="Amiri"/>
          <w:color w:val="111111"/>
          <w:sz w:val="28"/>
          <w:sz w:val="28"/>
          <w:szCs w:val="28"/>
          <w:rtl w:val="true"/>
          <w:lang w:bidi="ar-SA"/>
        </w:rPr>
        <w:t>یقول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نزلت هذه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وَ لَمْ یَلْبِسُوا إِیمانَهُمْ بِظُلْمٍ أُولئِکَ لَهُمُ الْأَمْنُ وَ هُمْ 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شعر الناس بالقلق و الصعوبة، وقالوا لرسول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أینا لم یظلُم نفسَهُ؟ فقال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کما فهمتم، ألم تسمعوا قول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الشِّرْکَ لَظُلْمٌ عَظِیمٌ</w:t>
      </w:r>
      <w:r>
        <w:rPr>
          <w:rFonts w:eastAsia="Amiri" w:cs="Amiri" w:ascii="Amiri" w:hAnsi="Amiri"/>
          <w:color w:val="111111"/>
          <w:sz w:val="28"/>
          <w:szCs w:val="28"/>
          <w:rtl w:val="true"/>
          <w:lang w:bidi="ar-SA"/>
        </w:rPr>
        <w:t xml:space="preserve">) !» </w:t>
      </w:r>
      <w:r>
        <w:rPr>
          <w:rStyle w:val="FootnoteAnchor"/>
          <w:rtl w:val="true"/>
        </w:rPr>
        <w:footnoteReference w:id="95"/>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والمقصود من الظلم فی الآیة،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الشرک، لا أی ظلم</w:t>
      </w:r>
      <w:r>
        <w:rPr>
          <w:rFonts w:eastAsia="IRNazanin" w:cs="IRNazanin"/>
          <w:color w:val="111111"/>
          <w:sz w:val="28"/>
          <w:szCs w:val="28"/>
          <w:rtl w:val="true"/>
          <w:lang w:bidi="fa-IR"/>
        </w:rPr>
        <w:t xml:space="preserve">. </w:t>
      </w:r>
      <w:r>
        <w:rPr>
          <w:rStyle w:val="FootnoteAnchor"/>
          <w:rtl w:val="true"/>
        </w:rPr>
        <w:footnoteReference w:id="96"/>
      </w:r>
      <w:bookmarkStart w:id="127" w:name="pg5285_67192"/>
    </w:p>
    <w:p>
      <w:pPr>
        <w:pStyle w:val="BookText"/>
        <w:rPr/>
      </w:pPr>
      <w:bookmarkEnd w:id="127"/>
      <w:r>
        <w:rPr>
          <w:rFonts w:ascii="Amiri" w:hAnsi="Amiri" w:eastAsia="Amiri" w:cs="Amiri"/>
          <w:color w:val="111111"/>
          <w:sz w:val="28"/>
          <w:sz w:val="28"/>
          <w:szCs w:val="28"/>
          <w:rtl w:val="true"/>
          <w:lang w:bidi="ar-SA"/>
        </w:rPr>
        <w:t>وفی روایة ابن‌کثیر عن رسول الإسلام صلّی الله علیه و آله فی تفسیر الآیة المبارکة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عِنْدَهُ مَفاتِحُ الْغَیْبِ لا یَعْلَمُها إِلاّ هُوَ</w:t>
      </w:r>
      <w:r>
        <w:rPr>
          <w:rFonts w:eastAsia="Amiri" w:cs="Amiri" w:ascii="Amiri" w:hAnsi="Amiri"/>
          <w:color w:val="111111"/>
          <w:sz w:val="28"/>
          <w:szCs w:val="28"/>
          <w:rtl w:val="true"/>
          <w:lang w:bidi="ar-SA"/>
        </w:rPr>
        <w:t xml:space="preserve">) . </w:t>
      </w:r>
      <w:r>
        <w:rPr>
          <w:rStyle w:val="FootnoteAnchor"/>
          <w:rtl w:val="true"/>
        </w:rPr>
        <w:footnoteReference w:id="97"/>
      </w:r>
      <w:r>
        <w:rPr>
          <w:rFonts w:ascii="Amiri" w:hAnsi="Amiri" w:eastAsia="Amiri" w:cs="Amiri"/>
          <w:color w:val="111111"/>
          <w:sz w:val="28"/>
          <w:sz w:val="28"/>
          <w:szCs w:val="28"/>
          <w:rtl w:val="true"/>
          <w:lang w:bidi="ar-SA"/>
        </w:rPr>
        <w:t>قام بتفسیرها بالاستفادة من الآیة الرابعة و الثلاثین من سورة لقمان،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عِنْدَهُ عِلْمُ السّاعَةِ وَ یُنَزِّلُ الْغَیْثَ وَ یَعْلَمُ ما فِی الْأَرْحامِ وَ ما تَدْرِی نَفْسٌ ما ذا تَکْسِبُ غَداً وَ ما تَدْرِی نَفْسٌ بِأَیِّ أَرْضٍ تَمُوتُ إِنَّ اللّهَ عَلِیمٌ خَبِیرٌ</w:t>
      </w:r>
      <w:r>
        <w:rPr>
          <w:rFonts w:eastAsia="Amiri" w:cs="Amiri" w:ascii="Amiri" w:hAnsi="Amiri"/>
          <w:color w:val="111111"/>
          <w:sz w:val="28"/>
          <w:szCs w:val="28"/>
          <w:rtl w:val="true"/>
          <w:lang w:bidi="ar-SA"/>
        </w:rPr>
        <w:t xml:space="preserve">) . </w:t>
      </w:r>
      <w:r>
        <w:rPr>
          <w:rStyle w:val="FootnoteAnchor"/>
          <w:rtl w:val="true"/>
        </w:rPr>
        <w:footnoteReference w:id="98"/>
      </w:r>
      <w:r>
        <w:rPr>
          <w:rFonts w:ascii="IRNazanin" w:hAnsi="IRNazanin" w:eastAsia="IRNazanin"/>
          <w:color w:val="111111"/>
          <w:sz w:val="28"/>
          <w:sz w:val="28"/>
          <w:szCs w:val="28"/>
          <w:rtl w:val="true"/>
          <w:lang w:bidi="fa-IR"/>
        </w:rPr>
        <w:t>فمفاتیح الغیب هی خمسة أمور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العلم بیوم القیامة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نزول الغیث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المطر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العلم بما فی أرحام الأمّهات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العلم بالأرزاق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العلم بالآجال و الموت</w:t>
      </w:r>
      <w:r>
        <w:rPr>
          <w:rFonts w:eastAsia="IRNazanin" w:cs="IRNazanin"/>
          <w:color w:val="111111"/>
          <w:sz w:val="28"/>
          <w:szCs w:val="28"/>
          <w:rtl w:val="true"/>
          <w:lang w:bidi="fa-IR"/>
        </w:rPr>
        <w:t xml:space="preserve">. </w:t>
      </w:r>
      <w:r>
        <w:rPr>
          <w:rStyle w:val="FootnoteAnchor"/>
          <w:rtl w:val="true"/>
        </w:rPr>
        <w:footnoteReference w:id="99"/>
      </w:r>
    </w:p>
    <w:p>
      <w:pPr>
        <w:pStyle w:val="Heading4"/>
        <w:numPr>
          <w:ilvl w:val="3"/>
          <w:numId w:val="1"/>
        </w:numPr>
        <w:rPr/>
      </w:pPr>
      <w:bookmarkStart w:id="128" w:name="__RefHeading___Toc633907_581953129"/>
      <w:bookmarkStart w:id="129" w:name="_Toc49"/>
      <w:bookmarkEnd w:id="128"/>
      <w:r>
        <w:rPr/>
        <w:t>6</w:t>
      </w:r>
      <w:r>
        <w:rPr>
          <w:rtl w:val="true"/>
        </w:rPr>
        <w:t xml:space="preserve">. </w:t>
      </w:r>
      <w:r>
        <w:rPr>
          <w:rtl w:val="true"/>
        </w:rPr>
        <w:t>بیان المعارف القرآنیه</w:t>
      </w:r>
      <w:bookmarkEnd w:id="129"/>
    </w:p>
    <w:p>
      <w:pPr>
        <w:pStyle w:val="Heading5"/>
        <w:numPr>
          <w:ilvl w:val="4"/>
          <w:numId w:val="1"/>
        </w:numPr>
        <w:rPr/>
      </w:pPr>
      <w:bookmarkStart w:id="130" w:name="__RefHeading___Toc633909_581953129"/>
      <w:bookmarkStart w:id="131" w:name="_Toc50"/>
      <w:bookmarkEnd w:id="130"/>
      <w:r>
        <w:rPr>
          <w:rtl w:val="true"/>
        </w:rPr>
        <w:t>أ</w:t>
      </w:r>
      <w:r>
        <w:rPr>
          <w:rtl w:val="true"/>
        </w:rPr>
        <w:t xml:space="preserve">) </w:t>
      </w:r>
      <w:r>
        <w:rPr>
          <w:rtl w:val="true"/>
        </w:rPr>
        <w:t>محطّات أخلاقیة</w:t>
      </w:r>
      <w:bookmarkEnd w:id="131"/>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صلّی الله علیه و آله فی یوم فتح مکّة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الناس، إنّ الله قد أذهب عنکم بالإسلام نخوة الجاهلیة وتفاخرها بآبائها، إنّ العربیة لیست بأبٍ ووالدةٍ، و إنّما هو لسان ناطق، فمَن تکلّم به، فهو عربّی، ألا وإنّکم من آدم وآدم من تراب،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أَکْرَمَکُمْ عِنْدَ اللّهِ أَتْقاکُمْ</w:t>
      </w:r>
      <w:r>
        <w:rPr>
          <w:rFonts w:eastAsia="Amiri" w:cs="Amiri" w:ascii="Amiri" w:hAnsi="Amiri"/>
          <w:color w:val="111111"/>
          <w:sz w:val="28"/>
          <w:szCs w:val="28"/>
          <w:rtl w:val="true"/>
          <w:lang w:bidi="ar-SA"/>
        </w:rPr>
        <w:t xml:space="preserve">) . </w:t>
      </w:r>
      <w:r>
        <w:rPr>
          <w:rStyle w:val="FootnoteAnchor"/>
          <w:rtl w:val="true"/>
        </w:rPr>
        <w:footnoteReference w:id="100"/>
      </w:r>
      <w:r>
        <w:rPr>
          <w:rFonts w:ascii="IRNazanin" w:hAnsi="IRNazanin" w:eastAsia="IRNazanin"/>
          <w:color w:val="111111"/>
          <w:sz w:val="28"/>
          <w:sz w:val="28"/>
          <w:szCs w:val="28"/>
          <w:rtl w:val="true"/>
          <w:lang w:bidi="fa-IR"/>
        </w:rPr>
        <w:t xml:space="preserve">و </w:t>
      </w:r>
      <w:r>
        <w:rPr>
          <w:rStyle w:val="FootnoteAnchor"/>
          <w:rtl w:val="true"/>
        </w:rPr>
        <w:footnoteReference w:id="101"/>
      </w:r>
      <w:bookmarkStart w:id="132" w:name="pg5285_67193"/>
    </w:p>
    <w:p>
      <w:pPr>
        <w:pStyle w:val="BookText"/>
        <w:rPr/>
      </w:pPr>
      <w:bookmarkEnd w:id="132"/>
      <w:r>
        <w:rPr>
          <w:rFonts w:ascii="IRNazanin" w:hAnsi="IRNazanin" w:eastAsia="IRNazanin"/>
          <w:color w:val="111111"/>
          <w:sz w:val="28"/>
          <w:sz w:val="28"/>
          <w:szCs w:val="28"/>
          <w:rtl w:val="true"/>
          <w:lang w:bidi="fa-IR"/>
        </w:rPr>
        <w:t>ومن أعظم توصیات النبی صلّی الله علیه و آله الأخلاقیة للعرب، هی ألاَیتفاخروا بالآباء ولا یتزایدوا علی غیرهم بالفضل وأن یعلموا أنّ الأکرم فی المعیار الإلهی،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 المتّقی و المستقیم فی سیرته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روایةٍ أنّ النبی صلّی الله علیه و آله کان فی یوم من الأیام الحارّه یشرح الآیة الشریفة الواردة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کانَ ذُو عُسْرَةٍ فَنَظِرَةٌ إِلی مَیْسَرَةٍ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یضلّه اللهُ فی ظِلِّ عرشه یوم لا ظِلّ إلاّ ظِلّهُ، فلینظر غریماً أو لیدع معسراً</w:t>
      </w:r>
      <w:r>
        <w:rPr>
          <w:rFonts w:eastAsia="Amiri" w:cs="Amiri" w:ascii="Amiri" w:hAnsi="Amiri"/>
          <w:color w:val="111111"/>
          <w:sz w:val="28"/>
          <w:szCs w:val="28"/>
          <w:rtl w:val="true"/>
          <w:lang w:bidi="ar-SA"/>
        </w:rPr>
        <w:t xml:space="preserve">». </w:t>
      </w:r>
      <w:r>
        <w:rPr>
          <w:rStyle w:val="FootnoteAnchor"/>
          <w:rtl w:val="true"/>
        </w:rPr>
        <w:footnoteReference w:id="103"/>
      </w:r>
      <w:r>
        <w:rPr>
          <w:rFonts w:ascii="IRNazanin" w:hAnsi="IRNazanin" w:eastAsia="IRNazanin"/>
          <w:color w:val="111111"/>
          <w:sz w:val="28"/>
          <w:sz w:val="28"/>
          <w:szCs w:val="28"/>
          <w:rtl w:val="true"/>
          <w:lang w:bidi="fa-IR"/>
        </w:rPr>
        <w:t>إنّ هذه الروایة هی وصیة أخلاقیة، فمن لم یکن عنده من المال ما یسدَّ به دینه، فلیس للدائن أن یشدّد علیه فی تسدید الطلب، بل علیه أن یمنحَه فرصةً ثانیةً یتمکّن فیها من الوفاء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ذیل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یا عِبادِیَ الَّذِینَ أَسْرَفُوا عَلی أَنْفُسِهِمْ لا تَقْنَطُوا مِنْ رَحْمَةِ اللّهِ إِنَّ اللّهَ یَغْفِرُ الذُّنُوبَ جَمِیعاً إِنَّهُ هُوَ الْغَفُورُ الرَّحِیمُ</w:t>
      </w:r>
      <w:r>
        <w:rPr>
          <w:rFonts w:eastAsia="Amiri" w:cs="Amiri" w:ascii="Amiri" w:hAnsi="Amiri"/>
          <w:color w:val="111111"/>
          <w:sz w:val="28"/>
          <w:szCs w:val="28"/>
          <w:rtl w:val="true"/>
          <w:lang w:bidi="ar-SA"/>
        </w:rPr>
        <w:t xml:space="preserve">) . </w:t>
      </w:r>
      <w:r>
        <w:rPr>
          <w:rStyle w:val="FootnoteAnchor"/>
          <w:rtl w:val="true"/>
        </w:rPr>
        <w:footnoteReference w:id="104"/>
      </w:r>
      <w:r>
        <w:rPr>
          <w:rFonts w:ascii="IRNazanin" w:hAnsi="IRNazanin" w:eastAsia="IRNazanin"/>
          <w:color w:val="111111"/>
          <w:sz w:val="28"/>
          <w:sz w:val="28"/>
          <w:szCs w:val="28"/>
          <w:rtl w:val="true"/>
          <w:lang w:bidi="fa-IR"/>
        </w:rPr>
        <w:t>روایةً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نفسی بیده لو أخطأتم حتّی تملأ خطایا کم ما بین السماء و الأرض، ثمّ استغفرتُم لغَفَرَ لکم، والذی نفس محمّد بیده لو لم تخطئوا لجاء الله بقومٍ یخطئون، ثمّ یستغفرون فیغفرلهم</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إنّ الیأس و القنوط متخالف الأخلاق الإسلامیة، فعلی الإنسان أن یعیشَ الأمل فی حیاته، وأن یکون حیوّیاً متحرّکاً بنشاطٍ طلباً للسعادة</w:t>
      </w:r>
      <w:r>
        <w:rPr>
          <w:rFonts w:eastAsia="IRNazanin" w:cs="IRNazanin"/>
          <w:color w:val="111111"/>
          <w:sz w:val="28"/>
          <w:szCs w:val="28"/>
          <w:rtl w:val="true"/>
          <w:lang w:bidi="fa-IR"/>
        </w:rPr>
        <w:t>.</w:t>
      </w:r>
    </w:p>
    <w:p>
      <w:pPr>
        <w:pStyle w:val="Heading5"/>
        <w:numPr>
          <w:ilvl w:val="4"/>
          <w:numId w:val="1"/>
        </w:numPr>
        <w:rPr/>
      </w:pPr>
      <w:bookmarkStart w:id="133" w:name="__RefHeading___Toc633911_581953129"/>
      <w:bookmarkStart w:id="134" w:name="_Toc51"/>
      <w:bookmarkEnd w:id="133"/>
      <w:r>
        <w:rPr>
          <w:rtl w:val="true"/>
        </w:rPr>
        <w:t>ب</w:t>
      </w:r>
      <w:r>
        <w:rPr>
          <w:rtl w:val="true"/>
        </w:rPr>
        <w:t xml:space="preserve">) </w:t>
      </w:r>
      <w:r>
        <w:rPr>
          <w:rtl w:val="true"/>
        </w:rPr>
        <w:t>الإمامة و الولایة</w:t>
      </w:r>
      <w:bookmarkEnd w:id="134"/>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وفیما یخصُّ الإمامة و الولایة وبیعة الأئمّة المعصومین علیهم السّلام، فقد جاء فی الحدیث الشریف عن رسول الله صلّی الله علیه و آله، فی ذیل الآیة المبارکة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أَوْفی بِما عاهَدَ عَلَیْهُ اللّهَ</w:t>
      </w:r>
      <w:bookmarkStart w:id="135" w:name="pg5285_67194"/>
    </w:p>
    <w:p>
      <w:pPr>
        <w:pStyle w:val="BookText"/>
        <w:rPr/>
      </w:pPr>
      <w:bookmarkEnd w:id="135"/>
      <w:r>
        <w:rPr>
          <w:rFonts w:ascii="Amiri" w:hAnsi="Amiri" w:eastAsia="Amiri" w:cs="Amiri"/>
          <w:color w:val="111111"/>
          <w:sz w:val="28"/>
          <w:sz w:val="28"/>
          <w:szCs w:val="28"/>
          <w:rtl w:val="true"/>
          <w:lang w:bidi="ar-SA"/>
        </w:rPr>
        <w:t>فَسَیُؤْتِیهِ أَجْراً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06"/>
      </w:r>
      <w:r>
        <w:rPr>
          <w:rFonts w:ascii="IRNazanin" w:hAnsi="IRNazanin" w:eastAsia="IRNazanin"/>
          <w:color w:val="111111"/>
          <w:sz w:val="28"/>
          <w:sz w:val="28"/>
          <w:szCs w:val="28"/>
          <w:rtl w:val="true"/>
          <w:lang w:bidi="fa-IR"/>
        </w:rPr>
        <w:t>أنّه 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أیها الناس، إنَّ علیاً إمامُکم من بعدی و خلیفتی علیکم، و هو وصیی ووزیری، وأخی و ناصری و زوج ابنتی، و أبوولدی وصاحب شفاعتی؟ و حوضی، ولوائی، من أنکره فقد أنکرین و من أنکرین فقد دنکرالله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عصی علیاً، فقد عصانی، ومن عصانی فقد عصی‌الله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وفی ذیل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جاعِلُکَ لِلنّاسِ إِماماً قالَ وَ مِنْ ذُرِّیَّتِی قالَ لا یَنالُ عَهْدِی الظّالِمِینَ</w:t>
      </w:r>
      <w:r>
        <w:rPr>
          <w:rFonts w:eastAsia="Amiri" w:cs="Amiri" w:ascii="Amiri" w:hAnsi="Amiri"/>
          <w:color w:val="111111"/>
          <w:sz w:val="28"/>
          <w:szCs w:val="28"/>
          <w:rtl w:val="true"/>
          <w:lang w:bidi="ar-SA"/>
        </w:rPr>
        <w:t xml:space="preserve">) . </w:t>
      </w:r>
      <w:r>
        <w:rPr>
          <w:rStyle w:val="FootnoteAnchor"/>
          <w:rtl w:val="true"/>
        </w:rPr>
        <w:footnoteReference w:id="108"/>
      </w:r>
      <w:r>
        <w:rPr>
          <w:rFonts w:ascii="Amiri" w:hAnsi="Amiri" w:eastAsia="Amiri" w:cs="Amiri"/>
          <w:color w:val="111111"/>
          <w:sz w:val="28"/>
          <w:sz w:val="28"/>
          <w:szCs w:val="28"/>
          <w:rtl w:val="true"/>
          <w:lang w:bidi="ar-SA"/>
        </w:rPr>
        <w:t>نقل عن رسول الله صلّی الله علیه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فانتهت الدعوة إلی و إلی أخی علی، لم یسجُد أحدٌ منّا لصنم قَطّ، فاتّخَذَنی الله نبیاً، واتّخذ علیاً وصیاً</w:t>
      </w:r>
      <w:r>
        <w:rPr>
          <w:rFonts w:eastAsia="Amiri" w:cs="Amiri" w:ascii="Amiri" w:hAnsi="Amiri"/>
          <w:color w:val="111111"/>
          <w:sz w:val="28"/>
          <w:szCs w:val="28"/>
          <w:rtl w:val="true"/>
          <w:lang w:bidi="ar-SA"/>
        </w:rPr>
        <w:t xml:space="preserve">». </w:t>
      </w:r>
      <w:r>
        <w:rPr>
          <w:rStyle w:val="FootnoteAnchor"/>
          <w:rtl w:val="true"/>
        </w:rPr>
        <w:footnoteReference w:id="109"/>
      </w:r>
    </w:p>
    <w:p>
      <w:pPr>
        <w:pStyle w:val="Heading5"/>
        <w:numPr>
          <w:ilvl w:val="4"/>
          <w:numId w:val="1"/>
        </w:numPr>
        <w:rPr/>
      </w:pPr>
      <w:bookmarkStart w:id="136" w:name="__RefHeading___Toc633913_581953129"/>
      <w:bookmarkStart w:id="137" w:name="_Toc52"/>
      <w:bookmarkEnd w:id="136"/>
      <w:r>
        <w:rPr>
          <w:rtl w:val="true"/>
        </w:rPr>
        <w:t>ج</w:t>
      </w:r>
      <w:r>
        <w:rPr>
          <w:rtl w:val="true"/>
        </w:rPr>
        <w:t xml:space="preserve">) </w:t>
      </w:r>
      <w:r>
        <w:rPr>
          <w:rtl w:val="true"/>
        </w:rPr>
        <w:t>خصائص جهنّم</w:t>
      </w:r>
      <w:bookmarkEnd w:id="137"/>
    </w:p>
    <w:p>
      <w:pPr>
        <w:pStyle w:val="BookText"/>
        <w:rPr/>
      </w:pPr>
      <w:r>
        <w:rPr>
          <w:rFonts w:ascii="Amiri" w:hAnsi="Amiri" w:eastAsia="Amiri" w:cs="Amiri"/>
          <w:color w:val="111111"/>
          <w:sz w:val="28"/>
          <w:sz w:val="28"/>
          <w:szCs w:val="28"/>
          <w:rtl w:val="true"/>
          <w:lang w:bidi="ar-SA"/>
        </w:rPr>
        <w:t>ورد عن رسول الله صلّی الله علیه و آله فی تفسیر هذه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تَرْمِی بِشَرَرٍ کَالْقَصْرِ</w:t>
      </w:r>
      <w:r>
        <w:rPr>
          <w:rFonts w:eastAsia="Amiri" w:cs="Amiri" w:ascii="Amiri" w:hAnsi="Amiri"/>
          <w:color w:val="111111"/>
          <w:sz w:val="28"/>
          <w:szCs w:val="28"/>
          <w:rtl w:val="true"/>
          <w:lang w:bidi="ar-SA"/>
        </w:rPr>
        <w:t xml:space="preserve">) . </w:t>
      </w:r>
      <w:r>
        <w:rPr>
          <w:rStyle w:val="FootnoteAnchor"/>
          <w:rtl w:val="true"/>
        </w:rPr>
        <w:footnoteReference w:id="110"/>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تزفر النار بمثل الجبال شرراً</w:t>
      </w:r>
      <w:r>
        <w:rPr>
          <w:rFonts w:eastAsia="IRNazanin" w:cs="IRNazanin"/>
          <w:color w:val="111111"/>
          <w:sz w:val="28"/>
          <w:szCs w:val="28"/>
          <w:rtl w:val="true"/>
          <w:lang w:bidi="fa-IR"/>
        </w:rPr>
        <w:t xml:space="preserve">». </w:t>
      </w:r>
      <w:r>
        <w:rPr>
          <w:rStyle w:val="FootnoteAnchor"/>
          <w:rtl w:val="true"/>
        </w:rPr>
        <w:footnoteReference w:id="111"/>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صلّی الله علیه و آله فی تفسیر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لابِثِینَ فِیها أَحْقاباً</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یخرج من النار مَن وظها حتّی یمکث فیها أحقاباً 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حقب، بضع وستون سنة و السنة ثلاثمائة وستون یوماً، وکلّ یوم کألف سنة ممّا تعدّون فلا یتکلمنّ أحد أن یخرج من النار</w:t>
      </w:r>
      <w:r>
        <w:rPr>
          <w:rFonts w:eastAsia="IRNazanin" w:cs="IRNazanin"/>
          <w:color w:val="111111"/>
          <w:sz w:val="28"/>
          <w:szCs w:val="28"/>
          <w:rtl w:val="true"/>
          <w:lang w:bidi="fa-IR"/>
        </w:rPr>
        <w:t xml:space="preserve">». </w:t>
      </w:r>
      <w:r>
        <w:rPr>
          <w:rStyle w:val="FootnoteAnchor"/>
          <w:rtl w:val="true"/>
        </w:rPr>
        <w:footnoteReference w:id="113"/>
      </w:r>
      <w:bookmarkStart w:id="138" w:name="pg5285_67195"/>
    </w:p>
    <w:p>
      <w:pPr>
        <w:pStyle w:val="Heading3"/>
        <w:numPr>
          <w:ilvl w:val="2"/>
          <w:numId w:val="1"/>
        </w:numPr>
        <w:rPr/>
      </w:pPr>
      <w:bookmarkStart w:id="139" w:name="__RefHeading___Toc633915_581953129"/>
      <w:bookmarkStart w:id="140" w:name="_Toc53"/>
      <w:bookmarkEnd w:id="138"/>
      <w:bookmarkEnd w:id="139"/>
      <w:r>
        <w:rPr>
          <w:rtl w:val="true"/>
        </w:rPr>
        <w:t>الخلاصة</w:t>
      </w:r>
      <w:bookmarkEnd w:id="1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رسول الله صلّی الله علیه و آله هو المفسّر الأوّل للقرآن، و طِبقاً للآیة الشریفة ال</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النحل، أن مهمّة تفسیر القرآن موکولة إلیه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بما أنّ القرآن الکریم کتاب قانون اکتفی بطرح الخطوط العریضة و العمومیات فی کثیر من الآیات، وعلی الخصوص آیات الأحکام، فقد اقتصر علی طرح الکلّیات وترک تفصیل الجزئیات إلی الرسول الخاتم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أن القرآن فیه کثیر من الأمثال و الکنایات، والاستعارات، والمفاهیم الباطنیة و الأفاظ المتشابهة، فإنه یحتاج إلی التفسیر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للنبی صلّی الله علیه و آله مدرستان تفسیریتان، الأولی، مدرسة عامَّة، والثانیة، مدرسة خاصَّة، ففی المدرسة العامَّة یعلِّم النبی صلّی الله علیه و آله الناس فیها معنی الآیات عن طریق الألفاظ أو عن طریق البیان العملی التطبیقی للمفاهیم و الأحکام، وفی المدرسة الخاصَّة یقتصر علی بعض الصحابة فی التعلیم، غیر أنّه تتفاوت الخصوصیة فی هذه المدرسة الثانیة، فإنّ الأخصّ فیها هو علی علیه السّلام فإنّ حصّتة من التعلیم قد کانت مکثّفة جدّاً، فقد حَبَاه </w:t>
      </w:r>
      <w:r>
        <w:rPr>
          <w:rStyle w:val="FootnoteAnchor"/>
          <w:rtl w:val="true"/>
        </w:rPr>
        <w:footnoteReference w:id="114"/>
      </w:r>
      <w:r>
        <w:rPr>
          <w:rFonts w:ascii="IRNazanin" w:hAnsi="IRNazanin" w:eastAsia="IRNazanin"/>
          <w:color w:val="111111"/>
          <w:sz w:val="28"/>
          <w:sz w:val="28"/>
          <w:szCs w:val="28"/>
          <w:rtl w:val="true"/>
          <w:lang w:bidi="fa-IR"/>
        </w:rPr>
        <w:t>بکلّ علومه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الخصوص علوم التفسیر لیصنعَ منه مرجعاً فکرّیاً للمسلمین بعده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حجم الروایات الواردة عن رسول الله صلّی الله علیه و آله فی التفسیر فهناک ثلاثة آراء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الرأی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 قد فسّر کلّ القرآن، و هذا الرأی لابن تیمیة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الرأی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 لم یفسّر من القرآن إلاّ القلیل، و هذا الرأی تبنّاه السیوطی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الرأی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 قد فسّر أکثر الآیات و هو رأی وسط بین، و هو للدکتور الذهبی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القیام بإصلاح وتهذیب هذا الرأی، وذکر ما یزید علی نسبة الروایات التفسیریة إلی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ذکره الأئمّة علیهم السّلام من سیرة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الرأی الأصوب</w:t>
      </w:r>
      <w:bookmarkStart w:id="141" w:name="pg5285_67196"/>
    </w:p>
    <w:p>
      <w:pPr>
        <w:pStyle w:val="BookText"/>
        <w:rPr/>
      </w:pPr>
      <w:bookmarkEnd w:id="141"/>
      <w:r>
        <w:rPr>
          <w:rFonts w:ascii="IRNazanin" w:hAnsi="IRNazanin" w:eastAsia="IRNazanin"/>
          <w:color w:val="111111"/>
          <w:sz w:val="28"/>
          <w:sz w:val="28"/>
          <w:szCs w:val="28"/>
          <w:rtl w:val="true"/>
          <w:lang w:bidi="fa-IR"/>
        </w:rPr>
        <w:t>والمتبنّی من قِبَلِنا یکون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تفسیر کلّ الآیات أو أکثرالآیات، وعلی الأخص فیما یعود إلی تعلیم النبی صلّی الله علیه و آله للإمام، فإنه علّمه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القرآن، علی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روایات التفسیر عن رسول الله صلّی الله علیه و آله تُظهر تعدّد أسالیبه التفسیریة المتنوعة، والتی من 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شرح المصطلحات القرآنیة، من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التیمّم و الصلاة و الحج، والصلاة الوسطی، وبیان المفردات، وتقیید المطلق، وتخصیص العام، وتفسیر القرآن بالقرآن</w:t>
      </w:r>
      <w:r>
        <w:rPr>
          <w:rFonts w:eastAsia="IRNazanin" w:cs="IRNazanin"/>
          <w:color w:val="111111"/>
          <w:sz w:val="28"/>
          <w:szCs w:val="28"/>
          <w:rtl w:val="true"/>
          <w:lang w:bidi="fa-IR"/>
        </w:rPr>
        <w:t>.</w:t>
      </w:r>
    </w:p>
    <w:p>
      <w:pPr>
        <w:pStyle w:val="Heading3"/>
        <w:numPr>
          <w:ilvl w:val="2"/>
          <w:numId w:val="1"/>
        </w:numPr>
        <w:rPr/>
      </w:pPr>
      <w:bookmarkStart w:id="142" w:name="__RefHeading___Toc633917_581953129"/>
      <w:bookmarkStart w:id="143" w:name="_Toc54"/>
      <w:bookmarkEnd w:id="142"/>
      <w:r>
        <w:rPr>
          <w:rtl w:val="true"/>
        </w:rPr>
        <w:t>الأسئلة</w:t>
      </w:r>
      <w:bookmarkEnd w:id="1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نصّ الآیة التی تحدّد الوظیفة الأصلیة لرسول الله صلّی الله علیه و آله فی تفسیر القرآن؟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الدلیل المجوّز لتفسیر القرآن الکریم، بینه بوضوحٍ؟</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بما أنّ القرآن الکریم نزل بلغة العرب، فهل أنّ العرب لمجرّد مطالعته یمکنهم معرفة معانی القرآن بصورةٍ جیدةٍ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وضّح ذلک؟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بین الأسالیب التفسیریة فی مدرسة الرسول الأعظم صلّی الله علیه و آله؟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هی طریقة الرسول صلّی الله علیه و آله فی تربیة‌المفسّر من خلال مدرسته الخاصَّة، ومَن هم أولئک الأشخاص الذین اعتنی بتربیتهم بشکل خاص؟</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أوجز باختصارٍ الحدیث عمّا تعرفه عن حجم الروایات التفسیریة الواردة عن رسول الله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وضّح بالمثال ثلاثةً من الأسالیب التفسیریة التی توجد عند النبی الأکرم صلّی الله علیه و آله</w:t>
      </w:r>
      <w:r>
        <w:rPr>
          <w:rFonts w:eastAsia="IRNazanin" w:cs="IRNazanin"/>
          <w:color w:val="111111"/>
          <w:sz w:val="28"/>
          <w:szCs w:val="28"/>
          <w:rtl w:val="true"/>
          <w:lang w:bidi="fa-IR"/>
        </w:rPr>
        <w:t>.</w:t>
      </w:r>
    </w:p>
    <w:p>
      <w:pPr>
        <w:pStyle w:val="Heading3"/>
        <w:numPr>
          <w:ilvl w:val="2"/>
          <w:numId w:val="1"/>
        </w:numPr>
        <w:rPr/>
      </w:pPr>
      <w:bookmarkStart w:id="144" w:name="__RefHeading___Toc633919_581953129"/>
      <w:bookmarkStart w:id="145" w:name="_Toc55"/>
      <w:bookmarkEnd w:id="144"/>
      <w:r>
        <w:rPr>
          <w:rtl w:val="true"/>
        </w:rPr>
        <w:t>البحث و التحقیق</w:t>
      </w:r>
      <w:bookmarkEnd w:id="1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خلال مراجَعَة تفسیر نور الثقلین اختر بعض النماذج التفسیریة التی قام بها النبی صلّی الله علیه و آله فیما یخصُّ بحوث العقیدة، علی أن یکونَ کلّ نموذجٍ منه یحمل عنوانه الخاصّ به، مع توضیح مُوجز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یتوزّع طلاّب الصف الواحد إلی عدّة مجموعات، وعلی کلّ مجموعة البحث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القرآن العظیم لإبن کثیر، أو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 للسیوطی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عدد الروایات التفسیریة الواردة عن رسول الله صلّی الله علیه و آله، وتثبیتها فی الجدول أدناه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راجع تفسیر نور الثقلین للحویزی، ثم البحث عن الروایات الواردة عن الرسول ثم أدرجها فی الجدول الرقم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ابن کثیر نوع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الروایات التفسیریة للرسول صلّی الله علیه و آله الهدف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الوصول إلی الحجم التقریبی للروایات</w:t>
      </w:r>
    </w:p>
    <w:p>
      <w:pPr>
        <w:pStyle w:val="BookText"/>
        <w:rPr/>
      </w:pPr>
      <w:r>
        <w:rPr>
          <w:rFonts w:ascii="IRNazanin" w:hAnsi="IRNazanin" w:eastAsia="IRNazanin"/>
          <w:color w:val="111111"/>
          <w:sz w:val="28"/>
          <w:sz w:val="28"/>
          <w:szCs w:val="28"/>
          <w:rtl w:val="true"/>
          <w:lang w:bidi="fa-IR"/>
        </w:rPr>
        <w:t>رقم الجزء اسم السور حجم الروایات ملاحظات عامّة</w:t>
      </w:r>
    </w:p>
    <w:p>
      <w:pPr>
        <w:pStyle w:val="BookText"/>
        <w:rPr/>
      </w:pP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البقرة و آل‌عمران إلی الآیة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مثلما قُمتَ به من التحقیق فی الجدول السابق حاول تطبیقه الآن فی الجدول الآتی علی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الثقلین للحویزی فی تثبیت عدد الروایات الواردة عن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نورالثقلین نوع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الروایات التفسیریة للرسول صلّی الله علیه و آله الهدف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الوصول إلی الحجم التقریبی للروایات</w:t>
      </w:r>
    </w:p>
    <w:p>
      <w:pPr>
        <w:pStyle w:val="BookText"/>
        <w:rPr/>
      </w:pPr>
      <w:r>
        <w:rPr>
          <w:rFonts w:ascii="IRNazanin" w:hAnsi="IRNazanin" w:eastAsia="IRNazanin"/>
          <w:color w:val="111111"/>
          <w:sz w:val="28"/>
          <w:sz w:val="28"/>
          <w:szCs w:val="28"/>
          <w:rtl w:val="true"/>
          <w:lang w:bidi="fa-IR"/>
        </w:rPr>
        <w:t>رقم الجزء اسم السور حجم الروایات ملاحظات عامّة</w:t>
      </w:r>
    </w:p>
    <w:p>
      <w:pPr>
        <w:pStyle w:val="BookText"/>
        <w:rPr/>
      </w:pP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15</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البقرة و آل‌عمران حتی نهایة الآیة</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تطبیق التحقیق</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بملاحظة التحقیق الذی تمَّ انجازه حول روایات النبی صلّی الله علیه و آله التفسیریة 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ممارسةً تطبیقیةً لها من خلال توضیح ألفاظها وشرح مصطلحاتها، وبیان مفرداتها وتقیید المطلق، وتخصیص العام، والتمییز بین الموضوعات الأخلاقیه و العقائدیه</w:t>
      </w:r>
      <w:r>
        <w:rPr>
          <w:rFonts w:eastAsia="IRNazanin" w:cs="IRNazanin"/>
          <w:color w:val="111111"/>
          <w:sz w:val="28"/>
          <w:szCs w:val="28"/>
          <w:rtl w:val="true"/>
          <w:lang w:bidi="fa-IR"/>
        </w:rPr>
        <w:t>.</w:t>
      </w:r>
      <w:bookmarkStart w:id="146" w:name="pg5285_67201"/>
    </w:p>
    <w:p>
      <w:pPr>
        <w:pStyle w:val="Heading2"/>
        <w:numPr>
          <w:ilvl w:val="1"/>
          <w:numId w:val="1"/>
        </w:numPr>
        <w:rPr/>
      </w:pPr>
      <w:bookmarkStart w:id="147" w:name="__RefHeading___Toc633921_581953129"/>
      <w:bookmarkStart w:id="148" w:name="_Toc56"/>
      <w:bookmarkEnd w:id="146"/>
      <w:bookmarkEnd w:id="147"/>
      <w:r>
        <w:rPr/>
        <w:t>3</w:t>
      </w:r>
      <w:r>
        <w:rPr>
          <w:rtl w:val="true"/>
        </w:rPr>
        <w:t xml:space="preserve">- </w:t>
      </w:r>
      <w:r>
        <w:rPr>
          <w:rtl w:val="true"/>
        </w:rPr>
        <w:t>التفسیر فی عصر الصحابة</w:t>
      </w:r>
      <w:bookmarkEnd w:id="148"/>
    </w:p>
    <w:p>
      <w:pPr>
        <w:pStyle w:val="Heading3"/>
        <w:numPr>
          <w:ilvl w:val="2"/>
          <w:numId w:val="1"/>
        </w:numPr>
        <w:rPr/>
      </w:pPr>
      <w:bookmarkStart w:id="149" w:name="__RefHeading___Toc633923_581953129"/>
      <w:bookmarkStart w:id="150" w:name="_Toc57"/>
      <w:bookmarkEnd w:id="149"/>
      <w:r>
        <w:rPr>
          <w:rtl w:val="true"/>
        </w:rPr>
        <w:t>اشارة</w:t>
      </w:r>
      <w:bookmarkEnd w:id="150"/>
    </w:p>
    <w:p>
      <w:pPr>
        <w:pStyle w:val="BookText"/>
        <w:rPr/>
      </w:pPr>
      <w:r>
        <w:rPr>
          <w:rFonts w:ascii="IRNazanin" w:hAnsi="IRNazanin" w:eastAsia="IRNazanin"/>
          <w:color w:val="111111"/>
          <w:sz w:val="28"/>
          <w:sz w:val="28"/>
          <w:szCs w:val="28"/>
          <w:rtl w:val="true"/>
          <w:lang w:bidi="fa-IR"/>
        </w:rPr>
        <w:t>الموضوعات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فی عصر الصحابة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أشهر مفسّری الصحابة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 علی بن أبی‌طالب علیه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أبی بن کعب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الأهداف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التعرّف علی اشهر مفسری الصحابة و مناهج تفسیرهم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التعرّف علی خصائص تفسیر الصحابة</w:t>
      </w:r>
      <w:r>
        <w:rPr>
          <w:rFonts w:eastAsia="IRNazanin" w:cs="IRNazanin"/>
          <w:color w:val="111111"/>
          <w:sz w:val="28"/>
          <w:szCs w:val="28"/>
          <w:rtl w:val="true"/>
          <w:lang w:bidi="fa-IR"/>
        </w:rPr>
        <w:t>.</w:t>
      </w:r>
    </w:p>
    <w:p>
      <w:pPr>
        <w:pStyle w:val="Heading3"/>
        <w:numPr>
          <w:ilvl w:val="2"/>
          <w:numId w:val="1"/>
        </w:numPr>
        <w:rPr/>
      </w:pPr>
      <w:bookmarkStart w:id="151" w:name="__RefHeading___Toc633925_581953129"/>
      <w:bookmarkStart w:id="152" w:name="_Toc58"/>
      <w:bookmarkEnd w:id="151"/>
      <w:r>
        <w:rPr>
          <w:rtl w:val="true"/>
        </w:rPr>
        <w:t>التفسیر فی عصر الصحابة</w:t>
      </w:r>
      <w:bookmarkEnd w:id="152"/>
    </w:p>
    <w:p>
      <w:pPr>
        <w:pStyle w:val="Heading3"/>
        <w:numPr>
          <w:ilvl w:val="2"/>
          <w:numId w:val="1"/>
        </w:numPr>
        <w:rPr/>
      </w:pPr>
      <w:bookmarkStart w:id="153" w:name="__RefHeading___Toc633927_581953129"/>
      <w:bookmarkStart w:id="154" w:name="_Toc59"/>
      <w:bookmarkEnd w:id="153"/>
      <w:r>
        <w:rPr>
          <w:rtl w:val="true"/>
        </w:rPr>
        <w:t>تعریف الصحابی</w:t>
      </w:r>
      <w:bookmarkEnd w:id="154"/>
    </w:p>
    <w:p>
      <w:pPr>
        <w:pStyle w:val="Heading4"/>
        <w:numPr>
          <w:ilvl w:val="3"/>
          <w:numId w:val="1"/>
        </w:numPr>
        <w:rPr/>
      </w:pPr>
      <w:bookmarkStart w:id="155" w:name="__RefHeading___Toc633929_581953129"/>
      <w:bookmarkStart w:id="156" w:name="_Toc60"/>
      <w:bookmarkEnd w:id="155"/>
      <w:r>
        <w:rPr>
          <w:rtl w:val="true"/>
        </w:rPr>
        <w:t>اشارة</w:t>
      </w:r>
      <w:bookmarkEnd w:id="15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المعنی اللغوی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الصحابة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 وهی من اشتقاقات مفردة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w:t>
      </w:r>
    </w:p>
    <w:p>
      <w:pPr>
        <w:pStyle w:val="BookText"/>
        <w:rPr/>
      </w:pP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والصاحب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المُلازم و الجلیس و المجاور</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المعنی الاصطلاحی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اختلاف فی المعنی الاصطلاحی لتعریف الصحابی؛ ولأجل ذلک ذکرت عدّة تعاریف متنوّعة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الشخص الذی صحبَ النبی صلّی الله علیه و آله أو رأاه من المسلمین</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الصحابی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لقی النبی صلّی الله علیه و آله مؤمناً به، و مات علی الإسلام</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ولاشکّ أنّ کلّ الصحابة لم یکونوا علی مستویً علمی واحد فی فهم تفسیر القرآن، و أنّ هذا التفاوت کان معروفاً بینهم، و قد صرحوا بذلک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رُوی عن أبی بکر أنّه سُئل عن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اللّهُ عَلی کُلِّ شَیْ‌ءٍ مُقِیتاً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18"/>
      </w:r>
      <w:r>
        <w:rPr>
          <w:rFonts w:ascii="IRNazanin" w:hAnsi="IRNazanin" w:eastAsia="IRNazanin"/>
          <w:color w:val="111111"/>
          <w:sz w:val="28"/>
          <w:sz w:val="28"/>
          <w:szCs w:val="28"/>
          <w:rtl w:val="true"/>
          <w:lang w:bidi="fa-IR"/>
        </w:rPr>
        <w:t>فأجاب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سماء تظلّلنی، وأی أرض تحوینی، إن جری علی لسانی ما لم أعلمه من کتاب الله</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وفی روایة أنس، أنّ عُمَر بن قرأ علی المنبر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فاکِهَةً وَ 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2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هذا عرفناه، مما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رفض عصا کانت فی یده،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التکلّف، مما علیک أن لاتدری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هذا الکتاب، و مالم تعرفوه، فکلوه إلی ربّه</w:t>
      </w:r>
      <w:r>
        <w:rPr>
          <w:rFonts w:eastAsia="IRNazanin" w:cs="IRNazanin"/>
          <w:color w:val="111111"/>
          <w:sz w:val="28"/>
          <w:szCs w:val="28"/>
          <w:rtl w:val="true"/>
          <w:lang w:bidi="fa-IR"/>
        </w:rPr>
        <w:t xml:space="preserve">. </w:t>
      </w:r>
      <w:r>
        <w:rPr>
          <w:rStyle w:val="FootnoteAnchor"/>
          <w:rtl w:val="true"/>
        </w:rPr>
        <w:footnoteReference w:id="121"/>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نقل مجاهد عن ابن عبّاس قوله فی تفسیر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 السَّماواتِ وَ الْأَرْضِ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22"/>
      </w:r>
      <w:r>
        <w:rPr>
          <w:rFonts w:ascii="IRNazanin" w:hAnsi="IRNazanin" w:eastAsia="IRNazanin"/>
          <w:color w:val="111111"/>
          <w:sz w:val="28"/>
          <w:sz w:val="28"/>
          <w:szCs w:val="28"/>
          <w:rtl w:val="true"/>
          <w:lang w:bidi="fa-IR"/>
        </w:rPr>
        <w:t>ما کنتُ أدری ما معناها حتّی رأیتُ اثنین من الأعراب سکنة البوادی</w:t>
      </w:r>
    </w:p>
    <w:p>
      <w:pPr>
        <w:pStyle w:val="BookText"/>
        <w:rPr/>
      </w:pPr>
      <w:r>
        <w:rPr>
          <w:rFonts w:ascii="IRNazanin" w:hAnsi="IRNazanin" w:eastAsia="IRNazanin"/>
          <w:color w:val="111111"/>
          <w:sz w:val="28"/>
          <w:sz w:val="28"/>
          <w:szCs w:val="28"/>
          <w:rtl w:val="true"/>
          <w:lang w:bidi="fa-IR"/>
        </w:rPr>
        <w:t>متنازعین علی بئرٍ، فقال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فطرتها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ابتدأتها</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ثمّ فهمت أنّ معنی الفطر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الابتداء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وعلی أی حالٍ فإنّ التفاوت قائم بین الأفراد عموماً، و هو کذلک بین أصحاب رسول الله صلّی الله علیه و آله، و هذا أمر ذاتی، والله سبحانه جعل لکلّ شیء مقداراً معیناً وإمکانیة محدودة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جَعَلَ اللّهُ لِکُلِّ شَیْ‌ءٍ قَدْراً</w:t>
      </w:r>
      <w:r>
        <w:rPr>
          <w:rFonts w:eastAsia="Amiri" w:cs="Amiri" w:ascii="Amiri" w:hAnsi="Amiri"/>
          <w:color w:val="111111"/>
          <w:sz w:val="28"/>
          <w:szCs w:val="28"/>
          <w:rtl w:val="true"/>
          <w:lang w:bidi="ar-SA"/>
        </w:rPr>
        <w:t xml:space="preserve">) .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کان أصحاب رسول الله صلّی الله علیه و آله مختلفین فی مستویات الفهم، والذکاء، وسائر المواهب والاستعدادات، والعلم و الفضیلة، و هذا أمر طبیعی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مِنَ السَّماءِ ماءً فَسالَتْ أَوْدِیَةٌ بِقَدَرِها</w:t>
      </w:r>
      <w:r>
        <w:rPr>
          <w:rFonts w:eastAsia="Amiri" w:cs="Amiri" w:ascii="Amiri" w:hAnsi="Amiri"/>
          <w:color w:val="111111"/>
          <w:sz w:val="28"/>
          <w:szCs w:val="28"/>
          <w:rtl w:val="true"/>
          <w:lang w:bidi="ar-SA"/>
        </w:rPr>
        <w:t xml:space="preserve">) .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أمّا مَن هو أفضل الصحابة فی التفسیر؟ ومن هو الشخص الأکثر شهرة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کتب السیوطی فی الإتقان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اشتهر بالتفسیر من الصحابة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الخلفاء الأربعة، وابن مسعود، وابن عبّاس، واُبی بن کعب، وزید بن ثابت، وأبو موسی الأشعری وعبدالله بن الزبیر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الخلفاء فإنّ أکثرهم روایة فی التفسیر، علی بن أبی طالب علیه السّلام؛ و أمّا من الثلاثة الآخرین، فهو فی الحقیقة قلیل جدّاً</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وهکذا الذهبی فی کتاب التفسیر و المفسّرون بعد أن ذکر الأسماء أعلاه، قال</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ولهذا نری الإمساک عن الکلام فی شأن أبی‌بکر و عمر، و عثمان، و زید بن ثابت، و أبی موسی الأشعری، وعبد الله بن الزبیر، و نتکلّم عن علی بن أبی طالب علیه السّلام،</w:t>
      </w:r>
      <w:bookmarkStart w:id="157" w:name="pg5285_67204"/>
    </w:p>
    <w:p>
      <w:pPr>
        <w:pStyle w:val="BookText"/>
        <w:rPr/>
      </w:pPr>
      <w:bookmarkEnd w:id="157"/>
      <w:r>
        <w:rPr>
          <w:rFonts w:ascii="IRNazanin" w:hAnsi="IRNazanin" w:eastAsia="IRNazanin"/>
          <w:color w:val="111111"/>
          <w:sz w:val="28"/>
          <w:sz w:val="28"/>
          <w:szCs w:val="28"/>
          <w:rtl w:val="true"/>
          <w:lang w:bidi="fa-IR"/>
        </w:rPr>
        <w:t>و ابن عبّاس، وابن مسعود، و ابیّ بن کعب؛ نظراً لکثرة الروایة عنهم فی التفسیر، کثرةً غذّت مدارس الأمصار علی اختلافها و کثرتهما</w:t>
      </w:r>
      <w:r>
        <w:rPr>
          <w:rFonts w:eastAsia="IRNazanin" w:cs="IRNazanin"/>
          <w:color w:val="111111"/>
          <w:sz w:val="28"/>
          <w:szCs w:val="28"/>
          <w:rtl w:val="true"/>
          <w:lang w:bidi="fa-IR"/>
        </w:rPr>
        <w:t xml:space="preserve">. </w:t>
      </w:r>
      <w:r>
        <w:rPr>
          <w:rStyle w:val="FootnoteAnchor"/>
          <w:rtl w:val="true"/>
        </w:rPr>
        <w:footnoteReference w:id="127"/>
      </w:r>
    </w:p>
    <w:p>
      <w:pPr>
        <w:pStyle w:val="Heading4"/>
        <w:numPr>
          <w:ilvl w:val="3"/>
          <w:numId w:val="1"/>
        </w:numPr>
        <w:rPr/>
      </w:pPr>
      <w:bookmarkStart w:id="158" w:name="__RefHeading___Toc633931_581953129"/>
      <w:bookmarkStart w:id="159" w:name="_Toc61"/>
      <w:bookmarkEnd w:id="158"/>
      <w:r>
        <w:rPr>
          <w:rtl w:val="true"/>
        </w:rPr>
        <w:t>الأول</w:t>
      </w:r>
      <w:r>
        <w:rPr>
          <w:rtl w:val="true"/>
        </w:rPr>
        <w:t xml:space="preserve">: </w:t>
      </w:r>
      <w:r>
        <w:rPr>
          <w:rtl w:val="true"/>
        </w:rPr>
        <w:t>الإمام علی بن أبی طالب علیه السّلام</w:t>
      </w:r>
      <w:bookmarkEnd w:id="159"/>
    </w:p>
    <w:p>
      <w:pPr>
        <w:pStyle w:val="Heading5"/>
        <w:numPr>
          <w:ilvl w:val="4"/>
          <w:numId w:val="1"/>
        </w:numPr>
        <w:rPr/>
      </w:pPr>
      <w:bookmarkStart w:id="160" w:name="__RefHeading___Toc633933_581953129"/>
      <w:bookmarkStart w:id="161" w:name="_Toc62"/>
      <w:bookmarkEnd w:id="160"/>
      <w:r>
        <w:rPr>
          <w:rtl w:val="true"/>
        </w:rPr>
        <w:t>اشارة</w:t>
      </w:r>
      <w:bookmarkEnd w:id="161"/>
    </w:p>
    <w:p>
      <w:pPr>
        <w:pStyle w:val="BookText"/>
        <w:rPr/>
      </w:pPr>
      <w:r>
        <w:rPr>
          <w:rFonts w:ascii="IRNazanin" w:hAnsi="IRNazanin" w:eastAsia="IRNazanin"/>
          <w:color w:val="111111"/>
          <w:sz w:val="28"/>
          <w:sz w:val="28"/>
          <w:szCs w:val="28"/>
          <w:rtl w:val="true"/>
          <w:lang w:bidi="fa-IR"/>
        </w:rPr>
        <w:t>تحدّث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متعصّبی أهل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الإمام علی علیه السّلام و عن خصائصه و صفاته الذاتیة، ونحن نُورد عنه بعض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الحسن، علی بن أبی طالب علیه السّلام، القرشی الهاشمی، ابن عمّ رسول الله صلّی الله علیه و آله و صهره علی ابنته فاطمة علیها السّلام، وذرّیتّه صلّی الله علیه و آله منهما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وأنّه أوّل شاب دخل الإسلام، وصدّق النبی صلّی الله علیه و آله وإنّه رافق النبی صلّی الله علیه و آله فی هجرته إلی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یَشْرِی نَفْسَهُ ابْتِغاءَ مَرْضاتِ اللّهِ</w:t>
      </w:r>
      <w:r>
        <w:rPr>
          <w:rFonts w:eastAsia="Amiri" w:cs="Amiri" w:ascii="Amiri" w:hAnsi="Amiri"/>
          <w:color w:val="111111"/>
          <w:sz w:val="28"/>
          <w:szCs w:val="28"/>
          <w:rtl w:val="true"/>
          <w:lang w:bidi="ar-SA"/>
        </w:rPr>
        <w:t xml:space="preserve">) </w:t>
      </w:r>
      <w:r>
        <w:rPr>
          <w:rStyle w:val="FootnoteAnchor"/>
          <w:rtl w:val="true"/>
        </w:rPr>
        <w:footnoteReference w:id="128"/>
      </w:r>
      <w:r>
        <w:rPr>
          <w:rFonts w:ascii="IRNazanin" w:hAnsi="IRNazanin" w:eastAsia="IRNazanin"/>
          <w:color w:val="111111"/>
          <w:sz w:val="28"/>
          <w:sz w:val="28"/>
          <w:szCs w:val="28"/>
          <w:rtl w:val="true"/>
          <w:lang w:bidi="fa-IR"/>
        </w:rPr>
        <w:t>قد نزلت فی شأنه، وأنّه شارک فی کلّ الغزوات الاسلامیة، ما عدا غزوة تبوک؛ إذ خلّفه الرسول صلّی الله علیه و آله مکانه فی أهل بیته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رسول الله صلّی الله علیه و آله فی کثیر من الحروب یعطی لواء الإسلام بیده، و فی یوم خیبر قال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لأعطینَّ الرایة رجلاً یفتح الله علی یدیه، یحبّ الله و رسوله، ویحبّه 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أعطی الرایة علیاً بن أبی طالب علیه السّلام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 رسول الله صلّی الله علیه و آله اتّخذه أخاً من بین أصحابه،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أخی فی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أحد العشرة المبشّرة بالجنّة؛ و قد جُمعت له من الفضائل ما لم تُجمع لغیره</w:t>
      </w:r>
      <w:r>
        <w:rPr>
          <w:rFonts w:eastAsia="IRNazanin" w:cs="IRNazanin"/>
          <w:color w:val="111111"/>
          <w:sz w:val="28"/>
          <w:szCs w:val="28"/>
          <w:rtl w:val="true"/>
          <w:lang w:bidi="fa-IR"/>
        </w:rPr>
        <w:t>.</w:t>
      </w:r>
      <w:bookmarkStart w:id="162" w:name="pg5285_67205"/>
    </w:p>
    <w:p>
      <w:pPr>
        <w:pStyle w:val="BookText"/>
        <w:rPr/>
      </w:pPr>
      <w:bookmarkEnd w:id="162"/>
      <w:r>
        <w:rPr>
          <w:rFonts w:ascii="IRNazanin" w:hAnsi="IRNazanin" w:eastAsia="IRNazanin"/>
          <w:color w:val="111111"/>
          <w:sz w:val="28"/>
          <w:sz w:val="28"/>
          <w:szCs w:val="28"/>
          <w:rtl w:val="true"/>
          <w:lang w:bidi="fa-IR"/>
        </w:rPr>
        <w:t>کان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من العلم، وبحر فی قوّة البرهان والاستدلال، والاستنباط السلیم فیاض فی الفصاحة و الخطابة و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یمتلک عقلاً حکیماً وبصیرةً نافذةً فی الأمور الخفیة، کما و إنّ الصحابة کانوا یرجعون إلیه فی کثیر من الأمور و المشکلات العلمیة و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عهد له رسول‌الإسلام صلّی الله علیه و آله مهمّة فتح الیمن، ودعا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ثبّت لسانه واهد 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کان إنساناً موفّقاً وینطق بالسد و الحکمة، وکان یضرب به المثل بفصل الخطاب فی المشکلات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ولا أبا حسن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عجب فی ذلک؛ لکونه تربّی فی بیت الرسالة، وتغذّی من لَبَن المعارف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کتب الذهبی عن المکانة التفسیریة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أعلم الصحابة بمواقع التنزیل ومعرفة التأویل، و قد رُوی عن ابن عبّاس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أخذتُ من تفسیر القرآن فعن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کتب بعد أن واصل نقل الروایات عن الصحابة فی بیان المکانة العلمیة لعلی بن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وغیر هذا کثیر من الآثار التی تشهد له بأنّه کان صدر المفسّرین</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وطبقاً للوثائق و المستندات الموجودة، والروایات المعتبرة عند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والسنة فإنّ أعلم الناس بالدین و الأحکام الإلهیة، والقرآن الکریم بعد رسول الله صلّی الله علیه و آله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علمه هو من علم رسول الله صلّی الله علیه و آله وإلهامات الخالق المتعال</w:t>
      </w:r>
      <w:r>
        <w:rPr>
          <w:rFonts w:eastAsia="IRNazanin" w:cs="IRNazanin"/>
          <w:color w:val="111111"/>
          <w:sz w:val="28"/>
          <w:szCs w:val="28"/>
          <w:rtl w:val="true"/>
          <w:lang w:bidi="fa-IR"/>
        </w:rPr>
        <w:t>.</w:t>
      </w:r>
    </w:p>
    <w:p>
      <w:pPr>
        <w:pStyle w:val="Heading5"/>
        <w:numPr>
          <w:ilvl w:val="4"/>
          <w:numId w:val="1"/>
        </w:numPr>
        <w:rPr/>
      </w:pPr>
      <w:bookmarkStart w:id="163" w:name="__RefHeading___Toc633935_581953129"/>
      <w:bookmarkStart w:id="164" w:name="_Toc63"/>
      <w:bookmarkEnd w:id="163"/>
      <w:r>
        <w:rPr>
          <w:rtl w:val="true"/>
        </w:rPr>
        <w:t>أقوال رسول الله صلّی الله علیه و آله فیما یخصُّ علم علی علیه السّلام</w:t>
      </w:r>
      <w:bookmarkEnd w:id="164"/>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العلم وعلی، بابها فمَن أراد العلم فلیأتِ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اعتبر کبّار علماء أهل السنّة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الطبری، وابن معین، والحاکم، والخطیب و السیوطی، هذا الحدیث، وأکثر من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المحدّثین الکبار، استدلّوا بهذا الحدیث، وعرّفوه بأنّه من الأحادیث الصحیحة و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أکثر من عشرین نفر منهم سند الحدیث الکامل ورأوه صحیحاً</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وفی روایة سلمان الفارسی أنّ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 أمّتی من بعدی علی بن أبی‌طالب</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وفی حدیث آخر أنّه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 علیه السّلام أعلم الناس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حدیث آخر، أنّه قال لابنته فاطمة الزهراء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زوجکِ خیرُ أهلی أعلمهم علماً وأفضلهم حلماً وأوّلهم إسلاماً</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و قد نقل أبو أمامة عن رسول الله صلّی الله علیه و آله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 أمتی بالسُّنة و القضاء بعدی علی بن أبی‌طالب علیه السّلام</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قال رسول الله صلّی الله علیه و آله، للإمام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أمرنی أنْ ادنیکَ ولا اقصیکَ، وأنْ اعلّمک ولا أجفوک، فحقیقٌ علی أن أعلّمکَ وحقیقٌ علیک أن تَعِی</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و أیضاً عن رسول الله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القرآن و القرآن مع علیّ لن یفترقا حتّی یردا علی الحوض</w:t>
      </w:r>
      <w:r>
        <w:rPr>
          <w:rFonts w:eastAsia="IRNazanin" w:cs="IRNazanin"/>
          <w:color w:val="111111"/>
          <w:sz w:val="28"/>
          <w:szCs w:val="28"/>
          <w:rtl w:val="true"/>
          <w:lang w:bidi="fa-IR"/>
        </w:rPr>
        <w:t xml:space="preserve">». </w:t>
      </w:r>
      <w:r>
        <w:rPr>
          <w:rStyle w:val="FootnoteAnchor"/>
          <w:rtl w:val="true"/>
        </w:rPr>
        <w:footnoteReference w:id="135"/>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رسول الله صلّی الله علیه و آله فی حدیث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بابُ علمی ومبینُ لأمّتی ما أرسلتُ به من بعدی</w:t>
      </w:r>
      <w:r>
        <w:rPr>
          <w:rFonts w:eastAsia="IRNazanin" w:cs="IRNazanin"/>
          <w:color w:val="111111"/>
          <w:sz w:val="28"/>
          <w:szCs w:val="28"/>
          <w:rtl w:val="true"/>
          <w:lang w:bidi="fa-IR"/>
        </w:rPr>
        <w:t xml:space="preserve">». </w:t>
      </w:r>
      <w:r>
        <w:rPr>
          <w:rStyle w:val="FootnoteAnchor"/>
          <w:rtl w:val="true"/>
        </w:rPr>
        <w:footnoteReference w:id="136"/>
      </w:r>
      <w:bookmarkStart w:id="165" w:name="pg5285_67207"/>
    </w:p>
    <w:p>
      <w:pPr>
        <w:pStyle w:val="Heading5"/>
        <w:numPr>
          <w:ilvl w:val="4"/>
          <w:numId w:val="1"/>
        </w:numPr>
        <w:rPr/>
      </w:pPr>
      <w:bookmarkStart w:id="166" w:name="__RefHeading___Toc633937_581953129"/>
      <w:bookmarkStart w:id="167" w:name="_Toc64"/>
      <w:bookmarkEnd w:id="165"/>
      <w:bookmarkEnd w:id="166"/>
      <w:r>
        <w:rPr>
          <w:rtl w:val="true"/>
        </w:rPr>
        <w:t>علم علی علی لسان علی علیه السّلام</w:t>
      </w:r>
      <w:bookmarkEnd w:id="1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سلُونی قبل أن تفقدونی، فلأنا بطرقِ السماءِ أعلمُ منّی بطرق الأرض</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ینحدر عنّی السیلُ ولا یرقی إلی الطیر</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معاشر الناس، سلونی قبل أن تفقدونی، سلونی فإنّ عندی علمُ الأوّلین و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لوثنت لی الوسادة حکمتُ بین أهل التوراة بتوراتهم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قبل أنْ تفقدونی، فوالذی فلق الحبّة وبَرَءَ النسمة، لو سألتمونی عن آیة آیةٍ، لأخبرتکم بوقتِ نزولها، وفِیمَ 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علَّمنی ألف بابٍ من الحلال و الحرام، ممّا کان وما یکون إلی یوم القیامة کلّ باب منها یفتحُ ألفَ باب</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نزلت آیة إلاّ و قد علمتُ فیما نزلت؟ وأین نزلت؟ وعلی مَن نزلت؟ إنّ ربّی وهب لی قلباً عقولاً ولساناً ناطقاً سؤلاً</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فقد نقل ثقة الإسلام الکلینی رحمه الله فی الکافی من کلام أمیر المؤمنین علیه السّلام ما هذا نصّه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نزلت علی رسول الله آیة من القرآن إلاّ أقرأنیها، وأملاها علی فکتبتها بخطّی، وعلَّمنی تأویلها وتفسیرها، وناسخها ومنسوخها ومحکمها ومتشابهها، وخاصَّها وعامّها، ودعا الله أن یعطینی فهمها وحفظها، فما نَسیتُ آیةً من کتاب الله، ولا علماً أملاه علی وکتبته منذ دعا الله لی بما دعا، ثمّ وضع یده علی صدری، ودعا الله، أن یملأ قلبی علماً وفهماً وحکماً ونوراً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یا نبی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وأمّی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دَعوتَ الله لی بما دَعوتَ لم أنسَ شیئاً، ولمَ یفتنی شی لم أکتبه، أفتتخوّفُ علی النسیان فیما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لستُ أتخوّف علیک النسیانَ و الجهل</w:t>
      </w:r>
      <w:r>
        <w:rPr>
          <w:rFonts w:eastAsia="IRNazanin" w:cs="IRNazanin"/>
          <w:color w:val="111111"/>
          <w:sz w:val="28"/>
          <w:szCs w:val="28"/>
          <w:rtl w:val="true"/>
          <w:lang w:bidi="fa-IR"/>
        </w:rPr>
        <w:t xml:space="preserve">». </w:t>
      </w:r>
      <w:r>
        <w:rPr>
          <w:rStyle w:val="FootnoteAnchor"/>
          <w:rtl w:val="true"/>
        </w:rPr>
        <w:footnoteReference w:id="142"/>
      </w:r>
      <w:bookmarkStart w:id="168" w:name="pg5285_67208"/>
    </w:p>
    <w:p>
      <w:pPr>
        <w:pStyle w:val="BookText"/>
        <w:rPr/>
      </w:pPr>
      <w:bookmarkEnd w:id="168"/>
      <w:r>
        <w:rPr>
          <w:rFonts w:ascii="IRNazanin" w:hAnsi="IRNazanin" w:eastAsia="IRNazanin"/>
          <w:color w:val="111111"/>
          <w:sz w:val="28"/>
          <w:sz w:val="28"/>
          <w:szCs w:val="28"/>
          <w:rtl w:val="true"/>
          <w:lang w:bidi="fa-IR"/>
        </w:rPr>
        <w:t>هذه الروایة من بینت عظمة علم علی علیه السّلام، وفی أنّه لا نظیر له بعد الرسول المصطفی صلّی الله علیه و آله، وهی کافیة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یخصُّ علمه وأهل بیته بالقرآن، وفی أنّهم أفضل العارفین بین الناس بالقرآن یقول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القرآنِ إنّما هو خطٌ مسطورٌ بین الدفتین، لا ینطق ولا بدّ له مِن ترجمان، و إنّما ینطق عنه الرجالُ، ولمّا دعانا القوم إلی أن نُحکّمَ بیننا القرآن، لم نکن الفریق المتولّی عن کتاب الله سبحانه وتعالی، و قد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تَنازَعْتُمْ فِی شَیْ‌ءٍ فَرُدُّوهُ إِلَی اللّهِ وَ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فردُه إلی الله؛ أن نحکُم بکتابه، وردّه إلی الرسول؛ أن نأخذَ بسنّته، فإذا حُکم بالصدق فی کتاب الله، فنحن أحقُّ الناس به، و إن حُکم بسنّة رسول الله صلّی الله علیه و آله، فنحنُ أحقُّ الناس وأولاهم بها</w:t>
      </w:r>
      <w:r>
        <w:rPr>
          <w:rFonts w:eastAsia="IRNazanin" w:cs="IRNazanin"/>
          <w:color w:val="111111"/>
          <w:sz w:val="28"/>
          <w:szCs w:val="28"/>
          <w:rtl w:val="true"/>
          <w:lang w:bidi="fa-IR"/>
        </w:rPr>
        <w:t xml:space="preserve">». </w:t>
      </w:r>
      <w:r>
        <w:rPr>
          <w:rStyle w:val="FootnoteAnchor"/>
          <w:rtl w:val="true"/>
        </w:rPr>
        <w:footnoteReference w:id="144"/>
      </w:r>
    </w:p>
    <w:p>
      <w:pPr>
        <w:pStyle w:val="Heading5"/>
        <w:numPr>
          <w:ilvl w:val="4"/>
          <w:numId w:val="1"/>
        </w:numPr>
        <w:rPr/>
      </w:pPr>
      <w:bookmarkStart w:id="169" w:name="__RefHeading___Toc633939_581953129"/>
      <w:bookmarkStart w:id="170" w:name="_Toc65"/>
      <w:bookmarkEnd w:id="169"/>
      <w:r>
        <w:rPr>
          <w:rtl w:val="true"/>
        </w:rPr>
        <w:t>رأی الصحابة حول علم علی علیه السّلام</w:t>
      </w:r>
      <w:bookmarkEnd w:id="170"/>
    </w:p>
    <w:p>
      <w:pPr>
        <w:pStyle w:val="BookText"/>
        <w:rPr/>
      </w:pPr>
      <w:r>
        <w:rPr>
          <w:rFonts w:ascii="IRNazanin" w:hAnsi="IRNazanin" w:eastAsia="IRNazanin"/>
          <w:color w:val="111111"/>
          <w:sz w:val="28"/>
          <w:sz w:val="28"/>
          <w:szCs w:val="28"/>
          <w:rtl w:val="true"/>
          <w:lang w:bidi="fa-IR"/>
        </w:rPr>
        <w:t>إنّ أشهر المفسّرین فی الصحابة، أربعة أشخاص،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 ابن مسعود، واُبی بن کعب، وعبد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اتّفقت کلمة الصحابة علی أعلمیة علی علیه السّلام وفی کلّ المجالات، وعلی الأخصّ فی مجال تفسیر القرآن الکریم أنّه أفضل هؤلآء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ابن عبّاس، و هو أشهر المفسّرین من الصحابة بعد الإمام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ما تعلَّمتُ من التفسیر، من علی بن أبی طالب علیه السّلام</w:t>
      </w:r>
      <w:r>
        <w:rPr>
          <w:rFonts w:eastAsia="IRNazanin" w:cs="IRNazanin"/>
          <w:color w:val="111111"/>
          <w:sz w:val="28"/>
          <w:szCs w:val="28"/>
          <w:rtl w:val="true"/>
          <w:lang w:bidi="fa-IR"/>
        </w:rPr>
        <w:t xml:space="preserve">. </w:t>
      </w:r>
      <w:r>
        <w:rPr>
          <w:rStyle w:val="FootnoteAnchor"/>
          <w:rtl w:val="true"/>
        </w:rPr>
        <w:footnoteReference w:id="145"/>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عَلِمَ علماً علَّمه رسول الله صلّی الله علیه و آله، ورسول الله صلّی الله علیه و آله علَّمه اللهُ، فعلم النبی صلّی الله علیه و آله من علم الله، وعلمُ علیٍّ من علم النبی صلّی الله علیه و آله، وعلمی من علم علی علیه السّلام وما علمی وعلمُ أصحاب محمّد صلّی الله علیه و آله فی علم علی إلاّ کقطرة فی سبعة أبحُر</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أعطی علی بن أبی طالب علیه السّلام تسعة أعشار العلم، وأیم اللهِ، لقد شارکهم فی العُشر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أخری یقول ابن عبّاس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العلم بین الناس خمسة أجزاء فکان لعلی منها أربعة أجزاء، ولسائر الناس جزءٌ شارکهم علی فیه، فکان أعلمهم به</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ویقول عبد 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أنزل علی سبعة أحرف، ما منها حرف إلاّ وله ظاهر وباطن</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و إنّ علی بن أبی طالب علیه السّلام عنده منه الظاهر و الباطن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سعید بن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أحد من الناس یقول سلونی غیر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عن کلّ ما تریدون السؤال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یقول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عُمر یتعوّذ من معضلة لیس لها أبو الحسن</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یقول أبو الطفیل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علیه السّلام یقول</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سلونی، سلونی عن کتاب الله تعالی، فَوَالله ما من آیة إلاّ وأنا أعلم أنزلت بلیلٍ أو نهارٍ</w:t>
      </w:r>
      <w:r>
        <w:rPr>
          <w:rFonts w:eastAsia="IRNazanin" w:cs="IRNazanin"/>
          <w:color w:val="111111"/>
          <w:sz w:val="28"/>
          <w:szCs w:val="28"/>
          <w:rtl w:val="true"/>
          <w:lang w:bidi="fa-IR"/>
        </w:rPr>
        <w:t xml:space="preserve">...». </w:t>
      </w:r>
      <w:r>
        <w:rPr>
          <w:rStyle w:val="FootnoteAnchor"/>
          <w:rtl w:val="true"/>
        </w:rPr>
        <w:footnoteReference w:id="150"/>
      </w:r>
      <w:bookmarkStart w:id="171" w:name="pg5285_67210"/>
    </w:p>
    <w:p>
      <w:pPr>
        <w:pStyle w:val="BookText"/>
        <w:rPr/>
      </w:pPr>
      <w:bookmarkEnd w:id="171"/>
      <w:r>
        <w:rPr>
          <w:rFonts w:ascii="IRNazanin" w:hAnsi="IRNazanin" w:eastAsia="IRNazanin"/>
          <w:color w:val="111111"/>
          <w:sz w:val="28"/>
          <w:sz w:val="28"/>
          <w:szCs w:val="28"/>
          <w:rtl w:val="true"/>
          <w:lang w:bidi="fa-IR"/>
        </w:rPr>
        <w:t>ویقول مسروق بن الأجدع الهمْدانی، و هو من فقهاء التابعین</w:t>
      </w:r>
      <w:r>
        <w:rPr>
          <w:rFonts w:eastAsia="IRNazanin" w:cs="IRNazanin"/>
          <w:color w:val="111111"/>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العلم إلی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بالمدینة علی بن أبی طالب علیه السّلام، وعالم بالعراق عبدالله بن مسعود، وعالم بالشام أبی الدرداء، فاذا التقوا سأل عالمُ الشام وعالمُ العراق عالمَ المدینة، و هو لم یسألهم</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وکتب المسعودی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ملاک التفاضل بین أصحاب رسول الله صلّی الله علیه و آله هی کما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السبق إلی الإیمان، والهجرة، والنصرة لرسول الله صلّی الله علیه و آله، القربی منه، والقناعة، وبذل النفس، والعلم باالکتاب بکتاب و التنزیل، والجِهاد فی سبیل الله، والورع، والزهد، والقضاء، والحکم، والفقه، والعلم، وکُلُّ ذلک لعلی علیه السّلام منه النصیب الأوفر و الحظّ 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آخی بین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أقوال الرسول الأخری،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 إلاّ أنّه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Fonts w:eastAsia="IRNazanin" w:cs="IRNazanin"/>
          <w:color w:val="111111"/>
          <w:sz w:val="28"/>
          <w:szCs w:val="28"/>
          <w:rtl w:val="true"/>
          <w:lang w:bidi="fa-IR"/>
        </w:rPr>
        <w:t xml:space="preserve">...». </w:t>
      </w:r>
      <w:r>
        <w:rPr>
          <w:rStyle w:val="FootnoteAnchor"/>
          <w:rtl w:val="true"/>
        </w:rPr>
        <w:footnoteReference w:id="152"/>
      </w:r>
    </w:p>
    <w:p>
      <w:pPr>
        <w:pStyle w:val="Heading4"/>
        <w:numPr>
          <w:ilvl w:val="3"/>
          <w:numId w:val="1"/>
        </w:numPr>
        <w:rPr/>
      </w:pPr>
      <w:bookmarkStart w:id="172" w:name="__RefHeading___Toc633941_581953129"/>
      <w:bookmarkStart w:id="173" w:name="_Toc66"/>
      <w:bookmarkEnd w:id="172"/>
      <w:r>
        <w:rPr>
          <w:rtl w:val="true"/>
        </w:rPr>
        <w:t>الثانی</w:t>
      </w:r>
      <w:r>
        <w:rPr>
          <w:rtl w:val="true"/>
        </w:rPr>
        <w:t xml:space="preserve">: </w:t>
      </w:r>
      <w:r>
        <w:rPr>
          <w:rtl w:val="true"/>
        </w:rPr>
        <w:t>عبد الله بن عبّاس</w:t>
      </w:r>
      <w:bookmarkEnd w:id="173"/>
    </w:p>
    <w:p>
      <w:pPr>
        <w:pStyle w:val="Heading5"/>
        <w:numPr>
          <w:ilvl w:val="4"/>
          <w:numId w:val="1"/>
        </w:numPr>
        <w:rPr/>
      </w:pPr>
      <w:bookmarkStart w:id="174" w:name="__RefHeading___Toc633943_581953129"/>
      <w:bookmarkStart w:id="175" w:name="_Toc67"/>
      <w:bookmarkEnd w:id="174"/>
      <w:r>
        <w:rPr>
          <w:rtl w:val="true"/>
        </w:rPr>
        <w:t>اشارة</w:t>
      </w:r>
      <w:bookmarkEnd w:id="175"/>
    </w:p>
    <w:p>
      <w:pPr>
        <w:pStyle w:val="BookText"/>
        <w:rPr/>
      </w:pPr>
      <w:r>
        <w:rPr>
          <w:rFonts w:ascii="IRNazanin" w:hAnsi="IRNazanin" w:eastAsia="IRNazanin"/>
          <w:color w:val="111111"/>
          <w:sz w:val="28"/>
          <w:sz w:val="28"/>
          <w:szCs w:val="28"/>
          <w:rtl w:val="true"/>
          <w:lang w:bidi="fa-IR"/>
        </w:rPr>
        <w:t>عبد الله بن عبّاس بن عبد المطلب هو ابن عمِّ رسول الله صلّی الله علیه و آله، وُلِدَ فی السنة الثالثة قبل الهجرة، ولازم النبی صلّی الله علیه و آله منذ أیام طفولته وکان عمره عند رحلة المصطفی صلّی الله علیه و آله ثلاث عشرة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البعض إنّه فی السنة الخامسة عشرة من عمره، ثمّ لازم کُبار الصحابة، ومن جملتهم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حتّی تُوفّی فی السبعین من عمره سنة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فی مدینة الطائف</w:t>
      </w:r>
      <w:r>
        <w:rPr>
          <w:rFonts w:eastAsia="IRNazanin" w:cs="IRNazanin"/>
          <w:color w:val="111111"/>
          <w:sz w:val="28"/>
          <w:szCs w:val="28"/>
          <w:rtl w:val="true"/>
          <w:lang w:bidi="fa-IR"/>
        </w:rPr>
        <w:t xml:space="preserve">. </w:t>
      </w:r>
      <w:r>
        <w:rPr>
          <w:rStyle w:val="FootnoteAnchor"/>
          <w:rtl w:val="true"/>
        </w:rPr>
        <w:footnoteReference w:id="153"/>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کان مع قلة المدة التی عاشها فی خدمة رسول الله صلّی الله علیه و آله، فقد کتب الطبرسی،</w:t>
      </w:r>
      <w:bookmarkStart w:id="176" w:name="pg5285_67211"/>
    </w:p>
    <w:p>
      <w:pPr>
        <w:pStyle w:val="BookText"/>
        <w:rPr/>
      </w:pPr>
      <w:bookmarkEnd w:id="176"/>
      <w:r>
        <w:rPr>
          <w:rFonts w:ascii="IRNazanin" w:hAnsi="IRNazanin" w:eastAsia="IRNazanin"/>
          <w:color w:val="111111"/>
          <w:sz w:val="28"/>
          <w:sz w:val="28"/>
          <w:szCs w:val="28"/>
          <w:rtl w:val="true"/>
          <w:lang w:bidi="fa-IR"/>
        </w:rPr>
        <w:t>والمحدّث القمّی عن 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أوتیَ بقدح من اللّبن إلی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عن یمیته، وخالد بن الولید عن یساره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فشرب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لعبد الله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الشریة لک افتأذن اعطی خالد بن ولید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اوثر بفضل رسول الله احداً فتناوک ابن عبّاس القدح وشربه</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وفی أحد الأیام بعث العبّاس ابنه عبد الله فی أمرٍ إلی رسول الله صلّی الله علیه و آله، وعندما دخل ابن عبّاس علی رسول الله صلّی الله علیه و آله وجده فی حدیث مع جبرائیل علیه السّلام، فأخذ الحیاء ابن عبّاس من أن یقطع تناجیهما، ولم یکن یعلم أن هذا هو جبریل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رجع إلی أبیه وشرح له مشاهداته، ثمّ عاد إلی رسول الله صلّی الله علیه و آله، ووضّح له ما أراد، وقال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ما کنتُ أحبُّ المزاحمة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فاحتضنه الرسول صلّی الله علیه و آله ووضع یده علی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فقّهه فی الدین وانتشر منه</w:t>
      </w:r>
      <w:r>
        <w:rPr>
          <w:rFonts w:eastAsia="IRNazanin" w:cs="IRNazanin"/>
          <w:color w:val="111111"/>
          <w:sz w:val="28"/>
          <w:szCs w:val="28"/>
          <w:rtl w:val="true"/>
          <w:lang w:bidi="fa-IR"/>
        </w:rPr>
        <w:t xml:space="preserve">». </w:t>
      </w:r>
      <w:r>
        <w:rPr>
          <w:rStyle w:val="FootnoteAnchor"/>
          <w:rtl w:val="true"/>
        </w:rPr>
        <w:footnoteReference w:id="155"/>
      </w:r>
    </w:p>
    <w:p>
      <w:pPr>
        <w:pStyle w:val="Heading5"/>
        <w:numPr>
          <w:ilvl w:val="4"/>
          <w:numId w:val="1"/>
        </w:numPr>
        <w:rPr/>
      </w:pPr>
      <w:bookmarkStart w:id="177" w:name="__RefHeading___Toc633945_581953129"/>
      <w:bookmarkStart w:id="178" w:name="_Toc68"/>
      <w:bookmarkEnd w:id="177"/>
      <w:r>
        <w:rPr>
          <w:rtl w:val="true"/>
        </w:rPr>
        <w:t>ابن عباس مفسراً</w:t>
      </w:r>
      <w:bookmarkEnd w:id="178"/>
    </w:p>
    <w:p>
      <w:pPr>
        <w:pStyle w:val="BookText"/>
        <w:rPr/>
      </w:pPr>
      <w:r>
        <w:rPr>
          <w:rFonts w:ascii="IRNazanin" w:hAnsi="IRNazanin" w:eastAsia="IRNazanin"/>
          <w:color w:val="111111"/>
          <w:sz w:val="28"/>
          <w:sz w:val="28"/>
          <w:szCs w:val="28"/>
          <w:rtl w:val="true"/>
          <w:lang w:bidi="fa-IR"/>
        </w:rPr>
        <w:t>ابن عباس و هو من اشهر المفسرین من الصحابة و هو تلمیذ الامام امیرالمؤمنین و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ما تعلمت من التفسیر فعن علی ابن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یلقّب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ترجمان القرآن، </w:t>
      </w:r>
      <w:r>
        <w:rPr>
          <w:rStyle w:val="FootnoteAnchor"/>
          <w:rtl w:val="true"/>
        </w:rPr>
        <w:footnoteReference w:id="157"/>
      </w:r>
      <w:r>
        <w:rPr>
          <w:rFonts w:ascii="IRNazanin" w:hAnsi="IRNazanin" w:eastAsia="IRNazanin"/>
          <w:color w:val="111111"/>
          <w:sz w:val="28"/>
          <w:sz w:val="28"/>
          <w:szCs w:val="28"/>
          <w:rtl w:val="true"/>
          <w:lang w:bidi="fa-IR"/>
        </w:rPr>
        <w:t xml:space="preserve">حبر الامه، </w:t>
      </w:r>
      <w:r>
        <w:rPr>
          <w:rStyle w:val="FootnoteAnchor"/>
          <w:rtl w:val="true"/>
        </w:rPr>
        <w:footnoteReference w:id="158"/>
      </w:r>
      <w:r>
        <w:rPr>
          <w:rFonts w:ascii="IRNazanin" w:hAnsi="IRNazanin" w:eastAsia="IRNazanin"/>
          <w:color w:val="111111"/>
          <w:sz w:val="28"/>
          <w:sz w:val="28"/>
          <w:szCs w:val="28"/>
          <w:rtl w:val="true"/>
          <w:lang w:bidi="fa-IR"/>
        </w:rPr>
        <w:t>فارس القرآن و یسمّی البحر لکثرة علمه</w:t>
      </w:r>
      <w:r>
        <w:rPr>
          <w:rFonts w:eastAsia="IRNazanin" w:cs="IRNazanin"/>
          <w:color w:val="111111"/>
          <w:sz w:val="28"/>
          <w:szCs w:val="28"/>
          <w:rtl w:val="true"/>
          <w:lang w:bidi="fa-IR"/>
        </w:rPr>
        <w:t xml:space="preserve">. </w:t>
      </w:r>
      <w:r>
        <w:rPr>
          <w:rStyle w:val="FootnoteAnchor"/>
          <w:rtl w:val="true"/>
        </w:rPr>
        <w:footnoteReference w:id="159"/>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 عن ابن عباس فی التفسیر وروایاته صحیحة و ضعیفة</w:t>
      </w:r>
      <w:r>
        <w:rPr>
          <w:rFonts w:eastAsia="IRNazanin" w:cs="IRNazanin"/>
          <w:color w:val="111111"/>
          <w:sz w:val="28"/>
          <w:szCs w:val="28"/>
          <w:rtl w:val="true"/>
          <w:lang w:bidi="fa-IR"/>
        </w:rPr>
        <w:t>».</w:t>
      </w:r>
      <w:bookmarkStart w:id="179" w:name="pg5285_67212"/>
    </w:p>
    <w:p>
      <w:pPr>
        <w:pStyle w:val="Heading5"/>
        <w:numPr>
          <w:ilvl w:val="4"/>
          <w:numId w:val="1"/>
        </w:numPr>
        <w:rPr/>
      </w:pPr>
      <w:bookmarkStart w:id="180" w:name="__RefHeading___Toc633947_581953129"/>
      <w:bookmarkStart w:id="181" w:name="_Toc69"/>
      <w:bookmarkEnd w:id="179"/>
      <w:bookmarkEnd w:id="180"/>
      <w:r>
        <w:rPr>
          <w:rtl w:val="true"/>
        </w:rPr>
        <w:t>ابن عبّاس وولایة علی علیه السّلام</w:t>
      </w:r>
      <w:r>
        <w:rPr>
          <w:rtl w:val="true"/>
        </w:rPr>
        <w:t>:</w:t>
      </w:r>
      <w:bookmarkEnd w:id="181"/>
    </w:p>
    <w:p>
      <w:pPr>
        <w:pStyle w:val="BookText"/>
        <w:rPr/>
      </w:pPr>
      <w:r>
        <w:rPr>
          <w:rFonts w:ascii="IRNazanin" w:hAnsi="IRNazanin" w:eastAsia="IRNazanin"/>
          <w:color w:val="111111"/>
          <w:sz w:val="28"/>
          <w:sz w:val="28"/>
          <w:szCs w:val="28"/>
          <w:rtl w:val="true"/>
          <w:lang w:bidi="fa-IR"/>
        </w:rPr>
        <w:t>یعتقد المؤرّخون جمیعاً أنّ ابن عبّاس من الموالین لعلی بن أبی‌طالب علیه السّلام وأتباعه فی علم التفسیر، ویعرّفه المحقّقون الإسلامیون أنّه من تلامذته علیه السّلام، بل هو من خواصِّه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کانت علاقته بأهل‌البیت علیهم السّلام وعلی الخصوص بالإمام علی علیه السّلام وثیقة جدّاً، وله أقوال قیمة فی هذا الصدد، و هو أحد رواة حدیث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الشارح لذلک الحدیث أیضاً</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فقد روی الحافظ السجستانی بإسناده إلی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وجبَت و الله فی أعناق القوم</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فهو یقسم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ولایة علی علیه السّلام وجبَت علی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نقل الکشّی، و هو رجالیّ معروف، عن ابن عبّاس فی آخر مرضه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رسول الله صلّی الله علیه و آله أنبأنی أنّی سأهاجر هجرتین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فهاجرت مع رسول الله صلّی الله علیه و آله، وهاجرت مع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وأمرنی أن أبرأ من خمسة، من الناکثین،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الجمل، ومن القاسطین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الشام، ومن الخوارج،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النهروان، و من القدریة، </w:t>
      </w:r>
      <w:r>
        <w:rPr>
          <w:rStyle w:val="FootnoteAnchor"/>
          <w:rtl w:val="true"/>
        </w:rPr>
        <w:footnoteReference w:id="162"/>
      </w:r>
      <w:r>
        <w:rPr>
          <w:rFonts w:ascii="Amiri" w:hAnsi="Amiri" w:eastAsia="Amiri" w:cs="Amiri"/>
          <w:color w:val="111111"/>
          <w:sz w:val="28"/>
          <w:sz w:val="28"/>
          <w:szCs w:val="28"/>
          <w:rtl w:val="true"/>
          <w:lang w:bidi="ar-SA"/>
        </w:rPr>
        <w:t>ومن المرجئة</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اشهد أنّی أحیا علی ما یحیی علیه علی بن أبی‌طالب علیه السّلام، وموتی علی ذلک الیقین، الذی کان علیه ذلک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عندها أغمض عینه عن هذا العالم</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وجاء فی روایة أخری عن عطا،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الوقت الذی کان ابن عبّاس علی فراش المرض الذی وقع فیه فی مدینة الطائف، ذهبنا لعیادته فی مجموعة تقارب ثلاثین نفراً من وجوه الطائف، وکان ابن عبّاس شاحب الوجه یعانی الضعف، فسلّمنا علیه وجلسنا عنده،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عطاء، من هؤلاء القوم؟</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هؤلآء هم وُجهاء هذه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عبد الله بن سلمة بن حصرم الطائفی، وعُمارة بن أبی الأجلح، وثابت بن مالک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وعددتُ له أسماء الحاضرین وعرّفته بهم، ثمّ إنّ رفقائی دنو منه، وقالوا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عمّ الرسول صلّی الله علیه و آله، أنت رأیتَ رسول الله صلّی الله علیه و آله وسمعتَ منه ما یجب وما لا یجب، بصِّرنا حول اختلاف هذه الأمّة؟ جماعة تُقدّم علیاً علیه السّلام علی الآخرین، وجماعة تعتبره الخلیفة الرابع بعد الثلاثة، بَصِّرنا بسرِّ وحقیقة هذه القضیة؟</w:t>
      </w:r>
    </w:p>
    <w:p>
      <w:pPr>
        <w:pStyle w:val="BookText"/>
        <w:rPr/>
      </w:pPr>
      <w:r>
        <w:rPr>
          <w:rFonts w:ascii="IRNazanin" w:hAnsi="IRNazanin" w:eastAsia="IRNazanin"/>
          <w:color w:val="111111"/>
          <w:sz w:val="28"/>
          <w:sz w:val="28"/>
          <w:szCs w:val="28"/>
          <w:rtl w:val="true"/>
          <w:lang w:bidi="fa-IR"/>
        </w:rPr>
        <w:t>یقول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تنفّس ابن عبّاس الصعداء،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سمعتُ رسول الله صلّی الله علیه و آله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الحقّ و الحقّ معه، و هو الإمام و الخلیفة من بعدی، فمَن تمسّک به فاز ونجا، ومَن تخلّف عنه ضلَّ وغوی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تمسّک بعترتی من بعدی کان من الفائزین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عطاء</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أن ذهبوا قال لی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عطاء، خذ بیدی وأخرجنی إلی فَناء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أنا وسعید بیده، وأخذناه إلی صحن الدار، فمدّ ابن عبّاس یده إلی السماء،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أتقرّب إلیک بمحمّد وآل محمّد، اللّهم إنّی أتقرّب إلیک بولایة الشیخ علی بن أبی‌طالب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واستمر فی تکرار هذه العبارة حتّی سقط علی الأرض فتأملنا به قلیلاً وعند ما أردنا حمله من مکانه رأیناه قد فارق الدنیا رحمه الله</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و کان ابن عبّاس موضع ثناء رسول الله صلّی الله علیه و آله و علی بن أبی‌طالب علیه السّلام و الصحابة و الأئمّة الأطهار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کتب الشیخ 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الأئمّة من أولاد رسول الله صلّی الله علیه و آله یحبّونه کثیراً ویذکرونه باحترام وإکرام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نقل الشیخ المفید بسند عن الإمام الصادق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أبی یحبُّ بن عبّاس‌کثیراً</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وأنه فَقَدَ بصره فی أواخر عمره، و قد ذکر أنّ سبب ذلک یعود إلی وقوع حادثة کربلاء، والتی تجاوزت مصیبتها الحدّ عنده، لِمَا جری علی أهل‌البیت علیهم السّلام، فکان یبکی حتّی ذهبت عیناه</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یقول العلاّمة الحلّی فی الخلاصة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ابن عبّاس من أصحاب رسول الله صلّی الله علیه و آله وأنصاره، ومن محبی وتلامذة علی علیه السّلام،</w:t>
      </w:r>
    </w:p>
    <w:p>
      <w:pPr>
        <w:pStyle w:val="BookText"/>
        <w:rPr/>
      </w:pPr>
      <w:r>
        <w:rPr>
          <w:rFonts w:ascii="IRNazanin" w:hAnsi="IRNazanin" w:eastAsia="IRNazanin"/>
          <w:color w:val="111111"/>
          <w:sz w:val="28"/>
          <w:sz w:val="28"/>
          <w:szCs w:val="28"/>
          <w:rtl w:val="true"/>
          <w:lang w:bidi="fa-IR"/>
        </w:rPr>
        <w:t>و قد اشتهر فی الإخلاص لأمیر المؤمنین علیه السّلام شهرة لا تخفی علی أحد</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وعلی أی حالٍ، فإنّ علماء الإسلام من زمان رسول الله صلّی الله علیه و آله وإلی الآن متّفقون علی مدح ابن عبّاس و الثناء علیه غیر أنّ هناک شبهة طُرحت حوله من وجود بعض الروایات التی أوردها الکّشی، والتی تتضمّن قدحاً فی ابن عبّاس وذمّه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کتب الشهید الثانی فی نقد هذه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الأحادیث التی نقلها الکشی فی ذمّ ابن عبّاس هی خمسة أحادیث، وهی کلّها من جهة السند ضعیفة</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وکتب العلاّمة الحلّی فی الخلاصة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ابن عبّاس أجلُّ ممّا ینسب إلیه من هذه التُهم، وفی محلّها أجبنا عن مثل هذه المدّعیات</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إنّ السید بن طاووس ضمن تضعیف سند هذه الروایات، اعتبرها ناشئة عن دوافع الحقد و الحسد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الشخص الذی یتمتّع بمثل مکانة ابن عبّاس، العالم الکبیر بالإسلام لا بُدّ من أن یکونَ محسوداً من قبل الآخرین، فیلصقوا بکرامته ما لا یلیق به</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حسدوا الفتی إذ لم ینالوا فضلَهُ و الناس أعداء له وخصومُ </w:t>
      </w:r>
      <w:r>
        <w:rPr>
          <w:rFonts w:eastAsia="IRNazanin" w:cs="IRNazanin"/>
          <w:color w:val="111111"/>
          <w:sz w:val="28"/>
          <w:szCs w:val="28"/>
          <w:lang w:bidi="fa-IR"/>
        </w:rPr>
        <w:t>4</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واعتبر المحقّق التستری صاحب کتاب قاموس الرجال ما نُسب إلی ابن عبّاس من الذمِّ والافتراءات أنّها مردودةٌ، وأنّه خَدَم علیاً علیه السّلام وکان من المشجعین علی</w:t>
      </w:r>
      <w:bookmarkStart w:id="182" w:name="pg5285_67216"/>
    </w:p>
    <w:p>
      <w:pPr>
        <w:pStyle w:val="BookText"/>
        <w:rPr/>
      </w:pPr>
      <w:bookmarkEnd w:id="182"/>
      <w:r>
        <w:rPr>
          <w:rFonts w:ascii="IRNazanin" w:hAnsi="IRNazanin" w:eastAsia="IRNazanin"/>
          <w:color w:val="111111"/>
          <w:sz w:val="28"/>
          <w:sz w:val="28"/>
          <w:szCs w:val="28"/>
          <w:rtl w:val="true"/>
          <w:lang w:bidi="fa-IR"/>
        </w:rPr>
        <w:t>بیعة الإمام الحسن علیه السّلام، ووصفه بأنّه شخصیة وزینة جدّاً</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وعلی أی حال فإنّ اعتقاد علماء الإسلام فی وثاقة ابن عبّاس، وحبّه لأهل‌البیت علیهم السّلام وعلی بن أبی‌طالب علیه السّلام خاصة، وأنّه تلمیذه فی التفسیر ممّا لا یشکُّ فیه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فی أنّه کان المفسّر الثانی بعد الإمام علی‌بن‌أبی‌طالب علیه السّلام وأهل‌البیت علیهم السّلام بین الصحابة فی زمانه</w:t>
      </w:r>
      <w:r>
        <w:rPr>
          <w:rFonts w:eastAsia="IRNazanin" w:cs="IRNazanin"/>
          <w:color w:val="111111"/>
          <w:sz w:val="28"/>
          <w:szCs w:val="28"/>
          <w:rtl w:val="true"/>
          <w:lang w:bidi="fa-IR"/>
        </w:rPr>
        <w:t>.</w:t>
      </w:r>
    </w:p>
    <w:p>
      <w:pPr>
        <w:pStyle w:val="Heading5"/>
        <w:numPr>
          <w:ilvl w:val="4"/>
          <w:numId w:val="1"/>
        </w:numPr>
        <w:rPr/>
      </w:pPr>
      <w:bookmarkStart w:id="183" w:name="__RefHeading___Toc633949_581953129"/>
      <w:bookmarkStart w:id="184" w:name="_Toc70"/>
      <w:bookmarkEnd w:id="183"/>
      <w:r>
        <w:rPr>
          <w:rtl w:val="true"/>
        </w:rPr>
        <w:t>التفاسیر المنسوبة إلی ابن عبّاس</w:t>
      </w:r>
      <w:bookmarkEnd w:id="184"/>
    </w:p>
    <w:p>
      <w:pPr>
        <w:pStyle w:val="BookText"/>
        <w:rPr/>
      </w:pPr>
      <w:r>
        <w:rPr>
          <w:rFonts w:ascii="IRNazanin" w:hAnsi="IRNazanin" w:eastAsia="IRNazanin"/>
          <w:color w:val="111111"/>
          <w:sz w:val="28"/>
          <w:sz w:val="28"/>
          <w:szCs w:val="28"/>
          <w:rtl w:val="true"/>
          <w:lang w:bidi="fa-IR"/>
        </w:rPr>
        <w:t>لم یصل إلی أیدینا تفسیراً ألّفه أو کتبه ابن عبّاس، وأصل ممّا مدوّن هو فی الحقیقة مورد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الکتب التفسیریة الموجودة حالیاً، والتی تحمل اسمه رحمه الله إنّما، فهی تجمیع، وهی کما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تنویر المقباس من تفسیر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التفسیر یعود إلی محمّد بن یعقوب الفیروز أبادی اللغوی المعروف، صاحب کتاب القاموس المحیط</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صحیفة علی بن أبی طلحة عن ابن عبّاس فی تفسیر القرآن الکریم</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غریب القرآن فی شعر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سؤالات نافع بن الأزرق عن 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الکتاب توجد حوالی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من مفردات القرآن الکریم، والتی سأل عنها نافع بن الأزرق من ابن عبّاس، و قد وضّح له معانیها بشواهد من أشعار العرب</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ابن عبّاس عن الصحابة</w:t>
      </w:r>
      <w:r>
        <w:rPr>
          <w:rFonts w:eastAsia="IRNazanin" w:cs="IRNazanin"/>
          <w:color w:val="111111"/>
          <w:sz w:val="28"/>
          <w:szCs w:val="28"/>
          <w:rtl w:val="true"/>
          <w:lang w:bidi="fa-IR"/>
        </w:rPr>
        <w:t xml:space="preserve">. </w:t>
      </w:r>
      <w:r>
        <w:rPr>
          <w:rStyle w:val="FootnoteAnchor"/>
          <w:rtl w:val="true"/>
        </w:rPr>
        <w:footnoteReference w:id="176"/>
      </w:r>
      <w:bookmarkStart w:id="185" w:name="pg5285_67217"/>
    </w:p>
    <w:p>
      <w:pPr>
        <w:pStyle w:val="BookText"/>
        <w:rPr/>
      </w:pPr>
      <w:bookmarkEnd w:id="185"/>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الجلودی عن ابن عبّاس</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ابن عبّاس</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عِکرمة عن ابن عبّاس</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من بین هذه التفاسیر المارُّ ذکرها نشرت الثلاثة الأولی، و هی الآن فی متناول أیدی القراّء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التفسیر الرابع، والتفسیر الخامس، فقد نسبهما النجاشی فی رجاله إلی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والتفسیر السادس و السابع ذکرهما ابن الندیم فی فهرسته</w:t>
      </w:r>
      <w:r>
        <w:rPr>
          <w:rFonts w:eastAsia="IRNazanin" w:cs="IRNazanin"/>
          <w:color w:val="111111"/>
          <w:sz w:val="28"/>
          <w:szCs w:val="28"/>
          <w:rtl w:val="true"/>
          <w:lang w:bidi="fa-IR"/>
        </w:rPr>
        <w:t>.</w:t>
      </w:r>
    </w:p>
    <w:p>
      <w:pPr>
        <w:pStyle w:val="Heading5"/>
        <w:numPr>
          <w:ilvl w:val="4"/>
          <w:numId w:val="1"/>
        </w:numPr>
        <w:rPr/>
      </w:pPr>
      <w:bookmarkStart w:id="186" w:name="__RefHeading___Toc633951_581953129"/>
      <w:bookmarkStart w:id="187" w:name="_Toc71"/>
      <w:bookmarkEnd w:id="186"/>
      <w:r>
        <w:rPr>
          <w:rtl w:val="true"/>
        </w:rPr>
        <w:t>المنهج التفسیری عند ابن عبّاس</w:t>
      </w:r>
      <w:bookmarkEnd w:id="187"/>
    </w:p>
    <w:p>
      <w:pPr>
        <w:pStyle w:val="Heading6"/>
        <w:numPr>
          <w:ilvl w:val="5"/>
          <w:numId w:val="1"/>
        </w:numPr>
        <w:rPr/>
      </w:pPr>
      <w:bookmarkStart w:id="188" w:name="__RefHeading___Toc633953_581953129"/>
      <w:bookmarkStart w:id="189" w:name="_Toc72"/>
      <w:bookmarkEnd w:id="188"/>
      <w:r>
        <w:rPr>
          <w:rtl w:val="true"/>
        </w:rPr>
        <w:t>اشارة</w:t>
      </w:r>
      <w:bookmarkEnd w:id="189"/>
    </w:p>
    <w:p>
      <w:pPr>
        <w:pStyle w:val="BookText"/>
        <w:rPr/>
      </w:pPr>
      <w:r>
        <w:rPr>
          <w:rFonts w:ascii="IRNazanin" w:hAnsi="IRNazanin" w:eastAsia="IRNazanin"/>
          <w:color w:val="111111"/>
          <w:sz w:val="28"/>
          <w:sz w:val="28"/>
          <w:szCs w:val="28"/>
          <w:rtl w:val="true"/>
          <w:lang w:bidi="fa-IR"/>
        </w:rPr>
        <w:t>کان ابن عبّاس تلمیذاً لعلی بن أبی طالب علیه السّلام وبناءً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ما تعلّمته من التفسیر هو عن علی بن‌أبی‌طالب علیه السّلام، و إنّ أکثر ما اعتمده فی منهجه التفسیری المنقول هو الأدب العربی من شعر وخطابة، والأحادیث المنقولة عن رسول الله صلّی الله علیه و آله مع ما استفاده من تفسیر آیات القرآن بالقرآن وکذلک ماأخذه من أسباب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نحاول ذکر بعض أسالیب ابن عبّاس فی التفسیر</w:t>
      </w:r>
      <w:r>
        <w:rPr>
          <w:rFonts w:eastAsia="IRNazanin" w:cs="IRNazanin"/>
          <w:color w:val="111111"/>
          <w:sz w:val="28"/>
          <w:szCs w:val="28"/>
          <w:rtl w:val="true"/>
          <w:lang w:bidi="fa-IR"/>
        </w:rPr>
        <w:t>.</w:t>
      </w:r>
    </w:p>
    <w:p>
      <w:pPr>
        <w:pStyle w:val="Heading6"/>
        <w:numPr>
          <w:ilvl w:val="5"/>
          <w:numId w:val="1"/>
        </w:numPr>
        <w:rPr/>
      </w:pPr>
      <w:bookmarkStart w:id="190" w:name="__RefHeading___Toc633955_581953129"/>
      <w:bookmarkStart w:id="191" w:name="_Toc73"/>
      <w:bookmarkEnd w:id="190"/>
      <w:r>
        <w:rPr/>
        <w:t>1</w:t>
      </w:r>
      <w:r>
        <w:rPr>
          <w:rtl w:val="true"/>
        </w:rPr>
        <w:t xml:space="preserve">. </w:t>
      </w:r>
      <w:r>
        <w:rPr>
          <w:rtl w:val="true"/>
        </w:rPr>
        <w:t>الإفادة من الشعر العربی</w:t>
      </w:r>
      <w:bookmarkEnd w:id="191"/>
    </w:p>
    <w:p>
      <w:pPr>
        <w:pStyle w:val="Heading6"/>
        <w:numPr>
          <w:ilvl w:val="5"/>
          <w:numId w:val="1"/>
        </w:numPr>
        <w:rPr/>
      </w:pPr>
      <w:bookmarkStart w:id="192" w:name="__RefHeading___Toc633957_581953129"/>
      <w:bookmarkStart w:id="193" w:name="_Toc74"/>
      <w:bookmarkEnd w:id="192"/>
      <w:r>
        <w:rPr>
          <w:rtl w:val="true"/>
        </w:rPr>
        <w:t>اشارة</w:t>
      </w:r>
      <w:bookmarkEnd w:id="193"/>
    </w:p>
    <w:p>
      <w:pPr>
        <w:pStyle w:val="BookText"/>
        <w:rPr/>
      </w:pPr>
      <w:r>
        <w:rPr>
          <w:rFonts w:ascii="IRNazanin" w:hAnsi="IRNazanin" w:eastAsia="IRNazanin"/>
          <w:color w:val="111111"/>
          <w:sz w:val="28"/>
          <w:sz w:val="28"/>
          <w:szCs w:val="28"/>
          <w:rtl w:val="true"/>
          <w:lang w:bidi="fa-IR"/>
        </w:rPr>
        <w:t>دلّت الروایات علی أنّ ابن عبّاس من أجل التعرّف علی معانی ومفاهیم مفردات کلمات القرآن اعتمد أسلوب الإفادة من الشعر العربی، و هذا الأسلوب یکشف عن قدرته وتسلّطه علی الأدب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عن ابن عبّاس أنّه قال</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ما سألتمونی عن شیء من غریب القرآن، فالتمسوا عنه فی الشعر، فإنّ الشعر دیوان العرب</w:t>
      </w:r>
      <w:r>
        <w:rPr>
          <w:rFonts w:eastAsia="IRNazanin" w:cs="IRNazanin"/>
          <w:color w:val="111111"/>
          <w:sz w:val="28"/>
          <w:szCs w:val="28"/>
          <w:rtl w:val="true"/>
          <w:lang w:bidi="fa-IR"/>
        </w:rPr>
        <w:t xml:space="preserve">. </w:t>
      </w:r>
      <w:r>
        <w:rPr>
          <w:rStyle w:val="FootnoteAnchor"/>
          <w:rtl w:val="true"/>
        </w:rPr>
        <w:footnoteReference w:id="180"/>
      </w:r>
      <w:bookmarkStart w:id="194" w:name="pg5285_67218"/>
    </w:p>
    <w:p>
      <w:pPr>
        <w:pStyle w:val="BookText"/>
        <w:rPr/>
      </w:pPr>
      <w:bookmarkEnd w:id="194"/>
      <w:r>
        <w:rPr>
          <w:rFonts w:ascii="IRNazanin" w:hAnsi="IRNazanin" w:eastAsia="IRNazanin"/>
          <w:color w:val="111111"/>
          <w:sz w:val="28"/>
          <w:sz w:val="28"/>
          <w:szCs w:val="28"/>
          <w:rtl w:val="true"/>
          <w:lang w:bidi="fa-IR"/>
        </w:rPr>
        <w:t>لاحظ البعض علی هذا الإسلوب التفسیری، واعتبره یعتمد علی الشعر بشکل أساسی، والقرآن فرعاً وتابعاً</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غیر أنّ هذا الإشکال مرفوض لکون القرآن الکریم نزل باللغة العربیة الفصحی، ففی الموارد التی لا تتّضح فیها معانی الکلمات، نحتاج إلی شواهد واستدلالات حتّی نتمکّن من الوصول إلی المعنی المراد ضمن القواعد العربیة، و هذا لا یعنی أنّ القرآن عند ذلک یصیر تابعاً وفرعاٍ</w:t>
      </w:r>
      <w:r>
        <w:rPr>
          <w:rFonts w:eastAsia="IRNazanin" w:cs="IRNazanin"/>
          <w:color w:val="111111"/>
          <w:sz w:val="28"/>
          <w:szCs w:val="28"/>
          <w:rtl w:val="true"/>
          <w:lang w:bidi="fa-IR"/>
        </w:rPr>
        <w:t xml:space="preserve">. </w:t>
      </w:r>
      <w:r>
        <w:rPr>
          <w:rStyle w:val="FootnoteAnchor"/>
          <w:rtl w:val="true"/>
        </w:rPr>
        <w:footnoteReference w:id="182"/>
      </w:r>
    </w:p>
    <w:p>
      <w:pPr>
        <w:pStyle w:val="Heading6"/>
        <w:numPr>
          <w:ilvl w:val="5"/>
          <w:numId w:val="1"/>
        </w:numPr>
        <w:rPr/>
      </w:pPr>
      <w:bookmarkStart w:id="195" w:name="__RefHeading___Toc633959_581953129"/>
      <w:bookmarkStart w:id="196" w:name="_Toc75"/>
      <w:bookmarkEnd w:id="195"/>
      <w:r>
        <w:rPr>
          <w:rtl w:val="true"/>
        </w:rPr>
        <w:t>أسئلة ابن الأزرق</w:t>
      </w:r>
      <w:bookmarkEnd w:id="196"/>
    </w:p>
    <w:p>
      <w:pPr>
        <w:pStyle w:val="BookText"/>
        <w:rPr/>
      </w:pPr>
      <w:r>
        <w:rPr>
          <w:rFonts w:ascii="IRNazanin" w:hAnsi="IRNazanin" w:eastAsia="IRNazanin"/>
          <w:color w:val="111111"/>
          <w:sz w:val="28"/>
          <w:sz w:val="28"/>
          <w:szCs w:val="28"/>
          <w:rtl w:val="true"/>
          <w:lang w:bidi="fa-IR"/>
        </w:rPr>
        <w:t>إنّ أوسع أثر یدلّ علی أنّ ابن عبّاس کان یعوِّل علی الشعر العربی فی تفسیره، هو ما أجاب به علی أسئلة ابن الأزرق، والتی سأله فیها نافع، و نجدة بن عریم، وطلبا فیها أن یأتیهم بشواهد من کلام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وفعلاً، فإن ابن عبّاس استدلَّ علی کلّ مورد بشاهد من الشعر العربی، وفی حوالی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من مفردات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نقل السیوطی فی الإتقان أکثرها</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سأل شخص ابن عبّاس عن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حَناناً مِنْ لَدُنّا</w:t>
      </w:r>
      <w:r>
        <w:rPr>
          <w:rFonts w:eastAsia="Amiri" w:cs="Amiri" w:ascii="Amiri" w:hAnsi="Amiri"/>
          <w:color w:val="111111"/>
          <w:sz w:val="28"/>
          <w:szCs w:val="28"/>
          <w:rtl w:val="true"/>
          <w:lang w:bidi="ar-SA"/>
        </w:rPr>
        <w:t xml:space="preserve">) </w:t>
      </w:r>
      <w:r>
        <w:rPr>
          <w:rStyle w:val="FootnoteAnchor"/>
          <w:rtl w:val="true"/>
        </w:rPr>
        <w:footnoteReference w:id="184"/>
      </w:r>
      <w:r>
        <w:rPr>
          <w:rFonts w:ascii="IRNazanin" w:hAnsi="IRNazanin" w:eastAsia="IRNazanin"/>
          <w:color w:val="111111"/>
          <w:sz w:val="28"/>
          <w:sz w:val="28"/>
          <w:szCs w:val="28"/>
          <w:rtl w:val="true"/>
          <w:lang w:bidi="fa-IR"/>
        </w:rPr>
        <w:t>فأجابه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من عندنا، فسألوه هل أنّ العرب تعرف هذا المعنی؟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ألم تسمعوا ما قاله طَرفة بن العبد</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أبا منذرٍ أفنیتَ فاستبق بعضنا حنانَیک بعض الشهر أهون من بعض </w:t>
      </w:r>
      <w:r>
        <w:rPr>
          <w:rFonts w:eastAsia="IRNazanin" w:cs="IRNazanin"/>
          <w:color w:val="111111"/>
          <w:sz w:val="28"/>
          <w:szCs w:val="28"/>
          <w:lang w:bidi="fa-IR"/>
        </w:rPr>
        <w:t>5</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حنانیک تعنی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رحمتک</w:t>
      </w:r>
      <w:r>
        <w:rPr>
          <w:rFonts w:eastAsia="IRNazanin" w:cs="IRNazanin"/>
          <w:color w:val="111111"/>
          <w:sz w:val="28"/>
          <w:szCs w:val="28"/>
          <w:rtl w:val="true"/>
          <w:lang w:bidi="fa-IR"/>
        </w:rPr>
        <w:t>.</w:t>
      </w:r>
      <w:bookmarkStart w:id="197" w:name="pg5285_67219"/>
    </w:p>
    <w:p>
      <w:pPr>
        <w:pStyle w:val="Heading6"/>
        <w:numPr>
          <w:ilvl w:val="5"/>
          <w:numId w:val="1"/>
        </w:numPr>
        <w:rPr/>
      </w:pPr>
      <w:bookmarkStart w:id="198" w:name="__RefHeading___Toc633961_581953129"/>
      <w:bookmarkStart w:id="199" w:name="_Toc76"/>
      <w:bookmarkEnd w:id="197"/>
      <w:bookmarkEnd w:id="198"/>
      <w:r>
        <w:rPr/>
        <w:t>2</w:t>
      </w:r>
      <w:r>
        <w:rPr>
          <w:rtl w:val="true"/>
        </w:rPr>
        <w:t xml:space="preserve">. </w:t>
      </w:r>
      <w:r>
        <w:rPr>
          <w:rtl w:val="true"/>
        </w:rPr>
        <w:t>اللغة العربیة</w:t>
      </w:r>
      <w:bookmarkEnd w:id="199"/>
    </w:p>
    <w:p>
      <w:pPr>
        <w:pStyle w:val="BookText"/>
        <w:rPr/>
      </w:pPr>
      <w:r>
        <w:rPr>
          <w:rFonts w:ascii="IRNazanin" w:hAnsi="IRNazanin" w:eastAsia="IRNazanin"/>
          <w:color w:val="111111"/>
          <w:sz w:val="28"/>
          <w:sz w:val="28"/>
          <w:szCs w:val="28"/>
          <w:rtl w:val="true"/>
          <w:lang w:bidi="fa-IR"/>
        </w:rPr>
        <w:t>ومن الأسالیب التفسیریة التی اعتمدها ابن عبّاس فی تفسیره الإفادة من لغة المحاورات المتعارفة بین العرب، خصوصاً سکَنة البوادی، وذلک من أجل فهم المفردات القرآنیة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فلقد اشتهر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کنت أعرف معنی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186"/>
      </w:r>
      <w:r>
        <w:rPr>
          <w:rFonts w:ascii="IRNazanin" w:hAnsi="IRNazanin" w:eastAsia="IRNazanin"/>
          <w:color w:val="111111"/>
          <w:sz w:val="28"/>
          <w:sz w:val="28"/>
          <w:szCs w:val="28"/>
          <w:rtl w:val="true"/>
          <w:lang w:bidi="fa-IR"/>
        </w:rPr>
        <w:t>حتّی رأیتُ رجلین اثنین من سَکَنة البوادی جاءا إلی، وهما یتنازعان بئراً أحدهما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فطرتها، والآخر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ابتدأتها، </w:t>
      </w:r>
      <w:r>
        <w:rPr>
          <w:rStyle w:val="FootnoteAnchor"/>
          <w:rtl w:val="true"/>
        </w:rPr>
        <w:footnoteReference w:id="187"/>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الذی ابتدأت حفرها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فاستفاد ابن عبّاس معنی الفاطر من کلامهما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ونقل الزمخشری فی ذیل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ظَنَّ أَنْ لَنْ یَحُورَ</w:t>
      </w:r>
      <w:r>
        <w:rPr>
          <w:rFonts w:eastAsia="Amiri" w:cs="Amiri" w:ascii="Amiri" w:hAnsi="Amiri"/>
          <w:color w:val="111111"/>
          <w:sz w:val="28"/>
          <w:szCs w:val="28"/>
          <w:rtl w:val="true"/>
          <w:lang w:bidi="ar-SA"/>
        </w:rPr>
        <w:t xml:space="preserve">) </w:t>
      </w:r>
      <w:r>
        <w:rPr>
          <w:rStyle w:val="FootnoteAnchor"/>
          <w:rtl w:val="true"/>
        </w:rPr>
        <w:footnoteReference w:id="188"/>
      </w:r>
      <w:r>
        <w:rPr>
          <w:rFonts w:ascii="IRNazanin" w:hAnsi="IRNazanin" w:eastAsia="IRNazanin"/>
          <w:color w:val="111111"/>
          <w:sz w:val="28"/>
          <w:sz w:val="28"/>
          <w:szCs w:val="28"/>
          <w:rtl w:val="true"/>
          <w:lang w:bidi="fa-IR"/>
        </w:rPr>
        <w:t>عن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کنتُ أعرف معنی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سمعتُ امرأة من سَکَنة البوادی تقول لابنتها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حوری،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ارجعی</w:t>
      </w:r>
      <w:r>
        <w:rPr>
          <w:rFonts w:eastAsia="IRNazanin" w:cs="IRNazanin"/>
          <w:color w:val="111111"/>
          <w:sz w:val="28"/>
          <w:szCs w:val="28"/>
          <w:rtl w:val="true"/>
          <w:lang w:bidi="fa-IR"/>
        </w:rPr>
        <w:t xml:space="preserve">. </w:t>
      </w:r>
      <w:r>
        <w:rPr>
          <w:rStyle w:val="FootnoteAnchor"/>
          <w:rtl w:val="true"/>
        </w:rPr>
        <w:footnoteReference w:id="189"/>
      </w:r>
    </w:p>
    <w:p>
      <w:pPr>
        <w:pStyle w:val="Heading6"/>
        <w:numPr>
          <w:ilvl w:val="5"/>
          <w:numId w:val="1"/>
        </w:numPr>
        <w:rPr/>
      </w:pPr>
      <w:bookmarkStart w:id="200" w:name="__RefHeading___Toc633963_581953129"/>
      <w:bookmarkStart w:id="201" w:name="_Toc77"/>
      <w:bookmarkEnd w:id="200"/>
      <w:r>
        <w:rPr/>
        <w:t>3</w:t>
      </w:r>
      <w:r>
        <w:rPr>
          <w:rtl w:val="true"/>
        </w:rPr>
        <w:t xml:space="preserve">. </w:t>
      </w:r>
      <w:r>
        <w:rPr>
          <w:rtl w:val="true"/>
        </w:rPr>
        <w:t>تفسیر القرآن بالقرآن</w:t>
      </w:r>
      <w:bookmarkEnd w:id="201"/>
    </w:p>
    <w:p>
      <w:pPr>
        <w:pStyle w:val="BookText"/>
        <w:rPr/>
      </w:pPr>
      <w:r>
        <w:rPr>
          <w:rFonts w:ascii="IRNazanin" w:hAnsi="IRNazanin" w:eastAsia="IRNazanin"/>
          <w:color w:val="111111"/>
          <w:sz w:val="28"/>
          <w:sz w:val="28"/>
          <w:szCs w:val="28"/>
          <w:rtl w:val="true"/>
          <w:lang w:bidi="fa-IR"/>
        </w:rPr>
        <w:t>إنّ واحداً من أفضل المناهج و الأسالیب التفسیریة النافعة، هو تفسیر القرآن بالقرآن، وفی الحقیقة هو فإذا کان القرآن موضحاً لکلّ شئ، فهو موضّح لنفسه أیضاً و القرآن یصدّق بعضه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اعتمد النبی الأکرم صلّی الله علیه و آله و الإمام علی علیه السّلام وأهل‌البیت علیهم السّلام هذه المنهجیة التفسیریة، و هذا الأسلوب فی تفسیر القرآن</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عبّاس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رَبَّنا أَمَتَّنَا اثْنَتَیْنِ وَ أَحْیَیْتَنَا اثْنَتَیْنِ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90"/>
      </w:r>
      <w:bookmarkStart w:id="202" w:name="pg5285_67220"/>
    </w:p>
    <w:p>
      <w:pPr>
        <w:pStyle w:val="BookText"/>
        <w:rPr/>
      </w:pPr>
      <w:bookmarkEnd w:id="202"/>
      <w:r>
        <w:rPr>
          <w:rFonts w:ascii="Amiri" w:hAnsi="Amiri" w:eastAsia="Amiri" w:cs="Amiri"/>
          <w:color w:val="111111"/>
          <w:sz w:val="28"/>
          <w:sz w:val="28"/>
          <w:szCs w:val="28"/>
          <w:rtl w:val="true"/>
          <w:lang w:bidi="ar-SA"/>
        </w:rPr>
        <w:t>والتی تتضمّن التصریح بإماتتین واحیاءین،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کُنتم أمواتاً قبلَ أن یخلقکم فهذه میتة، ثمَّ أحیاکُم فهذه حیاة، ثُمَّ یمیتکم فَترجعون إلی القبور فهذه میتةٌ أخری، ثُمَّ یبعثُکُم یوم القیامّة فهذه حیاةٌ، فهما میتتان و حیاتان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ذلک استشهد ابن عبّاس بآیةٍ من القرآن الکریم، والتی هی نظیرة الآیة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کَیْفَ تَکْفُرُونَ بِاللّهِ وَ کُنْتُمْ أَمْواتاً فَأَحْیاکُمْ ثُمَّ یُمِیتُکُمْ ثُمَّ یُحْیِیکُمْ ثُمَّ إِلَیْهِ تُرْجَعُونَ</w:t>
      </w:r>
      <w:r>
        <w:rPr>
          <w:rFonts w:eastAsia="Amiri" w:cs="Amiri" w:ascii="Amiri" w:hAnsi="Amiri"/>
          <w:color w:val="111111"/>
          <w:sz w:val="28"/>
          <w:szCs w:val="28"/>
          <w:rtl w:val="true"/>
          <w:lang w:bidi="ar-SA"/>
        </w:rPr>
        <w:t xml:space="preserve">) . </w:t>
      </w:r>
      <w:r>
        <w:rPr>
          <w:rStyle w:val="FootnoteAnchor"/>
          <w:rtl w:val="true"/>
        </w:rPr>
        <w:footnoteReference w:id="191"/>
      </w:r>
      <w:r>
        <w:rPr>
          <w:rFonts w:ascii="IRNazanin" w:hAnsi="IRNazanin" w:eastAsia="IRNazanin"/>
          <w:color w:val="111111"/>
          <w:sz w:val="28"/>
          <w:sz w:val="28"/>
          <w:szCs w:val="28"/>
          <w:rtl w:val="true"/>
          <w:lang w:bidi="fa-IR"/>
        </w:rPr>
        <w:t xml:space="preserve">و </w:t>
      </w:r>
      <w:r>
        <w:rPr>
          <w:rStyle w:val="FootnoteAnchor"/>
          <w:rtl w:val="true"/>
        </w:rPr>
        <w:footnoteReference w:id="192"/>
      </w:r>
    </w:p>
    <w:p>
      <w:pPr>
        <w:pStyle w:val="Heading6"/>
        <w:numPr>
          <w:ilvl w:val="5"/>
          <w:numId w:val="1"/>
        </w:numPr>
        <w:rPr/>
      </w:pPr>
      <w:bookmarkStart w:id="203" w:name="__RefHeading___Toc633965_581953129"/>
      <w:bookmarkStart w:id="204" w:name="_Toc78"/>
      <w:bookmarkEnd w:id="203"/>
      <w:r>
        <w:rPr/>
        <w:t>4</w:t>
      </w:r>
      <w:r>
        <w:rPr>
          <w:rtl w:val="true"/>
        </w:rPr>
        <w:t xml:space="preserve">. </w:t>
      </w:r>
      <w:r>
        <w:rPr>
          <w:rtl w:val="true"/>
        </w:rPr>
        <w:t>الإفادة من أسباب النزول</w:t>
      </w:r>
      <w:bookmarkEnd w:id="204"/>
    </w:p>
    <w:p>
      <w:pPr>
        <w:pStyle w:val="BookText"/>
        <w:rPr/>
      </w:pPr>
      <w:r>
        <w:rPr>
          <w:rFonts w:ascii="IRNazanin" w:hAnsi="IRNazanin" w:eastAsia="IRNazanin"/>
          <w:color w:val="111111"/>
          <w:sz w:val="28"/>
          <w:sz w:val="28"/>
          <w:szCs w:val="28"/>
          <w:rtl w:val="true"/>
          <w:lang w:bidi="fa-IR"/>
        </w:rPr>
        <w:t>إنّ لأسباب النزول الدور المهمّ فی فهم آیات القرآن وتفسیرها؛ وذلک لأنّ القرآن الکریم نزل فی أزمان، وحوادث، و مناسبات مختلفة و من خلال معرفة الحادثة یعرف مراد الآیة بشکل أکثر شفّافیة و وضوحاً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 واجبات أعمال الحجّ و العمرة، السعی بین الصفا و المروة، غیر أنّنا نجد الله سبحانه یقول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الصَّفا وَ الْمَرْوَةَ مِنْ شَعائِرِ اللّهِ فَمَنْ حَجَّ الْبَیْتَ أَوِ اعْتَمَرَ فَلا جُناحَ عَلَیْهِ أَنْ یَطَّوَّفَ بِهِما</w:t>
      </w:r>
      <w:r>
        <w:rPr>
          <w:rFonts w:eastAsia="Amiri" w:cs="Amiri" w:ascii="Amiri" w:hAnsi="Amiri"/>
          <w:color w:val="111111"/>
          <w:sz w:val="28"/>
          <w:szCs w:val="28"/>
          <w:rtl w:val="true"/>
          <w:lang w:bidi="ar-SA"/>
        </w:rPr>
        <w:t xml:space="preserve">) . </w:t>
      </w:r>
      <w:r>
        <w:rPr>
          <w:rStyle w:val="FootnoteAnchor"/>
          <w:rtl w:val="true"/>
        </w:rPr>
        <w:footnoteReference w:id="193"/>
      </w:r>
      <w:r>
        <w:rPr>
          <w:rFonts w:ascii="IRNazanin" w:hAnsi="IRNazanin" w:eastAsia="IRNazanin"/>
          <w:color w:val="111111"/>
          <w:sz w:val="28"/>
          <w:sz w:val="28"/>
          <w:szCs w:val="28"/>
          <w:rtl w:val="true"/>
          <w:lang w:bidi="fa-IR"/>
        </w:rPr>
        <w:t>فتعبیر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جُناحَ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عدم الحرمة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ولاجناح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یراد به عدم الإثم، وهنا یطرح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لماذا جُعل السعی واجباً و جزءاً لازماً من واجبات الحج</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نقل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شخصاً سأل ابن عُمر عن الآیة المارّة الذکر،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اتطلق إلی ابن عبّاس واسأله، فإنّه اعلم من بقی بما نزل علی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فأتیته فسألته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عندهما الصفا و المروة اصنام، فلمّا حَرَمْن أمسکوا عن الطواف بینهما حتّی أنزلت الآیة</w:t>
      </w:r>
      <w:r>
        <w:rPr>
          <w:rFonts w:eastAsia="IRNazanin" w:cs="IRNazanin"/>
          <w:color w:val="111111"/>
          <w:sz w:val="28"/>
          <w:szCs w:val="28"/>
          <w:rtl w:val="true"/>
          <w:lang w:bidi="fa-IR"/>
        </w:rPr>
        <w:t xml:space="preserve">. </w:t>
      </w:r>
      <w:r>
        <w:rPr>
          <w:rStyle w:val="FootnoteAnchor"/>
          <w:rtl w:val="true"/>
        </w:rPr>
        <w:footnoteReference w:id="194"/>
      </w:r>
      <w:bookmarkStart w:id="205" w:name="pg5285_67221"/>
    </w:p>
    <w:p>
      <w:pPr>
        <w:pStyle w:val="Heading6"/>
        <w:numPr>
          <w:ilvl w:val="5"/>
          <w:numId w:val="1"/>
        </w:numPr>
        <w:rPr/>
      </w:pPr>
      <w:bookmarkStart w:id="206" w:name="__RefHeading___Toc633967_581953129"/>
      <w:bookmarkStart w:id="207" w:name="_Toc79"/>
      <w:bookmarkEnd w:id="205"/>
      <w:bookmarkEnd w:id="206"/>
      <w:r>
        <w:rPr/>
        <w:t>5</w:t>
      </w:r>
      <w:r>
        <w:rPr>
          <w:rtl w:val="true"/>
        </w:rPr>
        <w:t xml:space="preserve">. </w:t>
      </w:r>
      <w:r>
        <w:rPr>
          <w:rtl w:val="true"/>
        </w:rPr>
        <w:t>الاعتماد علی سنّة الرسول صلّی الله علیه و آله</w:t>
      </w:r>
      <w:bookmarkEnd w:id="207"/>
    </w:p>
    <w:p>
      <w:pPr>
        <w:pStyle w:val="BookText"/>
        <w:rPr/>
      </w:pPr>
      <w:r>
        <w:rPr>
          <w:rFonts w:ascii="IRNazanin" w:hAnsi="IRNazanin" w:eastAsia="IRNazanin"/>
          <w:color w:val="111111"/>
          <w:sz w:val="28"/>
          <w:sz w:val="28"/>
          <w:szCs w:val="28"/>
          <w:rtl w:val="true"/>
          <w:lang w:bidi="fa-IR"/>
        </w:rPr>
        <w:t>ولقد اعتمد ابن عبّاس فی تفسیره الآیات القرآنیة کثیراً علی سنّة النبی صلّی الله علیه و آله، و هذا المنهج مشهود معروف عند أهل‌البیت علیهم السّلام، وکذلک عند الصحابة و التابعین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فسّر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أَدْبارَ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اللَّیْلِ فَسَبِّحْهُ وَ أَدْبارَ السُّجُودِ</w:t>
      </w:r>
      <w:r>
        <w:rPr>
          <w:rFonts w:eastAsia="Amiri" w:cs="Amiri" w:ascii="Amiri" w:hAnsi="Amiri"/>
          <w:color w:val="111111"/>
          <w:sz w:val="28"/>
          <w:szCs w:val="28"/>
          <w:rtl w:val="true"/>
          <w:lang w:bidi="ar-SA"/>
        </w:rPr>
        <w:t xml:space="preserve">) </w:t>
      </w:r>
      <w:r>
        <w:rPr>
          <w:rStyle w:val="FootnoteAnchor"/>
          <w:rtl w:val="true"/>
        </w:rPr>
        <w:footnoteReference w:id="195"/>
      </w:r>
      <w:r>
        <w:rPr>
          <w:rFonts w:ascii="IRNazanin" w:hAnsi="IRNazanin" w:eastAsia="IRNazanin"/>
          <w:color w:val="111111"/>
          <w:sz w:val="28"/>
          <w:sz w:val="28"/>
          <w:szCs w:val="28"/>
          <w:rtl w:val="true"/>
          <w:lang w:bidi="fa-IR"/>
        </w:rPr>
        <w:t>بما نقله من أنّه بات فی أحدی اللیالی عند رسول الله صلّی الله علیه و آله فرأی النبی صلّی الله علیه و آله قد صلی رکعتین قبل طلوع الفجر، ثمّ خرج إلی صلاة الفجر،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عبّاس، إنّ الرکعتین قبل صلاة الفجر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أدبار النجوم، والرکعتین بعد صلاة المغرب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أدبار السجود</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کانت هذه هی أکثر المنهاج التفسیریة التی یتشکل منها منهج ابن عبّاس فی تفسیره، ومضافاً إلی ذلک تُوجد عدّة أمور مهمّة جدیرة بالبحث حول شخصیة ابن عبّاس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البحث حول معلوماته التاریخیة و الجغرافیة، </w:t>
      </w:r>
      <w:r>
        <w:rPr>
          <w:rStyle w:val="FootnoteAnchor"/>
          <w:rtl w:val="true"/>
        </w:rPr>
        <w:footnoteReference w:id="197"/>
      </w:r>
      <w:r>
        <w:rPr>
          <w:rFonts w:ascii="IRNazanin" w:hAnsi="IRNazanin" w:eastAsia="IRNazanin"/>
          <w:color w:val="111111"/>
          <w:sz w:val="28"/>
          <w:sz w:val="28"/>
          <w:szCs w:val="28"/>
          <w:rtl w:val="true"/>
          <w:lang w:bidi="fa-IR"/>
        </w:rPr>
        <w:t>وعن حیاته خلال وجوده و تلمذته علی ید الإمام علی علیه السّلام، وعن اجتهاده الشخصی فی بعض المجالات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التحقیق حول ماقیل من أنّ ابن عبّاس کان یراجع أهل الکتاب وبأخذ عنهم، ومن جملة المتقوّلین المستشرق گلدزیهر، وأحمد أمین المصری، ومن تشبّث بهذا الادعاء الذی تصدّت لإبطاله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وبشکل مفصّل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عدیدة</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البحث حول الروایات التفسیریة التی نقلت عن ابن عبّاس بمسانید متعدّدة، والتی نقل السیوطی تسعة طرق منها، حیث یخدش المحقّقون فی بعضها</w:t>
      </w:r>
      <w:r>
        <w:rPr>
          <w:rFonts w:eastAsia="IRNazanin" w:cs="IRNazanin"/>
          <w:color w:val="111111"/>
          <w:sz w:val="28"/>
          <w:szCs w:val="28"/>
          <w:rtl w:val="true"/>
          <w:lang w:bidi="fa-IR"/>
        </w:rPr>
        <w:t xml:space="preserve">. </w:t>
      </w:r>
      <w:r>
        <w:rPr>
          <w:rStyle w:val="FootnoteAnchor"/>
          <w:rtl w:val="true"/>
        </w:rPr>
        <w:footnoteReference w:id="199"/>
      </w:r>
      <w:bookmarkStart w:id="208" w:name="pg5285_67222"/>
    </w:p>
    <w:p>
      <w:pPr>
        <w:pStyle w:val="Heading4"/>
        <w:numPr>
          <w:ilvl w:val="3"/>
          <w:numId w:val="1"/>
        </w:numPr>
        <w:rPr/>
      </w:pPr>
      <w:bookmarkStart w:id="209" w:name="__RefHeading___Toc633969_581953129"/>
      <w:bookmarkStart w:id="210" w:name="_Toc80"/>
      <w:bookmarkEnd w:id="208"/>
      <w:bookmarkEnd w:id="209"/>
      <w:r>
        <w:rPr>
          <w:rtl w:val="true"/>
        </w:rPr>
        <w:t>الثالث</w:t>
      </w:r>
      <w:r>
        <w:rPr>
          <w:rtl w:val="true"/>
        </w:rPr>
        <w:t xml:space="preserve">: </w:t>
      </w:r>
      <w:r>
        <w:rPr>
          <w:rtl w:val="true"/>
        </w:rPr>
        <w:t>عبد الله بن مسعود</w:t>
      </w:r>
      <w:bookmarkEnd w:id="210"/>
    </w:p>
    <w:p>
      <w:pPr>
        <w:pStyle w:val="Heading5"/>
        <w:numPr>
          <w:ilvl w:val="4"/>
          <w:numId w:val="1"/>
        </w:numPr>
        <w:rPr/>
      </w:pPr>
      <w:bookmarkStart w:id="211" w:name="__RefHeading___Toc633971_581953129"/>
      <w:bookmarkStart w:id="212" w:name="_Toc81"/>
      <w:bookmarkEnd w:id="211"/>
      <w:r>
        <w:rPr>
          <w:rtl w:val="true"/>
        </w:rPr>
        <w:t>اشارة</w:t>
      </w:r>
      <w:bookmarkEnd w:id="212"/>
    </w:p>
    <w:p>
      <w:pPr>
        <w:pStyle w:val="BookText"/>
        <w:rPr/>
      </w:pPr>
      <w:r>
        <w:rPr>
          <w:rFonts w:ascii="IRNazanin" w:hAnsi="IRNazanin" w:eastAsia="IRNazanin"/>
          <w:color w:val="111111"/>
          <w:sz w:val="28"/>
          <w:sz w:val="28"/>
          <w:szCs w:val="28"/>
          <w:rtl w:val="true"/>
          <w:lang w:bidi="fa-IR"/>
        </w:rPr>
        <w:t>ابن مسعود واحد من أشهر المفسّرین من أصحاب رسول الله صلّی الله علیه و آله، و قد توفّی فی الثانیة و الستین من عمره فی المدینة المنوّرة، ودُفن فی مقبرة البقیع</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ویعدّ ابن مسعود رحمه الله أوّل من القرآن بمکّة علانیة، وبصوتٍ عالٍ لتسمعه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تحمّل من أجل ذلک الأذی والاضطهاد</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و قد عُرف بین الصحابة بعلم القراءات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ولکون ابن مسعود من حفظة القرآن، فقد کان الرسول الأکرم صلّی الله علیه و آله یعتنی به کثیراً، کما کان النبی صلّی الله علیه و آله یحبّ أن یسمعَ تلاوة القرآن علی لسانه</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و قد بعثه الخلیفة الثانی أثناء حکومته إلی الکوفة من أجل أن یعلّم أهلها القرآن وشرائع الأحکام</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قال مسروق بن الأجدع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عبد الله یقرأ علینا السورة ثُمَّ یحدثنا عنها ویفسّرها عامَّة النهار، و قد اعترف له عامَّة صحابة الرسول صلّی الله علیه و آله بالفضیلة و العلم بالکتاب، والسنة</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ویلزم الاعتراف له بأنّه المؤسّس للمدرسة التفسیریة فی الکوفة، و أنّ مفسّری الکوفة فی عصر التابعین کانوا یقفون أثره فی التفسیر</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و أنّ ابن مسعود مکان قد أخذ الکثیر من معارفه فی التفسیر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علقمة</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مسعود ذات یوم، وکنّا فی حلقته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علمتُ أنَّ أحداً أعلم منّی بکتاب الله عزّوجلّ، لضربت الیه آباط الأبل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 من الحلقة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ألَقیتَ</w:t>
      </w:r>
      <w:bookmarkStart w:id="213" w:name="pg5285_67223"/>
    </w:p>
    <w:p>
      <w:pPr>
        <w:pStyle w:val="BookText"/>
        <w:rPr/>
      </w:pPr>
      <w:bookmarkEnd w:id="213"/>
      <w:r>
        <w:rPr>
          <w:rFonts w:ascii="IRNazanin" w:hAnsi="IRNazanin" w:eastAsia="IRNazanin"/>
          <w:color w:val="111111"/>
          <w:sz w:val="28"/>
          <w:sz w:val="28"/>
          <w:szCs w:val="28"/>
          <w:rtl w:val="true"/>
          <w:lang w:bidi="fa-IR"/>
        </w:rPr>
        <w:t>علیاً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لقیتهُ، وأخذتُ عنه، واستفدتُ منه، وقرأتُ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خیر الناس وأعلمهم بعد رسول الله صلّی الله علیه و آله، و لقد رأیتَه کان بحراً یسیل سیلاً</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و قد نقلت المصادر الشیعیة و السنّیة عن ابن مسعود روایات تفسیریة کثیرة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نقل ابن مسعود عن رسول الله صلّی الله علیه و آله فی تفسیر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ما یَشاؤُنَ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07"/>
      </w:r>
      <w:r>
        <w:rPr>
          <w:rFonts w:ascii="Amiri" w:hAnsi="Amiri" w:eastAsia="Amiri" w:cs="Amiri"/>
          <w:color w:val="111111"/>
          <w:sz w:val="28"/>
          <w:sz w:val="28"/>
          <w:szCs w:val="28"/>
          <w:rtl w:val="true"/>
          <w:lang w:bidi="ar-SA"/>
        </w:rPr>
        <w:t>والتی تتحدّث حول أهل الجنّة أنّ النبی صلّی الله علیه و آله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لتشتهی الطیر فی الجنّة فیخرَّ بین یدیک مشویاً</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هناک روایات کثیرة تشیر إلی أنّ ابن مسعود کان من شیعة علی بن أبی طالب علیه السّلام و أنّ الروایات التی تبین أنّ عدد الخلفاء بعد رسول الله صلّی الله علیه و آله هم بعدد نقباء بنی إسرائیل، إنّما نقلت عن طریقه، </w:t>
      </w:r>
      <w:r>
        <w:rPr>
          <w:rStyle w:val="FootnoteAnchor"/>
          <w:rtl w:val="true"/>
        </w:rPr>
        <w:footnoteReference w:id="209"/>
      </w:r>
      <w:r>
        <w:rPr>
          <w:rFonts w:ascii="IRNazanin" w:hAnsi="IRNazanin" w:eastAsia="IRNazanin"/>
          <w:color w:val="111111"/>
          <w:sz w:val="28"/>
          <w:sz w:val="28"/>
          <w:szCs w:val="28"/>
          <w:rtl w:val="true"/>
          <w:lang w:bidi="fa-IR"/>
        </w:rPr>
        <w:t>و هو من ضمن الذین ذُکرت أسماؤهم ضمن الأشخاص الذین شهروا للصلاة علی الجثمان الطاهر لسیدة النساء فاطمة الزهراء</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و هو کذلک من الذین اتّخذوا موقفاً قِبال عثمان، و قد أمر عثمان بإخراجه من المسجد بعد أن کسر بعض أضلاعه، و هو الذی جُلِدَ أربعین سوطاً من أجل دفن جنازة أبی‌ذرٍ رحمه الله، هذا ما ذکرته المصادر الروائیة</w:t>
      </w:r>
      <w:r>
        <w:rPr>
          <w:rFonts w:eastAsia="IRNazanin" w:cs="IRNazanin"/>
          <w:color w:val="111111"/>
          <w:sz w:val="28"/>
          <w:szCs w:val="28"/>
          <w:rtl w:val="true"/>
          <w:lang w:bidi="fa-IR"/>
        </w:rPr>
        <w:t xml:space="preserve">. </w:t>
      </w:r>
      <w:r>
        <w:rPr>
          <w:rStyle w:val="FootnoteAnchor"/>
          <w:rtl w:val="true"/>
        </w:rPr>
        <w:footnoteReference w:id="211"/>
      </w:r>
    </w:p>
    <w:p>
      <w:pPr>
        <w:pStyle w:val="Heading5"/>
        <w:numPr>
          <w:ilvl w:val="4"/>
          <w:numId w:val="1"/>
        </w:numPr>
        <w:rPr/>
      </w:pPr>
      <w:bookmarkStart w:id="214" w:name="__RefHeading___Toc633973_581953129"/>
      <w:bookmarkStart w:id="215" w:name="_Toc82"/>
      <w:bookmarkEnd w:id="214"/>
      <w:r>
        <w:rPr>
          <w:rtl w:val="true"/>
        </w:rPr>
        <w:t>مصحف ابن مسعود</w:t>
      </w:r>
      <w:bookmarkEnd w:id="21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لابن مسعود فی مجال التفسیر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ولم یذکر له</w:t>
      </w:r>
    </w:p>
    <w:p>
      <w:pPr>
        <w:pStyle w:val="BookText"/>
        <w:rPr/>
      </w:pPr>
      <w:r>
        <w:rPr>
          <w:rFonts w:ascii="IRNazanin" w:hAnsi="IRNazanin" w:eastAsia="IRNazanin"/>
          <w:color w:val="111111"/>
          <w:sz w:val="28"/>
          <w:sz w:val="28"/>
          <w:szCs w:val="28"/>
          <w:rtl w:val="true"/>
          <w:lang w:bidi="fa-IR"/>
        </w:rPr>
        <w:t xml:space="preserve">کتاب آخر، ومصحفه هذا یضمّ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و هو خالٍ من سورة الفاتحة و المعوذتین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الفلق، والناس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یری أنّ سورة الفاتحة جزء من القرآن، وبما أنّ المسلمین یقرأونها دائماً فی صلواتهم فهی محفوظة، ولا تُوجد حاجة لتدوینها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فیما یخصُّ المعوذتین، فإنّه یراهما من تعویذات رسول الله صلّی الله علیه و آله</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وهنا نُذکّر أنّ هاتین الخصوصیتین مقتصرة علی الرأی الشخصی لابن مسعود فقط، و هو مرفوض من قِبَلِ جمیع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الملاحظة الثانیة علی مصحفه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وجود الإضافات و التی یری کثیر من علماء التفسیر وعلوم القرآن أنّها زیادات تفسیریة، ولیست هی ألفاظ قرآنیة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قراءاته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کانَ النّاسُ أُمَّةً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اللّهُ النَّبِیِّینَ مُبَشِّرِینَ وَ مُنْذِرِینَ</w:t>
      </w:r>
      <w:r>
        <w:rPr>
          <w:rFonts w:eastAsia="Amiri" w:cs="Amiri" w:ascii="Amiri" w:hAnsi="Amiri"/>
          <w:color w:val="111111"/>
          <w:sz w:val="28"/>
          <w:szCs w:val="28"/>
          <w:rtl w:val="true"/>
          <w:lang w:bidi="ar-SA"/>
        </w:rPr>
        <w:t xml:space="preserve">...) .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فعبارة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اختلفوا هی من الزیادات التفسیریة؛ إذ أنّه أراد توضیح عِلّة بعثة الأنبیاء علیهم السّلام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الناس حینما یقع الخلاف بینهم، فإن الله تعالی یبعث إلیهم الأنبیاء لحلّ تلک الاختلافات، لإیجاد المجتمع الموحّد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ویقول ابن مسعود کنّا علی عهد رسول الله صلّی الله علیه و آله هکذا نقرأ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الرَّسُولُ بَلِّغْ ما أُنْزِلَ إِلَیْکَ مِنْ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علیاً مولی المؤمنین علیه السّلام</w:t>
      </w:r>
      <w:r>
        <w:rPr>
          <w:rFonts w:eastAsia="Amiri" w:cs="Amiri" w:ascii="Amiri" w:hAnsi="Amiri"/>
          <w:color w:val="111111"/>
          <w:sz w:val="28"/>
          <w:szCs w:val="28"/>
          <w:rtl w:val="true"/>
          <w:lang w:bidi="ar-SA"/>
        </w:rPr>
        <w:t xml:space="preserve">]...) </w:t>
      </w:r>
      <w:r>
        <w:rPr>
          <w:rStyle w:val="FootnoteAnchor"/>
          <w:rtl w:val="true"/>
        </w:rPr>
        <w:footnoteReference w:id="214"/>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مولی المؤمنین علیه السّلام من الإضافات التفسیریة، ولیست هی من ألفاظ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هو أنّنا فی عهد رسول الله صلّی الله علیه و آله هکذا کنّا نفسّر الآیة</w:t>
      </w:r>
      <w:r>
        <w:rPr>
          <w:rFonts w:eastAsia="IRNazanin" w:cs="IRNazanin"/>
          <w:color w:val="111111"/>
          <w:sz w:val="28"/>
          <w:szCs w:val="28"/>
          <w:rtl w:val="true"/>
          <w:lang w:bidi="fa-IR"/>
        </w:rPr>
        <w:t>.</w:t>
      </w:r>
      <w:bookmarkStart w:id="216" w:name="pg5285_67225"/>
    </w:p>
    <w:p>
      <w:pPr>
        <w:pStyle w:val="Heading4"/>
        <w:numPr>
          <w:ilvl w:val="3"/>
          <w:numId w:val="1"/>
        </w:numPr>
        <w:rPr/>
      </w:pPr>
      <w:bookmarkStart w:id="217" w:name="__RefHeading___Toc633975_581953129"/>
      <w:bookmarkStart w:id="218" w:name="_Toc83"/>
      <w:bookmarkEnd w:id="216"/>
      <w:bookmarkEnd w:id="217"/>
      <w:r>
        <w:rPr>
          <w:rtl w:val="true"/>
        </w:rPr>
        <w:t>الرابع</w:t>
      </w:r>
      <w:r>
        <w:rPr>
          <w:rtl w:val="true"/>
        </w:rPr>
        <w:t xml:space="preserve">: </w:t>
      </w:r>
      <w:r>
        <w:rPr>
          <w:rtl w:val="true"/>
        </w:rPr>
        <w:t>ابی بن کعب</w:t>
      </w:r>
      <w:bookmarkEnd w:id="218"/>
    </w:p>
    <w:p>
      <w:pPr>
        <w:pStyle w:val="Heading5"/>
        <w:numPr>
          <w:ilvl w:val="4"/>
          <w:numId w:val="1"/>
        </w:numPr>
        <w:rPr/>
      </w:pPr>
      <w:bookmarkStart w:id="219" w:name="__RefHeading___Toc633977_581953129"/>
      <w:bookmarkStart w:id="220" w:name="_Toc84"/>
      <w:bookmarkEnd w:id="219"/>
      <w:r>
        <w:rPr>
          <w:rtl w:val="true"/>
        </w:rPr>
        <w:t>اشارة</w:t>
      </w:r>
      <w:bookmarkEnd w:id="220"/>
    </w:p>
    <w:p>
      <w:pPr>
        <w:pStyle w:val="BookText"/>
        <w:rPr/>
      </w:pPr>
      <w:r>
        <w:rPr>
          <w:rFonts w:ascii="IRNazanin" w:hAnsi="IRNazanin" w:eastAsia="IRNazanin"/>
          <w:color w:val="111111"/>
          <w:sz w:val="28"/>
          <w:sz w:val="28"/>
          <w:szCs w:val="28"/>
          <w:rtl w:val="true"/>
          <w:lang w:bidi="fa-IR"/>
        </w:rPr>
        <w:t>إن ابی بن کعب هو أحد مشاهیر مفسّری الصحابة، ویکنّی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المنذر، و هو من أصحاب رسول الله صلّی الله علیه و آله وکان أنصاریاً، ومن نوادر الکتّاب فی عصر الرسالة، و قد صار من کتاب الوحی بعد إسلامه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بایع رسول‌الله صلّی الله علیه و آله فی العقبة الثانیة، کما و قد شارک فی معرکة بدر و أحد، والخندق وسائر الحروب مع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وطبقاً للروایات الکثیرة فقد کان من المدافعین عن ولایة علی علیه السّلام</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و قد کان أقرأ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ولأجل هذا اشتُهر بلقب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نسبت لأبّی بن کعب مساهمات کثیرة فی التفسیر، و روایات تفسیریة، والتی یمکن تقسیمها إلی ثلاثة أصناف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الروایات التی لها علاقة بالتفسیر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الروایات إلتی لها علاقتها بمصحف ابی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الروایات التی لها علاقة بفضل سور القرآن</w:t>
      </w:r>
      <w:r>
        <w:rPr>
          <w:rFonts w:eastAsia="IRNazanin" w:cs="IRNazanin"/>
          <w:color w:val="111111"/>
          <w:sz w:val="28"/>
          <w:szCs w:val="28"/>
          <w:rtl w:val="true"/>
          <w:lang w:bidi="fa-IR"/>
        </w:rPr>
        <w:t>.</w:t>
      </w:r>
    </w:p>
    <w:p>
      <w:pPr>
        <w:pStyle w:val="Heading5"/>
        <w:numPr>
          <w:ilvl w:val="4"/>
          <w:numId w:val="1"/>
        </w:numPr>
        <w:rPr/>
      </w:pPr>
      <w:bookmarkStart w:id="221" w:name="__RefHeading___Toc633979_581953129"/>
      <w:bookmarkStart w:id="222" w:name="_Toc85"/>
      <w:bookmarkEnd w:id="221"/>
      <w:r>
        <w:rPr/>
        <w:t>1</w:t>
      </w:r>
      <w:r>
        <w:rPr>
          <w:rtl w:val="true"/>
        </w:rPr>
        <w:t xml:space="preserve">. </w:t>
      </w:r>
      <w:r>
        <w:rPr>
          <w:rtl w:val="true"/>
        </w:rPr>
        <w:t>الروایات التفسیریة</w:t>
      </w:r>
      <w:bookmarkEnd w:id="22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نقلت التفاسیر الشیعیة و السنیة عن ابی بن کعب روایات کثیرة فی تفسیر آیات القرآن الکریم، ومن جملتها تفسیر التبیان </w:t>
      </w:r>
      <w:r>
        <w:rPr>
          <w:rStyle w:val="FootnoteAnchor"/>
          <w:rtl w:val="true"/>
        </w:rPr>
        <w:footnoteReference w:id="216"/>
      </w:r>
      <w:r>
        <w:rPr>
          <w:rFonts w:ascii="IRNazanin" w:hAnsi="IRNazanin" w:eastAsia="IRNazanin"/>
          <w:color w:val="111111"/>
          <w:sz w:val="28"/>
          <w:sz w:val="28"/>
          <w:szCs w:val="28"/>
          <w:rtl w:val="true"/>
          <w:lang w:bidi="fa-IR"/>
        </w:rPr>
        <w:t xml:space="preserve">للشیخ الطوسی، و روح الجنان </w:t>
      </w:r>
      <w:r>
        <w:rPr>
          <w:rStyle w:val="FootnoteAnchor"/>
          <w:rtl w:val="true"/>
        </w:rPr>
        <w:footnoteReference w:id="217"/>
      </w:r>
      <w:r>
        <w:rPr>
          <w:rFonts w:ascii="IRNazanin" w:hAnsi="IRNazanin" w:eastAsia="IRNazanin"/>
          <w:color w:val="111111"/>
          <w:sz w:val="28"/>
          <w:sz w:val="28"/>
          <w:szCs w:val="28"/>
          <w:rtl w:val="true"/>
          <w:lang w:bidi="fa-IR"/>
        </w:rPr>
        <w:t xml:space="preserve">لأبی الفتوح الرازی الخزاعی، و تفسیر القرآن العظیم </w:t>
      </w:r>
      <w:r>
        <w:rPr>
          <w:rStyle w:val="FootnoteAnchor"/>
          <w:rtl w:val="true"/>
        </w:rPr>
        <w:footnoteReference w:id="218"/>
      </w:r>
      <w:r>
        <w:rPr>
          <w:rFonts w:ascii="IRNazanin" w:hAnsi="IRNazanin" w:eastAsia="IRNazanin"/>
          <w:color w:val="111111"/>
          <w:sz w:val="28"/>
          <w:sz w:val="28"/>
          <w:szCs w:val="28"/>
          <w:rtl w:val="true"/>
          <w:lang w:bidi="fa-IR"/>
        </w:rPr>
        <w:t xml:space="preserve">لابن کثیر، و الدر المنثور </w:t>
      </w:r>
      <w:r>
        <w:rPr>
          <w:rStyle w:val="FootnoteAnchor"/>
          <w:rtl w:val="true"/>
        </w:rPr>
        <w:footnoteReference w:id="219"/>
      </w:r>
      <w:r>
        <w:rPr>
          <w:rFonts w:ascii="IRNazanin" w:hAnsi="IRNazanin" w:eastAsia="IRNazanin"/>
          <w:color w:val="111111"/>
          <w:sz w:val="28"/>
          <w:sz w:val="28"/>
          <w:szCs w:val="28"/>
          <w:rtl w:val="true"/>
          <w:lang w:bidi="fa-IR"/>
        </w:rPr>
        <w:t>للسیوطی و</w:t>
      </w:r>
      <w:r>
        <w:rPr>
          <w:rFonts w:eastAsia="IRNazanin" w:cs="IRNazanin"/>
          <w:color w:val="111111"/>
          <w:sz w:val="28"/>
          <w:szCs w:val="28"/>
          <w:rtl w:val="true"/>
          <w:lang w:bidi="fa-IR"/>
        </w:rPr>
        <w:t>....</w:t>
      </w:r>
      <w:bookmarkStart w:id="223" w:name="pg5285_67226"/>
    </w:p>
    <w:p>
      <w:pPr>
        <w:pStyle w:val="BookText"/>
        <w:rPr/>
      </w:pPr>
      <w:bookmarkEnd w:id="223"/>
      <w:r>
        <w:rPr>
          <w:rFonts w:ascii="Amiri" w:hAnsi="Amiri" w:eastAsia="Amiri" w:cs="Amiri"/>
          <w:color w:val="111111"/>
          <w:sz w:val="28"/>
          <w:sz w:val="28"/>
          <w:szCs w:val="28"/>
          <w:rtl w:val="true"/>
          <w:lang w:bidi="ar-SA"/>
        </w:rPr>
        <w:t>فقد نقل الشیخ الطوسی عن ابی بن کعب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الشَّمْسُ کُوِّرَتْ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الْجِبالُ سُیِّرَتْ</w:t>
      </w:r>
      <w:r>
        <w:rPr>
          <w:rFonts w:eastAsia="Amiri" w:cs="Amiri" w:ascii="Amiri" w:hAnsi="Amiri"/>
          <w:color w:val="111111"/>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نورها،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قدت فصارت ناراً</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وفی ذیل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یَلْبِسُوا إِیمانَهُمْ بِظُلْمٍ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22"/>
      </w:r>
      <w:r>
        <w:rPr>
          <w:rFonts w:ascii="IRNazanin" w:hAnsi="IRNazanin" w:eastAsia="IRNazanin"/>
          <w:color w:val="111111"/>
          <w:sz w:val="28"/>
          <w:sz w:val="28"/>
          <w:szCs w:val="28"/>
          <w:rtl w:val="true"/>
          <w:lang w:bidi="fa-IR"/>
        </w:rPr>
        <w:t>روی عن ابی بن کعب أنّ المقصود من الظلم،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الشِّرک</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وهکذا روی ابی بن کعب عن رسول الله صلّی الله علیه و آله فی تفسیر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آتَیْناکَ سَبْعاً مِنَ الْمَثانِی</w:t>
      </w:r>
      <w:r>
        <w:rPr>
          <w:rFonts w:eastAsia="Amiri" w:cs="Amiri" w:ascii="Amiri" w:hAnsi="Amiri"/>
          <w:color w:val="111111"/>
          <w:sz w:val="28"/>
          <w:szCs w:val="28"/>
          <w:rtl w:val="true"/>
          <w:lang w:bidi="ar-SA"/>
        </w:rPr>
        <w:t xml:space="preserve">) . </w:t>
      </w:r>
      <w:r>
        <w:rPr>
          <w:rStyle w:val="FootnoteAnchor"/>
          <w:rtl w:val="true"/>
        </w:rPr>
        <w:footnoteReference w:id="224"/>
      </w:r>
      <w:r>
        <w:rPr>
          <w:rFonts w:ascii="IRNazanin" w:hAnsi="IRNazanin" w:eastAsia="IRNazanin"/>
          <w:color w:val="111111"/>
          <w:sz w:val="28"/>
          <w:sz w:val="28"/>
          <w:szCs w:val="28"/>
          <w:rtl w:val="true"/>
          <w:lang w:bidi="fa-IR"/>
        </w:rPr>
        <w:t>أنّه 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هی السبع المثانی</w:t>
      </w:r>
      <w:r>
        <w:rPr>
          <w:rFonts w:eastAsia="IRNazanin" w:cs="IRNazanin"/>
          <w:color w:val="111111"/>
          <w:sz w:val="28"/>
          <w:szCs w:val="28"/>
          <w:rtl w:val="true"/>
          <w:lang w:bidi="fa-IR"/>
        </w:rPr>
        <w:t xml:space="preserve">». </w:t>
      </w:r>
      <w:r>
        <w:rPr>
          <w:rStyle w:val="FootnoteAnchor"/>
          <w:rtl w:val="true"/>
        </w:rPr>
        <w:footnoteReference w:id="225"/>
      </w:r>
    </w:p>
    <w:p>
      <w:pPr>
        <w:pStyle w:val="Heading5"/>
        <w:numPr>
          <w:ilvl w:val="4"/>
          <w:numId w:val="1"/>
        </w:numPr>
        <w:rPr/>
      </w:pPr>
      <w:bookmarkStart w:id="224" w:name="__RefHeading___Toc633981_581953129"/>
      <w:bookmarkStart w:id="225" w:name="_Toc86"/>
      <w:bookmarkEnd w:id="224"/>
      <w:r>
        <w:rPr/>
        <w:t>2</w:t>
      </w:r>
      <w:r>
        <w:rPr>
          <w:rtl w:val="true"/>
        </w:rPr>
        <w:t xml:space="preserve">. </w:t>
      </w:r>
      <w:r>
        <w:rPr>
          <w:rtl w:val="true"/>
        </w:rPr>
        <w:t>مصحف ابی بن کعب</w:t>
      </w:r>
      <w:bookmarkEnd w:id="225"/>
    </w:p>
    <w:p>
      <w:pPr>
        <w:pStyle w:val="BookText"/>
        <w:rPr/>
      </w:pPr>
      <w:r>
        <w:rPr>
          <w:rFonts w:ascii="Amiri" w:hAnsi="Amiri" w:eastAsia="Amiri" w:cs="Amiri"/>
          <w:color w:val="111111"/>
          <w:sz w:val="28"/>
          <w:sz w:val="28"/>
          <w:szCs w:val="28"/>
          <w:rtl w:val="true"/>
          <w:lang w:bidi="ar-SA"/>
        </w:rPr>
        <w:t>لقد نُقل لاُبی مصحفاً کذلک مثل مصحف ابن مسعود، غیر أنّ له بعض ما یختصُّ به</w:t>
      </w:r>
      <w:r>
        <w:rPr>
          <w:rFonts w:eastAsia="Amiri" w:cs="Amiri" w:ascii="Amiri" w:hAnsi="Amiri"/>
          <w:color w:val="111111"/>
          <w:sz w:val="28"/>
          <w:szCs w:val="28"/>
          <w:rtl w:val="true"/>
          <w:lang w:bidi="ar-SA"/>
        </w:rPr>
        <w:t xml:space="preserve">. </w:t>
      </w:r>
      <w:r>
        <w:rPr>
          <w:rStyle w:val="FootnoteAnchor"/>
          <w:rtl w:val="true"/>
        </w:rPr>
        <w:footnoteReference w:id="226"/>
      </w:r>
      <w:r>
        <w:rPr>
          <w:rFonts w:ascii="IRNazanin" w:hAnsi="IRNazanin" w:eastAsia="IRNazanin"/>
          <w:color w:val="111111"/>
          <w:sz w:val="28"/>
          <w:sz w:val="28"/>
          <w:szCs w:val="28"/>
          <w:rtl w:val="true"/>
          <w:lang w:bidi="fa-IR"/>
        </w:rPr>
        <w:t xml:space="preserve">و قد اشتمل هذا المصحف علی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والذی اعتبر فیه سورة الفیل وقریش سورة واحده، ولکّنه زاد سورة الخلع، و الحفد بعد سورة و العصر، و هذا المصحف یبدأ بسورة الحمد وینتهی بسورتی المعوذتین</w:t>
      </w:r>
      <w:r>
        <w:rPr>
          <w:rFonts w:eastAsia="IRNazanin" w:cs="IRNazanin"/>
          <w:color w:val="111111"/>
          <w:sz w:val="28"/>
          <w:szCs w:val="28"/>
          <w:rtl w:val="true"/>
          <w:lang w:bidi="fa-IR"/>
        </w:rPr>
        <w:t xml:space="preserve">. </w:t>
      </w:r>
      <w:r>
        <w:rPr>
          <w:rStyle w:val="FootnoteAnchor"/>
          <w:rtl w:val="true"/>
        </w:rPr>
        <w:footnoteReference w:id="227"/>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واجهت زیادة سورة الخلع و الحفد رفضاً واستنکاراً من جمیع الصحابة</w:t>
      </w:r>
      <w:bookmarkStart w:id="226" w:name="pg5285_67227"/>
    </w:p>
    <w:p>
      <w:pPr>
        <w:pStyle w:val="BookText"/>
        <w:rPr/>
      </w:pPr>
      <w:bookmarkEnd w:id="226"/>
      <w:r>
        <w:rPr>
          <w:rFonts w:ascii="IRNazanin" w:hAnsi="IRNazanin" w:eastAsia="IRNazanin"/>
          <w:color w:val="111111"/>
          <w:sz w:val="28"/>
          <w:sz w:val="28"/>
          <w:szCs w:val="28"/>
          <w:rtl w:val="true"/>
          <w:lang w:bidi="fa-IR"/>
        </w:rPr>
        <w:t>واجماع المسلمین؛ وذلک لأنّه لا یوجد هناک شخص یقول بهاتین السورتین أنّها من سور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المصحف مثل مصحف ابن مسعود یحتوی علی زیادات هی کزیاداته التفسیریة، ولیست هی من ألفاظ الوحی القرآنی الکریم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قراءة ابی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فَصِیامُ ثَلاثَةِ أَیّامٍ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متتابعات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الْحَجِّ</w:t>
      </w:r>
      <w:r>
        <w:rPr>
          <w:rFonts w:eastAsia="Amiri" w:cs="Amiri" w:ascii="Amiri" w:hAnsi="Amiri"/>
          <w:color w:val="111111"/>
          <w:sz w:val="28"/>
          <w:szCs w:val="28"/>
          <w:rtl w:val="true"/>
          <w:lang w:bidi="ar-SA"/>
        </w:rPr>
        <w:t xml:space="preserve">) </w:t>
      </w:r>
      <w:r>
        <w:rPr>
          <w:rStyle w:val="FootnoteAnchor"/>
          <w:rtl w:val="true"/>
        </w:rPr>
        <w:footnoteReference w:id="228"/>
      </w:r>
      <w:r>
        <w:rPr>
          <w:rFonts w:ascii="IRNazanin" w:hAnsi="IRNazanin" w:eastAsia="IRNazanin"/>
          <w:color w:val="111111"/>
          <w:sz w:val="28"/>
          <w:sz w:val="28"/>
          <w:szCs w:val="28"/>
          <w:rtl w:val="true"/>
          <w:lang w:bidi="fa-IR"/>
        </w:rPr>
        <w:t>فمفردة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متتابعات،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الزیادة التفسیریة؛ وذلک لأنّ هذه الکّفارة تجب متتابعة فی تلک الأیام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وهکذا قرأ ابی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أجلٍّ مسمّی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فَآتُوهُنَّ أُجُورَهُنَّ فَرِیضَةً</w:t>
      </w:r>
      <w:r>
        <w:rPr>
          <w:rFonts w:eastAsia="Amiri" w:cs="Amiri" w:ascii="Amiri" w:hAnsi="Amiri"/>
          <w:color w:val="111111"/>
          <w:sz w:val="28"/>
          <w:szCs w:val="28"/>
          <w:rtl w:val="true"/>
          <w:lang w:bidi="ar-SA"/>
        </w:rPr>
        <w:t xml:space="preserve">) . </w:t>
      </w:r>
      <w:r>
        <w:rPr>
          <w:rStyle w:val="FootnoteAnchor"/>
          <w:rtl w:val="true"/>
        </w:rPr>
        <w:footnoteReference w:id="229"/>
      </w:r>
      <w:r>
        <w:rPr>
          <w:rFonts w:ascii="IRNazanin" w:hAnsi="IRNazanin" w:eastAsia="IRNazanin"/>
          <w:color w:val="111111"/>
          <w:sz w:val="28"/>
          <w:sz w:val="28"/>
          <w:szCs w:val="28"/>
          <w:rtl w:val="true"/>
          <w:lang w:bidi="fa-IR"/>
        </w:rPr>
        <w:t>فالزیادة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لیست من الآیة، و إنّما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وتوضیح لها وتصریح فی أنّ هکذا عقد نکاح، هو عقد موقت، و هو محدّد بزمن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یوجد بین أیدینا من مصحف ابی بن کعب، وکذلک من مصحف ابن مسعود شیئاً یذکر، و قد نسبت إلی ابی بن کعب نسخة کبیرة رواها أبو جعفر الرازی عنه</w:t>
      </w:r>
      <w:r>
        <w:rPr>
          <w:rFonts w:eastAsia="IRNazanin" w:cs="IRNazanin"/>
          <w:color w:val="111111"/>
          <w:sz w:val="28"/>
          <w:szCs w:val="28"/>
          <w:rtl w:val="true"/>
          <w:lang w:bidi="fa-IR"/>
        </w:rPr>
        <w:t xml:space="preserve">. </w:t>
      </w:r>
      <w:r>
        <w:rPr>
          <w:rStyle w:val="FootnoteAnchor"/>
          <w:rtl w:val="true"/>
        </w:rPr>
        <w:footnoteReference w:id="230"/>
      </w:r>
    </w:p>
    <w:p>
      <w:pPr>
        <w:pStyle w:val="Heading5"/>
        <w:numPr>
          <w:ilvl w:val="4"/>
          <w:numId w:val="1"/>
        </w:numPr>
        <w:rPr/>
      </w:pPr>
      <w:bookmarkStart w:id="227" w:name="__RefHeading___Toc633983_581953129"/>
      <w:bookmarkStart w:id="228" w:name="_Toc87"/>
      <w:bookmarkEnd w:id="227"/>
      <w:r>
        <w:rPr/>
        <w:t>3</w:t>
      </w:r>
      <w:r>
        <w:rPr>
          <w:rtl w:val="true"/>
        </w:rPr>
        <w:t xml:space="preserve">. </w:t>
      </w:r>
      <w:r>
        <w:rPr>
          <w:rtl w:val="true"/>
        </w:rPr>
        <w:t>روایات فضائل السُوَر</w:t>
      </w:r>
      <w:bookmarkEnd w:id="228"/>
    </w:p>
    <w:p>
      <w:pPr>
        <w:pStyle w:val="BookText"/>
        <w:rPr/>
      </w:pPr>
      <w:r>
        <w:rPr>
          <w:rFonts w:ascii="IRNazanin" w:hAnsi="IRNazanin" w:eastAsia="IRNazanin"/>
          <w:color w:val="111111"/>
          <w:sz w:val="28"/>
          <w:sz w:val="28"/>
          <w:szCs w:val="28"/>
          <w:rtl w:val="true"/>
          <w:lang w:bidi="fa-IR"/>
        </w:rPr>
        <w:t>نقل الکثیر من المفسّرین بما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الثعلبی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والواحدی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 فی فضل کلّ سورة من سور القرآن عن ابی بن کعب عن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نقلت أحادیث فضائل السور عن ابی بأربعة طُرق</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نقل ابن الجوزی فی کتاب الموضوعات </w:t>
      </w:r>
      <w:r>
        <w:rPr>
          <w:rStyle w:val="FootnoteAnchor"/>
          <w:rtl w:val="true"/>
        </w:rPr>
        <w:footnoteReference w:id="231"/>
      </w:r>
      <w:r>
        <w:rPr>
          <w:rFonts w:ascii="IRNazanin" w:hAnsi="IRNazanin" w:eastAsia="IRNazanin"/>
          <w:color w:val="111111"/>
          <w:sz w:val="28"/>
          <w:sz w:val="28"/>
          <w:szCs w:val="28"/>
          <w:rtl w:val="true"/>
          <w:lang w:bidi="fa-IR"/>
        </w:rPr>
        <w:t xml:space="preserve">سندین منها، و نقل فی کتاب مقدّمات فی علوم القرآن، فی مقدّمة کتاب المبانی فی نظم المعانی، </w:t>
      </w:r>
      <w:r>
        <w:rPr>
          <w:rStyle w:val="FootnoteAnchor"/>
          <w:rtl w:val="true"/>
        </w:rPr>
        <w:footnoteReference w:id="232"/>
      </w:r>
      <w:r>
        <w:rPr>
          <w:rFonts w:ascii="Amiri" w:hAnsi="Amiri" w:eastAsia="Amiri" w:cs="Amiri"/>
          <w:color w:val="111111"/>
          <w:sz w:val="28"/>
          <w:sz w:val="28"/>
          <w:szCs w:val="28"/>
          <w:rtl w:val="true"/>
          <w:lang w:bidi="ar-SA"/>
        </w:rPr>
        <w:t>سنداً آخراً</w:t>
      </w:r>
      <w:bookmarkStart w:id="229" w:name="pg5285_67228"/>
    </w:p>
    <w:p>
      <w:pPr>
        <w:pStyle w:val="BookText"/>
        <w:rPr/>
      </w:pPr>
      <w:bookmarkEnd w:id="229"/>
      <w:r>
        <w:rPr>
          <w:rFonts w:ascii="IRNazanin" w:hAnsi="IRNazanin" w:eastAsia="IRNazanin"/>
          <w:color w:val="111111"/>
          <w:sz w:val="28"/>
          <w:sz w:val="28"/>
          <w:szCs w:val="28"/>
          <w:rtl w:val="true"/>
          <w:lang w:bidi="fa-IR"/>
        </w:rPr>
        <w:t xml:space="preserve">یختلف عن السندین السابقین، کما ونقل الشیخ الصدوق رحمه الله فی کتاب ثواب الأعمال </w:t>
      </w:r>
      <w:r>
        <w:rPr>
          <w:rStyle w:val="FootnoteAnchor"/>
          <w:rtl w:val="true"/>
        </w:rPr>
        <w:footnoteReference w:id="233"/>
      </w:r>
      <w:r>
        <w:rPr>
          <w:rFonts w:ascii="IRNazanin" w:hAnsi="IRNazanin" w:eastAsia="IRNazanin"/>
          <w:color w:val="111111"/>
          <w:sz w:val="28"/>
          <w:sz w:val="28"/>
          <w:szCs w:val="28"/>
          <w:rtl w:val="true"/>
          <w:lang w:bidi="fa-IR"/>
        </w:rPr>
        <w:t>سنداً رابعاً، و هو یختص بفضیلة سورة الحشر عن طریق ابی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القیمة العلمیة لأحادیث فضائل السور إن أحادیث فضائل السور، قد ضعفت من جهتی المتن و السند لأسباب هی</w:t>
      </w:r>
      <w:r>
        <w:rPr>
          <w:rFonts w:eastAsia="IRNazanin" w:cs="IRNazanin"/>
          <w:color w:val="111111"/>
          <w:sz w:val="28"/>
          <w:szCs w:val="28"/>
          <w:rtl w:val="true"/>
          <w:lang w:bidi="fa-IR"/>
        </w:rPr>
        <w:t>:</w:t>
      </w:r>
    </w:p>
    <w:p>
      <w:pPr>
        <w:pStyle w:val="Heading3"/>
        <w:numPr>
          <w:ilvl w:val="2"/>
          <w:numId w:val="1"/>
        </w:numPr>
        <w:rPr/>
      </w:pPr>
      <w:bookmarkStart w:id="230" w:name="__RefHeading___Toc633985_581953129"/>
      <w:bookmarkStart w:id="231" w:name="_Toc88"/>
      <w:bookmarkEnd w:id="230"/>
      <w:r>
        <w:rPr>
          <w:rtl w:val="true"/>
        </w:rPr>
        <w:t>من حیث السند</w:t>
      </w:r>
      <w:bookmarkEnd w:id="231"/>
    </w:p>
    <w:p>
      <w:pPr>
        <w:pStyle w:val="BookText"/>
        <w:rPr/>
      </w:pPr>
      <w:r>
        <w:rPr>
          <w:rFonts w:ascii="IRNazanin" w:hAnsi="IRNazanin" w:eastAsia="IRNazanin"/>
          <w:color w:val="111111"/>
          <w:sz w:val="28"/>
          <w:sz w:val="28"/>
          <w:szCs w:val="28"/>
          <w:rtl w:val="true"/>
          <w:lang w:bidi="fa-IR"/>
        </w:rPr>
        <w:t xml:space="preserve">یری ابن الجوزی </w:t>
      </w:r>
      <w:r>
        <w:rPr>
          <w:rStyle w:val="FootnoteAnchor"/>
          <w:rtl w:val="true"/>
        </w:rPr>
        <w:footnoteReference w:id="234"/>
      </w:r>
      <w:r>
        <w:rPr>
          <w:rFonts w:ascii="IRNazanin" w:hAnsi="IRNazanin" w:eastAsia="IRNazanin"/>
          <w:color w:val="111111"/>
          <w:sz w:val="28"/>
          <w:sz w:val="28"/>
          <w:szCs w:val="28"/>
          <w:rtl w:val="true"/>
          <w:lang w:bidi="fa-IR"/>
        </w:rPr>
        <w:t>أنّ هذه الأحادیث هی موضوعة، ففی السند الأوّل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بدیع أو بزیع، و هو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نقل عن الدَار قُطنی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متروک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وکذالک فصل السیوطی فی اللآلی المصنوعة فی الأحادیث الموضوعة، </w:t>
      </w:r>
      <w:r>
        <w:rPr>
          <w:rStyle w:val="FootnoteAnchor"/>
          <w:rtl w:val="true"/>
        </w:rPr>
        <w:footnoteReference w:id="235"/>
      </w:r>
      <w:r>
        <w:rPr>
          <w:rFonts w:ascii="IRNazanin" w:hAnsi="IRNazanin" w:eastAsia="IRNazanin"/>
          <w:color w:val="111111"/>
          <w:sz w:val="28"/>
          <w:sz w:val="28"/>
          <w:szCs w:val="28"/>
          <w:rtl w:val="true"/>
          <w:lang w:bidi="fa-IR"/>
        </w:rPr>
        <w:t>وفی کتاب تدریب الراوی</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أنّ ابن المبارک اعتبرها مجعولة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الامر بالنسبة إلی السند الثانی، فإنّ ابن الجوزی </w:t>
      </w:r>
      <w:r>
        <w:rPr>
          <w:rStyle w:val="FootnoteAnchor"/>
          <w:rtl w:val="true"/>
        </w:rPr>
        <w:footnoteReference w:id="237"/>
      </w:r>
      <w:r>
        <w:rPr>
          <w:rFonts w:ascii="Amiri" w:hAnsi="Amiri" w:eastAsia="Amiri" w:cs="Amiri"/>
          <w:color w:val="111111"/>
          <w:sz w:val="28"/>
          <w:sz w:val="28"/>
          <w:szCs w:val="28"/>
          <w:rtl w:val="true"/>
          <w:lang w:bidi="ar-SA"/>
        </w:rPr>
        <w:t>ضعّفه لوجود مُخلّد أو محمّد بن عبد الواحد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وخدش السیوطی </w:t>
      </w:r>
      <w:r>
        <w:rPr>
          <w:rStyle w:val="FootnoteAnchor"/>
          <w:rtl w:val="true"/>
        </w:rPr>
        <w:footnoteReference w:id="238"/>
      </w:r>
      <w:r>
        <w:rPr>
          <w:rFonts w:ascii="IRNazanin" w:hAnsi="IRNazanin" w:eastAsia="IRNazanin"/>
          <w:color w:val="111111"/>
          <w:sz w:val="28"/>
          <w:sz w:val="28"/>
          <w:szCs w:val="28"/>
          <w:rtl w:val="true"/>
          <w:lang w:bidi="fa-IR"/>
        </w:rPr>
        <w:t>السند الثالث لطریق هارون بن کثیر عن زید بن أسلم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السند الرابع الوارد عن کتاب ثواب الأعمال للشیخ الصدوق رحمه الله ضُعّف بمحمّد بن عبد الواحد، وعلی بن زید، و قد أورد الشهید الثانی فی الدرایة، والمامقانی رحمه الله فی مقباس الهدایة شواهد علی وضع هذا الحدیث</w:t>
      </w:r>
      <w:r>
        <w:rPr>
          <w:rFonts w:eastAsia="IRNazanin" w:cs="IRNazanin"/>
          <w:color w:val="111111"/>
          <w:sz w:val="28"/>
          <w:szCs w:val="28"/>
          <w:rtl w:val="true"/>
          <w:lang w:bidi="fa-IR"/>
        </w:rPr>
        <w:t xml:space="preserve">. </w:t>
      </w:r>
      <w:r>
        <w:rPr>
          <w:rStyle w:val="FootnoteAnchor"/>
          <w:rtl w:val="true"/>
        </w:rPr>
        <w:footnoteReference w:id="239"/>
      </w:r>
      <w:bookmarkStart w:id="232" w:name="pg5285_67229"/>
    </w:p>
    <w:p>
      <w:pPr>
        <w:pStyle w:val="Heading3"/>
        <w:numPr>
          <w:ilvl w:val="2"/>
          <w:numId w:val="1"/>
        </w:numPr>
        <w:rPr/>
      </w:pPr>
      <w:bookmarkStart w:id="233" w:name="__RefHeading___Toc633987_581953129"/>
      <w:bookmarkStart w:id="234" w:name="_Toc89"/>
      <w:bookmarkEnd w:id="232"/>
      <w:bookmarkEnd w:id="233"/>
      <w:r>
        <w:rPr>
          <w:rtl w:val="true"/>
        </w:rPr>
        <w:t>من حیث المتن</w:t>
      </w:r>
      <w:bookmarkEnd w:id="234"/>
    </w:p>
    <w:p>
      <w:pPr>
        <w:pStyle w:val="BookText"/>
        <w:rPr/>
      </w:pPr>
      <w:r>
        <w:rPr>
          <w:rFonts w:ascii="Amiri" w:hAnsi="Amiri" w:eastAsia="Amiri" w:cs="Amiri"/>
          <w:color w:val="111111"/>
          <w:sz w:val="28"/>
          <w:sz w:val="28"/>
          <w:szCs w:val="28"/>
          <w:rtl w:val="true"/>
          <w:lang w:bidi="ar-SA"/>
        </w:rPr>
        <w:t xml:space="preserve">فقد أوردوا عدّة ملاحظات </w:t>
      </w:r>
      <w:r>
        <w:rPr>
          <w:rStyle w:val="FootnoteAnchor"/>
          <w:rtl w:val="true"/>
        </w:rPr>
        <w:footnoteReference w:id="240"/>
      </w:r>
      <w:r>
        <w:rPr>
          <w:rFonts w:ascii="IRNazanin" w:hAnsi="IRNazanin" w:eastAsia="IRNazanin"/>
          <w:color w:val="111111"/>
          <w:sz w:val="28"/>
          <w:sz w:val="28"/>
          <w:szCs w:val="28"/>
          <w:rtl w:val="true"/>
          <w:lang w:bidi="fa-IR"/>
        </w:rPr>
        <w:t>علی تلک الأحادیث الواردة فی فضائل السور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احتساب الفضیلة لجمیع السور هو فی حدّ ذاته مودد إشکال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أحیاناً تکون ألفاظ الأحادیث بصیدة عن الفصاحة أوالبلاغة، مثل ما جاء فی فضل سورة الأنفال، وسورة 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مَن یقرأهما یعطی من الثواب عدد کلّ منافق ومنافقة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مخالفة الأحادیث لما فیها من المبالغة غیر المقبولة، مثل، فضیلة سورة الأحقاف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قرها کتب له عشر حسنات بکلّ رملة فی الدنیا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ادّعاء ابن تیمیة إجماع العلماء علی أنّ هذه الأحادیث مجعولة،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موضوع باتّفاق أهل العلم</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قد یتصوّر البعض، أنّ ابی نفسه هو الذی صرّح بجعلها، وواقع الحال لیس کذلک</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نقل فی حدیث طویل فی کتب متعدّدة، ومن 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التقیید و الإیضاح عن ابن الصلاح و کتاب الموضوعات عن ابن الجوزی عن شخص 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مؤمّل من أنّه نقله عن شخص آخر بعدّة وسائط حتّی أوصله إلی شیخ من شیوخ الصوفیة و الذی انتهی إلیه الحدیث فی أنّه سئل من هو الشخص الذی روی لک هذا الحدیث؟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یحدّثنی أحد، ولکننّا رأینا الناس قد رغبوا عن القرآن، فوضعنا لهم هذا الحدیث لیصرّفوا قلوبهم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القرآن</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هذا ما نقله مؤمّل، وفیما یخصُّ ابی، فلم یأتَ تصریح أنه وضع حدیثاً من عنده، ولا توجد شواهد علی ذلک، کما لا یوجد هناک شخص یتّهم ابی بالوضع لهذا الحدیث، وفی النهایة فقد ضعّفوا سند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نقاط القوة التی تثبت صدور هذه الروایة عن أبی وتقوّی صحّتها، فهی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تعدّد سند الروایة، و هذا یقوی الروایة مع کون بعض أفراد السند ضعفاء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ورد عن الأئمّة الأطهار علیهم السّلام مایضاهی الذی </w:t>
      </w:r>
      <w:r>
        <w:rPr>
          <w:rStyle w:val="FootnoteAnchor"/>
          <w:rtl w:val="true"/>
        </w:rPr>
        <w:footnoteReference w:id="243"/>
      </w:r>
      <w:r>
        <w:rPr>
          <w:rFonts w:ascii="IRNazanin" w:hAnsi="IRNazanin" w:eastAsia="IRNazanin"/>
          <w:color w:val="111111"/>
          <w:sz w:val="28"/>
          <w:sz w:val="28"/>
          <w:szCs w:val="28"/>
          <w:rtl w:val="true"/>
          <w:lang w:bidi="fa-IR"/>
        </w:rPr>
        <w:t>روی عن ابی بن کعب فی فضائل السُور، و هذا یمکّن فتح الطریق أمام روایة ابی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کبار المفسّرین،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الثعلبی، والزمخشری، والطبرسی، واُبی الفتوح الرازی نقلوا فی تفاسیرهم روایات فی فضائل السور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کانت الروایات رکیکة فی فصاحتها وبلاغتها، ولیست مناسبة أن تصدر عن</w:t>
      </w:r>
      <w:bookmarkStart w:id="235" w:name="pg5285_67231"/>
    </w:p>
    <w:p>
      <w:pPr>
        <w:pStyle w:val="BookText"/>
        <w:rPr/>
      </w:pPr>
      <w:bookmarkEnd w:id="235"/>
      <w:r>
        <w:rPr>
          <w:rFonts w:ascii="IRNazanin" w:hAnsi="IRNazanin" w:eastAsia="IRNazanin"/>
          <w:color w:val="111111"/>
          <w:sz w:val="28"/>
          <w:sz w:val="28"/>
          <w:szCs w:val="28"/>
          <w:rtl w:val="true"/>
          <w:lang w:bidi="fa-IR"/>
        </w:rPr>
        <w:t xml:space="preserve">النبی صلّی الله علیه و آله، فإنّ مثل الزمخشری، والطبرسی، وأصحاب الأختصاص فی هذا الفن، لا بد وأن یشیروا إلی هذا الأمر، والحال لم نَرَهُم یشیروا إلی أی شیءٍ من هذا القبیل؛ أمّا الأشخاص الذین اعتبرا وضع هذا الحدیث مثل ابن الجوزی، </w:t>
      </w:r>
      <w:r>
        <w:rPr>
          <w:rStyle w:val="FootnoteAnchor"/>
          <w:rtl w:val="true"/>
        </w:rPr>
        <w:footnoteReference w:id="244"/>
      </w:r>
      <w:r>
        <w:rPr>
          <w:rFonts w:ascii="IRNazanin" w:hAnsi="IRNazanin" w:eastAsia="IRNazanin"/>
          <w:color w:val="111111"/>
          <w:sz w:val="28"/>
          <w:sz w:val="28"/>
          <w:szCs w:val="28"/>
          <w:rtl w:val="true"/>
          <w:lang w:bidi="fa-IR"/>
        </w:rPr>
        <w:t xml:space="preserve">والشهید الثانی، </w:t>
      </w:r>
      <w:r>
        <w:rPr>
          <w:rStyle w:val="FootnoteAnchor"/>
          <w:rtl w:val="true"/>
        </w:rPr>
        <w:footnoteReference w:id="245"/>
      </w:r>
      <w:r>
        <w:rPr>
          <w:rFonts w:ascii="IRNazanin" w:hAnsi="IRNazanin" w:eastAsia="IRNazanin"/>
          <w:color w:val="111111"/>
          <w:sz w:val="28"/>
          <w:sz w:val="28"/>
          <w:szCs w:val="28"/>
          <w:rtl w:val="true"/>
          <w:lang w:bidi="fa-IR"/>
        </w:rPr>
        <w:t xml:space="preserve">والمامقانی، </w:t>
      </w:r>
      <w:r>
        <w:rPr>
          <w:rStyle w:val="FootnoteAnchor"/>
          <w:rtl w:val="true"/>
        </w:rPr>
        <w:footnoteReference w:id="246"/>
      </w:r>
      <w:r>
        <w:rPr>
          <w:rFonts w:ascii="IRNazanin" w:hAnsi="IRNazanin" w:eastAsia="IRNazanin"/>
          <w:color w:val="111111"/>
          <w:sz w:val="28"/>
          <w:sz w:val="28"/>
          <w:szCs w:val="28"/>
          <w:rtl w:val="true"/>
          <w:lang w:bidi="fa-IR"/>
        </w:rPr>
        <w:t xml:space="preserve">والذین نقلوا بعض الشواهد علی جعله ووضعه و السیوطی </w:t>
      </w:r>
      <w:r>
        <w:rPr>
          <w:rStyle w:val="FootnoteAnchor"/>
          <w:rtl w:val="true"/>
        </w:rPr>
        <w:footnoteReference w:id="247"/>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أحد من هؤلآء یتّهم ابی بالوضع أبداً، وعلی أی حالٍ فإنّ هکذا انتقادات وملاحظات تحصل فی مثل هکذا موضوعات، فالبعض فی النهایة یأخذ بروایات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بلغ؛ </w:t>
      </w:r>
      <w:r>
        <w:rPr>
          <w:rStyle w:val="FootnoteAnchor"/>
          <w:rtl w:val="true"/>
        </w:rPr>
        <w:footnoteReference w:id="248"/>
      </w:r>
      <w:r>
        <w:rPr>
          <w:rFonts w:ascii="IRNazanin" w:hAnsi="IRNazanin" w:eastAsia="IRNazanin"/>
          <w:color w:val="111111"/>
          <w:sz w:val="28"/>
          <w:sz w:val="28"/>
          <w:szCs w:val="28"/>
          <w:rtl w:val="true"/>
          <w:lang w:bidi="fa-IR"/>
        </w:rPr>
        <w:t>من أجل الحصول علی الثواب، ویستشهد لها لأجل ذلک، حتّی إذا عرف بعد ذلک أنّ هذا الأحادیث الواعد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بالثواب هو من الأحادیث المجعولة</w:t>
      </w:r>
      <w:r>
        <w:rPr>
          <w:rFonts w:eastAsia="IRNazanin" w:cs="IRNazanin"/>
          <w:color w:val="111111"/>
          <w:sz w:val="28"/>
          <w:szCs w:val="28"/>
          <w:rtl w:val="true"/>
          <w:lang w:bidi="fa-IR"/>
        </w:rPr>
        <w:t>.</w:t>
      </w:r>
    </w:p>
    <w:p>
      <w:pPr>
        <w:pStyle w:val="Heading3"/>
        <w:numPr>
          <w:ilvl w:val="2"/>
          <w:numId w:val="1"/>
        </w:numPr>
        <w:rPr/>
      </w:pPr>
      <w:bookmarkStart w:id="236" w:name="__RefHeading___Toc633989_581953129"/>
      <w:bookmarkStart w:id="237" w:name="_Toc90"/>
      <w:bookmarkEnd w:id="236"/>
      <w:r>
        <w:rPr>
          <w:rtl w:val="true"/>
        </w:rPr>
        <w:t>خصائص تفسیر الصحابة</w:t>
      </w:r>
      <w:bookmarkEnd w:id="237"/>
    </w:p>
    <w:p>
      <w:pPr>
        <w:pStyle w:val="BookText"/>
        <w:rPr/>
      </w:pPr>
      <w:r>
        <w:rPr>
          <w:rFonts w:ascii="IRNazanin" w:hAnsi="IRNazanin" w:eastAsia="IRNazanin"/>
          <w:color w:val="111111"/>
          <w:sz w:val="28"/>
          <w:sz w:val="28"/>
          <w:szCs w:val="28"/>
          <w:rtl w:val="true"/>
          <w:lang w:bidi="fa-IR"/>
        </w:rPr>
        <w:t>للتفسیر عند الصحابة خصائص، ونحن هنا نشیر إلی بعضها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تفسیرهم کان یقوم علی المشافهة، والنقل اللفظی، والحفظ فی الصدور، ولم یکتب تفسیر فی ذلک الزمان، </w:t>
      </w:r>
      <w:r>
        <w:rPr>
          <w:rStyle w:val="FootnoteAnchor"/>
          <w:rtl w:val="true"/>
        </w:rPr>
        <w:footnoteReference w:id="249"/>
      </w:r>
      <w:r>
        <w:rPr>
          <w:rFonts w:ascii="IRNazanin" w:hAnsi="IRNazanin" w:eastAsia="IRNazanin"/>
          <w:color w:val="111111"/>
          <w:sz w:val="28"/>
          <w:sz w:val="28"/>
          <w:szCs w:val="28"/>
          <w:rtl w:val="true"/>
          <w:lang w:bidi="fa-IR"/>
        </w:rPr>
        <w:t>نعم، کان بعض الصحابة یمتلک مصحفاً ومن جملتهم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علی بن‌أبی طالب علیه السّلام، وکذا مصحف ابی، وابن مسعود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إنّهم لم یفسّروا جمیع القرآن</w:t>
      </w:r>
      <w:r>
        <w:rPr>
          <w:rFonts w:eastAsia="IRNazanin" w:cs="IRNazanin"/>
          <w:color w:val="111111"/>
          <w:sz w:val="28"/>
          <w:szCs w:val="28"/>
          <w:rtl w:val="true"/>
          <w:lang w:bidi="fa-IR"/>
        </w:rPr>
        <w:t xml:space="preserve">. </w:t>
      </w:r>
      <w:r>
        <w:rPr>
          <w:rStyle w:val="FootnoteAnchor"/>
          <w:rtl w:val="true"/>
        </w:rPr>
        <w:footnoteReference w:id="250"/>
      </w:r>
      <w:bookmarkStart w:id="238" w:name="pg5285_67232"/>
    </w:p>
    <w:p>
      <w:pPr>
        <w:pStyle w:val="BookText"/>
        <w:rPr/>
      </w:pPr>
      <w:bookmarkEnd w:id="238"/>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البساطة من وعدم التعمّق فی المعانی، بشکل بلاحظ معه إزالة الغموض و الإبهام، وذلک بعبارة قصیرة وبیان جلّی فی غایة الإیجاز، 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سُئل أحد منهم عن معنی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مُتَجانِفٍ لِإِثْمٍ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فإنّ جوابهم الفوری یکون لا تعمل الذنوب، فلا یمارسون البحث فی اشتقاق الکلمة، أو یأتون بشواهد وأدلّة علی ذلک</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وفی کثیر من الأحیان یکتفون فقط بالمعنی اللغوی وبأیسر لفظ ممکن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وجود الاختلافات فی المسائل الفقهیة و الکلامیة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صیانته عن التفسیر بالرای،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الاستبداد بالرأی غیر المستند إلی رُکن وثیق، أو التعصب الأعمی أو تلبیس الأمر، کان یتحاشاه الأجلاّء من الصحابة الأخیار</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مفسّروا تلک المرحلة یعتمدون فی تفسیرهم للآیات علی مشاهداتهم و النقل لما یسمعونه مباشرة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إضافةً إلی طریقة التفسیر بالنقل، فإنهم یعتمدون علی اللغة وأشعار العرب أیضاً بخاصة ابن‌عبّاس رحمه الله منهم</w:t>
      </w:r>
      <w:r>
        <w:rPr>
          <w:rFonts w:eastAsia="IRNazanin" w:cs="IRNazanin"/>
          <w:color w:val="111111"/>
          <w:sz w:val="28"/>
          <w:szCs w:val="28"/>
          <w:rtl w:val="true"/>
          <w:lang w:bidi="fa-IR"/>
        </w:rPr>
        <w:t>.</w:t>
      </w:r>
    </w:p>
    <w:p>
      <w:pPr>
        <w:pStyle w:val="Heading3"/>
        <w:numPr>
          <w:ilvl w:val="2"/>
          <w:numId w:val="1"/>
        </w:numPr>
        <w:rPr/>
      </w:pPr>
      <w:bookmarkStart w:id="239" w:name="__RefHeading___Toc633991_581953129"/>
      <w:bookmarkStart w:id="240" w:name="_Toc91"/>
      <w:bookmarkEnd w:id="239"/>
      <w:r>
        <w:rPr>
          <w:rtl w:val="true"/>
        </w:rPr>
        <w:t>الأسئلة</w:t>
      </w:r>
      <w:bookmarkEnd w:id="2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الدلیل علی أفضلیة علی‌بن‌أبی‌طالب علیه السّلام فی التفسیر علی جمیع الصحابة؟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یوجد لابن عبّاس تفسیر؟ وضّح لنا ما تعرفه عن تفسیر ابن عبّاس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لنا بعض النماذج التفسیریة لابن عبّاس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وضّح ما تعرفه عن ابن مسعود ومصحفه</w:t>
      </w:r>
      <w:r>
        <w:rPr>
          <w:rFonts w:eastAsia="IRNazanin" w:cs="IRNazanin"/>
          <w:color w:val="111111"/>
          <w:sz w:val="28"/>
          <w:szCs w:val="28"/>
          <w:rtl w:val="true"/>
          <w:lang w:bidi="fa-IR"/>
        </w:rPr>
        <w:t>.</w:t>
      </w:r>
      <w:bookmarkStart w:id="241" w:name="pg5285_67233"/>
    </w:p>
    <w:p>
      <w:pPr>
        <w:pStyle w:val="BookText"/>
        <w:rPr/>
      </w:pPr>
      <w:bookmarkEnd w:id="241"/>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دور أبی بن کعب فی التفسیر، اذکر بعضاً من آرائه؟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وضّح ما تعرفه عن جعل روایات فضائل السور ونسبة ذلک إلی ابی بن کعب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هی أهم الخصائص التی یتمیز به تفسیر الصحابة؟</w:t>
      </w:r>
    </w:p>
    <w:p>
      <w:pPr>
        <w:pStyle w:val="Heading3"/>
        <w:numPr>
          <w:ilvl w:val="2"/>
          <w:numId w:val="1"/>
        </w:numPr>
        <w:rPr/>
      </w:pPr>
      <w:bookmarkStart w:id="242" w:name="__RefHeading___Toc633993_581953129"/>
      <w:bookmarkStart w:id="243" w:name="_Toc92"/>
      <w:bookmarkEnd w:id="242"/>
      <w:r>
        <w:rPr>
          <w:rtl w:val="true"/>
        </w:rPr>
        <w:t>التحقیق</w:t>
      </w:r>
      <w:bookmarkEnd w:id="2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اکتب، ما تعرفه عن مصحف الإمام‌علی علیه السّلام وماهو الفرق بینه وبین کتاب الجامعة للإمام علی علیه السّلام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المصادر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التمهید،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مصحف الإمام علی علیه السّلام للسید محمّد علی أیازی؛ مکاتب تفسیری للشیخ علی أکبر بابایی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اتهم المستشرقون ابن عباس فی أنه کان یأخذ تفسیرة من أهل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ناقش هذه الشبهة بالتفصیل بالاستناد إلی الأدلة الموضوعیة من مصادرها</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وإلیک بعض 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و المفسّرون، للدکتور الذهبی؛ الشیخ معرفة؛ وکتاب سه مقاله در تاریخ تفسیر، للدکتور محمّد باقر حجّتی</w:t>
      </w:r>
      <w:r>
        <w:rPr>
          <w:rFonts w:eastAsia="IRNazanin" w:cs="IRNazanin"/>
          <w:color w:val="111111"/>
          <w:sz w:val="28"/>
          <w:szCs w:val="28"/>
          <w:rtl w:val="true"/>
          <w:lang w:bidi="fa-IR"/>
        </w:rPr>
        <w:t>.</w:t>
      </w:r>
      <w:bookmarkStart w:id="244" w:name="pg5285_67235"/>
    </w:p>
    <w:p>
      <w:pPr>
        <w:pStyle w:val="Heading2"/>
        <w:numPr>
          <w:ilvl w:val="1"/>
          <w:numId w:val="1"/>
        </w:numPr>
        <w:rPr/>
      </w:pPr>
      <w:bookmarkStart w:id="245" w:name="__RefHeading___Toc633995_581953129"/>
      <w:bookmarkStart w:id="246" w:name="_Toc93"/>
      <w:bookmarkEnd w:id="244"/>
      <w:bookmarkEnd w:id="245"/>
      <w:r>
        <w:rPr/>
        <w:t>4</w:t>
      </w:r>
      <w:r>
        <w:rPr>
          <w:rtl w:val="true"/>
        </w:rPr>
        <w:t xml:space="preserve">- </w:t>
      </w:r>
      <w:r>
        <w:rPr>
          <w:rtl w:val="true"/>
        </w:rPr>
        <w:t>التفسیر فی عصر التابعین</w:t>
      </w:r>
      <w:bookmarkEnd w:id="246"/>
    </w:p>
    <w:p>
      <w:pPr>
        <w:pStyle w:val="Heading3"/>
        <w:numPr>
          <w:ilvl w:val="2"/>
          <w:numId w:val="1"/>
        </w:numPr>
        <w:rPr/>
      </w:pPr>
      <w:bookmarkStart w:id="247" w:name="__RefHeading___Toc633997_581953129"/>
      <w:bookmarkStart w:id="248" w:name="_Toc94"/>
      <w:bookmarkEnd w:id="247"/>
      <w:r>
        <w:rPr>
          <w:rtl w:val="true"/>
        </w:rPr>
        <w:t>اشارة</w:t>
      </w:r>
      <w:bookmarkEnd w:id="248"/>
    </w:p>
    <w:p>
      <w:pPr>
        <w:pStyle w:val="BookText"/>
        <w:rPr/>
      </w:pPr>
      <w:r>
        <w:rPr>
          <w:rFonts w:ascii="IRNazanin" w:hAnsi="IRNazanin" w:eastAsia="IRNazanin"/>
          <w:color w:val="111111"/>
          <w:sz w:val="28"/>
          <w:sz w:val="28"/>
          <w:szCs w:val="28"/>
          <w:rtl w:val="true"/>
          <w:lang w:bidi="fa-IR"/>
        </w:rPr>
        <w:t>الموضوعات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فی عصر التابعین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مفسّروا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و مجاهد بن جبر، و طاووس بن کیسان، و عطاء بن أبی رباح، وعِکرمة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مفسّروا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المسیب، وأبو العالیة رفیع بن مهران، و محمّد بن کعب القرظی و زید بن أسلم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مفسّروا العراق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الکوفة و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قتادة و جابر بن یزید الجُعفی، و السدّی الکبیر ومسروق بن الأجدع، وعلقمه، و الحسن البصری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الاهداف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التعرف علی المدارس التفسیریة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التعرف علی مفسری التابعین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التعرف علی خصائص تفسیر التابعین</w:t>
      </w:r>
      <w:bookmarkStart w:id="249" w:name="pg5285_67236"/>
    </w:p>
    <w:p>
      <w:pPr>
        <w:pStyle w:val="Heading3"/>
        <w:numPr>
          <w:ilvl w:val="2"/>
          <w:numId w:val="1"/>
        </w:numPr>
        <w:rPr/>
      </w:pPr>
      <w:bookmarkStart w:id="250" w:name="__RefHeading___Toc633999_581953129"/>
      <w:bookmarkStart w:id="251" w:name="_Toc95"/>
      <w:bookmarkEnd w:id="249"/>
      <w:bookmarkEnd w:id="250"/>
      <w:r>
        <w:rPr>
          <w:rtl w:val="true"/>
        </w:rPr>
        <w:t>التفسیر فی عصر التابعین</w:t>
      </w:r>
      <w:bookmarkEnd w:id="251"/>
    </w:p>
    <w:p>
      <w:pPr>
        <w:pStyle w:val="BookText"/>
        <w:rPr/>
      </w:pPr>
      <w:r>
        <w:rPr>
          <w:rFonts w:ascii="IRNazanin" w:hAnsi="IRNazanin" w:eastAsia="IRNazanin"/>
          <w:color w:val="111111"/>
          <w:sz w:val="28"/>
          <w:sz w:val="28"/>
          <w:szCs w:val="28"/>
          <w:rtl w:val="true"/>
          <w:lang w:bidi="fa-IR"/>
        </w:rPr>
        <w:t>یطلق لقب التابعی علی من لقی الصحابی مؤمناً بالنبی صلّی الله علیه و آله، ومات علی الإیمان</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 xml:space="preserve">أو هو من أدراک الصحابی، ولم یلقه صلّی الله علیه و آله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جمع من التابعین الذین أدرکوا أصحاب رسوله صلّی الله علیه و آله تعلّموا وتفهّموا تفسیر القرآن وأسالیبه التفسیریة من مفسّری الصحابة، ونقلوا الکثیر من الروایات التفسیریة عنهم، وبالتدریج صاروا یطرحون أراءهم واجتهاداتهم فی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بدأت مرحلة التفسیر الاجتهادی، ثمّ إنّ أکثر المفسّرین من التابعین هم من تلامذة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واحد من مفسّری الصحابة تکفّل بتربیة مجموعة من التابعین، فالإمام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علی تربیته ابن عبّاس، وتعلیماته لابن مسعود، واُبی بن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ربّی الحسن و الحسینکذلک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واُبی، و عبد الله بن مسعود، قاموا بتربیة الکثیر من المفسّرین فی المدن الإسلامیة الکبیرة فی ذلک العصر، ومن خلال المدارس التفسیریة التی أسّسوها و التی عرفت بأسماء تلک المدن،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مکّة، والمدینة، والعراق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الکوفة و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زامن عصر التابعین فترة الأئمّة علی بن الحسین السّجاد، والإمام محمّد الباقر، والإمام جعفر الصادق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تزوّد التابعون منهم العلوم الکثیرة جدّاً، خاصّة أهل المدینة المنوّره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فلقد کانت أغلب الروایات التفسیریة بین التابعین ومن المدارس المختلفة، هی عن هؤلاء الأشخاص التالیة أسماؤهم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ومجاهد بن جبر، و عِکْرمه،</w:t>
      </w:r>
      <w:bookmarkStart w:id="252" w:name="pg5285_67237"/>
    </w:p>
    <w:p>
      <w:pPr>
        <w:pStyle w:val="BookText"/>
        <w:rPr/>
      </w:pPr>
      <w:bookmarkEnd w:id="252"/>
      <w:r>
        <w:rPr>
          <w:rFonts w:ascii="IRNazanin" w:hAnsi="IRNazanin" w:eastAsia="IRNazanin"/>
          <w:color w:val="111111"/>
          <w:sz w:val="28"/>
          <w:sz w:val="28"/>
          <w:szCs w:val="28"/>
          <w:rtl w:val="true"/>
          <w:lang w:bidi="fa-IR"/>
        </w:rPr>
        <w:t>وطاووس بن کَیسان، وعطاء بن أبی رباح، والسُدّی الکبیر، وجابر بن یزید الجُعفی، وقتادة، والحسن البصری، والضحّاک بن مزاحم</w:t>
      </w:r>
      <w:r>
        <w:rPr>
          <w:rFonts w:eastAsia="IRNazanin" w:cs="IRNazanin"/>
          <w:color w:val="111111"/>
          <w:sz w:val="28"/>
          <w:szCs w:val="28"/>
          <w:rtl w:val="true"/>
          <w:lang w:bidi="fa-IR"/>
        </w:rPr>
        <w:t>.</w:t>
      </w:r>
    </w:p>
    <w:p>
      <w:pPr>
        <w:pStyle w:val="Heading3"/>
        <w:numPr>
          <w:ilvl w:val="2"/>
          <w:numId w:val="1"/>
        </w:numPr>
        <w:rPr/>
      </w:pPr>
      <w:bookmarkStart w:id="253" w:name="__RefHeading___Toc634001_581953129"/>
      <w:bookmarkStart w:id="254" w:name="_Toc96"/>
      <w:bookmarkEnd w:id="253"/>
      <w:r>
        <w:rPr>
          <w:rtl w:val="true"/>
        </w:rPr>
        <w:t>مدرسة مکّة</w:t>
      </w:r>
      <w:bookmarkEnd w:id="254"/>
    </w:p>
    <w:p>
      <w:pPr>
        <w:pStyle w:val="Heading4"/>
        <w:numPr>
          <w:ilvl w:val="3"/>
          <w:numId w:val="1"/>
        </w:numPr>
        <w:rPr/>
      </w:pPr>
      <w:bookmarkStart w:id="255" w:name="__RefHeading___Toc634003_581953129"/>
      <w:bookmarkStart w:id="256" w:name="_Toc97"/>
      <w:bookmarkEnd w:id="255"/>
      <w:r>
        <w:rPr>
          <w:rtl w:val="true"/>
        </w:rPr>
        <w:t>اشارة</w:t>
      </w:r>
      <w:bookmarkEnd w:id="256"/>
    </w:p>
    <w:p>
      <w:pPr>
        <w:pStyle w:val="BookText"/>
        <w:rPr/>
      </w:pPr>
      <w:r>
        <w:rPr>
          <w:rFonts w:ascii="IRNazanin" w:hAnsi="IRNazanin" w:eastAsia="IRNazanin"/>
          <w:color w:val="111111"/>
          <w:sz w:val="28"/>
          <w:sz w:val="28"/>
          <w:szCs w:val="28"/>
          <w:rtl w:val="true"/>
          <w:lang w:bidi="fa-IR"/>
        </w:rPr>
        <w:t>کانت مدرسة مکّة المکرّمة إحدی أشهر المدارس التفسیریة فی عصر التابعین، و قد تخرّج منها مفسّرون بارزون تربوا علی یدی ابن عبّاس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ذکروا حوالی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 منهم، و قد اشتهر البعض منهم أکثر من غیرهم فی تفسیر القرآن،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و مجاهد بن جبر، و عِکرمة مولی ابن عبّاس، و عطاء بن أبی رباح، و طاووس بن کَیسان الیمانی</w:t>
      </w:r>
      <w:r>
        <w:rPr>
          <w:rFonts w:eastAsia="IRNazanin" w:cs="IRNazanin"/>
          <w:color w:val="111111"/>
          <w:sz w:val="28"/>
          <w:szCs w:val="28"/>
          <w:rtl w:val="true"/>
          <w:lang w:bidi="fa-IR"/>
        </w:rPr>
        <w:t>....</w:t>
      </w:r>
    </w:p>
    <w:p>
      <w:pPr>
        <w:pStyle w:val="Heading4"/>
        <w:numPr>
          <w:ilvl w:val="3"/>
          <w:numId w:val="1"/>
        </w:numPr>
        <w:rPr/>
      </w:pPr>
      <w:bookmarkStart w:id="257" w:name="__RefHeading___Toc634005_581953129"/>
      <w:bookmarkStart w:id="258" w:name="_Toc98"/>
      <w:bookmarkEnd w:id="257"/>
      <w:r>
        <w:rPr/>
        <w:t>1</w:t>
      </w:r>
      <w:r>
        <w:rPr>
          <w:rtl w:val="true"/>
        </w:rPr>
        <w:t xml:space="preserve">. </w:t>
      </w:r>
      <w:r>
        <w:rPr>
          <w:rtl w:val="true"/>
        </w:rPr>
        <w:t xml:space="preserve">سعید بن جُبیر </w:t>
      </w:r>
      <w:r>
        <w:rPr>
          <w:rtl w:val="true"/>
        </w:rPr>
        <w:t>(</w:t>
      </w:r>
      <w:r>
        <w:rPr>
          <w:rtl w:val="true"/>
        </w:rPr>
        <w:t>ت</w:t>
      </w:r>
      <w:r>
        <w:rPr/>
        <w:t>950</w:t>
      </w:r>
      <w:r>
        <w:rPr>
          <w:rtl w:val="true"/>
        </w:rPr>
        <w:t>ه</w:t>
      </w:r>
      <w:r>
        <w:rPr>
          <w:rtl w:val="true"/>
        </w:rPr>
        <w:t>)</w:t>
      </w:r>
      <w:bookmarkEnd w:id="258"/>
    </w:p>
    <w:p>
      <w:pPr>
        <w:pStyle w:val="Heading5"/>
        <w:numPr>
          <w:ilvl w:val="4"/>
          <w:numId w:val="1"/>
        </w:numPr>
        <w:rPr/>
      </w:pPr>
      <w:bookmarkStart w:id="259" w:name="__RefHeading___Toc634007_581953129"/>
      <w:bookmarkStart w:id="260" w:name="_Toc99"/>
      <w:bookmarkEnd w:id="259"/>
      <w:r>
        <w:rPr>
          <w:rtl w:val="true"/>
        </w:rPr>
        <w:t>اشارة</w:t>
      </w:r>
      <w:bookmarkEnd w:id="260"/>
    </w:p>
    <w:p>
      <w:pPr>
        <w:pStyle w:val="BookText"/>
        <w:rPr/>
      </w:pPr>
      <w:r>
        <w:rPr>
          <w:rFonts w:ascii="IRNazanin" w:hAnsi="IRNazanin" w:eastAsia="IRNazanin"/>
          <w:color w:val="111111"/>
          <w:sz w:val="28"/>
          <w:sz w:val="28"/>
          <w:szCs w:val="28"/>
          <w:rtl w:val="true"/>
          <w:lang w:bidi="fa-IR"/>
        </w:rPr>
        <w:t>من تلامذة ابن عبّاس، وُلِدَ فی الکوفة، وسکن مکّة المکرّمة، و نقلت عنه کتب التفاسیر الشیعیة و السنّیة روایات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استشهد رحمه الله علی ید طاغیة زمانه الحجّاج بن یوسف الثقفی سنة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ولم یتجاوز سن ال</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Style w:val="FootnoteAnchor"/>
          <w:rtl w:val="true"/>
        </w:rPr>
        <w:footnoteReference w:id="256"/>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اشتهرت مناظرته الشجاعه مع هذا الحاکم السفّاح، </w:t>
      </w:r>
      <w:r>
        <w:rPr>
          <w:rStyle w:val="FootnoteAnchor"/>
          <w:rtl w:val="true"/>
        </w:rPr>
        <w:footnoteReference w:id="257"/>
      </w:r>
      <w:r>
        <w:rPr>
          <w:rFonts w:ascii="IRNazanin" w:hAnsi="IRNazanin" w:eastAsia="IRNazanin"/>
          <w:color w:val="111111"/>
          <w:sz w:val="28"/>
          <w:sz w:val="28"/>
          <w:szCs w:val="28"/>
          <w:rtl w:val="true"/>
          <w:lang w:bidi="fa-IR"/>
        </w:rPr>
        <w:t>والمستفاد من الروایات أنّه کان من شیعة أهل‌البیت علیهم السّلام ومحبّیهم، و أنّ سبب قتله هو معرفتهم به أنّه من أتباع الإمام زین العابدین علیه السّلام، وأنّه کان یکرّم سعید بن جُبیر ویحترمه</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وکذا أهل السنّة فقد أثنوا علیه وعرّفوه بما عرّفناه أعلاه مع فارق ضئیل</w:t>
      </w:r>
      <w:r>
        <w:rPr>
          <w:rFonts w:eastAsia="IRNazanin" w:cs="IRNazanin"/>
          <w:color w:val="111111"/>
          <w:sz w:val="28"/>
          <w:szCs w:val="28"/>
          <w:rtl w:val="true"/>
          <w:lang w:bidi="fa-IR"/>
        </w:rPr>
        <w:t xml:space="preserve">. </w:t>
      </w:r>
      <w:r>
        <w:rPr>
          <w:rStyle w:val="FootnoteAnchor"/>
          <w:rtl w:val="true"/>
        </w:rPr>
        <w:footnoteReference w:id="259"/>
      </w:r>
      <w:bookmarkStart w:id="261" w:name="pg5285_67238"/>
    </w:p>
    <w:p>
      <w:pPr>
        <w:pStyle w:val="BookText"/>
        <w:rPr/>
      </w:pPr>
      <w:bookmarkEnd w:id="261"/>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الحجاجُ سعیدَ بن جُبیر، و ما علی وجه الأرض أحدٌ إلاّ و هو مفتقر لعلمه</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أما وثاقته، فإنّها موضع اتّفاق العلماء، وأصحاب الصحاح الستّة من أهل السنّة وأصحاب الکتب الأربعة من مذهب أهل‌البیت علیه السّلام</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کان سعید بن جُبیر أعلم التابعین و المفسّرین فی زمانه، یقول قتادة، و هو أحد المشهورین فی التفسیر فی عصر التابعین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أربعة، هم أعلم الناس فی زماننا فی الموضوعات و العلوم المختلفة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عطاء بن رباح، فی الأحکام الدینیة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 بن جُبیر، فی التفسیر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عِکرمة، فی التاریخ و السیره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 البصری، فی الحلال و الحرام</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کان سعید بن جُبیر یحترم أستاذة ابن عبّاس کثیراً، فهو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أسمع الحدیث عن ابن عبّاس، فلو أَذِنَ لی، لقبّلتُ رأسه</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و کان ابن عبّاس إذا أتاه أهل الکوفة یستفتونه،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فیکم ابن أمّ الدَّهماء؟</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یعنی، ألیس بینکم سعید بن جُبیر حتّی تراجعوننی؟</w:t>
      </w:r>
      <w:r>
        <w:rPr>
          <w:rFonts w:eastAsia="IRNazanin" w:cs="IRNazanin"/>
          <w:color w:val="111111"/>
          <w:sz w:val="28"/>
          <w:szCs w:val="28"/>
          <w:rtl w:val="true"/>
          <w:lang w:bidi="fa-IR"/>
        </w:rPr>
        <w:t>!</w:t>
      </w:r>
    </w:p>
    <w:p>
      <w:pPr>
        <w:pStyle w:val="Heading5"/>
        <w:numPr>
          <w:ilvl w:val="4"/>
          <w:numId w:val="1"/>
        </w:numPr>
        <w:rPr/>
      </w:pPr>
      <w:bookmarkStart w:id="262" w:name="__RefHeading___Toc634009_581953129"/>
      <w:bookmarkStart w:id="263" w:name="_Toc100"/>
      <w:bookmarkEnd w:id="262"/>
      <w:r>
        <w:rPr>
          <w:rtl w:val="true"/>
        </w:rPr>
        <w:t>أقسام التفسیر</w:t>
      </w:r>
      <w:bookmarkEnd w:id="263"/>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اعتمد ابن جُبیر علی أسالیب متنوّعة فی تفسیر القرآن من بینها</w:t>
      </w:r>
      <w:r>
        <w:rPr>
          <w:rFonts w:eastAsia="IRNazanin" w:cs="IRNazanin"/>
          <w:color w:val="111111"/>
          <w:sz w:val="28"/>
          <w:szCs w:val="28"/>
          <w:rtl w:val="true"/>
          <w:lang w:bidi="fa-IR"/>
        </w:rPr>
        <w:t>:</w:t>
      </w:r>
      <w:bookmarkStart w:id="264" w:name="pg5285_67239"/>
    </w:p>
    <w:p>
      <w:pPr>
        <w:pStyle w:val="BookText"/>
        <w:rPr/>
      </w:pPr>
      <w:bookmarkEnd w:id="264"/>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بیان مفردات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ففی ذیل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 ابن جُبیر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طریق الجنّة</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بیان مصداق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ففی تفسیر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لِرَبِّکَ وَ انْحَرْ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66"/>
      </w:r>
      <w:r>
        <w:rPr>
          <w:rFonts w:ascii="IRNazanin" w:hAnsi="IRNazanin" w:eastAsia="IRNazanin"/>
          <w:color w:val="111111"/>
          <w:sz w:val="28"/>
          <w:sz w:val="28"/>
          <w:szCs w:val="28"/>
          <w:rtl w:val="true"/>
          <w:lang w:bidi="fa-IR"/>
        </w:rPr>
        <w:t>نقل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فریضة صلاة الصبح تُصلّی جماعة فی وقتها لله ربِّ العالمین، ونحر البعیر فی منَی</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بیان شأن نزول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نقل عن سعید بن جُبیر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کَفَرُوا یُنْفِقُونَ أَمْوالَهُمْ لِیَصُدُّوا عَنْ سَبِیلِ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68"/>
      </w:r>
      <w:r>
        <w:rPr>
          <w:rFonts w:ascii="IRNazanin" w:hAnsi="IRNazanin" w:eastAsia="IRNazanin"/>
          <w:color w:val="111111"/>
          <w:sz w:val="28"/>
          <w:sz w:val="28"/>
          <w:szCs w:val="28"/>
          <w:rtl w:val="true"/>
          <w:lang w:bidi="fa-IR"/>
        </w:rPr>
        <w:t>أنّها نزلت فی أبی سفیان بن حرب فی یوم أحد، والذی استأجر ألفی رجلاً من الأحباش لمحاربة الإسلام</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وهکذا نقلوا عنه تفسیره القرآن بالقرآن، وبیان أسباب النزول</w:t>
      </w:r>
      <w:r>
        <w:rPr>
          <w:rFonts w:eastAsia="IRNazanin" w:cs="IRNazanin"/>
          <w:color w:val="111111"/>
          <w:sz w:val="28"/>
          <w:szCs w:val="28"/>
          <w:rtl w:val="true"/>
          <w:lang w:bidi="fa-IR"/>
        </w:rPr>
        <w:t>.</w:t>
      </w:r>
    </w:p>
    <w:p>
      <w:pPr>
        <w:pStyle w:val="Heading4"/>
        <w:numPr>
          <w:ilvl w:val="3"/>
          <w:numId w:val="1"/>
        </w:numPr>
        <w:rPr/>
      </w:pPr>
      <w:bookmarkStart w:id="265" w:name="__RefHeading___Toc634011_581953129"/>
      <w:bookmarkStart w:id="266" w:name="_Toc101"/>
      <w:bookmarkEnd w:id="265"/>
      <w:r>
        <w:rPr/>
        <w:t>2</w:t>
      </w:r>
      <w:r>
        <w:rPr>
          <w:rtl w:val="true"/>
        </w:rPr>
        <w:t xml:space="preserve">. </w:t>
      </w:r>
      <w:r>
        <w:rPr>
          <w:rtl w:val="true"/>
        </w:rPr>
        <w:t xml:space="preserve">مجاهد بن جبر </w:t>
      </w:r>
      <w:r>
        <w:rPr>
          <w:rtl w:val="true"/>
        </w:rPr>
        <w:t>(</w:t>
      </w:r>
      <w:r>
        <w:rPr>
          <w:rtl w:val="true"/>
        </w:rPr>
        <w:t>ت</w:t>
      </w:r>
      <w:r>
        <w:rPr/>
        <w:t>104</w:t>
      </w:r>
      <w:r>
        <w:rPr>
          <w:rtl w:val="true"/>
        </w:rPr>
        <w:t>ه</w:t>
      </w:r>
      <w:r>
        <w:rPr>
          <w:rtl w:val="true"/>
        </w:rPr>
        <w:t>)</w:t>
      </w:r>
      <w:bookmarkEnd w:id="266"/>
    </w:p>
    <w:p>
      <w:pPr>
        <w:pStyle w:val="Heading5"/>
        <w:numPr>
          <w:ilvl w:val="4"/>
          <w:numId w:val="1"/>
        </w:numPr>
        <w:rPr/>
      </w:pPr>
      <w:bookmarkStart w:id="267" w:name="__RefHeading___Toc634013_581953129"/>
      <w:bookmarkStart w:id="268" w:name="_Toc102"/>
      <w:bookmarkEnd w:id="267"/>
      <w:r>
        <w:rPr>
          <w:rtl w:val="true"/>
        </w:rPr>
        <w:t>اشارة</w:t>
      </w:r>
      <w:bookmarkEnd w:id="268"/>
    </w:p>
    <w:p>
      <w:pPr>
        <w:pStyle w:val="BookText"/>
        <w:rPr/>
      </w:pPr>
      <w:r>
        <w:rPr>
          <w:rFonts w:ascii="IRNazanin" w:hAnsi="IRNazanin" w:eastAsia="IRNazanin"/>
          <w:color w:val="111111"/>
          <w:sz w:val="28"/>
          <w:sz w:val="28"/>
          <w:szCs w:val="28"/>
          <w:rtl w:val="true"/>
          <w:lang w:bidi="fa-IR"/>
        </w:rPr>
        <w:t xml:space="preserve">و هو أبو الحجّاج المخزومی المکّی المقرئ و المفسّر، وُلِدَ سنة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وتوفّی بمکّة ساجداً سنة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کان أو ثق أصحاب ابن عبّاس، و من ثَمَّ اعتمده الأئمّة علیهم السّلام، وأصحاب الحدیث و التفسیر</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ونقلوا عنه روایات تفسیریة کثیرة، وکانت طرقه فی ذلک عن أمیر المؤمنین علی علیه السّلام وابن عبّاس</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یری الذهبی أنَّ الأمَّة أجمعت علی إمامة مجاهد، والاحتجاج بأقواله، وأنّه إنسان ثقة وأمین، وفقیه زاهد، وعالم و محدّث کبیر، وله حافظة جیدة، وکان دقیقاً</w:t>
      </w:r>
      <w:r>
        <w:rPr>
          <w:rFonts w:eastAsia="IRNazanin" w:cs="IRNazanin"/>
          <w:color w:val="111111"/>
          <w:sz w:val="28"/>
          <w:szCs w:val="28"/>
          <w:rtl w:val="true"/>
          <w:lang w:bidi="fa-IR"/>
        </w:rPr>
        <w:t xml:space="preserve">. </w:t>
      </w:r>
      <w:r>
        <w:rPr>
          <w:rStyle w:val="FootnoteAnchor"/>
          <w:rtl w:val="true"/>
        </w:rPr>
        <w:footnoteReference w:id="271"/>
      </w:r>
      <w:bookmarkStart w:id="269" w:name="pg5285_67240"/>
    </w:p>
    <w:p>
      <w:pPr>
        <w:pStyle w:val="Heading5"/>
        <w:numPr>
          <w:ilvl w:val="4"/>
          <w:numId w:val="1"/>
        </w:numPr>
        <w:rPr/>
      </w:pPr>
      <w:bookmarkStart w:id="270" w:name="__RefHeading___Toc634015_581953129"/>
      <w:bookmarkStart w:id="271" w:name="_Toc103"/>
      <w:bookmarkEnd w:id="269"/>
      <w:bookmarkEnd w:id="270"/>
      <w:r>
        <w:rPr>
          <w:rtl w:val="true"/>
        </w:rPr>
        <w:t>خصائص مجاهد التفسیریة</w:t>
      </w:r>
      <w:bookmarkEnd w:id="2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الحریة فی إبداء آرائه ونظریاته العقلیة</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اهتمامه بفنِّ التشبیه و التمثیل</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اهتمامه بالموضوعات العرفانیة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فضائل أمیر المؤمنین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الکثیر من أهل السنّة کذلک ینقلون فضائل علی علیه السّلام</w:t>
      </w:r>
      <w:r>
        <w:rPr>
          <w:rFonts w:eastAsia="IRNazanin" w:cs="IRNazanin"/>
          <w:color w:val="111111"/>
          <w:sz w:val="28"/>
          <w:szCs w:val="28"/>
          <w:rtl w:val="true"/>
          <w:lang w:bidi="fa-IR"/>
        </w:rPr>
        <w:t>).</w:t>
      </w:r>
    </w:p>
    <w:p>
      <w:pPr>
        <w:pStyle w:val="Heading5"/>
        <w:numPr>
          <w:ilvl w:val="4"/>
          <w:numId w:val="1"/>
        </w:numPr>
        <w:rPr/>
      </w:pPr>
      <w:bookmarkStart w:id="272" w:name="__RefHeading___Toc634017_581953129"/>
      <w:bookmarkStart w:id="273" w:name="_Toc104"/>
      <w:bookmarkEnd w:id="272"/>
      <w:r>
        <w:rPr>
          <w:rtl w:val="true"/>
        </w:rPr>
        <w:t>أنواع التفسیر</w:t>
      </w:r>
      <w:bookmarkEnd w:id="2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التشبیه و التمثیل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عَلِمْتُمُ الَّذِینَ اعْتَدَوْا مِنْکُمْ فِی السَّبْتِ فَقُلْنا لَهُمْ کُونُوا قِرَدَةً خاسِئِینَ</w:t>
      </w:r>
      <w:r>
        <w:rPr>
          <w:rFonts w:eastAsia="Amiri" w:cs="Amiri" w:ascii="Amiri" w:hAnsi="Amiri"/>
          <w:color w:val="111111"/>
          <w:sz w:val="28"/>
          <w:szCs w:val="28"/>
          <w:rtl w:val="true"/>
          <w:lang w:bidi="ar-SA"/>
        </w:rPr>
        <w:t xml:space="preserve">) . </w:t>
      </w:r>
      <w:r>
        <w:rPr>
          <w:rStyle w:val="FootnoteAnchor"/>
          <w:rtl w:val="true"/>
        </w:rPr>
        <w:footnoteReference w:id="274"/>
      </w:r>
      <w:r>
        <w:rPr>
          <w:rFonts w:ascii="Amiri" w:hAnsi="Amiri" w:eastAsia="Amiri" w:cs="Amiri"/>
          <w:color w:val="111111"/>
          <w:sz w:val="28"/>
          <w:sz w:val="28"/>
          <w:szCs w:val="28"/>
          <w:rtl w:val="true"/>
          <w:lang w:bidi="ar-SA"/>
        </w:rPr>
        <w:t>لم یمسخوا قردةً، و إنّما هو مثل ضربه الله،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کَمَثَلِ الْحِمارِ یَحْمِلُ أَسْفاراً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7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مُسخت قلوبهم فجُعلت کقلوب القردة، لا تقبل وعظاً و لا تتّقی زجراً</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التفسیر العقلی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 مجاهد فی تفسیر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یَوْمَئِذٍ 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رَبِّها ناظِرَةٌ</w:t>
      </w:r>
      <w:r>
        <w:rPr>
          <w:rFonts w:eastAsia="Amiri" w:cs="Amiri" w:ascii="Amiri" w:hAnsi="Amiri"/>
          <w:color w:val="111111"/>
          <w:sz w:val="28"/>
          <w:szCs w:val="28"/>
          <w:rtl w:val="true"/>
          <w:lang w:bidi="ar-SA"/>
        </w:rPr>
        <w:t xml:space="preserve">) . </w:t>
      </w:r>
      <w:r>
        <w:rPr>
          <w:rStyle w:val="FootnoteAnchor"/>
          <w:rtl w:val="true"/>
        </w:rPr>
        <w:footnoteReference w:id="277"/>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وجوه مشرقة مسرورة منتظرة لثواب ربّها فی یوم القیامة، </w:t>
      </w:r>
      <w:r>
        <w:rPr>
          <w:rStyle w:val="FootnoteAnchor"/>
          <w:rtl w:val="true"/>
        </w:rPr>
        <w:footnoteReference w:id="278"/>
      </w:r>
      <w:r>
        <w:rPr>
          <w:rFonts w:ascii="Amiri" w:hAnsi="Amiri" w:eastAsia="Amiri" w:cs="Amiri"/>
          <w:color w:val="111111"/>
          <w:sz w:val="28"/>
          <w:sz w:val="28"/>
          <w:szCs w:val="28"/>
          <w:rtl w:val="true"/>
          <w:lang w:bidi="ar-SA"/>
        </w:rPr>
        <w:t>لا أنّهم یرون ربّهم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النظریة من مجاهد تنسجم مع رأی شیعة أهل‌البیت علیهم السّلام و المعتزلة</w:t>
      </w:r>
      <w:r>
        <w:rPr>
          <w:rFonts w:eastAsia="IRNazanin" w:cs="IRNazanin"/>
          <w:color w:val="111111"/>
          <w:sz w:val="28"/>
          <w:szCs w:val="28"/>
          <w:rtl w:val="true"/>
          <w:lang w:bidi="fa-IR"/>
        </w:rPr>
        <w:t xml:space="preserve">. </w:t>
      </w:r>
      <w:r>
        <w:rPr>
          <w:rStyle w:val="FootnoteAnchor"/>
          <w:rtl w:val="true"/>
        </w:rPr>
        <w:footnoteReference w:id="279"/>
      </w:r>
      <w:bookmarkStart w:id="274" w:name="pg5285_67241"/>
    </w:p>
    <w:p>
      <w:pPr>
        <w:pStyle w:val="BookText"/>
        <w:rPr/>
      </w:pPr>
      <w:bookmarkEnd w:id="274"/>
      <w:r>
        <w:rPr>
          <w:rFonts w:ascii="IRNazanin" w:hAnsi="IRNazanin" w:eastAsia="IRNazanin"/>
          <w:color w:val="111111"/>
          <w:sz w:val="28"/>
          <w:sz w:val="28"/>
          <w:szCs w:val="28"/>
          <w:rtl w:val="true"/>
          <w:lang w:bidi="fa-IR"/>
        </w:rPr>
        <w:t>ولکن المشهور بین الأشاعرة هو رُؤیة الله فی الآخرة</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و ذهب ألی ذلک بعض الأشاعرة کالفخر 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الولائی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مجاهد عن سلمان المحمّدی،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وصیی وخلیفتی، وخیر مَنْ أَترُکُ بعدی ینجزُ موعدی ویقضی دینی علی بن أبی طالب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75" w:name="__RefHeading___Toc634019_581953129"/>
      <w:bookmarkStart w:id="276" w:name="_Toc105"/>
      <w:bookmarkEnd w:id="275"/>
      <w:r>
        <w:rPr>
          <w:rtl w:val="true"/>
        </w:rPr>
        <w:t>کتاب تفسیر مجاهد</w:t>
      </w:r>
      <w:bookmarkEnd w:id="276"/>
    </w:p>
    <w:p>
      <w:pPr>
        <w:pStyle w:val="BookText"/>
        <w:rPr/>
      </w:pPr>
      <w:r>
        <w:rPr>
          <w:rFonts w:ascii="IRNazanin" w:hAnsi="IRNazanin" w:eastAsia="IRNazanin"/>
          <w:color w:val="111111"/>
          <w:sz w:val="28"/>
          <w:sz w:val="28"/>
          <w:szCs w:val="28"/>
          <w:rtl w:val="true"/>
          <w:lang w:bidi="fa-IR"/>
        </w:rPr>
        <w:t xml:space="preserve">یوجد تفسیر من بین التفاسیر لم یتناول تفسیر جمیع الآیات، و قد رُتّبت سُورُهُ من البقرة وإلی سورة الناس، </w:t>
      </w:r>
      <w:r>
        <w:rPr>
          <w:rStyle w:val="FootnoteAnchor"/>
          <w:rtl w:val="true"/>
        </w:rPr>
        <w:footnoteReference w:id="281"/>
      </w:r>
      <w:r>
        <w:rPr>
          <w:rFonts w:ascii="IRNazanin" w:hAnsi="IRNazanin" w:eastAsia="IRNazanin"/>
          <w:color w:val="111111"/>
          <w:sz w:val="28"/>
          <w:sz w:val="28"/>
          <w:szCs w:val="28"/>
          <w:rtl w:val="true"/>
          <w:lang w:bidi="fa-IR"/>
        </w:rPr>
        <w:t>و هو مکوّن من مجلّدین وفیما یقرب ثمانمائة صفحة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ذکر الحاجی خلیفة فی کشف الظنون أنّ کتاباً یعرف باسم تفسیر مجاهد، له أسانید، من جملتها طریق ابن أبی نجیح، وابن جریح</w:t>
      </w:r>
      <w:r>
        <w:rPr>
          <w:rFonts w:eastAsia="IRNazanin" w:cs="IRNazanin"/>
          <w:color w:val="111111"/>
          <w:sz w:val="28"/>
          <w:szCs w:val="28"/>
          <w:rtl w:val="true"/>
          <w:lang w:bidi="fa-IR"/>
        </w:rPr>
        <w:t xml:space="preserve">. </w:t>
      </w:r>
      <w:r>
        <w:rPr>
          <w:rStyle w:val="FootnoteAnchor"/>
          <w:rtl w:val="true"/>
        </w:rPr>
        <w:footnoteReference w:id="282"/>
      </w:r>
    </w:p>
    <w:p>
      <w:pPr>
        <w:pStyle w:val="Heading4"/>
        <w:numPr>
          <w:ilvl w:val="3"/>
          <w:numId w:val="1"/>
        </w:numPr>
        <w:rPr/>
      </w:pPr>
      <w:bookmarkStart w:id="277" w:name="__RefHeading___Toc634021_581953129"/>
      <w:bookmarkStart w:id="278" w:name="_Toc106"/>
      <w:bookmarkEnd w:id="277"/>
      <w:r>
        <w:rPr/>
        <w:t>3</w:t>
      </w:r>
      <w:r>
        <w:rPr>
          <w:rtl w:val="true"/>
        </w:rPr>
        <w:t xml:space="preserve">. </w:t>
      </w:r>
      <w:r>
        <w:rPr>
          <w:rtl w:val="true"/>
        </w:rPr>
        <w:t xml:space="preserve">طاووس بن کیسان </w:t>
      </w:r>
      <w:r>
        <w:rPr>
          <w:rtl w:val="true"/>
        </w:rPr>
        <w:t>(</w:t>
      </w:r>
      <w:r>
        <w:rPr>
          <w:rtl w:val="true"/>
        </w:rPr>
        <w:t>ت</w:t>
      </w:r>
      <w:r>
        <w:rPr/>
        <w:t>106</w:t>
      </w:r>
      <w:r>
        <w:rPr>
          <w:rtl w:val="true"/>
        </w:rPr>
        <w:t>ه</w:t>
      </w:r>
      <w:r>
        <w:rPr>
          <w:rtl w:val="true"/>
        </w:rPr>
        <w:t>)</w:t>
      </w:r>
      <w:bookmarkEnd w:id="278"/>
    </w:p>
    <w:p>
      <w:pPr>
        <w:pStyle w:val="Heading5"/>
        <w:numPr>
          <w:ilvl w:val="4"/>
          <w:numId w:val="1"/>
        </w:numPr>
        <w:rPr/>
      </w:pPr>
      <w:bookmarkStart w:id="279" w:name="__RefHeading___Toc634023_581953129"/>
      <w:bookmarkStart w:id="280" w:name="_Toc107"/>
      <w:bookmarkEnd w:id="279"/>
      <w:r>
        <w:rPr>
          <w:rtl w:val="true"/>
        </w:rPr>
        <w:t>اشارة</w:t>
      </w:r>
      <w:bookmarkEnd w:id="280"/>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عبد الرحمن، طاووس بن کیسان الخَوْلانی الهمْدانی بالولاء، من أبناء الفرس، أحد الأعلام التابعین</w:t>
      </w:r>
      <w:r>
        <w:rPr>
          <w:rFonts w:eastAsia="IRNazanin" w:cs="IRNazanin"/>
          <w:color w:val="111111"/>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و هو من تلامیذ ابن عبّاس، وله مجالسات مع خمسین من الصحابة، إلاّ أنّ له مع ابن‌عبّاس علاقة خاصّة ورواح ومجیء</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 xml:space="preserve">فقد ذکر صاحب وفیات الأعیان أنّ وفاته کانت فی سنة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للهجرة</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و قد ذکرت روایات فی بیان فضائله وتقواه ومن 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مستجاب الدعوة، ومن عبّاد الیمن، و قد حجّ أربعین مرّة</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فقد عَدَّهُ ابن شهر آشوب، </w:t>
      </w:r>
      <w:r>
        <w:rPr>
          <w:rStyle w:val="FootnoteAnchor"/>
          <w:rtl w:val="true"/>
        </w:rPr>
        <w:footnoteReference w:id="287"/>
      </w:r>
      <w:r>
        <w:rPr>
          <w:rFonts w:ascii="IRNazanin" w:hAnsi="IRNazanin" w:eastAsia="IRNazanin"/>
          <w:color w:val="111111"/>
          <w:sz w:val="28"/>
          <w:sz w:val="28"/>
          <w:szCs w:val="28"/>
          <w:rtl w:val="true"/>
          <w:lang w:bidi="fa-IR"/>
        </w:rPr>
        <w:t>والشیخ الطوسی، وصاحب 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أصحاب الإمام علی بن الحسین السجاد علیه السّلام</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وعدّه وابن قُتیبة من الشیعة، وأنّه کان یصرّح بذلک</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وغیر هؤلاء من ینسبه إلی المتصوّفة وأنّه من مفسرّی أهل السنّة</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وله مواقف ضد حکّام عصره مواقف مشرّفة تدعو إلی الفخر، تکشف عن شخصیته الشجاعة و المجاهدة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هشام بن عبد الملک حاجّاً إلی بیت الله الحرام، فلمّا دخل الحرم،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آتونی برجل من الصحابة؟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التابعین؟ فأتی بطاووس الیمانی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 علیه، خلع نعلیه بحاشیة بساطه، ولم یسلّم علیه بأمرة المؤمنین ولم یکنّه، وجلس إلی جانبه بغیر إذنه،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 یا هشام؟ فغضب هشام من ذلک غضباً شدیداً، وهَمَّ بقتله،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فی الحرم، لا یمکن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طاووس، ما حملک علی ما صنعت؟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صَنَعتُ؟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فاشتدّ غضب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خلعت نعلیک بحاشیةِ بساطی، ولم تُسلّم علی بأمرة المؤمنین، ولم تکنّنی، وجلست بإزائی بغیر إذنی،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کیف أنت؟</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خلع نعلی بحاشیة بساطک، فإنّی أخلعهما بین یدی ربّ العزة کلّ یوم خمس مرّات، فلا یعاتبنی و لا یغضب علی؛ و أمّا 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تسلم علی بأمرة</w:t>
      </w:r>
      <w:bookmarkStart w:id="281" w:name="pg5285_67243"/>
    </w:p>
    <w:p>
      <w:pPr>
        <w:pStyle w:val="BookText"/>
        <w:rPr/>
      </w:pPr>
      <w:bookmarkEnd w:id="281"/>
      <w:r>
        <w:rPr>
          <w:rFonts w:ascii="Amiri" w:hAnsi="Amiri" w:eastAsia="Amiri" w:cs="Amiri"/>
          <w:color w:val="111111"/>
          <w:sz w:val="28"/>
          <w:sz w:val="28"/>
          <w:szCs w:val="28"/>
          <w:rtl w:val="true"/>
          <w:lang w:bidi="ar-SA"/>
        </w:rPr>
        <w:t>المؤمنین، فلیس کلّ المؤمنین راضین بأمرتک، فخفتُ أن أکونَ کاذباً؛ و أمّا ما قلت لم تُکننی، فإنَّ الله عزّوجلّ سمّی أنبیاءه،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داودُ، یا یحیی، یا عیسی، وکنّی أعداءه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تَبَّتْ یَدا أَبِی لَهَبٍ وَ تَبَّ</w:t>
      </w:r>
      <w:r>
        <w:rPr>
          <w:rFonts w:eastAsia="Amiri" w:cs="Amiri" w:ascii="Amiri" w:hAnsi="Amiri"/>
          <w:color w:val="111111"/>
          <w:sz w:val="28"/>
          <w:szCs w:val="28"/>
          <w:rtl w:val="true"/>
          <w:lang w:bidi="ar-SA"/>
        </w:rPr>
        <w:t xml:space="preserve">) </w:t>
      </w:r>
      <w:r>
        <w:rPr>
          <w:rStyle w:val="FootnoteAnchor"/>
          <w:rtl w:val="true"/>
        </w:rPr>
        <w:footnoteReference w:id="291"/>
      </w:r>
      <w:r>
        <w:rPr>
          <w:rFonts w:ascii="IRNazanin" w:hAnsi="IRNazanin" w:eastAsia="IRNazanin"/>
          <w:color w:val="111111"/>
          <w:sz w:val="28"/>
          <w:sz w:val="28"/>
          <w:szCs w:val="28"/>
          <w:rtl w:val="true"/>
          <w:lang w:bidi="fa-IR"/>
        </w:rPr>
        <w:t>و أمّا قولک جلستَ باءزائی، فإنّی سمعتُ أمیر المؤمنین علی بن أبی طالب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أردت أن تنظر إلی رجُل من أهل النار، فانظر إلی رجلٍ جالس و حوله قوم 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سمعت أمیر المؤمنین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جهنم حیات کالقلال، وعقارب کالبغال، تلدغ کلّ أمیر لا یعدل فی رعیته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قام و خرج</w:t>
      </w:r>
      <w:r>
        <w:rPr>
          <w:rFonts w:eastAsia="Amiri" w:cs="Amiri" w:ascii="Amiri" w:hAnsi="Amiri"/>
          <w:color w:val="111111"/>
          <w:sz w:val="28"/>
          <w:szCs w:val="28"/>
          <w:rtl w:val="true"/>
          <w:lang w:bidi="ar-SA"/>
        </w:rPr>
        <w:t xml:space="preserve">. </w:t>
      </w:r>
      <w:r>
        <w:rPr>
          <w:rStyle w:val="FootnoteAnchor"/>
          <w:rtl w:val="true"/>
        </w:rPr>
        <w:footnoteReference w:id="292"/>
      </w:r>
    </w:p>
    <w:p>
      <w:pPr>
        <w:pStyle w:val="Heading5"/>
        <w:numPr>
          <w:ilvl w:val="4"/>
          <w:numId w:val="1"/>
        </w:numPr>
        <w:rPr/>
      </w:pPr>
      <w:bookmarkStart w:id="282" w:name="__RefHeading___Toc634025_581953129"/>
      <w:bookmarkStart w:id="283" w:name="_Toc108"/>
      <w:bookmarkEnd w:id="282"/>
      <w:r>
        <w:rPr>
          <w:rtl w:val="true"/>
        </w:rPr>
        <w:t>نموذجان تفسیریان</w:t>
      </w:r>
      <w:bookmarkEnd w:id="2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التفسیر الباطنی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ففی تفسیر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یُنادَوْنَ مِنْ مَکانٍ بَعِیدٍ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بعیدا مِنْ قلوبهم</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التفسیر بالمعنی الأخصّ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ففی تفسیر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الْإِنْسانُ ضَعِیفاً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9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أمور النساء، لیس أن یکون الإنسان فی شیء أضعف منه فی أمور النساء</w:t>
      </w:r>
      <w:r>
        <w:rPr>
          <w:rFonts w:eastAsia="IRNazanin" w:cs="IRNazanin"/>
          <w:color w:val="111111"/>
          <w:sz w:val="28"/>
          <w:szCs w:val="28"/>
          <w:rtl w:val="true"/>
          <w:lang w:bidi="fa-IR"/>
        </w:rPr>
        <w:t xml:space="preserve">. </w:t>
      </w:r>
      <w:r>
        <w:rPr>
          <w:rStyle w:val="FootnoteAnchor"/>
          <w:rtl w:val="true"/>
        </w:rPr>
        <w:footnoteReference w:id="296"/>
      </w:r>
    </w:p>
    <w:p>
      <w:pPr>
        <w:pStyle w:val="Heading4"/>
        <w:numPr>
          <w:ilvl w:val="3"/>
          <w:numId w:val="1"/>
        </w:numPr>
        <w:rPr/>
      </w:pPr>
      <w:bookmarkStart w:id="284" w:name="__RefHeading___Toc634027_581953129"/>
      <w:bookmarkStart w:id="285" w:name="_Toc109"/>
      <w:bookmarkEnd w:id="284"/>
      <w:r>
        <w:rPr/>
        <w:t>4</w:t>
      </w:r>
      <w:r>
        <w:rPr>
          <w:rtl w:val="true"/>
        </w:rPr>
        <w:t xml:space="preserve">. </w:t>
      </w:r>
      <w:r>
        <w:rPr>
          <w:rtl w:val="true"/>
        </w:rPr>
        <w:t xml:space="preserve">عطاء بن أبی رباح </w:t>
      </w:r>
      <w:r>
        <w:rPr>
          <w:rtl w:val="true"/>
        </w:rPr>
        <w:t>(</w:t>
      </w:r>
      <w:r>
        <w:rPr>
          <w:rtl w:val="true"/>
        </w:rPr>
        <w:t>ت</w:t>
      </w:r>
      <w:r>
        <w:rPr/>
        <w:t>114</w:t>
      </w:r>
      <w:r>
        <w:rPr>
          <w:rtl w:val="true"/>
        </w:rPr>
        <w:t>ه</w:t>
      </w:r>
      <w:r>
        <w:rPr>
          <w:rtl w:val="true"/>
        </w:rPr>
        <w:t>)</w:t>
      </w:r>
      <w:bookmarkEnd w:id="285"/>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من الفقهاء المشهورین فی مکّة، و هو من خواص أصحاب ابن عبّاس، و قد تربّی وتعلّم فی مدرسته، کان أولاده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وعبد الله، وعریف یعدّون من أصحاب</w:t>
      </w:r>
    </w:p>
    <w:p>
      <w:pPr>
        <w:pStyle w:val="BookText"/>
        <w:rPr/>
      </w:pPr>
      <w:r>
        <w:rPr>
          <w:rFonts w:ascii="IRNazanin" w:hAnsi="IRNazanin" w:eastAsia="IRNazanin"/>
          <w:color w:val="111111"/>
          <w:sz w:val="28"/>
          <w:sz w:val="28"/>
          <w:szCs w:val="28"/>
          <w:rtl w:val="true"/>
          <w:lang w:bidi="fa-IR"/>
        </w:rPr>
        <w:t>الإمام الباقر و الصادق</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وهکذا مرّ فی أثناء الحدیث عن شخصیة ابن عبّاس، أنّ هذا الشخص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نقل حدیث الإمامة و الولایة عن ابن عبّاس عند ما حضره جماعة من وجوه أهل الطائف فی مرضه الأخیر</w:t>
      </w:r>
      <w:r>
        <w:rPr>
          <w:rFonts w:eastAsia="IRNazanin" w:cs="IRNazanin"/>
          <w:color w:val="111111"/>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وفی روایة أنّ الإمام الباقر علیه السّلام عبّر عنه أنّه عمود</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وأبو نعیم عدّة من التابعین، وأنّه یروی عن الإمام الباقر علیه السّلام</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عطاء ثقةً فقیهاً عالماً، کثیر الحدیث، وانتهت إلیه فتوی أهل مکّة، وکان ابن عبّاس یقول لأهل مکّة إذا جلسوا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تجتمعون إلیَّ یا أهل مکّة، و عندکم عطاء</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مع أنّ روایات عطاء التفسیریة لم تبلغ من ناحیة الکثرة و المقدار ما بلغته روایات مجاهد، وسعید بن جبیر، والذین سبقاه فی هذا المیدان، غیر أنّ هذا لایقلل من شأنه فی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علّة کونه قلیل الروایة فی التفسیر یعود، لبعده عن التفسیر بالرأی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عطاءً سُئل عن مسألة 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تقول فیها برأیک؟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أستحیی من الله أن یدان فی الأرض برأیی</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یقول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سلیمان بن هشام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یوجد فی مکّة عالم؟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أقدم علماء جزیرة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بن أبی رباح</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أنّ روایات عطاء قلیلة فیما وصل إلینا، ولکنّ تفسیره فی زمانه کان یحظی باهتمام</w:t>
      </w:r>
      <w:bookmarkStart w:id="286" w:name="pg5285_67245"/>
    </w:p>
    <w:p>
      <w:pPr>
        <w:pStyle w:val="BookText"/>
        <w:rPr/>
      </w:pPr>
      <w:bookmarkEnd w:id="286"/>
      <w:r>
        <w:rPr>
          <w:rFonts w:ascii="IRNazanin" w:hAnsi="IRNazanin" w:eastAsia="IRNazanin"/>
          <w:color w:val="111111"/>
          <w:sz w:val="28"/>
          <w:sz w:val="28"/>
          <w:szCs w:val="28"/>
          <w:rtl w:val="true"/>
          <w:lang w:bidi="fa-IR"/>
        </w:rPr>
        <w:t>الکثیرین، و هو من جملة التفاسیر التی تُروی علی الشفاه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نقل الطبری أیضاً من طریقه الخاصّ روایات عطاء، وکذا الثعلبی فی تفسیر الکشف و البیان، فإنّه استفاد من روایاته</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و یری المستشرق جلدزیهر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الروایات التفسیریة لعطاء، ومجاهد استلهمت من المدرسة التفسیریة لابن عبّاس، والتی تعدُّ أقدم المصنّفات التفسیریة</w:t>
      </w:r>
      <w:r>
        <w:rPr>
          <w:rFonts w:eastAsia="IRNazanin" w:cs="IRNazanin"/>
          <w:color w:val="111111"/>
          <w:sz w:val="28"/>
          <w:szCs w:val="28"/>
          <w:rtl w:val="true"/>
          <w:lang w:bidi="fa-IR"/>
        </w:rPr>
        <w:t xml:space="preserve">. </w:t>
      </w:r>
      <w:r>
        <w:rPr>
          <w:rStyle w:val="FootnoteAnchor"/>
          <w:rtl w:val="true"/>
        </w:rPr>
        <w:footnoteReference w:id="304"/>
      </w:r>
    </w:p>
    <w:p>
      <w:pPr>
        <w:pStyle w:val="Heading4"/>
        <w:numPr>
          <w:ilvl w:val="3"/>
          <w:numId w:val="1"/>
        </w:numPr>
        <w:rPr/>
      </w:pPr>
      <w:bookmarkStart w:id="287" w:name="__RefHeading___Toc634029_581953129"/>
      <w:bookmarkStart w:id="288" w:name="_Toc110"/>
      <w:bookmarkEnd w:id="287"/>
      <w:r>
        <w:rPr/>
        <w:t>5</w:t>
      </w:r>
      <w:r>
        <w:rPr>
          <w:rtl w:val="true"/>
        </w:rPr>
        <w:t xml:space="preserve">. </w:t>
      </w:r>
      <w:r>
        <w:rPr>
          <w:rtl w:val="true"/>
        </w:rPr>
        <w:t xml:space="preserve">عکرمة </w:t>
      </w:r>
      <w:r>
        <w:rPr>
          <w:rtl w:val="true"/>
        </w:rPr>
        <w:t>(</w:t>
      </w:r>
      <w:r>
        <w:rPr>
          <w:rtl w:val="true"/>
        </w:rPr>
        <w:t>ت</w:t>
      </w:r>
      <w:r>
        <w:rPr/>
        <w:t>105</w:t>
      </w:r>
      <w:r>
        <w:rPr>
          <w:rtl w:val="true"/>
        </w:rPr>
        <w:t>ه</w:t>
      </w:r>
      <w:r>
        <w:rPr>
          <w:rtl w:val="true"/>
        </w:rPr>
        <w:t>)</w:t>
      </w:r>
      <w:bookmarkEnd w:id="288"/>
    </w:p>
    <w:p>
      <w:pPr>
        <w:pStyle w:val="Heading5"/>
        <w:numPr>
          <w:ilvl w:val="4"/>
          <w:numId w:val="1"/>
        </w:numPr>
        <w:rPr/>
      </w:pPr>
      <w:bookmarkStart w:id="289" w:name="__RefHeading___Toc634031_581953129"/>
      <w:bookmarkStart w:id="290" w:name="_Toc111"/>
      <w:bookmarkEnd w:id="289"/>
      <w:r>
        <w:rPr>
          <w:rtl w:val="true"/>
        </w:rPr>
        <w:t>اشارة</w:t>
      </w:r>
      <w:bookmarkEnd w:id="290"/>
    </w:p>
    <w:p>
      <w:pPr>
        <w:pStyle w:val="BookText"/>
        <w:rPr/>
      </w:pPr>
      <w:r>
        <w:rPr>
          <w:rFonts w:ascii="IRNazanin" w:hAnsi="IRNazanin" w:eastAsia="IRNazanin"/>
          <w:color w:val="111111"/>
          <w:sz w:val="28"/>
          <w:sz w:val="28"/>
          <w:szCs w:val="28"/>
          <w:rtl w:val="true"/>
          <w:lang w:bidi="fa-IR"/>
        </w:rPr>
        <w:t>هو أبو عبد الله، عکرمة البربری المدنی، مولی ابن عبّاس، أصله من البربر بالمغرب، روی عن مولاه و عن علی بن‌أبی‌طالب علیه السّلام، و عن أبی هریرة، وغیرهم</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و قد نقلت عنه التفاسیر الشیعیة و السنّیة روایات کثیرة، کما ذکر ابن الندیم، </w:t>
      </w:r>
      <w:r>
        <w:rPr>
          <w:rStyle w:val="FootnoteAnchor"/>
          <w:rtl w:val="true"/>
        </w:rPr>
        <w:footnoteReference w:id="306"/>
      </w:r>
      <w:r>
        <w:rPr>
          <w:rFonts w:ascii="IRNazanin" w:hAnsi="IRNazanin" w:eastAsia="IRNazanin"/>
          <w:color w:val="111111"/>
          <w:sz w:val="28"/>
          <w:sz w:val="28"/>
          <w:szCs w:val="28"/>
          <w:rtl w:val="true"/>
          <w:lang w:bidi="fa-IR"/>
        </w:rPr>
        <w:t xml:space="preserve">والحاجی خلیفة </w:t>
      </w:r>
      <w:r>
        <w:rPr>
          <w:rStyle w:val="FootnoteAnchor"/>
          <w:rtl w:val="true"/>
        </w:rPr>
        <w:footnoteReference w:id="307"/>
      </w:r>
      <w:r>
        <w:rPr>
          <w:rFonts w:ascii="IRNazanin" w:hAnsi="IRNazanin" w:eastAsia="IRNazanin"/>
          <w:color w:val="111111"/>
          <w:sz w:val="28"/>
          <w:sz w:val="28"/>
          <w:szCs w:val="28"/>
          <w:rtl w:val="true"/>
          <w:lang w:bidi="fa-IR"/>
        </w:rPr>
        <w:t>أنّ له کتاب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عِکرمة غلاماً للحصین بن الحرِّ العَنبری، ولمّا تولّی ابن عبّاس امرة البصرة أیام خلافة الإمام علی بن أبی طالب علیه السّلام أهدی له الحصین هذا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فبذل ابن عبّاس جهوداً مَضنیة فی تعلیمه القرآن و السنّة، ووِفقاً لما رُوی أنّه کان یقیده من أجل تعلیمه القرآن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ابن عبّاس ربّاه فأحسن تربیته، وعلَّمه فأحسن تعلیمه، وأصبح فقیهاً وأعلم النّاس بالتفسیر و معانی القرآن</w:t>
      </w:r>
      <w:r>
        <w:rPr>
          <w:rFonts w:eastAsia="IRNazanin" w:cs="IRNazanin"/>
          <w:color w:val="111111"/>
          <w:sz w:val="28"/>
          <w:szCs w:val="28"/>
          <w:rtl w:val="true"/>
          <w:lang w:bidi="fa-IR"/>
        </w:rPr>
        <w:t xml:space="preserve">. </w:t>
      </w:r>
      <w:r>
        <w:rPr>
          <w:rStyle w:val="FootnoteAnchor"/>
          <w:rtl w:val="true"/>
        </w:rPr>
        <w:footnoteReference w:id="308"/>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علی ما تقدّم، فإنّ أهمّ أساتذته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مع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روی</w:t>
      </w:r>
    </w:p>
    <w:p>
      <w:pPr>
        <w:pStyle w:val="BookText"/>
        <w:rPr/>
      </w:pPr>
      <w:r>
        <w:rPr>
          <w:rFonts w:ascii="IRNazanin" w:hAnsi="IRNazanin" w:eastAsia="IRNazanin"/>
          <w:color w:val="111111"/>
          <w:sz w:val="28"/>
          <w:sz w:val="28"/>
          <w:szCs w:val="28"/>
          <w:rtl w:val="true"/>
          <w:lang w:bidi="fa-IR"/>
        </w:rPr>
        <w:t>عن علی‌بن‌أبی‌طالب و الحسن بن علی، وأبی سعید، وأشخاص آخرین کذلک</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ولکن من الواضح أنّ أستاذه ابن عبّاس کان یروی له عن علی علیه السّلام؛ أمّا هو، فقد کان فی الثالثة عشر من عمره عند شهادة الإمام علی علیه السّلام، ومن المستبعد أنّه روی عنه بطریقة مباشرة، نعم، یمکن ذلک مع وجود الواسطة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له احترامه فی اللحاظ العلمی ویعدّ أحد فقهاء التابعین فی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أنّ ابن عبّاس،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وافتِ الناس</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وقیل لسعید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تعرف شخصاً أعلم منک؟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عکرمة</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ونقل سلام بن مسکین عن قتادة،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أعلم الناس بالتفسیر هو عکرمة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عبّاس بن مصعب المروزی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عکرمة هو أعلم تلامذة ابن عبّاس فی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عمرو بن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أعطانی جابر بن یزید أسئلة أسأل بها عکرمة،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عکرمة هو غلام ابن عبّاس أسأله عنها فإنّه 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نُقل عن قتادة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أعلم التابعین هم أربعة أشخاص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وسعید بن جبیر، وعکرمة، والحسن البصری</w:t>
      </w:r>
      <w:r>
        <w:rPr>
          <w:rFonts w:eastAsia="IRNazanin" w:cs="IRNazanin"/>
          <w:color w:val="111111"/>
          <w:sz w:val="28"/>
          <w:szCs w:val="28"/>
          <w:rtl w:val="true"/>
          <w:lang w:bidi="fa-IR"/>
        </w:rPr>
        <w:t xml:space="preserve">. </w:t>
      </w:r>
      <w:r>
        <w:rPr>
          <w:rStyle w:val="FootnoteAnchor"/>
          <w:rtl w:val="true"/>
        </w:rPr>
        <w:footnoteReference w:id="312"/>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الأقوال التی مرّ نقلها و إن کانت ترتقی بمکانة عکرمة العلمیة، غیر أنّها من جانب آخر فاقدة الحجیة لضعف سندها، ولکونه معاصراً لزمان بعض الأئمّة الأطهار علیهم السّلام،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الحسن علیه السّلام، والإمام الحسین علیه السّلام، و الإمام زین العابدین علیه السّلام و الإمام الباقر علیه السّلام، فإنّه یقطع بأعلمیتهم علیه، وأنّه لا یمکن قیاسه بهم علیهم السّلام</w:t>
      </w:r>
      <w:r>
        <w:rPr>
          <w:rFonts w:eastAsia="IRNazanin" w:cs="IRNazanin"/>
          <w:color w:val="111111"/>
          <w:sz w:val="28"/>
          <w:szCs w:val="28"/>
          <w:rtl w:val="true"/>
          <w:lang w:bidi="fa-IR"/>
        </w:rPr>
        <w:t>.</w:t>
      </w:r>
      <w:bookmarkStart w:id="291" w:name="pg5285_67247"/>
    </w:p>
    <w:p>
      <w:pPr>
        <w:pStyle w:val="Heading5"/>
        <w:numPr>
          <w:ilvl w:val="4"/>
          <w:numId w:val="1"/>
        </w:numPr>
        <w:rPr/>
      </w:pPr>
      <w:bookmarkStart w:id="292" w:name="__RefHeading___Toc634033_581953129"/>
      <w:bookmarkStart w:id="293" w:name="_Toc112"/>
      <w:bookmarkEnd w:id="291"/>
      <w:bookmarkEnd w:id="292"/>
      <w:r>
        <w:rPr>
          <w:rtl w:val="true"/>
        </w:rPr>
        <w:t>وثاقة عکرمة</w:t>
      </w:r>
      <w:bookmarkEnd w:id="293"/>
    </w:p>
    <w:p>
      <w:pPr>
        <w:pStyle w:val="BookText"/>
        <w:rPr/>
      </w:pPr>
      <w:r>
        <w:rPr>
          <w:rFonts w:ascii="IRNazanin" w:hAnsi="IRNazanin" w:eastAsia="IRNazanin"/>
          <w:color w:val="111111"/>
          <w:sz w:val="28"/>
          <w:sz w:val="28"/>
          <w:szCs w:val="28"/>
          <w:rtl w:val="true"/>
          <w:lang w:bidi="fa-IR"/>
        </w:rPr>
        <w:t>لقد اختلف علماء الرجال، وعلماء الإسلام عموماً فی وثاقته، فالبعض یرفض وثاقته و البعض الآخر یوثّقه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هنا نعرض الآراء المخالفة و الموافقة</w:t>
      </w:r>
      <w:r>
        <w:rPr>
          <w:rFonts w:eastAsia="IRNazanin" w:cs="IRNazanin"/>
          <w:color w:val="111111"/>
          <w:sz w:val="28"/>
          <w:szCs w:val="28"/>
          <w:rtl w:val="true"/>
          <w:lang w:bidi="fa-IR"/>
        </w:rPr>
        <w:t>.</w:t>
      </w:r>
    </w:p>
    <w:p>
      <w:pPr>
        <w:pStyle w:val="Heading5"/>
        <w:numPr>
          <w:ilvl w:val="4"/>
          <w:numId w:val="1"/>
        </w:numPr>
        <w:rPr/>
      </w:pPr>
      <w:bookmarkStart w:id="294" w:name="__RefHeading___Toc634035_581953129"/>
      <w:bookmarkStart w:id="295" w:name="_Toc113"/>
      <w:bookmarkEnd w:id="294"/>
      <w:r>
        <w:rPr>
          <w:rtl w:val="true"/>
        </w:rPr>
        <w:t>المخالفون</w:t>
      </w:r>
      <w:bookmarkEnd w:id="295"/>
    </w:p>
    <w:p>
      <w:pPr>
        <w:pStyle w:val="BookText"/>
        <w:rPr/>
      </w:pPr>
      <w:r>
        <w:rPr>
          <w:rFonts w:ascii="IRNazanin" w:hAnsi="IRNazanin" w:eastAsia="IRNazanin"/>
          <w:color w:val="111111"/>
          <w:sz w:val="28"/>
          <w:sz w:val="28"/>
          <w:szCs w:val="28"/>
          <w:rtl w:val="true"/>
          <w:lang w:bidi="fa-IR"/>
        </w:rPr>
        <w:t xml:space="preserve">جاء فی کثیر من النصوص المنقولة حول شخصیته، أنّه اتّهم بتبنّی أقوال آراء الخوارج وبالکذب علی أستاذه ابن عبّاس؛ </w:t>
      </w:r>
      <w:r>
        <w:rPr>
          <w:rStyle w:val="FootnoteAnchor"/>
          <w:rtl w:val="true"/>
        </w:rPr>
        <w:footnoteReference w:id="313"/>
      </w:r>
      <w:r>
        <w:rPr>
          <w:rFonts w:ascii="IRNazanin" w:hAnsi="IRNazanin" w:eastAsia="IRNazanin"/>
          <w:color w:val="111111"/>
          <w:sz w:val="28"/>
          <w:sz w:val="28"/>
          <w:szCs w:val="28"/>
          <w:rtl w:val="true"/>
          <w:lang w:bidi="fa-IR"/>
        </w:rPr>
        <w:t>ففی تذکرة الحفّاظ بعد ذکر کثیر من الأمور فیما یخصُّ علم عکرمه،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ما قیل من أنّه علی رأی الخوارج أعرض عنه مالک ومسلم</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ونقل ابن حجر فی تهذیب التهذیب عن مختلف الأشخاص أنّ عکرمه یمیل إلی النجدیة و الصُفریة و الأباضیة أو هذه الفرق الثلاثة من الخوارج، و هو یمیل إلیهم، ویری رأیتهم</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وقال مصعب الزبیری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عکرمة یری رأی الخوارج وزعم أن مولاه کان کذلک</w:t>
      </w:r>
      <w:r>
        <w:rPr>
          <w:rFonts w:eastAsia="IRNazanin" w:cs="IRNazanin"/>
          <w:color w:val="111111"/>
          <w:sz w:val="28"/>
          <w:szCs w:val="28"/>
          <w:rtl w:val="true"/>
          <w:lang w:bidi="fa-IR"/>
        </w:rPr>
        <w:t xml:space="preserve">. </w:t>
      </w:r>
      <w:r>
        <w:rPr>
          <w:rStyle w:val="FootnoteAnchor"/>
          <w:rtl w:val="true"/>
        </w:rPr>
        <w:footnoteReference w:id="316"/>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هو متّهم بالکذب علی ابن عبّاس، </w:t>
      </w:r>
      <w:r>
        <w:rPr>
          <w:rStyle w:val="FootnoteAnchor"/>
          <w:rtl w:val="true"/>
        </w:rPr>
        <w:footnoteReference w:id="317"/>
      </w:r>
      <w:r>
        <w:rPr>
          <w:rFonts w:ascii="IRNazanin" w:hAnsi="IRNazanin" w:eastAsia="IRNazanin"/>
          <w:color w:val="111111"/>
          <w:sz w:val="28"/>
          <w:sz w:val="28"/>
          <w:szCs w:val="28"/>
          <w:rtl w:val="true"/>
          <w:lang w:bidi="fa-IR"/>
        </w:rPr>
        <w:t xml:space="preserve">کما و أنّ علماء رجال الشیعة لم یوثّقوه، ومن جملتهم الکشّی </w:t>
      </w:r>
      <w:r>
        <w:rPr>
          <w:rStyle w:val="FootnoteAnchor"/>
          <w:rtl w:val="true"/>
        </w:rPr>
        <w:footnoteReference w:id="318"/>
      </w:r>
      <w:r>
        <w:rPr>
          <w:rFonts w:ascii="IRNazanin" w:hAnsi="IRNazanin" w:eastAsia="IRNazanin"/>
          <w:color w:val="111111"/>
          <w:sz w:val="28"/>
          <w:sz w:val="28"/>
          <w:szCs w:val="28"/>
          <w:rtl w:val="true"/>
          <w:lang w:bidi="fa-IR"/>
        </w:rPr>
        <w:t xml:space="preserve">و المامقانی، </w:t>
      </w:r>
      <w:r>
        <w:rPr>
          <w:rStyle w:val="FootnoteAnchor"/>
          <w:rtl w:val="true"/>
        </w:rPr>
        <w:footnoteReference w:id="319"/>
      </w:r>
      <w:r>
        <w:rPr>
          <w:rFonts w:ascii="IRNazanin" w:hAnsi="IRNazanin" w:eastAsia="IRNazanin"/>
          <w:color w:val="111111"/>
          <w:sz w:val="28"/>
          <w:sz w:val="28"/>
          <w:szCs w:val="28"/>
          <w:rtl w:val="true"/>
          <w:lang w:bidi="fa-IR"/>
        </w:rPr>
        <w:t xml:space="preserve">والسید ابن طاووس </w:t>
      </w:r>
      <w:r>
        <w:rPr>
          <w:rStyle w:val="FootnoteAnchor"/>
          <w:rtl w:val="true"/>
        </w:rPr>
        <w:footnoteReference w:id="320"/>
      </w:r>
      <w:r>
        <w:rPr>
          <w:rFonts w:ascii="Amiri" w:hAnsi="Amiri" w:eastAsia="Amiri" w:cs="Amiri"/>
          <w:color w:val="111111"/>
          <w:sz w:val="28"/>
          <w:sz w:val="28"/>
          <w:szCs w:val="28"/>
          <w:rtl w:val="true"/>
          <w:lang w:bidi="ar-SA"/>
        </w:rPr>
        <w:t xml:space="preserve">و العلّامة الحلّی </w:t>
      </w:r>
      <w:r>
        <w:rPr>
          <w:rStyle w:val="FootnoteAnchor"/>
          <w:rtl w:val="true"/>
        </w:rPr>
        <w:footnoteReference w:id="321"/>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المحدّث القمّی، </w:t>
      </w:r>
      <w:r>
        <w:rPr>
          <w:rStyle w:val="FootnoteAnchor"/>
          <w:rtl w:val="true"/>
        </w:rPr>
        <w:footnoteReference w:id="322"/>
      </w:r>
      <w:r>
        <w:rPr>
          <w:rFonts w:ascii="IRNazanin" w:hAnsi="IRNazanin" w:eastAsia="IRNazanin"/>
          <w:color w:val="111111"/>
          <w:sz w:val="28"/>
          <w:sz w:val="28"/>
          <w:szCs w:val="28"/>
          <w:rtl w:val="true"/>
          <w:lang w:bidi="fa-IR"/>
        </w:rPr>
        <w:t>بل إنّ بعضهم،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الحلّی فقد ضعّفوه و أنّ أکثر ما حمل الشیعة علی عدم توثیق أو تضعیف عکرمة من جانب علمائهم هو روایة الإمام الباقر علیه السّلام حول عکرمة، حتّی أنّ بعض رجالیهم،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الخوئی یکتفی بنقل قول الإمام علیه السّلام وقول الکشّی</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و قد وردت فی مصادر الشیعة روایات تتهمّ عکرمة بأنّه کان خارجیاً، ففی روایة المرحوم الکلینی بسنده إلی أبی بصیر 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الإمام الباقر علیه السّلام، وعنده حمران، اذ دخل علیه مولی 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هذا عکرمة فی الموت وکان یری رأی الخوارج، وکان منقطعاً الی ابی جعفر علیه السّلام، فقال لنا 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انظرونی حتی ارجع الیکم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لبث ان رجع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إنّی لو أدرکت عکرمه، قبل أن تقع النفس موقعها، لعلَّمته کلمات ینتفع بها، ولکنّی أدرکته و قد وقعت النفس موقعها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جُعلت فداک، وما ذاک الکلام؟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أنتم علیه، فلقّنوا موتاکم عند الموت 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إله إلاّ الله، والولایة</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وکذلک روی الکشّی هذه الروایة بهذه الصورة أنّ الإمام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أدرکتُ عکرمة عند الموت، لنفعته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والمستفاد أنّ کلام الإمام علیه السّلام هذا شبیه روایة سابقة قالها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اتّخذت خلیلاً، لاتّخذت فلاناً خلیلاً</w:t>
      </w:r>
      <w:r>
        <w:rPr>
          <w:rFonts w:eastAsia="IRNazanin" w:cs="IRNazanin"/>
          <w:color w:val="111111"/>
          <w:sz w:val="28"/>
          <w:szCs w:val="28"/>
          <w:rtl w:val="true"/>
          <w:lang w:bidi="fa-IR"/>
        </w:rPr>
        <w:t xml:space="preserve">». </w:t>
      </w:r>
      <w:r>
        <w:rPr>
          <w:rStyle w:val="FootnoteAnchor"/>
          <w:rtl w:val="true"/>
        </w:rPr>
        <w:footnoteReference w:id="325"/>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الکلام لیس مدحاً لعکرمة، بل هو ذمّ</w:t>
      </w:r>
      <w:r>
        <w:rPr>
          <w:rFonts w:eastAsia="IRNazanin" w:cs="IRNazanin"/>
          <w:color w:val="111111"/>
          <w:sz w:val="28"/>
          <w:szCs w:val="28"/>
          <w:rtl w:val="true"/>
          <w:lang w:bidi="fa-IR"/>
        </w:rPr>
        <w:t>.</w:t>
      </w:r>
      <w:bookmarkStart w:id="296" w:name="pg5285_67249"/>
    </w:p>
    <w:p>
      <w:pPr>
        <w:pStyle w:val="Heading5"/>
        <w:numPr>
          <w:ilvl w:val="4"/>
          <w:numId w:val="1"/>
        </w:numPr>
        <w:rPr/>
      </w:pPr>
      <w:bookmarkStart w:id="297" w:name="__RefHeading___Toc634037_581953129"/>
      <w:bookmarkStart w:id="298" w:name="_Toc114"/>
      <w:bookmarkEnd w:id="296"/>
      <w:bookmarkEnd w:id="297"/>
      <w:r>
        <w:rPr>
          <w:rtl w:val="true"/>
        </w:rPr>
        <w:t>الموافقون</w:t>
      </w:r>
      <w:bookmarkEnd w:id="298"/>
    </w:p>
    <w:p>
      <w:pPr>
        <w:pStyle w:val="BookText"/>
        <w:rPr/>
      </w:pPr>
      <w:r>
        <w:rPr>
          <w:rFonts w:ascii="IRNazanin" w:hAnsi="IRNazanin" w:eastAsia="IRNazanin"/>
          <w:color w:val="111111"/>
          <w:sz w:val="28"/>
          <w:sz w:val="28"/>
          <w:szCs w:val="28"/>
          <w:rtl w:val="true"/>
          <w:lang w:bidi="fa-IR"/>
        </w:rPr>
        <w:t>البعض من أهل السنّة، مثل النسائی، وابن أبی حاتم شهدوا له بالوثاقة</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وابن حجر فی تقریب التهذیب صرّح بتوثیقه، وأنّه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وعالم بالتفسیر</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وإلی هذا ذهب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یری وثاقة عکرمة، </w:t>
      </w:r>
      <w:r>
        <w:rPr>
          <w:rStyle w:val="FootnoteAnchor"/>
          <w:rtl w:val="true"/>
        </w:rPr>
        <w:footnoteReference w:id="328"/>
      </w:r>
      <w:r>
        <w:rPr>
          <w:rFonts w:ascii="IRNazanin" w:hAnsi="IRNazanin" w:eastAsia="IRNazanin"/>
          <w:color w:val="111111"/>
          <w:sz w:val="28"/>
          <w:sz w:val="28"/>
          <w:szCs w:val="28"/>
          <w:rtl w:val="true"/>
          <w:lang w:bidi="fa-IR"/>
        </w:rPr>
        <w:t xml:space="preserve">و قد اعتمد البخاری </w:t>
      </w:r>
      <w:r>
        <w:rPr>
          <w:rStyle w:val="FootnoteAnchor"/>
          <w:rtl w:val="true"/>
        </w:rPr>
        <w:footnoteReference w:id="329"/>
      </w:r>
      <w:r>
        <w:rPr>
          <w:rFonts w:ascii="IRNazanin" w:hAnsi="IRNazanin" w:eastAsia="IRNazanin"/>
          <w:color w:val="111111"/>
          <w:sz w:val="28"/>
          <w:sz w:val="28"/>
          <w:szCs w:val="28"/>
          <w:rtl w:val="true"/>
          <w:lang w:bidi="fa-IR"/>
        </w:rPr>
        <w:t>علی هذا التوثیق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البزّاز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روی عن عکرمة مائة و ثلاثون رجلاً من وجوه البلدان، کلّهم رضوا به</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و یری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البخاری، وأصحاب السنن یستدلّون بأحادیث عکرمة، ویستندون علیها، غیر أنّ مسلماً نقل عنه حدیثاً واحداً فقط؛ وعلّة ذلک هو قول مالک فی عکرمة من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یثق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وأمره بعدم الأخذ بحدیثه</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وتمسّک ابن حجر، فی آخر بحثه بأقوال العلماء من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الطبری، والحاکم، وابن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عکرمة هو موضع اعتماد</w:t>
      </w:r>
      <w:r>
        <w:rPr>
          <w:rFonts w:eastAsia="IRNazanin" w:cs="IRNazanin"/>
          <w:color w:val="111111"/>
          <w:sz w:val="28"/>
          <w:szCs w:val="28"/>
          <w:rtl w:val="true"/>
          <w:lang w:bidi="fa-IR"/>
        </w:rPr>
        <w:t xml:space="preserve">. </w:t>
      </w:r>
      <w:r>
        <w:rPr>
          <w:rStyle w:val="FootnoteAnchor"/>
          <w:rtl w:val="true"/>
        </w:rPr>
        <w:footnoteReference w:id="332"/>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الکثیر من التابعین ومن جملتهم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قتادة، </w:t>
      </w:r>
      <w:r>
        <w:rPr>
          <w:rStyle w:val="FootnoteAnchor"/>
          <w:rtl w:val="true"/>
        </w:rPr>
        <w:footnoteReference w:id="333"/>
      </w:r>
      <w:r>
        <w:rPr>
          <w:rFonts w:ascii="IRNazanin" w:hAnsi="IRNazanin" w:eastAsia="IRNazanin"/>
          <w:color w:val="111111"/>
          <w:sz w:val="28"/>
          <w:sz w:val="28"/>
          <w:szCs w:val="28"/>
          <w:rtl w:val="true"/>
          <w:lang w:bidi="fa-IR"/>
        </w:rPr>
        <w:t xml:space="preserve">وسفیان بن عیینه، </w:t>
      </w:r>
      <w:r>
        <w:rPr>
          <w:rStyle w:val="FootnoteAnchor"/>
          <w:rtl w:val="true"/>
        </w:rPr>
        <w:footnoteReference w:id="334"/>
      </w:r>
      <w:r>
        <w:rPr>
          <w:rFonts w:ascii="IRNazanin" w:hAnsi="IRNazanin" w:eastAsia="IRNazanin"/>
          <w:color w:val="111111"/>
          <w:sz w:val="28"/>
          <w:sz w:val="28"/>
          <w:szCs w:val="28"/>
          <w:rtl w:val="true"/>
          <w:lang w:bidi="fa-IR"/>
        </w:rPr>
        <w:t>وسعید بن جبیر وعطاء، وطاووس، وسفیان الثوری، وآخرین؛ إمّا یعتمدون علیه، أو یمتدحونه فی علمیته</w:t>
      </w:r>
      <w:r>
        <w:rPr>
          <w:rFonts w:eastAsia="IRNazanin" w:cs="IRNazanin"/>
          <w:color w:val="111111"/>
          <w:sz w:val="28"/>
          <w:szCs w:val="28"/>
          <w:rtl w:val="true"/>
          <w:lang w:bidi="fa-IR"/>
        </w:rPr>
        <w:t>.</w:t>
      </w:r>
      <w:bookmarkStart w:id="299" w:name="pg5285_67250"/>
    </w:p>
    <w:p>
      <w:pPr>
        <w:pStyle w:val="BookText"/>
        <w:rPr/>
      </w:pPr>
      <w:bookmarkEnd w:id="299"/>
      <w:r>
        <w:rPr>
          <w:rFonts w:ascii="IRNazanin" w:hAnsi="IRNazanin" w:eastAsia="IRNazanin"/>
          <w:color w:val="111111"/>
          <w:sz w:val="28"/>
          <w:sz w:val="28"/>
          <w:szCs w:val="28"/>
          <w:rtl w:val="true"/>
          <w:lang w:bidi="fa-IR"/>
        </w:rPr>
        <w:t>وممّن ذهب إلی توثیق عکرمة المحقق الشتری، والشیخ معرفة، و قد ناقشا أدلّة تضعیفه و ذهبنا الی توثیقه و أمانته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یری رأی الخوارج، فهو من کلام الراوی حدساً بشأنه، حسبما أملت علیه الحکایات الشائعة عنه، وإلاّ فهو متناقض مع انقطاعه إلی الأمام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أخیراً فإنّ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لقنوا موتاکم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اهتمامه البالغ بشأن إدراکه قبل الموت لیلقّنه، لدلیل واضح علی کونه مِمَّن یری رأیهم، لا رأی غیرهم، وإلاّ فلا یتناسب قوله أخیراً مع فعل أولاً، فتدبر</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و أمّا المحقّق التستری، فقد جرح أصل الروایة و کتب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روایة الکشی مارست القیاس غیر الثابت، وعلی فرض ثبوتها، فهی تدلّ علی المدح، لا الذّم</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یری المحقّق التستری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منشأ نسبة الکذب إلی عکرمة، وکذبه علی ابن عبّاس، وهکذا نسبة إعطاء عکرمة رأیه فی الخوارج علی أساس رأی الخوارج واحد، هو فتاواه الموافقة للمذهب الشیعی، والمخالفة للمذاهب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قال ما مضمونه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 ما یکفّرونه أهل السنّة، أنه علی رأی الخوارج،</w:t>
      </w:r>
    </w:p>
    <w:p>
      <w:pPr>
        <w:pStyle w:val="Heading5"/>
        <w:numPr>
          <w:ilvl w:val="4"/>
          <w:numId w:val="1"/>
        </w:numPr>
        <w:rPr/>
      </w:pPr>
      <w:bookmarkStart w:id="300" w:name="__RefHeading___Toc634039_581953129"/>
      <w:bookmarkStart w:id="301" w:name="_Toc115"/>
      <w:bookmarkEnd w:id="300"/>
      <w:r>
        <w:rPr>
          <w:rtl w:val="true"/>
        </w:rPr>
        <w:t>أهو خارجی واقعاً؟</w:t>
      </w:r>
      <w:r>
        <w:rPr>
          <w:rtl w:val="true"/>
        </w:rPr>
        <w:t>!</w:t>
      </w:r>
      <w:bookmarkEnd w:id="301"/>
    </w:p>
    <w:p>
      <w:pPr>
        <w:pStyle w:val="BookText"/>
        <w:rPr/>
      </w:pPr>
      <w:r>
        <w:rPr>
          <w:rFonts w:ascii="IRNazanin" w:hAnsi="IRNazanin" w:eastAsia="IRNazanin"/>
          <w:color w:val="111111"/>
          <w:sz w:val="28"/>
          <w:sz w:val="28"/>
          <w:szCs w:val="28"/>
          <w:rtl w:val="true"/>
          <w:lang w:bidi="fa-IR"/>
        </w:rPr>
        <w:t>فقد کتب بعد نقله کلام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قالوه عن عکرمة من أنّه علی رأی الصفریة و الخوارج، وأنّه ینسبه إلی ابن عبّاس؛ ذلک لأنّ العامّة یکذّبون عکرمة فیما ینقله عن ابن عبّاس،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یکذّب علی استاذه؛ وعلّة ذلک هو ما ینقله ممّا هو مخالف لمذهبهم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جاء فی 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فطر بن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لعطاء، یقول عکرمه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القرآن سبق فی حکم المسح علی الخفّین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المسح علی القدمین هو الواجب، لا المسح علی الخفّین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عکرمه، أنا سمعتُ من ابن عبّاس 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المسح علی الخُف حتّی و إن کان فیه غائطاً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وکتب المحقّق التستری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تکذیب عطاء هو بنفسه کذب، کیف یمکن القول أنّ ابن عبّاس یفتی بصراحة خلاف صریح قول الله تعالی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امْسَحُوا بِرُؤُسِکُمْ وَ أَرْجُلَکُمْ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وأنّی لابن عبّاس 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المسح علی الخفّین یکفی؟ فهل أنّ الخفّ هو الرِجْل؟</w:t>
      </w:r>
    </w:p>
    <w:p>
      <w:pPr>
        <w:pStyle w:val="BookText"/>
        <w:rPr/>
      </w:pPr>
      <w:r>
        <w:rPr>
          <w:rFonts w:ascii="IRNazanin" w:hAnsi="IRNazanin" w:eastAsia="IRNazanin"/>
          <w:color w:val="111111"/>
          <w:sz w:val="28"/>
          <w:sz w:val="28"/>
          <w:szCs w:val="28"/>
          <w:rtl w:val="true"/>
          <w:lang w:bidi="fa-IR"/>
        </w:rPr>
        <w:t>ومن الفتاوی الأخری لعکرمة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رأیه فی الاکتفاء بمسح القدم، یقول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شخصاً من أصحاب عکرمة رافقه فی سفره إلی واسط، وإنّه نقل له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أرَ عکرمة یغسل رجله فی الوضوء، بل کان یکتفی بالمسح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نقل الطبری عن عکرمة فی جامع البیان، أنّه لا یجب غسل الرجلین، و أنّ الآیة نزلت فی مسح الرجلین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الآراء و الفتاوی کانت هی الباعث علی اتّهام عکرمة، بالخروج، والکذب علی أستاذه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نقد آخر للمحقّق التستری کتب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القبول بأنّه قَبِل عقائد الخوارج فی الوقت الذی قامت انتفاضة الخوارج علی أهل الجور، حتّی أنّهم أوجبوا ذلک علی النساء؟ بینما یأتی عکرمة إلی السلطان، ویستلم منه جوائزه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فإنّ طعن أهل السنّة علی عکرمة، هو لأجل فتاواه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جانب آخر فإنّه من دون شک یعدُّ عکرمة أحدُ الشخصیات البارزة فی عصره بالشکل الذی جعل الکاتب الواقدی،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عکرمة مدبّراً و بحراً من البحور، ولیس یحتجُّ بحدیثه ویتکلّم الناس فیه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وکتب المحقق التستری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عکرمة بحر من العلم، یقول الناس فیه ما یشینه</w:t>
      </w:r>
    </w:p>
    <w:p>
      <w:pPr>
        <w:pStyle w:val="BookText"/>
        <w:rPr/>
      </w:pPr>
      <w:r>
        <w:rPr>
          <w:rFonts w:ascii="IRNazanin" w:hAnsi="IRNazanin" w:eastAsia="IRNazanin"/>
          <w:color w:val="111111"/>
          <w:sz w:val="28"/>
          <w:sz w:val="28"/>
          <w:szCs w:val="28"/>
          <w:rtl w:val="true"/>
          <w:lang w:bidi="fa-IR"/>
        </w:rPr>
        <w:t xml:space="preserve">ولا یستدلّون بحدیثه، هذا لا یکون إلاّ إذا کان سلوکه ومنهجه الفکری خاصّ به؟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و قد ردّ الشیخ معرفة التّهم الموجهة إلی عکرمة وأثبت وثاقته</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ومن أجل مزید من الاستقصاء المعمّق و البحث حول شخصیة عکرمة نُورد مضمون الروایات التی أوردها ابن سعد حوله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نقل ابن سعد فی الطبقات الکبری </w:t>
      </w:r>
      <w:r>
        <w:rPr>
          <w:rStyle w:val="FootnoteAnchor"/>
          <w:rtl w:val="true"/>
        </w:rPr>
        <w:footnoteReference w:id="339"/>
      </w:r>
      <w:r>
        <w:rPr>
          <w:rFonts w:ascii="IRNazanin" w:hAnsi="IRNazanin" w:eastAsia="IRNazanin"/>
          <w:color w:val="111111"/>
          <w:sz w:val="28"/>
          <w:sz w:val="28"/>
          <w:szCs w:val="28"/>
          <w:rtl w:val="true"/>
          <w:lang w:bidi="fa-IR"/>
        </w:rPr>
        <w:t>روایات مختلفة حول عکرمة، ومن مجموع الروایات التی نقلها، نذکر هذه الملاحظات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غیر شکّ کان عکرمة یتمتّع فی زمانه بمکانة علمیة ذات قیمة مرموقة، ومن جملة‌ما قیل فیه ما روی عن سلام بن مسکین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عکرمة من أعلم الناس بالتفسیر</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و قد مرَّ الکثیر من مثل هذه الروایات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بینت لنا الروایات أنّ التّهم و الإشاعات التی تُلاحق عکرمة کانت موجودة فی حیاته، ومن جملتها روایة حمّاد بن زید عن أیوب عن عکرمة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هؤلاء الذین یکذّبوننی من خلفی؟ أفلا یکذّبونی فی وجهی</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الروایات تُشیر إلی أنّ عکرمة کان من جهة وضعه المالی والاقتصادی یعیش فی ضائقة، ومن هذه الجهة فإنّ بعض الأشخاص، ومن جملتهم عمر بن خدیر، والذی زار عکرمة، وکان عنده شخص آخر ورأی أنّ عمامته بالیة، فاقترح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یعطیه من العمائم التی عنده، وهی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آخذ من أحد شیئاً، فقط أنا أستلم من الأمراء</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توجد روایات مع کثیرة تمجّد بعلمیة عکرمة إلاّ أنّها تتّهمه بأنّه خارجی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هذه الروایات قد مرّ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ملاحظة الموضوعات السابقة و التدقیق فیها نخرج بهذه النتائج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التناقض کان واضحاً فی الأمور التی تمّ نقلها بین الموافقین و المخالفین فی</w:t>
      </w:r>
      <w:bookmarkStart w:id="302" w:name="pg5285_67254"/>
    </w:p>
    <w:p>
      <w:pPr>
        <w:pStyle w:val="BookText"/>
        <w:rPr/>
      </w:pPr>
      <w:bookmarkEnd w:id="302"/>
      <w:r>
        <w:rPr>
          <w:rFonts w:ascii="IRNazanin" w:hAnsi="IRNazanin" w:eastAsia="IRNazanin"/>
          <w:color w:val="111111"/>
          <w:sz w:val="28"/>
          <w:sz w:val="28"/>
          <w:szCs w:val="28"/>
          <w:rtl w:val="true"/>
          <w:lang w:bidi="fa-IR"/>
        </w:rPr>
        <w:t>شخصیة عکرمة، ومن جملتها أنّه کان خارجی مع مراجعته الأمراء و الملوک، وأنّه لا مهادنة له معهم، و توصیات التابعین به وتمجیده الکثیر من قبلهم، وما یتمتّع به من مکانة علمیة، وثناء ابن عبّاس علیه، وبعد کل هذا یتهم بانه خارجی هذا هو من أوضح صور التناقض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یفهم من فتاواه أنّه کان یری رأی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قبول التهّم المواجهة إلیه بالخروج، للأدلّة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تُنقل عنه أی نظریة أو رأی تفسیری یتماشی مع نظریات وآراء الخوارج بتاتاً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لِمَا یتمتّع به من مکانة علمیة رفیعة فی عصره، ولِمَا تحمله فتاواه من رؤی شیعیة سبّبت له حُسّاداً ومتَّهِمین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رجوع عکرمة إلی الأمراء و السلاطین هو بسبب ما یعیشه من ضنک فی العیش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اتّهامه بالکذب مع ضعف سند تلک الروایات هو بسبب نظریاته الخاصّة، والتی هی توافق مذهب شیعة أهل‌البیت علیهم السّلام و قد اتّهموه أنّه یرجع إلی مذهب خاصّ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هناک روایتان عن الإمام الباقر علیه السّلام، والتی کانت موضع تضعیف علماء رجال الشیعة، ولا دلالة لها علی ذمّ عکرمة؛ والسبب هو أنّ اتّهامه ونسبته إلی الخوارج هو من کلام الراوی، ولیس من کلام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أدرکته، لنفعه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یدلّ بأی شکلٍ من الأشکال علی الذم مثلما وضّح الامام علیه السّلام ذلک</w:t>
      </w:r>
      <w:r>
        <w:rPr>
          <w:rFonts w:eastAsia="IRNazanin" w:cs="IRNazanin"/>
          <w:color w:val="111111"/>
          <w:sz w:val="28"/>
          <w:szCs w:val="28"/>
          <w:rtl w:val="true"/>
          <w:lang w:bidi="fa-IR"/>
        </w:rPr>
        <w:t>.</w:t>
      </w:r>
    </w:p>
    <w:p>
      <w:pPr>
        <w:pStyle w:val="Heading5"/>
        <w:numPr>
          <w:ilvl w:val="4"/>
          <w:numId w:val="1"/>
        </w:numPr>
        <w:rPr/>
      </w:pPr>
      <w:bookmarkStart w:id="303" w:name="__RefHeading___Toc634041_581953129"/>
      <w:bookmarkStart w:id="304" w:name="_Toc116"/>
      <w:bookmarkEnd w:id="303"/>
      <w:r>
        <w:rPr>
          <w:rtl w:val="true"/>
        </w:rPr>
        <w:t>عکرمة وآیة التطهیر</w:t>
      </w:r>
      <w:bookmarkEnd w:id="304"/>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نسب ألی عکرمة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آیة التطهیر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ینادی فی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آیة التطهیر، نزلت فی نساء النبی صلّی الله علیه و آله خاصة، وأنّه یتحدّی من یقول بغیر ذلک بمباهلته</w:t>
      </w:r>
      <w:r>
        <w:rPr>
          <w:rFonts w:eastAsia="IRNazanin" w:cs="IRNazanin"/>
          <w:color w:val="111111"/>
          <w:sz w:val="28"/>
          <w:szCs w:val="28"/>
          <w:rtl w:val="true"/>
          <w:lang w:bidi="fa-IR"/>
        </w:rPr>
        <w:t xml:space="preserve">. </w:t>
      </w:r>
      <w:r>
        <w:rPr>
          <w:rStyle w:val="FootnoteAnchor"/>
          <w:rtl w:val="true"/>
        </w:rPr>
        <w:footnoteReference w:id="343"/>
      </w:r>
      <w:bookmarkStart w:id="305" w:name="pg5285_67255"/>
    </w:p>
    <w:p>
      <w:pPr>
        <w:pStyle w:val="BookText"/>
        <w:rPr/>
      </w:pPr>
      <w:bookmarkEnd w:id="305"/>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الروایة ینقلها الطبری مسندةً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واضح عن الأصبغ بن نباته عن علقمة بن قیس عن عکرمة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و هذا السند مجروح بالکامل؛ لأنّ ابن واضح من الضعفاء</w:t>
      </w:r>
      <w:r>
        <w:rPr>
          <w:rFonts w:eastAsia="IRNazanin" w:cs="IRNazanin"/>
          <w:color w:val="111111"/>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ومتّهم بقلّة العلم وضعف الدرایة،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یحسن شیئاً</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الروایة مقطوعة؛ لأنّه بین ابن واضح و الذی هو من الطبقة التاسعة، وأتباعه إلی الأصبغ بن نباته تُوجد فترة زمنیة بینهما تستغرق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فکیف یمکنه أن ینقل عن الأصبغ، و هو من أصحاب الإمام علی علیه السّلام؟ </w:t>
      </w:r>
      <w:r>
        <w:rPr>
          <w:rStyle w:val="FootnoteAnchor"/>
          <w:rtl w:val="true"/>
        </w:rPr>
        <w:footnoteReference w:id="347"/>
      </w:r>
    </w:p>
    <w:p>
      <w:pPr>
        <w:pStyle w:val="Heading5"/>
        <w:numPr>
          <w:ilvl w:val="4"/>
          <w:numId w:val="1"/>
        </w:numPr>
        <w:rPr/>
      </w:pPr>
      <w:bookmarkStart w:id="306" w:name="__RefHeading___Toc634043_581953129"/>
      <w:bookmarkStart w:id="307" w:name="_Toc117"/>
      <w:bookmarkEnd w:id="306"/>
      <w:r>
        <w:rPr>
          <w:rtl w:val="true"/>
        </w:rPr>
        <w:t>نماذج من تفسیره</w:t>
      </w:r>
      <w:bookmarkEnd w:id="307"/>
    </w:p>
    <w:p>
      <w:pPr>
        <w:pStyle w:val="BookText"/>
        <w:rPr/>
      </w:pPr>
      <w:r>
        <w:rPr>
          <w:rFonts w:ascii="IRNazanin" w:hAnsi="IRNazanin" w:eastAsia="IRNazanin"/>
          <w:color w:val="111111"/>
          <w:sz w:val="28"/>
          <w:sz w:val="28"/>
          <w:szCs w:val="28"/>
          <w:rtl w:val="true"/>
          <w:lang w:bidi="fa-IR"/>
        </w:rPr>
        <w:t>نقلت عن عکرمة روایات کثیرة فی التفسیر بأشکال وأنواع مختلفة، ونحن هنا نُشیر إلی نماذج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المفردات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مَغْلُولَةٌ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یَدُ اللّهِ مَغْلُولَةٌ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48"/>
      </w:r>
      <w:r>
        <w:rPr>
          <w:rFonts w:ascii="Amiri" w:hAnsi="Amiri" w:eastAsia="Amiri" w:cs="Amiri"/>
          <w:color w:val="111111"/>
          <w:sz w:val="28"/>
          <w:sz w:val="28"/>
          <w:szCs w:val="28"/>
          <w:rtl w:val="true"/>
          <w:lang w:bidi="ar-SA"/>
        </w:rPr>
        <w:t>جاء فی روایة عن عکرمة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بخیل</w:t>
      </w:r>
      <w:r>
        <w:rPr>
          <w:rFonts w:eastAsia="Amiri" w:cs="Amiri" w:ascii="Amiri" w:hAnsi="Amiri"/>
          <w:color w:val="111111"/>
          <w:sz w:val="28"/>
          <w:szCs w:val="28"/>
          <w:rtl w:val="true"/>
          <w:lang w:bidi="ar-SA"/>
        </w:rPr>
        <w:t xml:space="preserve">. </w:t>
      </w:r>
      <w:r>
        <w:rPr>
          <w:rStyle w:val="FootnoteAnchor"/>
          <w:rtl w:val="true"/>
        </w:rPr>
        <w:footnoteReference w:id="349"/>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 الرَّسِّ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50"/>
      </w:r>
      <w:r>
        <w:rPr>
          <w:rFonts w:ascii="Amiri" w:hAnsi="Amiri" w:eastAsia="Amiri" w:cs="Amiri"/>
          <w:color w:val="111111"/>
          <w:sz w:val="28"/>
          <w:sz w:val="28"/>
          <w:szCs w:val="28"/>
          <w:rtl w:val="true"/>
          <w:lang w:bidi="ar-SA"/>
        </w:rPr>
        <w:t xml:space="preserve">جاء فی روایة عن عکرمة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رَسّوا فیها نبیهم،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ألقوه فیها</w:t>
      </w:r>
      <w:r>
        <w:rPr>
          <w:rFonts w:eastAsia="Amiri" w:cs="Amiri" w:ascii="Amiri" w:hAnsi="Amiri"/>
          <w:color w:val="111111"/>
          <w:sz w:val="28"/>
          <w:szCs w:val="28"/>
          <w:rtl w:val="true"/>
          <w:lang w:bidi="ar-SA"/>
        </w:rPr>
        <w:t xml:space="preserve">. </w:t>
      </w:r>
      <w:r>
        <w:rPr>
          <w:rStyle w:val="FootnoteAnchor"/>
          <w:rtl w:val="true"/>
        </w:rPr>
        <w:footnoteReference w:id="351"/>
      </w:r>
      <w:bookmarkStart w:id="308" w:name="pg5285_67256"/>
    </w:p>
    <w:p>
      <w:pPr>
        <w:pStyle w:val="BookText"/>
        <w:rPr/>
      </w:pPr>
      <w:bookmarkEnd w:id="30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المصادیق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فی روایة عن عکرمة فی ذیل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بَیْتٍ وُضِعَ لِلنّاسِ لَلَّذِی بِبَکَّةَ مُبارَکاً وَ هُدیً لِلْعالَمِینَ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52"/>
      </w:r>
      <w:r>
        <w:rPr>
          <w:rFonts w:ascii="IRNazanin" w:hAnsi="IRNazanin" w:eastAsia="IRNazanin"/>
          <w:color w:val="111111"/>
          <w:sz w:val="28"/>
          <w:sz w:val="28"/>
          <w:szCs w:val="28"/>
          <w:rtl w:val="true"/>
          <w:lang w:bidi="fa-IR"/>
        </w:rPr>
        <w:t xml:space="preserve">أنّ البیت وما حوله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وماوراء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وهکذا فی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أَحْسَنُ قَوْلاً مِمَّنْ دَعا إِلَی اللّهِ وَ عَمِلَ صالِحاً وَ قالَ إِنَّنِی مِنَ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53"/>
      </w:r>
      <w:r>
        <w:rPr>
          <w:rFonts w:ascii="IRNazanin" w:hAnsi="IRNazanin" w:eastAsia="IRNazanin"/>
          <w:color w:val="111111"/>
          <w:sz w:val="28"/>
          <w:sz w:val="28"/>
          <w:szCs w:val="28"/>
          <w:rtl w:val="true"/>
          <w:lang w:bidi="fa-IR"/>
        </w:rPr>
        <w:t>عن عکرمه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المقصود من المسلمین هم المؤذّنون</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الناسخ و المنسوخ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عکرمة، وعن آخرین، ورد أنّ الآیة المبارکة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جَنَحُوا لِلسَّلْمِ فَاجْنَحْ لَها</w:t>
      </w:r>
      <w:r>
        <w:rPr>
          <w:rFonts w:eastAsia="Amiri" w:cs="Amiri" w:ascii="Amiri" w:hAnsi="Amiri"/>
          <w:color w:val="111111"/>
          <w:sz w:val="28"/>
          <w:szCs w:val="28"/>
          <w:rtl w:val="true"/>
          <w:lang w:bidi="ar-SA"/>
        </w:rPr>
        <w:t xml:space="preserve">) . </w:t>
      </w:r>
      <w:r>
        <w:rPr>
          <w:rStyle w:val="FootnoteAnchor"/>
          <w:rtl w:val="true"/>
        </w:rPr>
        <w:footnoteReference w:id="355"/>
      </w:r>
      <w:r>
        <w:rPr>
          <w:rFonts w:ascii="Amiri" w:hAnsi="Amiri" w:eastAsia="Amiri" w:cs="Amiri"/>
          <w:color w:val="111111"/>
          <w:sz w:val="28"/>
          <w:sz w:val="28"/>
          <w:szCs w:val="28"/>
          <w:rtl w:val="true"/>
          <w:lang w:bidi="ar-SA"/>
        </w:rPr>
        <w:t>هی منسوخة بآیة السیف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قاتِلُوا الَّذِینَ لا یُؤْمِنُونَ بِاللّهِ وَ لا بِالْیَوْمِ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56"/>
      </w:r>
      <w:r>
        <w:rPr>
          <w:rFonts w:ascii="IRNazanin" w:hAnsi="IRNazanin" w:eastAsia="IRNazanin"/>
          <w:color w:val="111111"/>
          <w:sz w:val="28"/>
          <w:sz w:val="28"/>
          <w:szCs w:val="28"/>
          <w:rtl w:val="true"/>
          <w:lang w:bidi="fa-IR"/>
        </w:rPr>
        <w:t>والمنسوخ بین هاتین الآیتین هو مورد اختلاف المفسّرین</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بشأن النزول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ذیل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تَنْکِحُوا ما نَکَحَ آباؤُکُمْ مِنَ النِّساءِ إِلاّ ما قَدْ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58"/>
      </w:r>
      <w:r>
        <w:rPr>
          <w:rFonts w:ascii="IRNazanin" w:hAnsi="IRNazanin" w:eastAsia="IRNazanin"/>
          <w:color w:val="111111"/>
          <w:sz w:val="28"/>
          <w:sz w:val="28"/>
          <w:szCs w:val="28"/>
          <w:rtl w:val="true"/>
          <w:lang w:bidi="fa-IR"/>
        </w:rPr>
        <w:t>روی عن عکرمة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شأن نزولها یتعلّق بأشخاص فی زمن الجاهلیة تزوّجوا بزوجات آبائهم، فنزلت هذه الآیة تنهی عن هذا العمل</w:t>
      </w:r>
      <w:r>
        <w:rPr>
          <w:rFonts w:eastAsia="IRNazanin" w:cs="IRNazanin"/>
          <w:color w:val="111111"/>
          <w:sz w:val="28"/>
          <w:szCs w:val="28"/>
          <w:rtl w:val="true"/>
          <w:lang w:bidi="fa-IR"/>
        </w:rPr>
        <w:t xml:space="preserve">. </w:t>
      </w:r>
      <w:r>
        <w:rPr>
          <w:rStyle w:val="FootnoteAnchor"/>
          <w:rtl w:val="true"/>
        </w:rPr>
        <w:footnoteReference w:id="359"/>
      </w:r>
    </w:p>
    <w:p>
      <w:pPr>
        <w:pStyle w:val="Heading3"/>
        <w:numPr>
          <w:ilvl w:val="2"/>
          <w:numId w:val="1"/>
        </w:numPr>
        <w:rPr/>
      </w:pPr>
      <w:bookmarkStart w:id="309" w:name="__RefHeading___Toc634045_581953129"/>
      <w:bookmarkStart w:id="310" w:name="_Toc118"/>
      <w:bookmarkEnd w:id="309"/>
      <w:r>
        <w:rPr>
          <w:rtl w:val="true"/>
        </w:rPr>
        <w:t>مدرسة المدینة المنوّرة</w:t>
      </w:r>
      <w:bookmarkEnd w:id="310"/>
    </w:p>
    <w:p>
      <w:pPr>
        <w:pStyle w:val="Heading4"/>
        <w:numPr>
          <w:ilvl w:val="3"/>
          <w:numId w:val="1"/>
        </w:numPr>
        <w:rPr/>
      </w:pPr>
      <w:bookmarkStart w:id="311" w:name="__RefHeading___Toc634047_581953129"/>
      <w:bookmarkStart w:id="312" w:name="_Toc119"/>
      <w:bookmarkEnd w:id="311"/>
      <w:r>
        <w:rPr>
          <w:rtl w:val="true"/>
        </w:rPr>
        <w:t>اشارة</w:t>
      </w:r>
      <w:bookmarkEnd w:id="312"/>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لحضور الإمام علی بن الحسین علیه السّلام و الإمام محمّد الباقر علیه السّلام، والإمام جعفر</w:t>
      </w:r>
      <w:bookmarkStart w:id="313" w:name="pg5285_67257"/>
    </w:p>
    <w:p>
      <w:pPr>
        <w:pStyle w:val="BookText"/>
        <w:rPr/>
      </w:pPr>
      <w:bookmarkEnd w:id="313"/>
      <w:r>
        <w:rPr>
          <w:rFonts w:ascii="IRNazanin" w:hAnsi="IRNazanin" w:eastAsia="IRNazanin"/>
          <w:color w:val="111111"/>
          <w:sz w:val="28"/>
          <w:sz w:val="28"/>
          <w:szCs w:val="28"/>
          <w:rtl w:val="true"/>
          <w:lang w:bidi="fa-IR"/>
        </w:rPr>
        <w:t>الصادق علیه السّلام فی المدینة المنوّرة الأثر الکبیر جدّاً فی ذلک الزمان، ممّا حمل کثیر التابعین الهجرة إلیها حتّی من التابعین أهل الکوفة و البصرة و الشام، لینهلوا من معین مدرسة الأئمّة علیهم السّلام؛ ویتزوّدوا من فیوضاتهم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ولأجل هذه الحقیقة، فأنّ الکثیر من التابعین، ومن جملتهم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المسیب، و زید بن أسلم، و جابر بن یزید الجُعفی، و السدّی الکبیر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وتلامذة الأئمّة الأطهار علیهم السّلام کذلک، کانوا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ستأتی الإشارة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الملتحقین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سکن فی المدینة الکثیر من الصحابة، وأشهرهم بالتفسیر بعد الإمام علی بن أبی طالب علیه السّلام هو أبی بن کعب، المعروف بسید القرّاء، وأنّه من جملة الأشخاص الذین بایعوا رسول الله صلّی الله علیه و آله بیعة العقبة الثانیة، و هو أوّل مَن کتب للنبی صلّی الله علیه و آله، و أنّ قراءته هی أفضل هن قماءه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 أبی مساعی کبیره فی تربیة بعض التابعین فی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أشهر المفسّرین الذین رووا عن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العالیة رفیع بن مَهران، وزید بن أسلم، ومحمّد بن کعب القرظی</w:t>
      </w:r>
      <w:r>
        <w:rPr>
          <w:rFonts w:eastAsia="IRNazanin" w:cs="IRNazanin"/>
          <w:color w:val="111111"/>
          <w:sz w:val="28"/>
          <w:szCs w:val="28"/>
          <w:rtl w:val="true"/>
          <w:lang w:bidi="fa-IR"/>
        </w:rPr>
        <w:t xml:space="preserve">. </w:t>
      </w:r>
      <w:r>
        <w:rPr>
          <w:rStyle w:val="FootnoteAnchor"/>
          <w:rtl w:val="true"/>
        </w:rPr>
        <w:footnoteReference w:id="360"/>
      </w:r>
    </w:p>
    <w:p>
      <w:pPr>
        <w:pStyle w:val="Heading4"/>
        <w:numPr>
          <w:ilvl w:val="3"/>
          <w:numId w:val="1"/>
        </w:numPr>
        <w:rPr/>
      </w:pPr>
      <w:bookmarkStart w:id="314" w:name="__RefHeading___Toc634049_581953129"/>
      <w:bookmarkStart w:id="315" w:name="_Toc120"/>
      <w:bookmarkEnd w:id="314"/>
      <w:r>
        <w:rPr/>
        <w:t>1</w:t>
      </w:r>
      <w:r>
        <w:rPr>
          <w:rtl w:val="true"/>
        </w:rPr>
        <w:t xml:space="preserve">. </w:t>
      </w:r>
      <w:r>
        <w:rPr>
          <w:rtl w:val="true"/>
        </w:rPr>
        <w:t xml:space="preserve">سعید بن المسیب </w:t>
      </w:r>
      <w:r>
        <w:rPr>
          <w:rtl w:val="true"/>
        </w:rPr>
        <w:t>(</w:t>
      </w:r>
      <w:r>
        <w:rPr>
          <w:rtl w:val="true"/>
        </w:rPr>
        <w:t>ت</w:t>
      </w:r>
      <w:r>
        <w:rPr/>
        <w:t>94</w:t>
      </w:r>
      <w:r>
        <w:rPr>
          <w:rtl w:val="true"/>
        </w:rPr>
        <w:t>ه</w:t>
      </w:r>
      <w:r>
        <w:rPr>
          <w:rtl w:val="true"/>
        </w:rPr>
        <w:t>)</w:t>
      </w:r>
      <w:bookmarkEnd w:id="315"/>
    </w:p>
    <w:p>
      <w:pPr>
        <w:pStyle w:val="BookText"/>
        <w:rPr/>
      </w:pPr>
      <w:r>
        <w:rPr>
          <w:rFonts w:ascii="IRNazanin" w:hAnsi="IRNazanin" w:eastAsia="IRNazanin"/>
          <w:color w:val="111111"/>
          <w:sz w:val="28"/>
          <w:sz w:val="28"/>
          <w:szCs w:val="28"/>
          <w:rtl w:val="true"/>
          <w:lang w:bidi="fa-IR"/>
        </w:rPr>
        <w:t xml:space="preserve">من مشاهیر المفسّرین من التابعین أبو محمّد، سعید بن المسیب و قد تُوفّی فی سنة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عن عمر ناهز ال</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عاماً</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مجّدت شخصیته فی کتب الرجال، کما عُدَّ من محبّی أهل‌البیت علیهم السّلام، فالکشّی یعدُّه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روایاته عن الإمام الکاظم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حواری الإمام علی بن الحسین علیه السّلام</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قد وعدّه آیة الله السید الخویی رحمه الله کذلک من محبّی أهل‌البیت علیهم السّلام</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والمحقّق التستری، بین علّة اتّهامه بالخروج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اتّهمه بذلک بعض أهل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وعلّة ذلک کونه لم یبایع یزیداً، وابن الزبیر، والولید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رموه بذلک؛ لأنّ أهل السنة یعتبرون کلّ شخص لا یبایع أولئک الخلفاء الجائرین، ویتخلّف عنهم، فهم یسمّونه خارجیاً، ومن هنا وسموا سید الشهداء الإمام الحسین علیه السّلام بالخارجی أیضاً</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و قد وثّقه بعض علماء أهل السنّة مثل أحمد بن حنبل، وأبو زرعة کذلک</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فی نظر العامّة و الخاصّة کان یتمتّع بمکانة علمیة رفیعة، قال 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أحداً قط أعلم بالحلال و الحرام منه</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و قد وصفه 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سید التابعین سعید بن المسیب من الطراز الأول من الفقهاء السبعة بالمدینة، ولد ستة</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وتوفی سنة</w:t>
      </w:r>
      <w:r>
        <w:rPr>
          <w:rFonts w:eastAsia="IRNazanin" w:cs="IRNazanin"/>
          <w:color w:val="111111"/>
          <w:sz w:val="28"/>
          <w:szCs w:val="28"/>
          <w:rtl w:val="true"/>
          <w:lang w:bidi="fa-IR"/>
        </w:rPr>
        <w:t>(</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وقال المحدّث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المسیب واحد من الفقهاء السبعة فی المدینة، بل هو أفضلهم کما قِیل</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وعلی أی حال، فقد نقلت عنه آراء تفسیریة کثیرة، و هو فی کثیر من علومه کان تلمیذاً للإمام علی بن الحسین السجاد علیه السّلام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إنّه کان دقیقاً فی تفسیره، ففی 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کانَ لِلْأَوّابِینَ غَفُوراً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6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یذنب الذنب، ثمّ یتوب، ثمَّ یذنب، ثمّ یتوب، و لا یعود فی شیء قصداً</w:t>
      </w:r>
      <w:r>
        <w:rPr>
          <w:rFonts w:eastAsia="IRNazanin" w:cs="IRNazanin"/>
          <w:color w:val="111111"/>
          <w:sz w:val="28"/>
          <w:szCs w:val="28"/>
          <w:rtl w:val="true"/>
          <w:lang w:bidi="fa-IR"/>
        </w:rPr>
        <w:t xml:space="preserve">». </w:t>
      </w:r>
      <w:r>
        <w:rPr>
          <w:rStyle w:val="FootnoteAnchor"/>
          <w:rtl w:val="true"/>
        </w:rPr>
        <w:footnoteReference w:id="369"/>
      </w:r>
      <w:bookmarkStart w:id="316" w:name="pg5285_67259"/>
    </w:p>
    <w:p>
      <w:pPr>
        <w:pStyle w:val="BookText"/>
        <w:rPr/>
      </w:pPr>
      <w:bookmarkEnd w:id="316"/>
      <w:r>
        <w:rPr>
          <w:rFonts w:ascii="IRNazanin" w:hAnsi="IRNazanin" w:eastAsia="IRNazanin"/>
          <w:color w:val="111111"/>
          <w:sz w:val="28"/>
          <w:sz w:val="28"/>
          <w:szCs w:val="28"/>
          <w:rtl w:val="true"/>
          <w:lang w:bidi="fa-IR"/>
        </w:rPr>
        <w:t>و قد اعتبر آیة الله معرفة ضمن نقله لتفاسیر کثیرة لهذه الآیة أنّ تفسیر سعید بن المسیب هو أدّق هذه التفاسیر للآیة الکریمة</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و قد نقل عنه فی تفسیر مفردة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إِرَمَ ذاتِ الْعِمادِ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71"/>
      </w:r>
      <w:r>
        <w:rPr>
          <w:rFonts w:ascii="IRNazanin" w:hAnsi="IRNazanin" w:eastAsia="IRNazanin"/>
          <w:color w:val="111111"/>
          <w:sz w:val="28"/>
          <w:sz w:val="28"/>
          <w:szCs w:val="28"/>
          <w:rtl w:val="true"/>
          <w:lang w:bidi="fa-IR"/>
        </w:rPr>
        <w:t>أنّها اسم دمشق</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وهکذا فی تفسیر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الْأَوَّلُونَ</w:t>
      </w:r>
      <w:r>
        <w:rPr>
          <w:rFonts w:eastAsia="Amiri" w:cs="Amiri" w:ascii="Amiri" w:hAnsi="Amiri"/>
          <w:color w:val="111111"/>
          <w:sz w:val="28"/>
          <w:szCs w:val="28"/>
          <w:rtl w:val="true"/>
          <w:lang w:bidi="ar-SA"/>
        </w:rPr>
        <w:t xml:space="preserve">) </w:t>
      </w:r>
      <w:r>
        <w:rPr>
          <w:rStyle w:val="FootnoteAnchor"/>
          <w:rtl w:val="true"/>
        </w:rPr>
        <w:footnoteReference w:id="373"/>
      </w:r>
      <w:r>
        <w:rPr>
          <w:rFonts w:ascii="IRNazanin" w:hAnsi="IRNazanin" w:eastAsia="IRNazanin"/>
          <w:color w:val="111111"/>
          <w:sz w:val="28"/>
          <w:sz w:val="28"/>
          <w:szCs w:val="28"/>
          <w:rtl w:val="true"/>
          <w:lang w:bidi="fa-IR"/>
        </w:rPr>
        <w:t>نقل عنه أنّ المراد من ذلک هم الذین صلّوا إلی القبلتین</w:t>
      </w:r>
      <w:r>
        <w:rPr>
          <w:rFonts w:eastAsia="IRNazanin" w:cs="IRNazanin"/>
          <w:color w:val="111111"/>
          <w:sz w:val="28"/>
          <w:szCs w:val="28"/>
          <w:rtl w:val="true"/>
          <w:lang w:bidi="fa-IR"/>
        </w:rPr>
        <w:t xml:space="preserve">. </w:t>
      </w:r>
      <w:r>
        <w:rPr>
          <w:rStyle w:val="FootnoteAnchor"/>
          <w:rtl w:val="true"/>
        </w:rPr>
        <w:footnoteReference w:id="374"/>
      </w:r>
    </w:p>
    <w:p>
      <w:pPr>
        <w:pStyle w:val="Heading4"/>
        <w:numPr>
          <w:ilvl w:val="3"/>
          <w:numId w:val="1"/>
        </w:numPr>
        <w:rPr/>
      </w:pPr>
      <w:bookmarkStart w:id="317" w:name="__RefHeading___Toc634051_581953129"/>
      <w:bookmarkStart w:id="318" w:name="_Toc121"/>
      <w:bookmarkEnd w:id="317"/>
      <w:r>
        <w:rPr/>
        <w:t>2</w:t>
      </w:r>
      <w:r>
        <w:rPr>
          <w:rtl w:val="true"/>
        </w:rPr>
        <w:t xml:space="preserve">. </w:t>
      </w:r>
      <w:r>
        <w:rPr>
          <w:rtl w:val="true"/>
        </w:rPr>
        <w:t xml:space="preserve">أبو العالیة رفیع بن مَهران الریاحی </w:t>
      </w:r>
      <w:r>
        <w:rPr>
          <w:rtl w:val="true"/>
        </w:rPr>
        <w:t>(</w:t>
      </w:r>
      <w:r>
        <w:rPr>
          <w:rtl w:val="true"/>
        </w:rPr>
        <w:t>ت</w:t>
      </w:r>
      <w:r>
        <w:rPr/>
        <w:t>90</w:t>
      </w:r>
      <w:r>
        <w:rPr>
          <w:rtl w:val="true"/>
        </w:rPr>
        <w:t>ه</w:t>
      </w:r>
      <w:r>
        <w:rPr>
          <w:rtl w:val="true"/>
        </w:rPr>
        <w:t>)</w:t>
      </w:r>
      <w:bookmarkEnd w:id="318"/>
    </w:p>
    <w:p>
      <w:pPr>
        <w:pStyle w:val="BookText"/>
        <w:rPr/>
      </w:pPr>
      <w:r>
        <w:rPr>
          <w:rFonts w:ascii="IRNazanin" w:hAnsi="IRNazanin" w:eastAsia="IRNazanin"/>
          <w:color w:val="111111"/>
          <w:sz w:val="28"/>
          <w:sz w:val="28"/>
          <w:szCs w:val="28"/>
          <w:rtl w:val="true"/>
          <w:lang w:bidi="fa-IR"/>
        </w:rPr>
        <w:t>رُفَیع بن مِهران الریاحی البصری، أدرک العصر الجاهلی، وأسلم بعد وفاه رسول الله صلّی الله علیه و آله بسنتین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 ثقة من کبار التابعین، المسهورین بالتفسیر، روی عن أمیر المؤمنین علی علیه السّلام و عبد الله بن مسعود، واُبی بن کعب، وعبد الله بن عبّاس، وحُذیفة، وأبی ذر وأبی أیوب الأنصاری،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أبکار الأصحاب و هو مجمع علی وثاقته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ابن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أحد بعد الصحابة أعلم بالقرأة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أبی العالیة فی علم القراءة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وبعده حسب الترتیب یأتی سعید بن جبیر، و السدّی، والثوری</w:t>
      </w:r>
      <w:r>
        <w:rPr>
          <w:rFonts w:eastAsia="IRNazanin" w:cs="IRNazanin"/>
          <w:color w:val="111111"/>
          <w:sz w:val="28"/>
          <w:szCs w:val="28"/>
          <w:rtl w:val="true"/>
          <w:lang w:bidi="fa-IR"/>
        </w:rPr>
        <w:t xml:space="preserve">. </w:t>
      </w:r>
      <w:r>
        <w:rPr>
          <w:rStyle w:val="FootnoteAnchor"/>
          <w:rtl w:val="true"/>
        </w:rPr>
        <w:footnoteReference w:id="375"/>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وتروی عن أبی نسخة کبیرة فی التفسیر، یرویها أبو جعفر الرازی</w:t>
      </w:r>
      <w:bookmarkStart w:id="319" w:name="pg5285_67260"/>
    </w:p>
    <w:p>
      <w:pPr>
        <w:pStyle w:val="BookText"/>
        <w:rPr/>
      </w:pPr>
      <w:bookmarkEnd w:id="319"/>
      <w:r>
        <w:rPr>
          <w:rFonts w:ascii="IRNazanin" w:hAnsi="IRNazanin" w:eastAsia="IRNazanin"/>
          <w:color w:val="111111"/>
          <w:sz w:val="28"/>
          <w:sz w:val="28"/>
          <w:szCs w:val="28"/>
          <w:rtl w:val="true"/>
          <w:lang w:bidi="fa-IR"/>
        </w:rPr>
        <w:t>عن الربیع بن أنس، عن أبی العالیة و هو عن أبی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هذا إسناد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جهة أخری یذکر أنّ ابن جریر، وابن أبی حاتِم أخرجا النسخة کثیراً، وکذا الحاکم فی المستدرک، وأحمد بن حنبل فی مسنده، نقل عنها کذلک</w:t>
      </w:r>
      <w:r>
        <w:rPr>
          <w:rFonts w:eastAsia="IRNazanin" w:cs="IRNazanin"/>
          <w:color w:val="111111"/>
          <w:sz w:val="28"/>
          <w:szCs w:val="28"/>
          <w:rtl w:val="true"/>
          <w:lang w:bidi="fa-IR"/>
        </w:rPr>
        <w:t xml:space="preserve">. </w:t>
      </w:r>
      <w:r>
        <w:rPr>
          <w:rStyle w:val="FootnoteAnchor"/>
          <w:rtl w:val="true"/>
        </w:rPr>
        <w:footnoteReference w:id="376"/>
      </w:r>
    </w:p>
    <w:p>
      <w:pPr>
        <w:pStyle w:val="Heading4"/>
        <w:numPr>
          <w:ilvl w:val="3"/>
          <w:numId w:val="1"/>
        </w:numPr>
        <w:rPr/>
      </w:pPr>
      <w:bookmarkStart w:id="320" w:name="__RefHeading___Toc634053_581953129"/>
      <w:bookmarkStart w:id="321" w:name="_Toc122"/>
      <w:bookmarkEnd w:id="320"/>
      <w:r>
        <w:rPr/>
        <w:t>3</w:t>
      </w:r>
      <w:r>
        <w:rPr>
          <w:rtl w:val="true"/>
        </w:rPr>
        <w:t xml:space="preserve">. </w:t>
      </w:r>
      <w:r>
        <w:rPr>
          <w:rtl w:val="true"/>
        </w:rPr>
        <w:t>محمّد بن کعب القُرَظی</w:t>
      </w:r>
      <w:bookmarkEnd w:id="321"/>
    </w:p>
    <w:p>
      <w:pPr>
        <w:pStyle w:val="Heading5"/>
        <w:numPr>
          <w:ilvl w:val="4"/>
          <w:numId w:val="1"/>
        </w:numPr>
        <w:rPr/>
      </w:pPr>
      <w:bookmarkStart w:id="322" w:name="__RefHeading___Toc634055_581953129"/>
      <w:bookmarkStart w:id="323" w:name="_Toc123"/>
      <w:bookmarkEnd w:id="322"/>
      <w:r>
        <w:rPr>
          <w:rtl w:val="true"/>
        </w:rPr>
        <w:t>اشارة</w:t>
      </w:r>
      <w:bookmarkEnd w:id="323"/>
    </w:p>
    <w:p>
      <w:pPr>
        <w:pStyle w:val="BookText"/>
        <w:rPr/>
      </w:pPr>
      <w:r>
        <w:rPr>
          <w:rFonts w:ascii="IRNazanin" w:hAnsi="IRNazanin" w:eastAsia="IRNazanin"/>
          <w:color w:val="111111"/>
          <w:sz w:val="28"/>
          <w:sz w:val="28"/>
          <w:szCs w:val="28"/>
          <w:rtl w:val="true"/>
          <w:lang w:bidi="fa-IR"/>
        </w:rPr>
        <w:t>هو أبو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کعب القُرَظی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 الکوفه، ثمّ المدینة المنورة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نقلت عنه کتب التفسیر الشیعیة و السنیة آراءاً تفسیریة، وذکروا له کذلک کتاب تفسیر</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و هو ممّن روی عن علی بن أبی طالب علیه السّلام، وابن مسعود، وابن عباس، وغیرهم روایات کلّها مرسلة، و قد نقل روایته عن طریق أبی بن کعب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 بالوثاقة و العدالة و التقوی، وکثرة نقل الحدیث، وکذلک تأویل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عرّفه العِجلی، وابن سعد، وابن حجر، وغیرهم من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وعالم بالقرآن، وأنّه رجل صالح</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توفی سنة</w:t>
      </w:r>
      <w:r>
        <w:rPr>
          <w:rFonts w:eastAsia="IRNazanin" w:cs="IRNazanin"/>
          <w:color w:val="111111"/>
          <w:sz w:val="28"/>
          <w:szCs w:val="28"/>
          <w:rtl w:val="true"/>
          <w:lang w:bidi="fa-IR"/>
        </w:rPr>
        <w:t>(</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ابن</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Heading5"/>
        <w:numPr>
          <w:ilvl w:val="4"/>
          <w:numId w:val="1"/>
        </w:numPr>
        <w:rPr/>
      </w:pPr>
      <w:bookmarkStart w:id="324" w:name="__RefHeading___Toc634057_581953129"/>
      <w:bookmarkStart w:id="325" w:name="_Toc124"/>
      <w:bookmarkEnd w:id="324"/>
      <w:r>
        <w:rPr>
          <w:rtl w:val="true"/>
        </w:rPr>
        <w:t>نماذج من تفسیره</w:t>
      </w:r>
      <w:bookmarkEnd w:id="325"/>
    </w:p>
    <w:p>
      <w:pPr>
        <w:pStyle w:val="Heading6"/>
        <w:numPr>
          <w:ilvl w:val="5"/>
          <w:numId w:val="1"/>
        </w:numPr>
        <w:rPr/>
      </w:pPr>
      <w:bookmarkStart w:id="326" w:name="__RefHeading___Toc634059_581953129"/>
      <w:bookmarkStart w:id="327" w:name="_Toc125"/>
      <w:bookmarkEnd w:id="326"/>
      <w:r>
        <w:rPr>
          <w:rtl w:val="true"/>
        </w:rPr>
        <w:t>اشارة</w:t>
      </w:r>
      <w:bookmarkEnd w:id="327"/>
    </w:p>
    <w:p>
      <w:pPr>
        <w:pStyle w:val="BookText"/>
        <w:rPr/>
      </w:pPr>
      <w:r>
        <w:rPr>
          <w:rFonts w:ascii="IRNazanin" w:hAnsi="IRNazanin" w:eastAsia="IRNazanin"/>
          <w:color w:val="111111"/>
          <w:sz w:val="28"/>
          <w:sz w:val="28"/>
          <w:szCs w:val="28"/>
          <w:rtl w:val="true"/>
          <w:lang w:bidi="fa-IR"/>
        </w:rPr>
        <w:t>مثلما تقدّم سلفاً أنّ حاجی خلیفة ذکر لمحمّد القرظَی کتاب تفسیر غیر أنّه لا یوجد أی أثر له الیوم، و إنّما تُوجد فقط الروایات التی نقلت عنه فی الکتب التفسیریة، و هذه نماذج منها</w:t>
      </w:r>
      <w:r>
        <w:rPr>
          <w:rFonts w:eastAsia="IRNazanin" w:cs="IRNazanin"/>
          <w:color w:val="111111"/>
          <w:sz w:val="28"/>
          <w:szCs w:val="28"/>
          <w:rtl w:val="true"/>
          <w:lang w:bidi="fa-IR"/>
        </w:rPr>
        <w:t>:</w:t>
      </w:r>
    </w:p>
    <w:p>
      <w:pPr>
        <w:pStyle w:val="Heading6"/>
        <w:numPr>
          <w:ilvl w:val="5"/>
          <w:numId w:val="1"/>
        </w:numPr>
        <w:rPr/>
      </w:pPr>
      <w:bookmarkStart w:id="328" w:name="__RefHeading___Toc634061_581953129"/>
      <w:bookmarkStart w:id="329" w:name="_Toc126"/>
      <w:bookmarkEnd w:id="328"/>
      <w:r>
        <w:rPr>
          <w:rtl w:val="true"/>
        </w:rPr>
        <w:t>أ</w:t>
      </w:r>
      <w:r>
        <w:rPr>
          <w:rtl w:val="true"/>
        </w:rPr>
        <w:t xml:space="preserve">) </w:t>
      </w:r>
      <w:r>
        <w:rPr>
          <w:rtl w:val="true"/>
        </w:rPr>
        <w:t>توضیح المفاهیم العامّة</w:t>
      </w:r>
      <w:bookmarkEnd w:id="329"/>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فی ذیل هذه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أُوحِیَ إِلَیَّ هذَا الْقُرْآنُ لِأُنْذِرَکُمْ بِهِ وَ مَنْ بَلَغَ</w:t>
      </w:r>
      <w:r>
        <w:rPr>
          <w:rFonts w:eastAsia="Amiri" w:cs="Amiri" w:ascii="Amiri" w:hAnsi="Amiri"/>
          <w:color w:val="111111"/>
          <w:sz w:val="28"/>
          <w:szCs w:val="28"/>
          <w:rtl w:val="true"/>
          <w:lang w:bidi="ar-SA"/>
        </w:rPr>
        <w:t xml:space="preserve">) </w:t>
      </w:r>
      <w:r>
        <w:rPr>
          <w:rStyle w:val="FootnoteAnchor"/>
          <w:rtl w:val="true"/>
        </w:rPr>
        <w:footnoteReference w:id="379"/>
      </w:r>
      <w:bookmarkStart w:id="330" w:name="pg5285_67261"/>
    </w:p>
    <w:p>
      <w:pPr>
        <w:pStyle w:val="BookText"/>
        <w:rPr/>
      </w:pPr>
      <w:bookmarkEnd w:id="330"/>
      <w:r>
        <w:rPr>
          <w:rFonts w:ascii="IRNazanin" w:hAnsi="IRNazanin" w:eastAsia="IRNazanin"/>
          <w:color w:val="111111"/>
          <w:sz w:val="28"/>
          <w:sz w:val="28"/>
          <w:szCs w:val="28"/>
          <w:rtl w:val="true"/>
          <w:lang w:bidi="fa-IR"/>
        </w:rPr>
        <w:t>عن محمّد بن کعب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بلغه القرآن فکأنّما رأی النبی صلّی الله علیه و آله</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وفی روایة أخری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کُلُوا مِنْ ثَمَرِهِ إِذا أَثْمَرَ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81"/>
      </w:r>
      <w:r>
        <w:rPr>
          <w:rFonts w:ascii="IRNazanin" w:hAnsi="IRNazanin" w:eastAsia="IRNazanin"/>
          <w:color w:val="111111"/>
          <w:sz w:val="28"/>
          <w:sz w:val="28"/>
          <w:szCs w:val="28"/>
          <w:rtl w:val="true"/>
          <w:lang w:bidi="fa-IR"/>
        </w:rPr>
        <w:t>نقل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رطبه وعنبه ما کان، فإذا کان یوم الحصاد فاعطوا حقّه یوم حَصاده</w:t>
      </w:r>
      <w:r>
        <w:rPr>
          <w:rFonts w:eastAsia="IRNazanin" w:cs="IRNazanin"/>
          <w:color w:val="111111"/>
          <w:sz w:val="28"/>
          <w:szCs w:val="28"/>
          <w:rtl w:val="true"/>
          <w:lang w:bidi="fa-IR"/>
        </w:rPr>
        <w:t>.</w:t>
      </w:r>
    </w:p>
    <w:p>
      <w:pPr>
        <w:pStyle w:val="Heading6"/>
        <w:numPr>
          <w:ilvl w:val="5"/>
          <w:numId w:val="1"/>
        </w:numPr>
        <w:rPr/>
      </w:pPr>
      <w:bookmarkStart w:id="331" w:name="__RefHeading___Toc634063_581953129"/>
      <w:bookmarkStart w:id="332" w:name="_Toc127"/>
      <w:bookmarkEnd w:id="331"/>
      <w:r>
        <w:rPr>
          <w:rtl w:val="true"/>
        </w:rPr>
        <w:t>ب</w:t>
      </w:r>
      <w:r>
        <w:rPr>
          <w:rtl w:val="true"/>
        </w:rPr>
        <w:t>(.</w:t>
      </w:r>
      <w:r>
        <w:rPr>
          <w:rtl w:val="true"/>
        </w:rPr>
        <w:t>بیان المصطلحات</w:t>
      </w:r>
      <w:bookmarkEnd w:id="332"/>
    </w:p>
    <w:p>
      <w:pPr>
        <w:pStyle w:val="BookText"/>
        <w:rPr/>
      </w:pPr>
      <w:r>
        <w:rPr>
          <w:rFonts w:ascii="Amiri" w:hAnsi="Amiri" w:eastAsia="Amiri" w:cs="Amiri"/>
          <w:color w:val="111111"/>
          <w:sz w:val="28"/>
          <w:sz w:val="28"/>
          <w:szCs w:val="28"/>
          <w:rtl w:val="true"/>
          <w:lang w:bidi="ar-SA"/>
        </w:rPr>
        <w:t>من أجل بیان معنی الإسراف فی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تُسْرِفُوا إِنَّهُ لا یُحِبُّ الْمُسْرِفِینَ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کعب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یعطی فی حقّ</w:t>
      </w:r>
      <w:r>
        <w:rPr>
          <w:rFonts w:eastAsia="Amiri" w:cs="Amiri" w:ascii="Amiri" w:hAnsi="Amiri"/>
          <w:color w:val="111111"/>
          <w:sz w:val="28"/>
          <w:szCs w:val="28"/>
          <w:rtl w:val="true"/>
          <w:lang w:bidi="ar-SA"/>
        </w:rPr>
        <w:t xml:space="preserve">. </w:t>
      </w:r>
      <w:r>
        <w:rPr>
          <w:rStyle w:val="FootnoteAnchor"/>
          <w:rtl w:val="true"/>
        </w:rPr>
        <w:footnoteReference w:id="382"/>
      </w:r>
    </w:p>
    <w:p>
      <w:pPr>
        <w:pStyle w:val="Heading6"/>
        <w:numPr>
          <w:ilvl w:val="5"/>
          <w:numId w:val="1"/>
        </w:numPr>
        <w:rPr/>
      </w:pPr>
      <w:bookmarkStart w:id="333" w:name="__RefHeading___Toc634065_581953129"/>
      <w:bookmarkStart w:id="334" w:name="_Toc128"/>
      <w:bookmarkEnd w:id="333"/>
      <w:r>
        <w:rPr>
          <w:rtl w:val="true"/>
        </w:rPr>
        <w:t>ج</w:t>
      </w:r>
      <w:r>
        <w:rPr>
          <w:rtl w:val="true"/>
        </w:rPr>
        <w:t>(.</w:t>
      </w:r>
      <w:r>
        <w:rPr>
          <w:rtl w:val="true"/>
        </w:rPr>
        <w:t>تعیین المصداق</w:t>
      </w:r>
      <w:bookmarkEnd w:id="334"/>
    </w:p>
    <w:p>
      <w:pPr>
        <w:pStyle w:val="BookText"/>
        <w:rPr/>
      </w:pPr>
      <w:r>
        <w:rPr>
          <w:rFonts w:ascii="Amiri" w:hAnsi="Amiri" w:eastAsia="Amiri" w:cs="Amiri"/>
          <w:color w:val="111111"/>
          <w:sz w:val="28"/>
          <w:sz w:val="28"/>
          <w:szCs w:val="28"/>
          <w:rtl w:val="true"/>
          <w:lang w:bidi="ar-SA"/>
        </w:rPr>
        <w:t>نُقل عن محمّد القرظَی و آخرین حول تعیین مصداق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فَسِیحُوا فِی الْأَرْضِ أَرْبَعَةَ أَشْهُرٍ</w:t>
      </w:r>
      <w:r>
        <w:rPr>
          <w:rFonts w:eastAsia="Amiri" w:cs="Amiri" w:ascii="Amiri" w:hAnsi="Amiri"/>
          <w:color w:val="111111"/>
          <w:sz w:val="28"/>
          <w:szCs w:val="28"/>
          <w:rtl w:val="true"/>
          <w:lang w:bidi="ar-SA"/>
        </w:rPr>
        <w:t xml:space="preserve">) </w:t>
      </w:r>
      <w:r>
        <w:rPr>
          <w:rStyle w:val="FootnoteAnchor"/>
          <w:rtl w:val="true"/>
        </w:rPr>
        <w:footnoteReference w:id="383"/>
      </w:r>
      <w:r>
        <w:rPr>
          <w:rFonts w:ascii="IRNazanin" w:hAnsi="IRNazanin" w:eastAsia="IRNazanin"/>
          <w:color w:val="111111"/>
          <w:sz w:val="28"/>
          <w:sz w:val="28"/>
          <w:szCs w:val="28"/>
          <w:rtl w:val="true"/>
          <w:lang w:bidi="fa-IR"/>
        </w:rPr>
        <w:t>أنّ المقصود من الأشهر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ابتداؤها یوم النحر إلی العاشر من شهر ربیع الآخر</w:t>
      </w:r>
      <w:r>
        <w:rPr>
          <w:rFonts w:eastAsia="IRNazanin" w:cs="IRNazanin"/>
          <w:color w:val="111111"/>
          <w:sz w:val="28"/>
          <w:szCs w:val="28"/>
          <w:rtl w:val="true"/>
          <w:lang w:bidi="fa-IR"/>
        </w:rPr>
        <w:t xml:space="preserve">. </w:t>
      </w:r>
      <w:r>
        <w:rPr>
          <w:rStyle w:val="FootnoteAnchor"/>
          <w:rtl w:val="true"/>
        </w:rPr>
        <w:footnoteReference w:id="384"/>
      </w:r>
      <w:r>
        <w:rPr>
          <w:rFonts w:ascii="IRNazanin" w:hAnsi="IRNazanin" w:eastAsia="IRNazanin"/>
          <w:color w:val="111111"/>
          <w:sz w:val="28"/>
          <w:sz w:val="28"/>
          <w:szCs w:val="28"/>
          <w:rtl w:val="true"/>
          <w:lang w:bidi="fa-IR"/>
        </w:rPr>
        <w:t>و قد روی هذا الرأی عن الإمام الصادق علیه السّلام کذلک</w:t>
      </w:r>
      <w:r>
        <w:rPr>
          <w:rFonts w:eastAsia="IRNazanin" w:cs="IRNazanin"/>
          <w:color w:val="111111"/>
          <w:sz w:val="28"/>
          <w:szCs w:val="28"/>
          <w:rtl w:val="true"/>
          <w:lang w:bidi="fa-IR"/>
        </w:rPr>
        <w:t xml:space="preserve">. </w:t>
      </w:r>
      <w:r>
        <w:rPr>
          <w:rStyle w:val="FootnoteAnchor"/>
          <w:rtl w:val="true"/>
        </w:rPr>
        <w:footnoteReference w:id="385"/>
      </w:r>
    </w:p>
    <w:p>
      <w:pPr>
        <w:pStyle w:val="Heading6"/>
        <w:numPr>
          <w:ilvl w:val="5"/>
          <w:numId w:val="1"/>
        </w:numPr>
        <w:rPr/>
      </w:pPr>
      <w:bookmarkStart w:id="335" w:name="__RefHeading___Toc634067_581953129"/>
      <w:bookmarkStart w:id="336" w:name="_Toc129"/>
      <w:bookmarkEnd w:id="335"/>
      <w:r>
        <w:rPr>
          <w:rtl w:val="true"/>
        </w:rPr>
        <w:t>د</w:t>
      </w:r>
      <w:r>
        <w:rPr>
          <w:rtl w:val="true"/>
        </w:rPr>
        <w:t xml:space="preserve">) </w:t>
      </w:r>
      <w:r>
        <w:rPr>
          <w:rtl w:val="true"/>
        </w:rPr>
        <w:t>زید بن أسلم العَدوی</w:t>
      </w:r>
      <w:r>
        <w:rPr>
          <w:rtl w:val="true"/>
        </w:rPr>
        <w:t>(</w:t>
      </w:r>
      <w:r>
        <w:rPr/>
        <w:t>136</w:t>
      </w:r>
      <w:r>
        <w:rPr>
          <w:rtl w:val="true"/>
        </w:rPr>
        <w:t xml:space="preserve"> </w:t>
      </w:r>
      <w:r>
        <w:rPr>
          <w:rtl w:val="true"/>
        </w:rPr>
        <w:t>ه</w:t>
      </w:r>
      <w:r>
        <w:rPr>
          <w:rtl w:val="true"/>
        </w:rPr>
        <w:t>)</w:t>
      </w:r>
      <w:bookmarkEnd w:id="336"/>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أسامة، أو أبو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أسلم العَدوی المدنی، أنّه کان فقیهاً ومفسِّراً</w:t>
      </w:r>
      <w:r>
        <w:rPr>
          <w:rFonts w:eastAsia="IRNazanin" w:cs="IRNazanin"/>
          <w:color w:val="111111"/>
          <w:sz w:val="28"/>
          <w:szCs w:val="28"/>
          <w:rtl w:val="true"/>
          <w:lang w:bidi="fa-IR"/>
        </w:rPr>
        <w:t xml:space="preserve">. </w:t>
      </w:r>
      <w:r>
        <w:rPr>
          <w:rStyle w:val="FootnoteAnchor"/>
          <w:rtl w:val="true"/>
        </w:rPr>
        <w:footnoteReference w:id="386"/>
      </w:r>
      <w:r>
        <w:rPr>
          <w:rFonts w:ascii="IRNazanin" w:hAnsi="IRNazanin" w:eastAsia="IRNazanin"/>
          <w:color w:val="111111"/>
          <w:sz w:val="28"/>
          <w:sz w:val="28"/>
          <w:szCs w:val="28"/>
          <w:rtl w:val="true"/>
          <w:lang w:bidi="fa-IR"/>
        </w:rPr>
        <w:t>و قد نَقلت الکتب التفسیریة الشیعیة و السنّیة عنه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عُدَّ من رواة الصحاح الستة،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وهکذا فی سند روایات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جملتها فی فروع الکافی</w:t>
      </w:r>
      <w:r>
        <w:rPr>
          <w:rFonts w:eastAsia="IRNazanin" w:cs="IRNazanin"/>
          <w:color w:val="111111"/>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و قد ذکر له ابن الندیم کتاب تفسیر</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فقد عرّفه أهل السنّة فی خصوص وثاقته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ثقة فی الروایة، وأنّه من کبّار التابعین، ویری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أحمد بن حنبل، وأبو زرعة، وأبو حاتم، والنسائی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عدوُّه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سند توثیق هؤلاء الأربعة من الشخصیات العلمیة یشکّل دلیلاً قوّیاً علی وثاقته وعدالته، وهکذا هو حال أصحاب الصحاح الستّة فقد امتدحوه</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ولقد کان یلَقب بمولی عمر بن الخطّاب</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وفی بعض المصادر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عمر</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وللمولی معانی مختلفة من 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و المالک، والملازم و الصاحب، وغیرها من الاستعمالات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کلّ هذه المعانی التی طُرحت لا تنسجم مع عهد زید الذی تُوفّی، سند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ووفاة عمر کانت سنة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Style w:val="FootnoteAnchor"/>
          <w:rtl w:val="true"/>
        </w:rPr>
        <w:footnoteReference w:id="393"/>
      </w:r>
      <w:r>
        <w:rPr>
          <w:rFonts w:ascii="IRNazanin" w:hAnsi="IRNazanin" w:eastAsia="IRNazanin"/>
          <w:color w:val="111111"/>
          <w:sz w:val="28"/>
          <w:sz w:val="28"/>
          <w:szCs w:val="28"/>
          <w:rtl w:val="true"/>
          <w:lang w:bidi="fa-IR"/>
        </w:rPr>
        <w:t>فلا یمکن القول بأنّه عبده علی الملازمة و المعایشة فقد استبعدها السید خویی رحمه الله</w:t>
      </w:r>
      <w:r>
        <w:rPr>
          <w:rFonts w:eastAsia="IRNazanin" w:cs="IRNazanin"/>
          <w:color w:val="111111"/>
          <w:sz w:val="28"/>
          <w:szCs w:val="28"/>
          <w:rtl w:val="true"/>
          <w:lang w:bidi="fa-IR"/>
        </w:rPr>
        <w:t xml:space="preserve">. </w:t>
      </w:r>
      <w:r>
        <w:rPr>
          <w:rStyle w:val="FootnoteAnchor"/>
          <w:rtl w:val="true"/>
        </w:rPr>
        <w:footnoteReference w:id="394"/>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فالشیخ الطوسی فی رجاله عدّه من أصحاب الإمام الصادق علیه السّلام، ثمّ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نظر</w:t>
      </w:r>
      <w:r>
        <w:rPr>
          <w:rFonts w:eastAsia="IRNazanin" w:cs="IRNazanin"/>
          <w:color w:val="111111"/>
          <w:sz w:val="28"/>
          <w:szCs w:val="28"/>
          <w:rtl w:val="true"/>
          <w:lang w:bidi="fa-IR"/>
        </w:rPr>
        <w:t xml:space="preserve">. </w:t>
      </w:r>
      <w:r>
        <w:rPr>
          <w:rStyle w:val="FootnoteAnchor"/>
          <w:rtl w:val="true"/>
        </w:rPr>
        <w:footnoteReference w:id="395"/>
      </w:r>
      <w:r>
        <w:rPr>
          <w:rFonts w:ascii="IRNazanin" w:hAnsi="IRNazanin" w:eastAsia="IRNazanin"/>
          <w:color w:val="111111"/>
          <w:sz w:val="28"/>
          <w:sz w:val="28"/>
          <w:szCs w:val="28"/>
          <w:rtl w:val="true"/>
          <w:lang w:bidi="fa-IR"/>
        </w:rPr>
        <w:t>وکذلک عدّه من أصحاب الإمام السجاد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تعبیر الشیخ یفهم أنّه کان یجالس الإمام السجاد علیه السّلام</w:t>
      </w:r>
      <w:r>
        <w:rPr>
          <w:rFonts w:eastAsia="IRNazanin" w:cs="IRNazanin"/>
          <w:color w:val="111111"/>
          <w:sz w:val="28"/>
          <w:szCs w:val="28"/>
          <w:rtl w:val="true"/>
          <w:lang w:bidi="fa-IR"/>
        </w:rPr>
        <w:t xml:space="preserve">. </w:t>
      </w:r>
      <w:r>
        <w:rPr>
          <w:rStyle w:val="FootnoteAnchor"/>
          <w:rtl w:val="true"/>
        </w:rPr>
        <w:footnoteReference w:id="396"/>
      </w:r>
      <w:r>
        <w:rPr>
          <w:rFonts w:ascii="IRNazanin" w:hAnsi="IRNazanin" w:eastAsia="IRNazanin"/>
          <w:color w:val="111111"/>
          <w:sz w:val="28"/>
          <w:sz w:val="28"/>
          <w:szCs w:val="28"/>
          <w:rtl w:val="true"/>
          <w:lang w:bidi="fa-IR"/>
        </w:rPr>
        <w:t>وهکذا عدّه آیة الله الخوئی أنّه من أصحاب الإمام السجاد علیه السّلام، ثمّ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البُرقی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أصحاب السجاد و الصادق</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واعتبره الذهبی أنّ أستاذ زید بن أسلم فی التفسیر هو أبی بن کعب، ودلیله الوحید علی ذلک هو کونه مدنیاً، ولا یوجد مصداق واحد علی کلا الادّعاءین من الروایات و الشواهد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 ما نقل عن طرق الشیعة عنه من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الإمام علی بن الحسین علیه السّلام هو أحد مشایخ زید بن أسلم؛ أمّا أبی بن کعب و الذی مات سنة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تقریباً، فلا یمکن أن یکون من مشایخه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علی ذلک فإنّ أبو الحجّاج المزّی فی تهذیب الکمال فی ترجمة الرواة، فقد ذکر أکثر من ثلاثین اسماً کان زید یروی عنهم، ولکن لم یعدّ أبی بن کعب من ضمن مشایخه فی الروایة</w:t>
      </w:r>
      <w:r>
        <w:rPr>
          <w:rFonts w:eastAsia="IRNazanin" w:cs="IRNazanin"/>
          <w:color w:val="111111"/>
          <w:sz w:val="28"/>
          <w:szCs w:val="28"/>
          <w:rtl w:val="true"/>
          <w:lang w:bidi="fa-IR"/>
        </w:rPr>
        <w:t xml:space="preserve">. </w:t>
      </w:r>
      <w:r>
        <w:rPr>
          <w:rStyle w:val="FootnoteAnchor"/>
          <w:rtl w:val="true"/>
        </w:rPr>
        <w:footnoteReference w:id="398"/>
      </w:r>
      <w:bookmarkStart w:id="337" w:name="pg5285_67264"/>
    </w:p>
    <w:p>
      <w:pPr>
        <w:pStyle w:val="Heading5"/>
        <w:numPr>
          <w:ilvl w:val="4"/>
          <w:numId w:val="1"/>
        </w:numPr>
        <w:rPr/>
      </w:pPr>
      <w:bookmarkStart w:id="338" w:name="__RefHeading___Toc634069_581953129"/>
      <w:bookmarkStart w:id="339" w:name="_Toc130"/>
      <w:bookmarkEnd w:id="337"/>
      <w:bookmarkEnd w:id="338"/>
      <w:r>
        <w:rPr>
          <w:rtl w:val="true"/>
        </w:rPr>
        <w:t>نماذج من تفسیره</w:t>
      </w:r>
      <w:bookmarkEnd w:id="339"/>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المصادیق و المصطلحات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ذیل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هُمْ عَنْ صَلاتِهِمْ ساهُونَ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هُمْ یُراؤُنَ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یَمْنَعُونَ الْماعُونَ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99"/>
      </w:r>
      <w:r>
        <w:rPr>
          <w:rFonts w:ascii="IRNazanin" w:hAnsi="IRNazanin" w:eastAsia="IRNazanin"/>
          <w:color w:val="111111"/>
          <w:sz w:val="28"/>
          <w:sz w:val="28"/>
          <w:szCs w:val="28"/>
          <w:rtl w:val="true"/>
          <w:lang w:bidi="fa-IR"/>
        </w:rPr>
        <w:t xml:space="preserve">نقل عن زید بن أسلم 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ساهُونَ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أنّهم یصلّون ریاءً، ولیس الصلاة من شأنهم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وحول تحدید شخصیة هؤلاء الوارد ذکرهم 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یَمْنَعُونَ الْماعُونَ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یجیب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المنافقون ظهرتِ الصلاة فصلّوها، وخفیت الزکاة فمنعوها</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المفردات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معانی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ذیل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عُرُباً أَتْراباً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01"/>
      </w:r>
      <w:r>
        <w:rPr>
          <w:rFonts w:ascii="IRNazanin" w:hAnsi="IRNazanin" w:eastAsia="IRNazanin"/>
          <w:color w:val="111111"/>
          <w:sz w:val="28"/>
          <w:sz w:val="28"/>
          <w:szCs w:val="28"/>
          <w:rtl w:val="true"/>
          <w:lang w:bidi="fa-IR"/>
        </w:rPr>
        <w:t>نُقل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العربة هی الحسنة الکلام</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یقال للمرأة الحسنة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الاستفادة من التاریخ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وورد عنه فی تفسیر ذیل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مَکَرَ الَّذِینَ مِنْ قَبْلِهِمْ فَأَتَی اللّهُ بُنْیانَهُمْ مِنَ الْقَواعِدِ فَخَرَّ عَلَیْهِمُ السَّقْفُ مِنْ فَوْقِهِمْ</w:t>
      </w:r>
      <w:r>
        <w:rPr>
          <w:rFonts w:eastAsia="Amiri" w:cs="Amiri" w:ascii="Amiri" w:hAnsi="Amiri"/>
          <w:color w:val="111111"/>
          <w:sz w:val="28"/>
          <w:szCs w:val="28"/>
          <w:rtl w:val="true"/>
          <w:lang w:bidi="ar-SA"/>
        </w:rPr>
        <w:t xml:space="preserve">) </w:t>
      </w:r>
      <w:r>
        <w:rPr>
          <w:rStyle w:val="FootnoteAnchor"/>
          <w:rtl w:val="true"/>
        </w:rPr>
        <w:footnoteReference w:id="403"/>
      </w:r>
      <w:r>
        <w:rPr>
          <w:rFonts w:ascii="IRNazanin" w:hAnsi="IRNazanin" w:eastAsia="IRNazanin"/>
          <w:color w:val="111111"/>
          <w:sz w:val="28"/>
          <w:sz w:val="28"/>
          <w:szCs w:val="28"/>
          <w:rtl w:val="true"/>
          <w:lang w:bidi="fa-IR"/>
        </w:rPr>
        <w:t>أنّ من الأشخاص الذین خرّ علیهم السقف هو نمرود بن کنعان</w:t>
      </w:r>
      <w:r>
        <w:rPr>
          <w:rFonts w:eastAsia="IRNazanin" w:cs="IRNazanin"/>
          <w:color w:val="111111"/>
          <w:sz w:val="28"/>
          <w:szCs w:val="28"/>
          <w:rtl w:val="true"/>
          <w:lang w:bidi="fa-IR"/>
        </w:rPr>
        <w:t xml:space="preserve">. </w:t>
      </w:r>
      <w:r>
        <w:rPr>
          <w:rStyle w:val="FootnoteAnchor"/>
          <w:rtl w:val="true"/>
        </w:rPr>
        <w:footnoteReference w:id="404"/>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الاستفادة من أسباب النزول</w:t>
      </w:r>
      <w:r>
        <w:rPr>
          <w:rFonts w:eastAsia="Amiri" w:cs="Amiri" w:ascii="Amiri" w:hAnsi="Amiri"/>
          <w:color w:val="111111"/>
          <w:sz w:val="28"/>
          <w:szCs w:val="28"/>
          <w:rtl w:val="true"/>
          <w:lang w:bidi="ar-SA"/>
        </w:rPr>
        <w:t>:</w:t>
      </w:r>
      <w:bookmarkStart w:id="340" w:name="pg5285_67265"/>
    </w:p>
    <w:p>
      <w:pPr>
        <w:pStyle w:val="BookText"/>
        <w:rPr/>
      </w:pPr>
      <w:bookmarkEnd w:id="340"/>
      <w:r>
        <w:rPr>
          <w:rFonts w:ascii="Amiri" w:hAnsi="Amiri" w:eastAsia="Amiri" w:cs="Amiri"/>
          <w:color w:val="111111"/>
          <w:sz w:val="28"/>
          <w:sz w:val="28"/>
          <w:szCs w:val="28"/>
          <w:rtl w:val="true"/>
          <w:lang w:bidi="ar-SA"/>
        </w:rPr>
        <w:t>نُقل عنه فی تفسیر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w:t>
      </w:r>
      <w:r>
        <w:rPr>
          <w:rFonts w:eastAsia="Amiri" w:cs="Amiri" w:ascii="Amiri" w:hAnsi="Amiri"/>
          <w:color w:val="111111"/>
          <w:sz w:val="28"/>
          <w:szCs w:val="28"/>
          <w:rtl w:val="true"/>
          <w:lang w:bidi="ar-SA"/>
        </w:rPr>
        <w:t xml:space="preserve">...) </w:t>
      </w:r>
      <w:r>
        <w:rPr>
          <w:rStyle w:val="FootnoteAnchor"/>
          <w:rtl w:val="true"/>
        </w:rPr>
        <w:footnoteReference w:id="405"/>
      </w:r>
      <w:r>
        <w:rPr>
          <w:rFonts w:ascii="IRNazanin" w:hAnsi="IRNazanin" w:eastAsia="IRNazanin"/>
          <w:color w:val="111111"/>
          <w:sz w:val="28"/>
          <w:sz w:val="28"/>
          <w:szCs w:val="28"/>
          <w:rtl w:val="true"/>
          <w:lang w:bidi="fa-IR"/>
        </w:rPr>
        <w:t>أنّ الأشخاص الذین تابوا، قالوا للنبی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من أموالنا ما تشاء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أفعل حتّی یؤذن لی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نزول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مِنْ أَمْوالِهِمْ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رسول الإسلام صلّی الله علیه و آله بعضاً من أموالهم وترک لهم الباقی</w:t>
      </w:r>
      <w:r>
        <w:rPr>
          <w:rFonts w:eastAsia="IRNazanin" w:cs="IRNazanin"/>
          <w:color w:val="111111"/>
          <w:sz w:val="28"/>
          <w:szCs w:val="28"/>
          <w:rtl w:val="true"/>
          <w:lang w:bidi="fa-IR"/>
        </w:rPr>
        <w:t xml:space="preserve">. </w:t>
      </w:r>
      <w:r>
        <w:rPr>
          <w:rStyle w:val="FootnoteAnchor"/>
          <w:rtl w:val="true"/>
        </w:rPr>
        <w:footnoteReference w:id="406"/>
      </w:r>
    </w:p>
    <w:p>
      <w:pPr>
        <w:pStyle w:val="Heading3"/>
        <w:numPr>
          <w:ilvl w:val="2"/>
          <w:numId w:val="1"/>
        </w:numPr>
        <w:rPr/>
      </w:pPr>
      <w:bookmarkStart w:id="341" w:name="__RefHeading___Toc634071_581953129"/>
      <w:bookmarkStart w:id="342" w:name="_Toc131"/>
      <w:bookmarkEnd w:id="341"/>
      <w:r>
        <w:rPr>
          <w:rtl w:val="true"/>
        </w:rPr>
        <w:t>مدرسة العراق التفسیریة</w:t>
      </w:r>
      <w:bookmarkEnd w:id="342"/>
    </w:p>
    <w:p>
      <w:pPr>
        <w:pStyle w:val="Heading4"/>
        <w:numPr>
          <w:ilvl w:val="3"/>
          <w:numId w:val="1"/>
        </w:numPr>
        <w:rPr/>
      </w:pPr>
      <w:bookmarkStart w:id="343" w:name="__RefHeading___Toc634073_581953129"/>
      <w:bookmarkStart w:id="344" w:name="_Toc132"/>
      <w:bookmarkEnd w:id="343"/>
      <w:r>
        <w:rPr>
          <w:rtl w:val="true"/>
        </w:rPr>
        <w:t>اشارة</w:t>
      </w:r>
      <w:bookmarkEnd w:id="344"/>
    </w:p>
    <w:p>
      <w:pPr>
        <w:pStyle w:val="BookText"/>
        <w:rPr/>
      </w:pPr>
      <w:r>
        <w:rPr>
          <w:rFonts w:ascii="IRNazanin" w:hAnsi="IRNazanin" w:eastAsia="IRNazanin"/>
          <w:color w:val="111111"/>
          <w:sz w:val="28"/>
          <w:sz w:val="28"/>
          <w:szCs w:val="28"/>
          <w:rtl w:val="true"/>
          <w:lang w:bidi="fa-IR"/>
        </w:rPr>
        <w:t>لقد عَدَّ البعض مدرسة العراق التفسیریة، بأنّها مرکّبة من مدرسة الکوفة و البصرة</w:t>
      </w:r>
      <w:r>
        <w:rPr>
          <w:rFonts w:eastAsia="IRNazanin" w:cs="IRNazanin"/>
          <w:color w:val="111111"/>
          <w:sz w:val="28"/>
          <w:szCs w:val="28"/>
          <w:rtl w:val="true"/>
          <w:lang w:bidi="fa-IR"/>
        </w:rPr>
        <w:t xml:space="preserve">. </w:t>
      </w:r>
      <w:r>
        <w:rPr>
          <w:rStyle w:val="FootnoteAnchor"/>
          <w:rtl w:val="true"/>
        </w:rPr>
        <w:footnoteReference w:id="407"/>
      </w:r>
      <w:r>
        <w:rPr>
          <w:rFonts w:ascii="IRNazanin" w:hAnsi="IRNazanin" w:eastAsia="IRNazanin"/>
          <w:color w:val="111111"/>
          <w:sz w:val="28"/>
          <w:sz w:val="28"/>
          <w:szCs w:val="28"/>
          <w:rtl w:val="true"/>
          <w:lang w:bidi="fa-IR"/>
        </w:rPr>
        <w:t>وعَدَّها آخرون مدرسة قائمة بنفسها،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العراق التفسیریة؛ وذلک من خلال تعریف بعض مفسّری التابعین</w:t>
      </w:r>
      <w:r>
        <w:rPr>
          <w:rFonts w:eastAsia="IRNazanin" w:cs="IRNazanin"/>
          <w:color w:val="111111"/>
          <w:sz w:val="28"/>
          <w:szCs w:val="28"/>
          <w:rtl w:val="true"/>
          <w:lang w:bidi="fa-IR"/>
        </w:rPr>
        <w:t xml:space="preserve">. </w:t>
      </w:r>
      <w:r>
        <w:rPr>
          <w:rStyle w:val="FootnoteAnchor"/>
          <w:rtl w:val="true"/>
        </w:rPr>
        <w:footnoteReference w:id="408"/>
      </w:r>
      <w:r>
        <w:rPr>
          <w:rFonts w:ascii="IRNazanin" w:hAnsi="IRNazanin" w:eastAsia="IRNazanin"/>
          <w:color w:val="111111"/>
          <w:sz w:val="28"/>
          <w:sz w:val="28"/>
          <w:szCs w:val="28"/>
          <w:rtl w:val="true"/>
          <w:lang w:bidi="fa-IR"/>
        </w:rPr>
        <w:t>و علی أی حالٍ فإنّنا سنحاول،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حقیقة هذه المدرسة باختصار، ثمّ نعرّف مشاهیر مفسری التابعین فیها</w:t>
      </w:r>
    </w:p>
    <w:p>
      <w:pPr>
        <w:pStyle w:val="BookText"/>
        <w:rPr/>
      </w:pPr>
      <w:r>
        <w:rPr>
          <w:rFonts w:ascii="IRNazanin" w:hAnsi="IRNazanin" w:eastAsia="IRNazanin"/>
          <w:color w:val="111111"/>
          <w:sz w:val="28"/>
          <w:sz w:val="28"/>
          <w:szCs w:val="28"/>
          <w:rtl w:val="true"/>
          <w:lang w:bidi="fa-IR"/>
        </w:rPr>
        <w:t>إنّ بعض مفسّری هذا العصر هم من أتباع عبد الله بن مسعود، و قد أخذوا عنه؛ و ذلک لأنّه کان معلّما ومفسّراً للقرآن فی الکوفة ویتمتع بشهرة واسعة، و قدم الکوفه علی عهد ابن الخطّاب معلماً و مؤدباً، ثمّ أحضره عثمان سنة إحدی و ثلاثین للهجرة، و کانت فیها وفاته</w:t>
      </w:r>
      <w:r>
        <w:rPr>
          <w:rFonts w:eastAsia="IRNazanin" w:cs="IRNazanin"/>
          <w:color w:val="111111"/>
          <w:sz w:val="28"/>
          <w:szCs w:val="28"/>
          <w:rtl w:val="true"/>
          <w:lang w:bidi="fa-IR"/>
        </w:rPr>
        <w:t xml:space="preserve">. </w:t>
      </w:r>
      <w:r>
        <w:rPr>
          <w:rStyle w:val="FootnoteAnchor"/>
          <w:rtl w:val="true"/>
        </w:rPr>
        <w:footnoteReference w:id="409"/>
      </w:r>
      <w:r>
        <w:rPr>
          <w:rFonts w:ascii="IRNazanin" w:hAnsi="IRNazanin" w:eastAsia="IRNazanin"/>
          <w:color w:val="111111"/>
          <w:sz w:val="28"/>
          <w:sz w:val="28"/>
          <w:szCs w:val="28"/>
          <w:rtl w:val="true"/>
          <w:lang w:bidi="fa-IR"/>
        </w:rPr>
        <w:t>و بعض المفسّرین المتخرّجین من مدرسته هم من أهل الکوفة، والبعض الآخرهم من أهل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فقتادة و الحسن البصری، وأبو صالح بآذان، کانوا من أهل البصرة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نحاول التعریف ببعض مفسّری التابعین الذین ینتهون الی مدرسة العراق</w:t>
      </w:r>
      <w:r>
        <w:rPr>
          <w:rFonts w:eastAsia="IRNazanin" w:cs="IRNazanin"/>
          <w:color w:val="111111"/>
          <w:sz w:val="28"/>
          <w:szCs w:val="28"/>
          <w:rtl w:val="true"/>
          <w:lang w:bidi="fa-IR"/>
        </w:rPr>
        <w:t>:</w:t>
      </w:r>
      <w:bookmarkStart w:id="345" w:name="pg5285_67267"/>
    </w:p>
    <w:p>
      <w:pPr>
        <w:pStyle w:val="Heading4"/>
        <w:numPr>
          <w:ilvl w:val="3"/>
          <w:numId w:val="1"/>
        </w:numPr>
        <w:rPr/>
      </w:pPr>
      <w:bookmarkStart w:id="346" w:name="__RefHeading___Toc634075_581953129"/>
      <w:bookmarkStart w:id="347" w:name="_Toc133"/>
      <w:bookmarkEnd w:id="345"/>
      <w:bookmarkEnd w:id="346"/>
      <w:r>
        <w:rPr/>
        <w:t>1</w:t>
      </w:r>
      <w:r>
        <w:rPr>
          <w:rtl w:val="true"/>
        </w:rPr>
        <w:t xml:space="preserve">. </w:t>
      </w:r>
      <w:r>
        <w:rPr>
          <w:rtl w:val="true"/>
        </w:rPr>
        <w:t xml:space="preserve">قَتادة بن دعامة السَدُوسی </w:t>
      </w:r>
      <w:r>
        <w:rPr>
          <w:rtl w:val="true"/>
        </w:rPr>
        <w:t>(</w:t>
      </w:r>
      <w:r>
        <w:rPr>
          <w:rtl w:val="true"/>
        </w:rPr>
        <w:t>ت</w:t>
      </w:r>
      <w:r>
        <w:rPr/>
        <w:t>117</w:t>
      </w:r>
      <w:r>
        <w:rPr>
          <w:rtl w:val="true"/>
        </w:rPr>
        <w:t>ه</w:t>
      </w:r>
      <w:r>
        <w:rPr>
          <w:rtl w:val="true"/>
        </w:rPr>
        <w:t>)</w:t>
      </w:r>
      <w:bookmarkEnd w:id="347"/>
    </w:p>
    <w:p>
      <w:pPr>
        <w:pStyle w:val="Heading5"/>
        <w:numPr>
          <w:ilvl w:val="4"/>
          <w:numId w:val="1"/>
        </w:numPr>
        <w:rPr/>
      </w:pPr>
      <w:bookmarkStart w:id="348" w:name="__RefHeading___Toc634077_581953129"/>
      <w:bookmarkStart w:id="349" w:name="_Toc134"/>
      <w:bookmarkEnd w:id="348"/>
      <w:r>
        <w:rPr>
          <w:rtl w:val="true"/>
        </w:rPr>
        <w:t>اشارة</w:t>
      </w:r>
      <w:bookmarkEnd w:id="349"/>
    </w:p>
    <w:p>
      <w:pPr>
        <w:pStyle w:val="BookText"/>
        <w:rPr/>
      </w:pPr>
      <w:r>
        <w:rPr>
          <w:rFonts w:ascii="IRNazanin" w:hAnsi="IRNazanin" w:eastAsia="IRNazanin"/>
          <w:color w:val="111111"/>
          <w:sz w:val="28"/>
          <w:sz w:val="28"/>
          <w:szCs w:val="28"/>
          <w:rtl w:val="true"/>
          <w:lang w:bidi="fa-IR"/>
        </w:rPr>
        <w:t>قتادة بن دعامة أبو الخطّاب السَدُوسی البصری، و قد کان تابعیاً من علماء عصره المبرّزین، وکان یتمتّع بذاکرة قویة، وله اطلاع واسع فی الشعر العربی الجاهلی، وفی أنساب العرب، وله معرفة باللغة الحدیثة</w:t>
      </w:r>
      <w:r>
        <w:rPr>
          <w:rFonts w:eastAsia="IRNazanin" w:cs="IRNazanin"/>
          <w:color w:val="111111"/>
          <w:sz w:val="28"/>
          <w:szCs w:val="28"/>
          <w:rtl w:val="true"/>
          <w:lang w:bidi="fa-IR"/>
        </w:rPr>
        <w:t xml:space="preserve">. </w:t>
      </w:r>
      <w:r>
        <w:rPr>
          <w:rStyle w:val="FootnoteAnchor"/>
          <w:rtl w:val="true"/>
        </w:rPr>
        <w:footnoteReference w:id="410"/>
      </w:r>
      <w:r>
        <w:rPr>
          <w:rFonts w:ascii="IRNazanin" w:hAnsi="IRNazanin" w:eastAsia="IRNazanin"/>
          <w:color w:val="111111"/>
          <w:sz w:val="28"/>
          <w:sz w:val="28"/>
          <w:szCs w:val="28"/>
          <w:rtl w:val="true"/>
          <w:lang w:bidi="fa-IR"/>
        </w:rPr>
        <w:t xml:space="preserve">وقیل أنّ وفاته کانت فی سنة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ه للهجرة</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و قد أثنی علیه بعضی من العلماء، فقد وصفه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ثقة ثبت وممدوح</w:t>
      </w:r>
      <w:r>
        <w:rPr>
          <w:rFonts w:eastAsia="IRNazanin" w:cs="IRNazanin"/>
          <w:color w:val="111111"/>
          <w:sz w:val="28"/>
          <w:szCs w:val="28"/>
          <w:rtl w:val="true"/>
          <w:lang w:bidi="fa-IR"/>
        </w:rPr>
        <w:t xml:space="preserve">. </w:t>
      </w:r>
      <w:r>
        <w:rPr>
          <w:rStyle w:val="FootnoteAnchor"/>
          <w:rtl w:val="true"/>
        </w:rPr>
        <w:footnoteReference w:id="412"/>
      </w:r>
      <w:r>
        <w:rPr>
          <w:rFonts w:ascii="IRNazanin" w:hAnsi="IRNazanin" w:eastAsia="IRNazanin"/>
          <w:color w:val="111111"/>
          <w:sz w:val="28"/>
          <w:sz w:val="28"/>
          <w:szCs w:val="28"/>
          <w:rtl w:val="true"/>
          <w:lang w:bidi="fa-IR"/>
        </w:rPr>
        <w:t>وعدّه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أمین، وحجّة فی الحدیث</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واعتبره المحدّث القمّی من کُبّار التابعین عند العامّة، وقیل هو من الأشخاص المعدودین الذین،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w:t>
      </w:r>
      <w:r>
        <w:rPr>
          <w:rFonts w:eastAsia="IRNazanin" w:cs="IRNazanin"/>
          <w:color w:val="111111"/>
          <w:sz w:val="28"/>
          <w:szCs w:val="28"/>
          <w:rtl w:val="true"/>
          <w:lang w:bidi="fa-IR"/>
        </w:rPr>
        <w:t xml:space="preserve">. </w:t>
      </w:r>
      <w:r>
        <w:rPr>
          <w:rStyle w:val="FootnoteAnchor"/>
          <w:rtl w:val="true"/>
        </w:rPr>
        <w:footnoteReference w:id="414"/>
      </w:r>
      <w:r>
        <w:rPr>
          <w:rFonts w:ascii="IRNazanin" w:hAnsi="IRNazanin" w:eastAsia="IRNazanin"/>
          <w:color w:val="111111"/>
          <w:sz w:val="28"/>
          <w:sz w:val="28"/>
          <w:szCs w:val="28"/>
          <w:rtl w:val="true"/>
          <w:lang w:bidi="fa-IR"/>
        </w:rPr>
        <w:t>و هذا بنفسه نوع من الذّم، مع کونه ذکر بعد ذلک بدافع المحبّة أنّها تخصّ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واعتبره جمع من أهل السنّة مع توثیقهم له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الروایات التی تتحدّث عن موقفه من أهل‌البیت علیهم السّلام، متفاوتة، فقد جاء فی بعض من الروایات فی الوقت الذی سمع من خالد بن عبد الله القری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هشام بن عبد الملک، علی البصرة و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یتهم الإمام علیاً بالکذب علیه السّلام، فانصرف عنه،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 وربّ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 وربّ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من المجلس</w:t>
      </w:r>
      <w:r>
        <w:rPr>
          <w:rFonts w:eastAsia="IRNazanin" w:cs="IRNazanin"/>
          <w:color w:val="111111"/>
          <w:sz w:val="28"/>
          <w:szCs w:val="28"/>
          <w:rtl w:val="true"/>
          <w:lang w:bidi="fa-IR"/>
        </w:rPr>
        <w:t xml:space="preserve">. </w:t>
      </w:r>
      <w:r>
        <w:rPr>
          <w:rStyle w:val="FootnoteAnchor"/>
          <w:rtl w:val="true"/>
        </w:rPr>
        <w:footnoteReference w:id="415"/>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اعتبر المرحوم المحدّث القمّی هذه الروایة دلیلاً علی ولاء قتادة للإمام أمیرالمؤمنین علیه السّلام، </w:t>
      </w:r>
      <w:r>
        <w:rPr>
          <w:rStyle w:val="FootnoteAnchor"/>
          <w:rtl w:val="true"/>
        </w:rPr>
        <w:footnoteReference w:id="416"/>
      </w:r>
      <w:r>
        <w:rPr>
          <w:rFonts w:ascii="IRNazanin" w:hAnsi="IRNazanin" w:eastAsia="IRNazanin"/>
          <w:color w:val="111111"/>
          <w:sz w:val="28"/>
          <w:sz w:val="28"/>
          <w:szCs w:val="28"/>
          <w:rtl w:val="true"/>
          <w:lang w:bidi="fa-IR"/>
        </w:rPr>
        <w:t>وفی البعض الآخر من الروایات، کحوار قتادة و الإمام الباقر علیه السّلام،</w:t>
      </w:r>
      <w:bookmarkStart w:id="350" w:name="pg5285_67269"/>
    </w:p>
    <w:p>
      <w:pPr>
        <w:pStyle w:val="BookText"/>
        <w:rPr/>
      </w:pPr>
      <w:bookmarkEnd w:id="350"/>
      <w:r>
        <w:rPr>
          <w:rFonts w:ascii="IRNazanin" w:hAnsi="IRNazanin" w:eastAsia="IRNazanin"/>
          <w:color w:val="111111"/>
          <w:sz w:val="28"/>
          <w:sz w:val="28"/>
          <w:szCs w:val="28"/>
          <w:rtl w:val="true"/>
          <w:lang w:bidi="fa-IR"/>
        </w:rPr>
        <w:t>والتی قال فیها الإمام علیه السّلام له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یا قتادة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 هذا التعبیر من الإمام علیه السّلام یعدّ نوعاً من الإهانة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ثقة أمین، وأنّه کان معتمداً فی الحدیث، و هو إلی حدٍّ ما یجنح إلی القَدَریة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وکذلک ابن خلّکان ینقل عن أبی عمرو بن 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یقُل قتادة بالقَدَر، فإنّ کلامه یکون حجّة</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ولکن لا ینبغی نسیان کونه شخصیة معروفة فی زمانه فی التفسیر، وکثیر من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أبا عمرو بن علاء، یذکره بإجلال،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عن أبی عمرو، سألته حول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کُنّا لَهُ مُقْرِنِینَ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یجبنی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مقرنین،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أبو عمر،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تقول؟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قتادة فیه الکفایة، لو لم یقل بالقَدَر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والحال أنّ 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عندما یجری الحدیث عن القدر فلا تتحدّثوا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لا أری له نظیراً فی 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ولا یعرف مَن هم شیوخه قتادة؟</w:t>
      </w:r>
    </w:p>
    <w:p>
      <w:pPr>
        <w:pStyle w:val="BookText"/>
        <w:rPr/>
      </w:pPr>
      <w:r>
        <w:rPr>
          <w:rFonts w:ascii="IRNazanin" w:hAnsi="IRNazanin" w:eastAsia="IRNazanin"/>
          <w:color w:val="111111"/>
          <w:sz w:val="28"/>
          <w:sz w:val="28"/>
          <w:szCs w:val="28"/>
          <w:rtl w:val="true"/>
          <w:lang w:bidi="fa-IR"/>
        </w:rPr>
        <w:t>ولا یوجد دلیل معتبر علی ذلک، غیر ما ذکره ابن حجر من أسماء الذین روی عنهم قتادة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الصحابة أنس بن مالک، وأبی سعید الخُدری، وأبی الطفیل، ومن التابعین سعید بن المسیب وعِکرمة؛ أمّا ابن مسعود فإنّه لم یذکر حتّی مع من روی عنهم</w:t>
      </w:r>
      <w:r>
        <w:rPr>
          <w:rFonts w:eastAsia="IRNazanin" w:cs="IRNazanin"/>
          <w:color w:val="111111"/>
          <w:sz w:val="28"/>
          <w:szCs w:val="28"/>
          <w:rtl w:val="true"/>
          <w:lang w:bidi="fa-IR"/>
        </w:rPr>
        <w:t xml:space="preserve">. </w:t>
      </w:r>
      <w:r>
        <w:rPr>
          <w:rStyle w:val="FootnoteAnchor"/>
          <w:rtl w:val="true"/>
        </w:rPr>
        <w:footnoteReference w:id="418"/>
      </w:r>
    </w:p>
    <w:p>
      <w:pPr>
        <w:pStyle w:val="Heading5"/>
        <w:numPr>
          <w:ilvl w:val="4"/>
          <w:numId w:val="1"/>
        </w:numPr>
        <w:rPr/>
      </w:pPr>
      <w:bookmarkStart w:id="351" w:name="__RefHeading___Toc634079_581953129"/>
      <w:bookmarkStart w:id="352" w:name="_Toc135"/>
      <w:bookmarkEnd w:id="351"/>
      <w:r>
        <w:rPr>
          <w:rtl w:val="true"/>
        </w:rPr>
        <w:t>نماذج من تفسیره</w:t>
      </w:r>
      <w:bookmarkEnd w:id="352"/>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المصداق</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ففی 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کلمته، من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الْمَسِیحُ عِیسَی ابْنُ مَرْیَمَ رَسُولُ اللّهِ</w:t>
      </w:r>
    </w:p>
    <w:p>
      <w:pPr>
        <w:pStyle w:val="BookText"/>
        <w:rPr/>
      </w:pPr>
      <w:r>
        <w:rPr>
          <w:rFonts w:ascii="Amiri" w:hAnsi="Amiri" w:eastAsia="Amiri" w:cs="Amiri"/>
          <w:color w:val="111111"/>
          <w:sz w:val="28"/>
          <w:sz w:val="28"/>
          <w:szCs w:val="28"/>
          <w:rtl w:val="true"/>
          <w:lang w:bidi="ar-SA"/>
        </w:rPr>
        <w:t>وَ کَلِمَتُهُ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19"/>
      </w:r>
      <w:r>
        <w:rPr>
          <w:rFonts w:ascii="IRNazanin" w:hAnsi="IRNazanin" w:eastAsia="IRNazanin"/>
          <w:color w:val="111111"/>
          <w:sz w:val="28"/>
          <w:sz w:val="28"/>
          <w:szCs w:val="28"/>
          <w:rtl w:val="true"/>
          <w:lang w:bidi="fa-IR"/>
        </w:rPr>
        <w:t>نُقل عن قتادة قوله حول المصطلح أنّ المقصود من کلمة الله، هو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المصطلح القرآنی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نُقل عن قتادة وعن بعض المفسّرین أنّ 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مُهَیْمِناً عَلَیْهِ</w:t>
      </w:r>
      <w:r>
        <w:rPr>
          <w:rFonts w:eastAsia="Amiri" w:cs="Amiri" w:ascii="Amiri" w:hAnsi="Amiri"/>
          <w:color w:val="111111"/>
          <w:sz w:val="28"/>
          <w:szCs w:val="28"/>
          <w:rtl w:val="true"/>
          <w:lang w:bidi="ar-SA"/>
        </w:rPr>
        <w:t xml:space="preserve">) </w:t>
      </w:r>
      <w:r>
        <w:rPr>
          <w:rStyle w:val="FootnoteAnchor"/>
          <w:rtl w:val="true"/>
        </w:rPr>
        <w:footnoteReference w:id="421"/>
      </w:r>
      <w:r>
        <w:rPr>
          <w:rFonts w:ascii="Amiri" w:hAnsi="Amiri" w:eastAsia="Amiri" w:cs="Amiri"/>
          <w:color w:val="111111"/>
          <w:sz w:val="28"/>
          <w:sz w:val="28"/>
          <w:szCs w:val="28"/>
          <w:rtl w:val="true"/>
          <w:lang w:bidi="ar-SA"/>
        </w:rPr>
        <w:t>تعنی أمیناً علیه وشاهداً بأنّه الحقّ</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الآیات وتوضیح للأحکام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ترتبط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یَجِدْ فَصِیامُ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23"/>
      </w:r>
      <w:r>
        <w:rPr>
          <w:rFonts w:ascii="IRNazanin" w:hAnsi="IRNazanin" w:eastAsia="IRNazanin"/>
          <w:color w:val="111111"/>
          <w:sz w:val="28"/>
          <w:sz w:val="28"/>
          <w:szCs w:val="28"/>
          <w:rtl w:val="true"/>
          <w:lang w:bidi="fa-IR"/>
        </w:rPr>
        <w:t>بکفّارة الیمین، والتی هی بالأصل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إطعام عشرة مساکین، أو کسوتهم، أو تحریر رقبة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حال عدم قدرة الشخص علی ذلک فإنّ الله سبحانه،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فَصِیامُ ثَلاثَةِ أَیّامٍ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نقل عن کثیر من المفسّرین و الفقهاء، ومن جملتهم قتادة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التتابع فی صوم هذه الأیام الثلاثة</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شأن النزول</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ذیل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اقْتَرَبَتِ السّاعَةُ وَ انْشَقَّ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25"/>
      </w:r>
      <w:r>
        <w:rPr>
          <w:rFonts w:ascii="Amiri" w:hAnsi="Amiri" w:eastAsia="Amiri" w:cs="Amiri"/>
          <w:color w:val="111111"/>
          <w:sz w:val="28"/>
          <w:sz w:val="28"/>
          <w:szCs w:val="28"/>
          <w:rtl w:val="true"/>
          <w:lang w:bidi="ar-SA"/>
        </w:rPr>
        <w:t>فقد نقل قتادة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أهل مکّة النبی صلّی الله علیه و آله فانشق القمر بمکّة مرّتین،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اقْتَرَبَتِ السّاعَةُ وَ انْشَقَّ الْقَمَرُ</w:t>
      </w:r>
      <w:r>
        <w:rPr>
          <w:rFonts w:eastAsia="Amiri" w:cs="Amiri" w:ascii="Amiri" w:hAnsi="Amiri"/>
          <w:color w:val="111111"/>
          <w:sz w:val="28"/>
          <w:szCs w:val="28"/>
          <w:rtl w:val="true"/>
          <w:lang w:bidi="ar-SA"/>
        </w:rPr>
        <w:t xml:space="preserve">) . </w:t>
      </w:r>
      <w:r>
        <w:rPr>
          <w:rStyle w:val="FootnoteAnchor"/>
          <w:rtl w:val="true"/>
        </w:rPr>
        <w:footnoteReference w:id="426"/>
      </w:r>
      <w:bookmarkStart w:id="353" w:name="pg5285_67274"/>
    </w:p>
    <w:p>
      <w:pPr>
        <w:pStyle w:val="BookText"/>
        <w:rPr/>
      </w:pPr>
      <w:bookmarkEnd w:id="353"/>
      <w:r>
        <w:rPr>
          <w:rFonts w:ascii="IRNazanin" w:hAnsi="IRNazanin" w:eastAsia="IRNazanin"/>
          <w:color w:val="111111"/>
          <w:sz w:val="28"/>
          <w:sz w:val="28"/>
          <w:szCs w:val="28"/>
          <w:rtl w:val="true"/>
          <w:lang w:bidi="fa-IR"/>
        </w:rPr>
        <w:t>وعن قتادة فی التفاسیر الشیعیة و السنّیة، ومن جملتها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البیان للطبرسی، و التبیان للشیخ الطوسی و تفسیر القرآن العظیم لابن کثیر، و الدر المنثور للسیوطی، و جامع البیان للطبری، جاءت روایات کثیرة تنقل لنا أنّ من المستحسن فی هذا المورد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النزول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التفحّص والاستقصاء جمعیاً</w:t>
      </w:r>
      <w:r>
        <w:rPr>
          <w:rFonts w:eastAsia="IRNazanin" w:cs="IRNazanin"/>
          <w:color w:val="111111"/>
          <w:sz w:val="28"/>
          <w:szCs w:val="28"/>
          <w:rtl w:val="true"/>
          <w:lang w:bidi="fa-IR"/>
        </w:rPr>
        <w:t>.</w:t>
      </w:r>
    </w:p>
    <w:p>
      <w:pPr>
        <w:pStyle w:val="Heading4"/>
        <w:numPr>
          <w:ilvl w:val="3"/>
          <w:numId w:val="1"/>
        </w:numPr>
        <w:rPr/>
      </w:pPr>
      <w:bookmarkStart w:id="354" w:name="__RefHeading___Toc634081_581953129"/>
      <w:bookmarkStart w:id="355" w:name="_Toc136"/>
      <w:bookmarkEnd w:id="354"/>
      <w:r>
        <w:rPr/>
        <w:t>2</w:t>
      </w:r>
      <w:r>
        <w:rPr>
          <w:rtl w:val="true"/>
        </w:rPr>
        <w:t xml:space="preserve">. </w:t>
      </w:r>
      <w:r>
        <w:rPr>
          <w:rtl w:val="true"/>
        </w:rPr>
        <w:t xml:space="preserve">جابر بن یزید الجُعفی </w:t>
      </w:r>
      <w:r>
        <w:rPr>
          <w:rtl w:val="true"/>
        </w:rPr>
        <w:t>(</w:t>
      </w:r>
      <w:r>
        <w:rPr>
          <w:rtl w:val="true"/>
        </w:rPr>
        <w:t>ت</w:t>
      </w:r>
      <w:r>
        <w:rPr/>
        <w:t>128</w:t>
      </w:r>
      <w:r>
        <w:rPr>
          <w:rtl w:val="true"/>
        </w:rPr>
        <w:t>ه</w:t>
      </w:r>
      <w:r>
        <w:rPr>
          <w:rtl w:val="true"/>
        </w:rPr>
        <w:t>)</w:t>
      </w:r>
      <w:bookmarkEnd w:id="355"/>
    </w:p>
    <w:p>
      <w:pPr>
        <w:pStyle w:val="Heading5"/>
        <w:numPr>
          <w:ilvl w:val="4"/>
          <w:numId w:val="1"/>
        </w:numPr>
        <w:rPr/>
      </w:pPr>
      <w:bookmarkStart w:id="356" w:name="__RefHeading___Toc634083_581953129"/>
      <w:bookmarkStart w:id="357" w:name="_Toc137"/>
      <w:bookmarkEnd w:id="356"/>
      <w:r>
        <w:rPr>
          <w:rtl w:val="true"/>
        </w:rPr>
        <w:t>اشارة</w:t>
      </w:r>
      <w:bookmarkEnd w:id="357"/>
    </w:p>
    <w:p>
      <w:pPr>
        <w:pStyle w:val="BookText"/>
        <w:rPr/>
      </w:pPr>
      <w:r>
        <w:rPr>
          <w:rFonts w:ascii="IRNazanin" w:hAnsi="IRNazanin" w:eastAsia="IRNazanin"/>
          <w:color w:val="111111"/>
          <w:sz w:val="28"/>
          <w:sz w:val="28"/>
          <w:szCs w:val="28"/>
          <w:rtl w:val="true"/>
          <w:lang w:bidi="fa-IR"/>
        </w:rPr>
        <w:t>هو جابر بن یزید بن الحارث الجعفی، أبوعبدالله،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زید الکوفی، و هو من مفسّری التابعین، وأصحاب وتلامذة الإمام السجّاد علیه السّلام، والإمام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نُقلت عنه روایات کثیرة فی مجال التفسیر و الأحکام، وصفات أهل‌البیت علیهم السّلام، وکلّها تُدلّل علی کونه إمامیاً، ولذلک فإنّ أهل السنّة لم یشکلوا علیه إلاّ بملاحظة واحدة فقط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شیعی رافضی</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یقول سفیان الثوری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جابراً صدوق فی الحدیث إلاّ أنّه شیعی رافضی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یر فی مجال الحدیث أنزه من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وکیع و هو من المفسّرین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شککتم فی شئ، فلا تشکّوا فی جابر ثقة</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و قد عدّة الشیخ الطوسی فی رجال الإمامین الباقر علیه السّلام، والإمام الصادق علیه السّلام</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وقال السید حسن الصدر بشأنه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یزید الجعفی إمام فی الحدیث و التفسیر، وأنّه تعلّم من الإمام الباقر علیه السّلام</w:t>
      </w:r>
      <w:r>
        <w:rPr>
          <w:rFonts w:eastAsia="IRNazanin" w:cs="IRNazanin"/>
          <w:color w:val="111111"/>
          <w:sz w:val="28"/>
          <w:szCs w:val="28"/>
          <w:rtl w:val="true"/>
          <w:lang w:bidi="fa-IR"/>
        </w:rPr>
        <w:t xml:space="preserve">. </w:t>
      </w:r>
      <w:r>
        <w:rPr>
          <w:rStyle w:val="FootnoteAnchor"/>
          <w:rtl w:val="true"/>
        </w:rPr>
        <w:footnoteReference w:id="430"/>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ویقول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یزید الجُعفی،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الجعفی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عربی أصیل، لقی أباجعفر و أباعبدالله علیها السّلام الإمام الباقر علیه السّلام و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فی سنة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وله کتب منها التفسیر، و قد ذکر سنده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 الشیخ المفید فی رسالته العددیة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لامطعن فیهم، ولاطریق لذم واحد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وعرّفه ابن شهر آشوب بأنّه من أصحاب الإمام الصادق علیه السّلام الخاصین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فإنّ الإمام الصادق علیه السّلام ترحّم علیه،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یصدق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الکشی بإسناده إلی المفضل بن عمر، 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الإمام علیه السّلام عن تفسیر جابر؟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لاتحدث به السفلة فیعذبونه</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إنّ هذه الروایة غیرها ممّا نقلت تدلّ علی أنّ جابراً من المفسّرین المعروفین فی زمانه، وأنّه مورد اعتماد الفریقین، بل وکان من خواصّ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فإنّ له کتاب تفسیر، وأن آراءه التفسیریة معتبرة، و قد صرّح الکثیر بوثاقته و التأکید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کتب المامقانی الرجالی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الروایات و الآراء التی تدور حول شخصیة جابر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 ما تقدّم یستفاد أنّه رجل یغلب علیه الوقار و الجلال، ونهایة الفضل، وأنَّ له مکانة خاصّة عند الإمامین الباقر و الصادق، بل و هو من أمناء سرّهم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أحاطاه باللطف و العنایة خاصّة، وأطلعاه علی أسرار ومناقب أهل‌البیت علیهم السّلام، و هذه الأمور لا تدلّ إلاّ علی عدالته، وأنّه لیس له نظیر فی الاعتماد عند هذین الإمامین علیهم السّلام، </w:t>
      </w:r>
      <w:r>
        <w:rPr>
          <w:rStyle w:val="FootnoteAnchor"/>
          <w:rtl w:val="true"/>
        </w:rPr>
        <w:footnoteReference w:id="432"/>
      </w:r>
      <w:r>
        <w:rPr>
          <w:rFonts w:ascii="IRNazanin" w:hAnsi="IRNazanin" w:eastAsia="IRNazanin"/>
          <w:color w:val="111111"/>
          <w:sz w:val="28"/>
          <w:sz w:val="28"/>
          <w:szCs w:val="28"/>
          <w:rtl w:val="true"/>
          <w:lang w:bidi="fa-IR"/>
        </w:rPr>
        <w:t>و قد اعتبره البعض نائباً للإمام الباقر علیه السّلام</w:t>
      </w:r>
      <w:r>
        <w:rPr>
          <w:rFonts w:eastAsia="IRNazanin" w:cs="IRNazanin"/>
          <w:color w:val="111111"/>
          <w:sz w:val="28"/>
          <w:szCs w:val="28"/>
          <w:rtl w:val="true"/>
          <w:lang w:bidi="fa-IR"/>
        </w:rPr>
        <w:t xml:space="preserve">. </w:t>
      </w:r>
      <w:r>
        <w:rPr>
          <w:rStyle w:val="FootnoteAnchor"/>
          <w:rtl w:val="true"/>
        </w:rPr>
        <w:footnoteReference w:id="433"/>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من جهة علمه، فقد جاء فی بعض الروایات أنّ الإمام الصادق علیه السّلام عرّف جابراً علی ملکوت السماوات و الأرض</w:t>
      </w:r>
      <w:r>
        <w:rPr>
          <w:rFonts w:eastAsia="IRNazanin" w:cs="IRNazanin"/>
          <w:color w:val="111111"/>
          <w:sz w:val="28"/>
          <w:szCs w:val="28"/>
          <w:rtl w:val="true"/>
          <w:lang w:bidi="fa-IR"/>
        </w:rPr>
        <w:t xml:space="preserve">. </w:t>
      </w:r>
      <w:r>
        <w:rPr>
          <w:rStyle w:val="FootnoteAnchor"/>
          <w:rtl w:val="true"/>
        </w:rPr>
        <w:footnoteReference w:id="434"/>
      </w:r>
      <w:bookmarkStart w:id="358" w:name="pg5285_67278"/>
    </w:p>
    <w:p>
      <w:pPr>
        <w:pStyle w:val="BookText"/>
        <w:rPr/>
      </w:pPr>
      <w:bookmarkEnd w:id="358"/>
      <w:r>
        <w:rPr>
          <w:rFonts w:ascii="IRNazanin" w:hAnsi="IRNazanin" w:eastAsia="IRNazanin"/>
          <w:color w:val="111111"/>
          <w:sz w:val="28"/>
          <w:sz w:val="28"/>
          <w:szCs w:val="28"/>
          <w:rtl w:val="true"/>
          <w:lang w:bidi="fa-IR"/>
        </w:rPr>
        <w:t>ونقل الکشّی عن جابر قوله أنّ الإمام الباقر علیه السّلام روی له سبعین ألف حدیثاً کلّها لم تُرَ ولأحد، ولا ینبغی التحدیث بها</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هذه الروایت کلّها تدلّل علی جلالة قدره وعظم شأنه، وتعدُّ هی الباعث علی اتّهامه بالغلوّ أو الرفض</w:t>
      </w:r>
      <w:r>
        <w:rPr>
          <w:rFonts w:eastAsia="IRNazanin" w:cs="IRNazanin"/>
          <w:color w:val="111111"/>
          <w:sz w:val="28"/>
          <w:szCs w:val="28"/>
          <w:rtl w:val="true"/>
          <w:lang w:bidi="fa-IR"/>
        </w:rPr>
        <w:t xml:space="preserve">. </w:t>
      </w:r>
      <w:r>
        <w:rPr>
          <w:rStyle w:val="FootnoteAnchor"/>
          <w:rtl w:val="true"/>
        </w:rPr>
        <w:footnoteReference w:id="436"/>
      </w:r>
    </w:p>
    <w:p>
      <w:pPr>
        <w:pStyle w:val="Heading5"/>
        <w:numPr>
          <w:ilvl w:val="4"/>
          <w:numId w:val="1"/>
        </w:numPr>
        <w:rPr/>
      </w:pPr>
      <w:bookmarkStart w:id="359" w:name="__RefHeading___Toc634085_581953129"/>
      <w:bookmarkStart w:id="360" w:name="_Toc138"/>
      <w:bookmarkEnd w:id="359"/>
      <w:r>
        <w:rPr>
          <w:rtl w:val="true"/>
        </w:rPr>
        <w:t>آراء جابر التفسیریة</w:t>
      </w:r>
      <w:bookmarkEnd w:id="360"/>
    </w:p>
    <w:p>
      <w:pPr>
        <w:pStyle w:val="Heading6"/>
        <w:numPr>
          <w:ilvl w:val="5"/>
          <w:numId w:val="1"/>
        </w:numPr>
        <w:rPr/>
      </w:pPr>
      <w:bookmarkStart w:id="361" w:name="__RefHeading___Toc634087_581953129"/>
      <w:bookmarkStart w:id="362" w:name="_Toc139"/>
      <w:bookmarkEnd w:id="361"/>
      <w:r>
        <w:rPr>
          <w:rtl w:val="true"/>
        </w:rPr>
        <w:t>اشارة</w:t>
      </w:r>
      <w:bookmarkEnd w:id="362"/>
    </w:p>
    <w:p>
      <w:pPr>
        <w:pStyle w:val="BookText"/>
        <w:rPr/>
      </w:pPr>
      <w:r>
        <w:rPr>
          <w:rFonts w:ascii="IRNazanin" w:hAnsi="IRNazanin" w:eastAsia="IRNazanin"/>
          <w:color w:val="111111"/>
          <w:sz w:val="28"/>
          <w:sz w:val="28"/>
          <w:szCs w:val="28"/>
          <w:rtl w:val="true"/>
          <w:lang w:bidi="fa-IR"/>
        </w:rPr>
        <w:t>لا یوجد الآن بین أیدینا کتاباً تفسیرّیاً یعود له، إلاّ أنّ هناک روایات کثیرة تنقل آراءه التفسیریة، والتی منها</w:t>
      </w:r>
      <w:r>
        <w:rPr>
          <w:rFonts w:eastAsia="IRNazanin" w:cs="IRNazanin"/>
          <w:color w:val="111111"/>
          <w:sz w:val="28"/>
          <w:szCs w:val="28"/>
          <w:rtl w:val="true"/>
          <w:lang w:bidi="fa-IR"/>
        </w:rPr>
        <w:t>:</w:t>
      </w:r>
    </w:p>
    <w:p>
      <w:pPr>
        <w:pStyle w:val="Heading6"/>
        <w:numPr>
          <w:ilvl w:val="5"/>
          <w:numId w:val="1"/>
        </w:numPr>
        <w:rPr/>
      </w:pPr>
      <w:bookmarkStart w:id="363" w:name="__RefHeading___Toc634089_581953129"/>
      <w:bookmarkStart w:id="364" w:name="_Toc140"/>
      <w:bookmarkEnd w:id="363"/>
      <w:r>
        <w:rPr>
          <w:rtl w:val="true"/>
        </w:rPr>
        <w:t>أ</w:t>
      </w:r>
      <w:r>
        <w:rPr>
          <w:rtl w:val="true"/>
        </w:rPr>
        <w:t xml:space="preserve">) </w:t>
      </w:r>
      <w:r>
        <w:rPr>
          <w:rtl w:val="true"/>
        </w:rPr>
        <w:t>بیان الناسخ و المنسوخ</w:t>
      </w:r>
      <w:bookmarkEnd w:id="364"/>
    </w:p>
    <w:p>
      <w:pPr>
        <w:pStyle w:val="BookText"/>
        <w:rPr/>
      </w:pPr>
      <w:r>
        <w:rPr>
          <w:rFonts w:ascii="Amiri" w:hAnsi="Amiri" w:eastAsia="Amiri" w:cs="Amiri"/>
          <w:color w:val="111111"/>
          <w:sz w:val="28"/>
          <w:sz w:val="28"/>
          <w:szCs w:val="28"/>
          <w:rtl w:val="true"/>
          <w:lang w:bidi="ar-SA"/>
        </w:rPr>
        <w:t>ففی روایة جابر عن الإمام الباقر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اللاّتِی یَأْتِینَ الْفاحِشَةَ مِنْ نِسائِکُمْ فَاسْتَشْهِدُوا عَلَیْهِنَّ أَرْبَعَةً مِنْکُمْ فَإِنْ شَهِدُوا فَأَمْسِکُوهُنَّ فِی الْبُیُوتِ حَتّی یَتَوَفّاهُنَّ الْمَوْتُ أَوْ یَجْعَلَ اللّهُ لَهُنَّ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37"/>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منسوخة، والسبیل هو الحدود</w:t>
      </w:r>
      <w:r>
        <w:rPr>
          <w:rFonts w:eastAsia="IRNazanin" w:cs="IRNazanin"/>
          <w:color w:val="111111"/>
          <w:sz w:val="28"/>
          <w:szCs w:val="28"/>
          <w:rtl w:val="true"/>
          <w:lang w:bidi="fa-IR"/>
        </w:rPr>
        <w:t xml:space="preserve">». </w:t>
      </w:r>
      <w:r>
        <w:rPr>
          <w:rStyle w:val="FootnoteAnchor"/>
          <w:rtl w:val="true"/>
        </w:rPr>
        <w:footnoteReference w:id="438"/>
      </w:r>
    </w:p>
    <w:p>
      <w:pPr>
        <w:pStyle w:val="Heading6"/>
        <w:numPr>
          <w:ilvl w:val="5"/>
          <w:numId w:val="1"/>
        </w:numPr>
        <w:rPr/>
      </w:pPr>
      <w:bookmarkStart w:id="365" w:name="__RefHeading___Toc634091_581953129"/>
      <w:bookmarkStart w:id="366" w:name="_Toc141"/>
      <w:bookmarkEnd w:id="365"/>
      <w:r>
        <w:rPr>
          <w:rtl w:val="true"/>
        </w:rPr>
        <w:t xml:space="preserve">ب </w:t>
      </w:r>
      <w:r>
        <w:rPr>
          <w:rtl w:val="true"/>
        </w:rPr>
        <w:t>(</w:t>
      </w:r>
      <w:r>
        <w:rPr>
          <w:rtl w:val="true"/>
        </w:rPr>
        <w:t>التفسیر الولائی</w:t>
      </w:r>
      <w:bookmarkEnd w:id="366"/>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روایة لجابر عن الإمام الباقر علیه السّلام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کُلَّما أَوْقَدُوا ناراً لِلْحَرْبِ أَطْفَأَهَا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39"/>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أراد جبّار من الجبابرة هَلَکة آل محمّد علیهم السّلام قَصَمَهُ اللهُ</w:t>
      </w:r>
      <w:r>
        <w:rPr>
          <w:rFonts w:eastAsia="Amiri" w:cs="Amiri" w:ascii="Amiri" w:hAnsi="Amiri"/>
          <w:color w:val="111111"/>
          <w:sz w:val="28"/>
          <w:szCs w:val="28"/>
          <w:rtl w:val="true"/>
          <w:lang w:bidi="ar-SA"/>
        </w:rPr>
        <w:t xml:space="preserve">». </w:t>
      </w:r>
      <w:r>
        <w:rPr>
          <w:rStyle w:val="FootnoteAnchor"/>
          <w:rtl w:val="true"/>
        </w:rPr>
        <w:footnoteReference w:id="440"/>
      </w:r>
      <w:bookmarkStart w:id="367" w:name="pg5285_67280"/>
    </w:p>
    <w:p>
      <w:pPr>
        <w:pStyle w:val="Heading6"/>
        <w:numPr>
          <w:ilvl w:val="5"/>
          <w:numId w:val="1"/>
        </w:numPr>
        <w:rPr/>
      </w:pPr>
      <w:bookmarkStart w:id="368" w:name="__RefHeading___Toc634093_581953129"/>
      <w:bookmarkStart w:id="369" w:name="_Toc142"/>
      <w:bookmarkEnd w:id="367"/>
      <w:bookmarkEnd w:id="368"/>
      <w:r>
        <w:rPr>
          <w:rtl w:val="true"/>
        </w:rPr>
        <w:t xml:space="preserve">ج </w:t>
      </w:r>
      <w:r>
        <w:rPr>
          <w:rtl w:val="true"/>
        </w:rPr>
        <w:t>(</w:t>
      </w:r>
      <w:r>
        <w:rPr>
          <w:rtl w:val="true"/>
        </w:rPr>
        <w:t>التفسیر العقائدی الکلامی</w:t>
      </w:r>
      <w:bookmarkEnd w:id="369"/>
    </w:p>
    <w:p>
      <w:pPr>
        <w:pStyle w:val="BookText"/>
        <w:rPr/>
      </w:pPr>
      <w:r>
        <w:rPr>
          <w:rFonts w:ascii="IRNazanin" w:hAnsi="IRNazanin" w:eastAsia="IRNazanin"/>
          <w:color w:val="111111"/>
          <w:sz w:val="28"/>
          <w:sz w:val="28"/>
          <w:szCs w:val="28"/>
          <w:rtl w:val="true"/>
          <w:lang w:bidi="fa-IR"/>
        </w:rPr>
        <w:t>وفی روایة عن الإمام الباقر علیه السّلام، أنّه قال لجابر حول بعض الأفکار الباطلة لأهل الشام، فیما یخصّ صفات الله جلّ جلاله، والتی استدلوا لها علی التشبیه و التجسیم 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جابر، إنّ الله تبارک وتعالی لا نظیر له، و لا شبیه تعالی عن صفة الواصفین، وجلّ عن أوهام المتوهمین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کمثله شیء و هو السمیع البصیر</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و قد وردت عنه روایات کثیرة فی تفسیر الآیات ینقلها عن الإمام الباقر علیه السّلام، ولمن أراد التعرّف علیها، فعلیه بتفسیر العیاشی، وتفسیر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الکوفی</w:t>
      </w:r>
      <w:r>
        <w:rPr>
          <w:rFonts w:eastAsia="IRNazanin" w:cs="IRNazanin"/>
          <w:color w:val="111111"/>
          <w:sz w:val="28"/>
          <w:szCs w:val="28"/>
          <w:rtl w:val="true"/>
          <w:lang w:bidi="fa-IR"/>
        </w:rPr>
        <w:t>.</w:t>
      </w:r>
    </w:p>
    <w:p>
      <w:pPr>
        <w:pStyle w:val="Heading4"/>
        <w:numPr>
          <w:ilvl w:val="3"/>
          <w:numId w:val="1"/>
        </w:numPr>
        <w:rPr/>
      </w:pPr>
      <w:bookmarkStart w:id="370" w:name="__RefHeading___Toc634095_581953129"/>
      <w:bookmarkStart w:id="371" w:name="_Toc143"/>
      <w:bookmarkEnd w:id="370"/>
      <w:r>
        <w:rPr/>
        <w:t>3</w:t>
      </w:r>
      <w:r>
        <w:rPr>
          <w:rtl w:val="true"/>
        </w:rPr>
        <w:t xml:space="preserve">. </w:t>
      </w:r>
      <w:r>
        <w:rPr>
          <w:rtl w:val="true"/>
        </w:rPr>
        <w:t>السدّی الکبیر</w:t>
      </w:r>
      <w:r>
        <w:rPr>
          <w:rtl w:val="true"/>
        </w:rPr>
        <w:t>(</w:t>
      </w:r>
      <w:r>
        <w:rPr/>
        <w:t>127</w:t>
      </w:r>
      <w:r>
        <w:rPr>
          <w:rtl w:val="true"/>
        </w:rPr>
        <w:t xml:space="preserve"> </w:t>
      </w:r>
      <w:r>
        <w:rPr>
          <w:rtl w:val="true"/>
        </w:rPr>
        <w:t>ه</w:t>
      </w:r>
      <w:r>
        <w:rPr>
          <w:rtl w:val="true"/>
        </w:rPr>
        <w:t>)</w:t>
      </w:r>
      <w:bookmarkEnd w:id="371"/>
    </w:p>
    <w:p>
      <w:pPr>
        <w:pStyle w:val="BookText"/>
        <w:rPr/>
      </w:pPr>
      <w:r>
        <w:rPr>
          <w:rFonts w:ascii="IRNazanin" w:hAnsi="IRNazanin" w:eastAsia="IRNazanin"/>
          <w:color w:val="111111"/>
          <w:sz w:val="28"/>
          <w:sz w:val="28"/>
          <w:szCs w:val="28"/>
          <w:rtl w:val="true"/>
          <w:lang w:bidi="fa-IR"/>
        </w:rPr>
        <w:t>هو إسماعیل بن عبد الرحمان الکوفی السدّی من مفسّری التابعین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نقلت التفاسیر الشیعیة و السنّیة عنه روایات کثیرة، ویعدّ من جملة التابعین الذین لهم روایات تفسیریة کثیرة، بل هو أکثرهم نقلاً وأفرهم تفسیراً بالنقل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وتُقدّر روایاته فی تفسیر ابن مسعود بأکثر من ربع روایات الکتاب</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و قد عدّه الشیخ الطوسی من أصحاب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 الباقر علیه السّلام، الصادق علیه السّلام، و قد وصنه بالمفسّر الکوفی و قد کتب المحدّث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السدی مفسرٌ معروف، و قد ذکرت آراؤه التفسیریة فی کتب المفسّرین،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مجاهد وقتاده، والکلبی، والشعبی، و 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اعتبره ابن حجر صدوقاً،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الشیعة</w:t>
      </w:r>
      <w:r>
        <w:rPr>
          <w:rFonts w:eastAsia="IRNazanin" w:cs="IRNazanin"/>
          <w:color w:val="111111"/>
          <w:sz w:val="28"/>
          <w:szCs w:val="28"/>
          <w:rtl w:val="true"/>
          <w:lang w:bidi="fa-IR"/>
        </w:rPr>
        <w:t xml:space="preserve">. </w:t>
      </w:r>
      <w:r>
        <w:rPr>
          <w:rStyle w:val="FootnoteAnchor"/>
          <w:rtl w:val="true"/>
        </w:rPr>
        <w:footnoteReference w:id="443"/>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ویقول ابن عطیة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عامر الشعبی یطعن فی شخص السدّی، وکذا فی أبی صالح؛ وذلک لأنّ الشعبی یعتقد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مفسّران یتسامحان ویقصران فی النظر و التأمّل فی الحدیث</w:t>
      </w:r>
      <w:r>
        <w:rPr>
          <w:rFonts w:eastAsia="IRNazanin" w:cs="IRNazanin"/>
          <w:color w:val="111111"/>
          <w:sz w:val="28"/>
          <w:szCs w:val="28"/>
          <w:rtl w:val="true"/>
          <w:lang w:bidi="fa-IR"/>
        </w:rPr>
        <w:t xml:space="preserve">. </w:t>
      </w:r>
      <w:r>
        <w:rPr>
          <w:rStyle w:val="FootnoteAnchor"/>
          <w:rtl w:val="true"/>
        </w:rPr>
        <w:footnoteReference w:id="444"/>
      </w:r>
      <w:bookmarkStart w:id="372" w:name="pg5285_67282"/>
    </w:p>
    <w:p>
      <w:pPr>
        <w:pStyle w:val="BookText"/>
        <w:rPr/>
      </w:pPr>
      <w:bookmarkEnd w:id="372"/>
      <w:r>
        <w:rPr>
          <w:rFonts w:ascii="IRNazanin" w:hAnsi="IRNazanin" w:eastAsia="IRNazanin"/>
          <w:color w:val="111111"/>
          <w:sz w:val="28"/>
          <w:sz w:val="28"/>
          <w:szCs w:val="28"/>
          <w:rtl w:val="true"/>
          <w:lang w:bidi="fa-IR"/>
        </w:rPr>
        <w:t>و قد بین السیوطی رأیه فی السُدّی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الثوری، وشعبة بن الحجاج نقلا حدیثاً عن السدّی، غیر أنّ تفسیر السدّی الواسع یرویه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أسباط بن نصر، والذی لم یتفق علی توثیقه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اللازم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تفسیر السدّی یعدّ أفضل التفاسیر</w:t>
      </w:r>
      <w:r>
        <w:rPr>
          <w:rFonts w:eastAsia="IRNazanin" w:cs="IRNazanin"/>
          <w:color w:val="111111"/>
          <w:sz w:val="28"/>
          <w:szCs w:val="28"/>
          <w:rtl w:val="true"/>
          <w:lang w:bidi="fa-IR"/>
        </w:rPr>
        <w:t xml:space="preserve">. </w:t>
      </w:r>
      <w:r>
        <w:rPr>
          <w:rStyle w:val="FootnoteAnchor"/>
          <w:rtl w:val="true"/>
        </w:rPr>
        <w:footnoteReference w:id="445"/>
      </w:r>
    </w:p>
    <w:p>
      <w:pPr>
        <w:pStyle w:val="Heading4"/>
        <w:numPr>
          <w:ilvl w:val="3"/>
          <w:numId w:val="1"/>
        </w:numPr>
        <w:rPr/>
      </w:pPr>
      <w:bookmarkStart w:id="373" w:name="__RefHeading___Toc634097_581953129"/>
      <w:bookmarkStart w:id="374" w:name="_Toc144"/>
      <w:bookmarkEnd w:id="373"/>
      <w:r>
        <w:rPr/>
        <w:t>4</w:t>
      </w:r>
      <w:r>
        <w:rPr>
          <w:rtl w:val="true"/>
        </w:rPr>
        <w:t xml:space="preserve">. </w:t>
      </w:r>
      <w:r>
        <w:rPr>
          <w:rtl w:val="true"/>
        </w:rPr>
        <w:t>مسروق بن الأجدع الکوفی</w:t>
      </w:r>
      <w:r>
        <w:rPr>
          <w:rtl w:val="true"/>
        </w:rPr>
        <w:t>(</w:t>
      </w:r>
      <w:r>
        <w:rPr/>
        <w:t>63</w:t>
      </w:r>
      <w:r>
        <w:rPr>
          <w:rtl w:val="true"/>
        </w:rPr>
        <w:t xml:space="preserve"> </w:t>
      </w:r>
      <w:r>
        <w:rPr>
          <w:rtl w:val="true"/>
        </w:rPr>
        <w:t>ه</w:t>
      </w:r>
      <w:r>
        <w:rPr>
          <w:rtl w:val="true"/>
        </w:rPr>
        <w:t>)</w:t>
      </w:r>
      <w:bookmarkEnd w:id="374"/>
    </w:p>
    <w:p>
      <w:pPr>
        <w:pStyle w:val="BookText"/>
        <w:rPr/>
      </w:pPr>
      <w:r>
        <w:rPr>
          <w:rFonts w:ascii="IRNazanin" w:hAnsi="IRNazanin" w:eastAsia="IRNazanin"/>
          <w:color w:val="111111"/>
          <w:sz w:val="28"/>
          <w:sz w:val="28"/>
          <w:szCs w:val="28"/>
          <w:rtl w:val="true"/>
          <w:lang w:bidi="fa-IR"/>
        </w:rPr>
        <w:t>هو مسروق بن أجدع من سکّان الیمن، و قد جاء أیام خلافة أبی‌بکر إلی المدینة، ثمّ سکن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موضع ثقة أهل السنة، ولکنّ علماء رجال الشیعة فی الأکثر یتّهمونه، وبعضهم یعتبره من مخالفی أمیر المؤمنین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الشعبی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أطَلَب للعلم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کان مسروق أعلم بالفتوی من شریح، وکان شریح أعلم بالقضاء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 علیّ بن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أقدّم علی مسروق من أصحاب عبدالله بن مسعود أحداً، وکان من أصحابه الذین یعلّمون الناس السنّة، کان مقرئاً و مفتیاً معاً</w:t>
      </w:r>
      <w:r>
        <w:rPr>
          <w:rFonts w:eastAsia="IRNazanin" w:cs="IRNazanin"/>
          <w:color w:val="111111"/>
          <w:sz w:val="28"/>
          <w:szCs w:val="28"/>
          <w:rtl w:val="true"/>
          <w:lang w:bidi="fa-IR"/>
        </w:rPr>
        <w:t xml:space="preserve">. </w:t>
      </w:r>
      <w:r>
        <w:rPr>
          <w:rStyle w:val="FootnoteAnchor"/>
          <w:rtl w:val="true"/>
        </w:rPr>
        <w:footnoteReference w:id="446"/>
      </w:r>
      <w:r>
        <w:rPr>
          <w:rFonts w:ascii="IRNazanin" w:hAnsi="IRNazanin" w:eastAsia="IRNazanin"/>
          <w:color w:val="111111"/>
          <w:sz w:val="28"/>
          <w:sz w:val="28"/>
          <w:szCs w:val="28"/>
          <w:rtl w:val="true"/>
          <w:lang w:bidi="fa-IR"/>
        </w:rPr>
        <w:t>و قد نقل عن مسروق 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تلقّیتُ الکثیر من المعارف التفسیریة عن ابن مسعود، و أنّ ابن مسعود طبقاً لعادته کان یقرئنا القرآن، ویجلس معنا للبحث فی تفسیر السورة طول ساعات الیوم</w:t>
      </w:r>
      <w:r>
        <w:rPr>
          <w:rFonts w:eastAsia="IRNazanin" w:cs="IRNazanin"/>
          <w:color w:val="111111"/>
          <w:sz w:val="28"/>
          <w:szCs w:val="28"/>
          <w:rtl w:val="true"/>
          <w:lang w:bidi="fa-IR"/>
        </w:rPr>
        <w:t xml:space="preserve">.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و قد نقل عن مسروق روایات کثیرة فی التفاسیر،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 و جامع البیان للطبری، والدرّ المنثور، و تفسیر ابن کثیر، وهکذا یمکن العثور علیها فی الصحاح الستّة</w:t>
      </w:r>
      <w:r>
        <w:rPr>
          <w:rFonts w:eastAsia="IRNazanin" w:cs="IRNazanin"/>
          <w:color w:val="111111"/>
          <w:sz w:val="28"/>
          <w:szCs w:val="28"/>
          <w:rtl w:val="true"/>
          <w:lang w:bidi="fa-IR"/>
        </w:rPr>
        <w:t>.</w:t>
      </w:r>
    </w:p>
    <w:p>
      <w:pPr>
        <w:pStyle w:val="Heading4"/>
        <w:numPr>
          <w:ilvl w:val="3"/>
          <w:numId w:val="1"/>
        </w:numPr>
        <w:rPr/>
      </w:pPr>
      <w:bookmarkStart w:id="375" w:name="__RefHeading___Toc634099_581953129"/>
      <w:bookmarkStart w:id="376" w:name="_Toc145"/>
      <w:bookmarkEnd w:id="375"/>
      <w:r>
        <w:rPr/>
        <w:t>5</w:t>
      </w:r>
      <w:r>
        <w:rPr>
          <w:rtl w:val="true"/>
        </w:rPr>
        <w:t xml:space="preserve">. </w:t>
      </w:r>
      <w:r>
        <w:rPr>
          <w:rtl w:val="true"/>
        </w:rPr>
        <w:t>علقمة بن قیس</w:t>
      </w:r>
      <w:r>
        <w:rPr>
          <w:rtl w:val="true"/>
        </w:rPr>
        <w:t>(</w:t>
      </w:r>
      <w:r>
        <w:rPr/>
        <w:t>61</w:t>
      </w:r>
      <w:r>
        <w:rPr>
          <w:rtl w:val="true"/>
        </w:rPr>
        <w:t>ه</w:t>
      </w:r>
      <w:r>
        <w:rPr>
          <w:rtl w:val="true"/>
        </w:rPr>
        <w:t>)</w:t>
      </w:r>
      <w:bookmarkEnd w:id="376"/>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علقمة بن قیس بن عبد الله النخعی الکوفی، وُلِدَ فی حیاة رسول الله صلّی الله علیه و آله، و هو من أشهر الرواة عن عبد الله بن مسعود وأکثرهم اضطلاعاً بمدرسته وکان حضبیصاً به</w:t>
      </w:r>
      <w:r>
        <w:rPr>
          <w:rFonts w:eastAsia="IRNazanin" w:cs="IRNazanin"/>
          <w:color w:val="111111"/>
          <w:sz w:val="28"/>
          <w:szCs w:val="28"/>
          <w:rtl w:val="true"/>
          <w:lang w:bidi="fa-IR"/>
        </w:rPr>
        <w:t>.</w:t>
      </w:r>
      <w:bookmarkStart w:id="377" w:name="pg5285_67285"/>
    </w:p>
    <w:p>
      <w:pPr>
        <w:pStyle w:val="BookText"/>
        <w:rPr/>
      </w:pPr>
      <w:bookmarkEnd w:id="377"/>
      <w:r>
        <w:rPr>
          <w:rFonts w:ascii="IRNazanin" w:hAnsi="IRNazanin" w:eastAsia="IRNazanin"/>
          <w:color w:val="111111"/>
          <w:sz w:val="28"/>
          <w:sz w:val="28"/>
          <w:szCs w:val="28"/>
          <w:rtl w:val="true"/>
          <w:lang w:bidi="fa-IR"/>
        </w:rPr>
        <w:t>و قد امتدحه عبد الله بن مسعود، وأنّه من جملة الستّة أشخاص ذوی الرأی الذین علّموا الناس سنّة الرسول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 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أقرأ شیئاً، و لا أعلمه إلاّ و علقمة یقرؤه و یعلّمه</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و إنّ أهل السنّة یوثّقونه، وکذلک الشیعة فهم یعرّفونه ویمتدحونه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فالشیخ الطوسی فی کتاب الرجال یعدّه من أصحاب أمیر المؤمنین علیه السّلام،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الأشخاص الذین دخلوا المدائن بمعیة علی علیه السّلام، ولقد اشترک معه فی حرب النهروان، و قد صبغ سیفه بدم الأعداء کما شهد حرب صِفّین أیضاً مع علی علیه السّلام</w:t>
      </w:r>
      <w:r>
        <w:rPr>
          <w:rFonts w:eastAsia="IRNazanin" w:cs="IRNazanin"/>
          <w:color w:val="111111"/>
          <w:sz w:val="28"/>
          <w:szCs w:val="28"/>
          <w:rtl w:val="true"/>
          <w:lang w:bidi="fa-IR"/>
        </w:rPr>
        <w:t xml:space="preserve">. </w:t>
      </w:r>
      <w:r>
        <w:rPr>
          <w:rStyle w:val="FootnoteAnchor"/>
          <w:rtl w:val="true"/>
        </w:rPr>
        <w:footnoteReference w:id="449"/>
      </w:r>
    </w:p>
    <w:p>
      <w:pPr>
        <w:pStyle w:val="Heading4"/>
        <w:numPr>
          <w:ilvl w:val="3"/>
          <w:numId w:val="1"/>
        </w:numPr>
        <w:rPr/>
      </w:pPr>
      <w:bookmarkStart w:id="378" w:name="__RefHeading___Toc634101_581953129"/>
      <w:bookmarkStart w:id="379" w:name="_Toc146"/>
      <w:bookmarkEnd w:id="378"/>
      <w:r>
        <w:rPr/>
        <w:t>6</w:t>
      </w:r>
      <w:r>
        <w:rPr>
          <w:rtl w:val="true"/>
        </w:rPr>
        <w:t xml:space="preserve">. </w:t>
      </w:r>
      <w:r>
        <w:rPr>
          <w:rtl w:val="true"/>
        </w:rPr>
        <w:t>مُرّة الهمدانی الکوفی</w:t>
      </w:r>
      <w:r>
        <w:rPr>
          <w:rtl w:val="true"/>
        </w:rPr>
        <w:t>(</w:t>
      </w:r>
      <w:r>
        <w:rPr/>
        <w:t>76</w:t>
      </w:r>
      <w:r>
        <w:rPr>
          <w:rtl w:val="true"/>
        </w:rPr>
        <w:t xml:space="preserve"> </w:t>
      </w:r>
      <w:r>
        <w:rPr>
          <w:rtl w:val="true"/>
        </w:rPr>
        <w:t>ه</w:t>
      </w:r>
      <w:r>
        <w:rPr>
          <w:rtl w:val="true"/>
        </w:rPr>
        <w:t>)</w:t>
      </w:r>
      <w:bookmarkEnd w:id="379"/>
    </w:p>
    <w:p>
      <w:pPr>
        <w:pStyle w:val="BookText"/>
        <w:rPr/>
      </w:pPr>
      <w:r>
        <w:rPr>
          <w:rFonts w:ascii="IRNazanin" w:hAnsi="IRNazanin" w:eastAsia="IRNazanin"/>
          <w:color w:val="111111"/>
          <w:sz w:val="28"/>
          <w:sz w:val="28"/>
          <w:szCs w:val="28"/>
          <w:rtl w:val="true"/>
          <w:lang w:bidi="fa-IR"/>
        </w:rPr>
        <w:t>أبو إسماعیل مُرّة بن شراحیل الهمدانی الکوفی، من العُبّاد البارزین، و قد اشتهر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الطیب ومرّة الخیر، لقّب بذلک؛ لأجل تعبدّه وأهلیته لفعل الخیر وتقواه وزهده، وکان کثیر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ووِفقا لِما نقل البعض أنّه کان یصلّی فی الیوم و اللیلة ستمائة رکعة</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أمّا لکونه من أهل الکوفة، و أنّ أهل الکوفة هم من شیعة علی علیه السّلام، فقد کان معرضاً للطعین و التهم فقد نُقل أنه یکِنُّ لعلی علیه السّلام حقداً وعداوة</w:t>
      </w:r>
      <w:r>
        <w:rPr>
          <w:rFonts w:eastAsia="IRNazanin" w:cs="IRNazanin"/>
          <w:color w:val="111111"/>
          <w:sz w:val="28"/>
          <w:szCs w:val="28"/>
          <w:rtl w:val="true"/>
          <w:lang w:bidi="fa-IR"/>
        </w:rPr>
        <w:t xml:space="preserve">. </w:t>
      </w:r>
      <w:r>
        <w:rPr>
          <w:rStyle w:val="FootnoteAnchor"/>
          <w:rtl w:val="true"/>
        </w:rPr>
        <w:footnoteReference w:id="451"/>
      </w:r>
    </w:p>
    <w:p>
      <w:pPr>
        <w:pStyle w:val="Heading4"/>
        <w:numPr>
          <w:ilvl w:val="3"/>
          <w:numId w:val="1"/>
        </w:numPr>
        <w:rPr/>
      </w:pPr>
      <w:bookmarkStart w:id="380" w:name="__RefHeading___Toc634103_581953129"/>
      <w:bookmarkStart w:id="381" w:name="_Toc147"/>
      <w:bookmarkEnd w:id="380"/>
      <w:r>
        <w:rPr/>
        <w:t>7</w:t>
      </w:r>
      <w:r>
        <w:rPr>
          <w:rtl w:val="true"/>
        </w:rPr>
        <w:t xml:space="preserve">. </w:t>
      </w:r>
      <w:r>
        <w:rPr>
          <w:rtl w:val="true"/>
        </w:rPr>
        <w:t>عامر الشعبی</w:t>
      </w:r>
      <w:r>
        <w:rPr>
          <w:rtl w:val="true"/>
        </w:rPr>
        <w:t>(</w:t>
      </w:r>
      <w:r>
        <w:rPr/>
        <w:t>104</w:t>
      </w:r>
      <w:r>
        <w:rPr>
          <w:rtl w:val="true"/>
        </w:rPr>
        <w:t xml:space="preserve"> </w:t>
      </w:r>
      <w:r>
        <w:rPr>
          <w:rtl w:val="true"/>
        </w:rPr>
        <w:t>ه</w:t>
      </w:r>
      <w:r>
        <w:rPr>
          <w:rtl w:val="true"/>
        </w:rPr>
        <w:t>)</w:t>
      </w:r>
      <w:bookmarkEnd w:id="381"/>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عَمرو، عامر بن شراحبیل الحمیری الکوفی من الهَمّدانیین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نقل روایات عن کثیر من الصحابة، ومن جملتهم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علی علیه السّلام وابن عبّاس، وابن مسعود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یقال إنّ الشعبی أدرک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خمسمائة من الصحابة، وکان فقیهاً، عابداً، قوی الحافظة</w:t>
      </w:r>
      <w:bookmarkStart w:id="382" w:name="pg5285_67287"/>
    </w:p>
    <w:p>
      <w:pPr>
        <w:pStyle w:val="BookText"/>
        <w:rPr/>
      </w:pPr>
      <w:bookmarkEnd w:id="382"/>
      <w:r>
        <w:rPr>
          <w:rFonts w:ascii="IRNazanin" w:hAnsi="IRNazanin" w:eastAsia="IRNazanin"/>
          <w:color w:val="111111"/>
          <w:sz w:val="28"/>
          <w:sz w:val="28"/>
          <w:szCs w:val="28"/>
          <w:rtl w:val="true"/>
          <w:lang w:bidi="fa-IR"/>
        </w:rPr>
        <w:t xml:space="preserve">وکان متخصّصاً فی التفسیر و الحدیث، والأدب و الشعر، </w:t>
      </w:r>
      <w:r>
        <w:rPr>
          <w:rStyle w:val="FootnoteAnchor"/>
          <w:rtl w:val="true"/>
        </w:rPr>
        <w:footnoteReference w:id="452"/>
      </w:r>
      <w:r>
        <w:rPr>
          <w:rFonts w:ascii="IRNazanin" w:hAnsi="IRNazanin" w:eastAsia="IRNazanin"/>
          <w:color w:val="111111"/>
          <w:sz w:val="28"/>
          <w:sz w:val="28"/>
          <w:szCs w:val="28"/>
          <w:rtl w:val="true"/>
          <w:lang w:bidi="fa-IR"/>
        </w:rPr>
        <w:t>غیر أنّه مذموم ومطعون فی شخصیته عند علماء رجال الشیعة</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یقول الشیخ 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یکن حظ الشعبی من التهم بأحسن من سابقیة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الهمدانی و الأسود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کسائر الکوفیین، کانوا معرض التهم</w:t>
      </w:r>
      <w:r>
        <w:rPr>
          <w:rFonts w:eastAsia="IRNazanin" w:cs="IRNazanin"/>
          <w:color w:val="111111"/>
          <w:sz w:val="28"/>
          <w:szCs w:val="28"/>
          <w:rtl w:val="true"/>
          <w:lang w:bidi="fa-IR"/>
        </w:rPr>
        <w:t xml:space="preserve">. </w:t>
      </w:r>
      <w:r>
        <w:rPr>
          <w:rStyle w:val="FootnoteAnchor"/>
          <w:rtl w:val="true"/>
        </w:rPr>
        <w:footnoteReference w:id="454"/>
      </w:r>
    </w:p>
    <w:p>
      <w:pPr>
        <w:pStyle w:val="Heading4"/>
        <w:numPr>
          <w:ilvl w:val="3"/>
          <w:numId w:val="1"/>
        </w:numPr>
        <w:rPr/>
      </w:pPr>
      <w:bookmarkStart w:id="383" w:name="__RefHeading___Toc634105_581953129"/>
      <w:bookmarkStart w:id="384" w:name="_Toc148"/>
      <w:bookmarkEnd w:id="383"/>
      <w:r>
        <w:rPr/>
        <w:t>8</w:t>
      </w:r>
      <w:r>
        <w:rPr>
          <w:rtl w:val="true"/>
        </w:rPr>
        <w:t xml:space="preserve">. </w:t>
      </w:r>
      <w:r>
        <w:rPr>
          <w:rtl w:val="true"/>
        </w:rPr>
        <w:t>الحسن البصری</w:t>
      </w:r>
      <w:r>
        <w:rPr>
          <w:rtl w:val="true"/>
        </w:rPr>
        <w:t>(</w:t>
      </w:r>
      <w:r>
        <w:rPr/>
        <w:t>110</w:t>
      </w:r>
      <w:r>
        <w:rPr>
          <w:rtl w:val="true"/>
        </w:rPr>
        <w:t xml:space="preserve"> </w:t>
      </w:r>
      <w:r>
        <w:rPr>
          <w:rtl w:val="true"/>
        </w:rPr>
        <w:t>ه</w:t>
      </w:r>
      <w:r>
        <w:rPr>
          <w:rtl w:val="true"/>
        </w:rPr>
        <w:t>)</w:t>
      </w:r>
      <w:bookmarkEnd w:id="384"/>
    </w:p>
    <w:p>
      <w:pPr>
        <w:pStyle w:val="BookText"/>
        <w:rPr/>
      </w:pPr>
      <w:r>
        <w:rPr>
          <w:rFonts w:ascii="IRNazanin" w:hAnsi="IRNazanin" w:eastAsia="IRNazanin"/>
          <w:color w:val="111111"/>
          <w:sz w:val="28"/>
          <w:sz w:val="28"/>
          <w:szCs w:val="28"/>
          <w:rtl w:val="true"/>
          <w:lang w:bidi="fa-IR"/>
        </w:rPr>
        <w:t xml:space="preserve">أبو سعید، الحسن بن أبی الحسن، یسار البصری، وُلِدَ فی المدینة فی سنة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وکان زاهداً تقیاً وذا فصاحة وبلاغة، ویتمتّع بحسن المقال و الموعظة، و قد روی عن کثیر من الصحابة و التابعین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الحسنٌ رباع الفصاحة، بلیغ المواعظ، کثیر العلم، و جمیع کلامه فی المواعظ و ذم الدنیا، أو جُلُّهُ مأخوذ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لفظاً و معنی أو معنی دون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کلام أمیر المؤمنین علی بن أبی طالب علیه السّلام، فهو القدوة و الغایة أی علی علیه السّلام، فنقل عنه حکماً ومواعظ جلیلة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الحسن البصری إذا أراد أنّ یحدّث فی زمن بنی أمیة عن أمیر المؤمنین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زینب</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و قد نُقلتْ عنه روایات تفسیریة کثیرة، وهی موجودة فی مصادر الشیعة و السنة، وکان له کتاب فی التفسیر، وآراء کثیرة فی علم الکلام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یؤاخذ علیه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بالقدر؛ ولذا عُدّ رئیساً 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القدریة، ولأجل هذه</w:t>
      </w:r>
      <w:bookmarkStart w:id="385" w:name="pg5285_67289"/>
    </w:p>
    <w:p>
      <w:pPr>
        <w:pStyle w:val="BookText"/>
        <w:rPr/>
      </w:pPr>
      <w:bookmarkEnd w:id="385"/>
      <w:r>
        <w:rPr>
          <w:rFonts w:ascii="Amiri" w:hAnsi="Amiri" w:eastAsia="Amiri" w:cs="Amiri"/>
          <w:color w:val="111111"/>
          <w:sz w:val="28"/>
          <w:sz w:val="28"/>
          <w:szCs w:val="28"/>
          <w:rtl w:val="true"/>
          <w:lang w:bidi="ar-SA"/>
        </w:rPr>
        <w:t>الخصوصّیة ضعّفهُ بعض علماء الشیعة</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ومن جهة أخری مخالفته واصل بن عطاء</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وعمرو بن عُبید</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لأجل رأیه الخاص بالقدر ومسائل کلامیة أخری، و هذان الشخصان بعد اختلافهما معه اعتزلا حلقة درسه التی کانا یحضران فیها مدّةً من الزمن، و قد أسّسا مدرسة الاعتزال</w:t>
      </w:r>
      <w:r>
        <w:rPr>
          <w:rFonts w:eastAsia="IRNazanin" w:cs="IRNazanin"/>
          <w:color w:val="111111"/>
          <w:sz w:val="28"/>
          <w:szCs w:val="28"/>
          <w:rtl w:val="true"/>
          <w:lang w:bidi="fa-IR"/>
        </w:rPr>
        <w:t xml:space="preserve">.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وعموماً فالحسن البصری مختلف فیه، إلّا أن الأحسن حسنه وتقواه وتقیه</w:t>
      </w:r>
      <w:r>
        <w:rPr>
          <w:rFonts w:eastAsia="IRNazanin" w:cs="IRNazanin"/>
          <w:color w:val="111111"/>
          <w:sz w:val="28"/>
          <w:szCs w:val="28"/>
          <w:rtl w:val="true"/>
          <w:lang w:bidi="fa-IR"/>
        </w:rPr>
        <w:t xml:space="preserve">. </w:t>
      </w:r>
      <w:r>
        <w:rPr>
          <w:rStyle w:val="FootnoteAnchor"/>
          <w:rtl w:val="true"/>
        </w:rPr>
        <w:footnoteReference w:id="458"/>
      </w:r>
    </w:p>
    <w:p>
      <w:pPr>
        <w:pStyle w:val="Heading4"/>
        <w:numPr>
          <w:ilvl w:val="3"/>
          <w:numId w:val="1"/>
        </w:numPr>
        <w:rPr/>
      </w:pPr>
      <w:bookmarkStart w:id="386" w:name="__RefHeading___Toc634107_581953129"/>
      <w:bookmarkStart w:id="387" w:name="_Toc149"/>
      <w:bookmarkEnd w:id="386"/>
      <w:r>
        <w:rPr/>
        <w:t>9</w:t>
      </w:r>
      <w:r>
        <w:rPr>
          <w:rtl w:val="true"/>
        </w:rPr>
        <w:t xml:space="preserve">. </w:t>
      </w:r>
      <w:r>
        <w:rPr>
          <w:rtl w:val="true"/>
        </w:rPr>
        <w:t>أبو صالح بآذان</w:t>
      </w:r>
      <w:r>
        <w:rPr>
          <w:rtl w:val="true"/>
        </w:rPr>
        <w:t>(</w:t>
      </w:r>
      <w:r>
        <w:rPr/>
        <w:t>120</w:t>
      </w:r>
      <w:r>
        <w:rPr>
          <w:rtl w:val="true"/>
        </w:rPr>
        <w:t xml:space="preserve"> </w:t>
      </w:r>
      <w:r>
        <w:rPr>
          <w:rtl w:val="true"/>
        </w:rPr>
        <w:t>ه</w:t>
      </w:r>
      <w:r>
        <w:rPr>
          <w:rtl w:val="true"/>
        </w:rPr>
        <w:t>)</w:t>
      </w:r>
      <w:bookmarkEnd w:id="387"/>
    </w:p>
    <w:p>
      <w:pPr>
        <w:pStyle w:val="BookText"/>
        <w:rPr/>
      </w:pPr>
      <w:r>
        <w:rPr>
          <w:rFonts w:ascii="IRNazanin" w:hAnsi="IRNazanin" w:eastAsia="IRNazanin"/>
          <w:color w:val="111111"/>
          <w:sz w:val="28"/>
          <w:sz w:val="28"/>
          <w:szCs w:val="28"/>
          <w:rtl w:val="true"/>
          <w:lang w:bidi="fa-IR"/>
        </w:rPr>
        <w:t>أبو صالح بآذان البصری</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صاحب رأی فی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یری السید حسن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من تلامذة ابن عبّاس، و قد نقل عنه محمّد بن السائب الکلبی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عدّه الشیخ المفید من المفسّرین الکبار، وأنّه موضع اعتماد الشیعة</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فسّر القرآن فی زمانه، و له کتاب تفسیر؛ و أمّا قولة عامر الشعبی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تُفسِّرُ القرآن، وأنت لا تقرأ القرآن؛ </w:t>
      </w:r>
      <w:r>
        <w:rPr>
          <w:rStyle w:val="FootnoteAnchor"/>
          <w:rtl w:val="true"/>
        </w:rPr>
        <w:footnoteReference w:id="460"/>
      </w:r>
      <w:r>
        <w:rPr>
          <w:rFonts w:ascii="IRNazanin" w:hAnsi="IRNazanin" w:eastAsia="IRNazanin"/>
          <w:color w:val="111111"/>
          <w:sz w:val="28"/>
          <w:sz w:val="28"/>
          <w:szCs w:val="28"/>
          <w:rtl w:val="true"/>
          <w:lang w:bidi="fa-IR"/>
        </w:rPr>
        <w:t>فلأنّه کان من الأعاجم، وکانت قراءته لا تُشبه قراءة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الحدیث عن حوار عِکرمة مع أبی صالح</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قال أبو صالح لعِکرمة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مولای أمیر المؤمنین علیه السّلام أعلم من مولاک ابن‌عبّاس</w:t>
      </w:r>
      <w:r>
        <w:rPr>
          <w:rFonts w:eastAsia="IRNazanin" w:cs="IRNazanin"/>
          <w:color w:val="111111"/>
          <w:sz w:val="28"/>
          <w:szCs w:val="28"/>
          <w:rtl w:val="true"/>
          <w:lang w:bidi="fa-IR"/>
        </w:rPr>
        <w:t xml:space="preserve">. </w:t>
      </w:r>
      <w:r>
        <w:rPr>
          <w:rStyle w:val="FootnoteAnchor"/>
          <w:rtl w:val="true"/>
        </w:rPr>
        <w:footnoteReference w:id="461"/>
      </w:r>
      <w:bookmarkStart w:id="388" w:name="pg5285_67291"/>
    </w:p>
    <w:p>
      <w:pPr>
        <w:pStyle w:val="Heading3"/>
        <w:numPr>
          <w:ilvl w:val="2"/>
          <w:numId w:val="1"/>
        </w:numPr>
        <w:rPr/>
      </w:pPr>
      <w:bookmarkStart w:id="389" w:name="__RefHeading___Toc634109_581953129"/>
      <w:bookmarkStart w:id="390" w:name="_Toc150"/>
      <w:bookmarkEnd w:id="388"/>
      <w:bookmarkEnd w:id="389"/>
      <w:r>
        <w:rPr>
          <w:rtl w:val="true"/>
        </w:rPr>
        <w:t>مفسّرون آخرون فی عصر التابعین</w:t>
      </w:r>
      <w:bookmarkEnd w:id="390"/>
    </w:p>
    <w:p>
      <w:pPr>
        <w:pStyle w:val="BookText"/>
        <w:rPr/>
      </w:pPr>
      <w:r>
        <w:rPr>
          <w:rFonts w:ascii="IRNazanin" w:hAnsi="IRNazanin" w:eastAsia="IRNazanin"/>
          <w:color w:val="111111"/>
          <w:sz w:val="28"/>
          <w:sz w:val="28"/>
          <w:szCs w:val="28"/>
          <w:rtl w:val="true"/>
          <w:lang w:bidi="fa-IR"/>
        </w:rPr>
        <w:t>إنّ ما ذکرناه من المفسّرین لحدّ الآن هو أسماء المشهورین من التابعین، أمّا غیرهم من عصر التابعین، وما بعدها من عصر أتباع التابعین، فإنّنا نری أنّ آراءً کثیرة من أولئک قد نقلت فی التفاسیر، ولهم مکانة مهمّة ذوات اعتبار فی موضوع التفاسیر القرآنیة وأصحبت فیما بعد من أهم مصادر التفسیر، ونحن نورد التعریف هؤلاء بهم علی النحو الآتی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الضحّاک بن مزاحم الهلالی</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أبوالقاسم الخراسانی، مفسّر، أخذ العلم من کبار التابعین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اسمه کثیراً فی کتب التفسیر الشیعیة و السُنّیة، وأنّه یروی عن ابن عبّاس، و هو عند الکثیر من علماء الرجال ثِقة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عطیة بن سعید العوفی الکوفی</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یروی عن ابن عبّاس، و قد نقل ابن أبی حاتم وابن جریر عن طریق العوفی روایات کثیرة فی کتبهم</w:t>
      </w:r>
      <w:r>
        <w:rPr>
          <w:rFonts w:eastAsia="IRNazanin" w:cs="IRNazanin"/>
          <w:color w:val="111111"/>
          <w:sz w:val="28"/>
          <w:szCs w:val="28"/>
          <w:rtl w:val="true"/>
          <w:lang w:bidi="fa-IR"/>
        </w:rPr>
        <w:t xml:space="preserve">. </w:t>
      </w:r>
      <w:r>
        <w:rPr>
          <w:rStyle w:val="FootnoteAnchor"/>
          <w:rtl w:val="true"/>
        </w:rPr>
        <w:footnoteReference w:id="462"/>
      </w:r>
      <w:r>
        <w:rPr>
          <w:rFonts w:ascii="IRNazanin" w:hAnsi="IRNazanin" w:eastAsia="IRNazanin"/>
          <w:color w:val="111111"/>
          <w:sz w:val="28"/>
          <w:sz w:val="28"/>
          <w:szCs w:val="28"/>
          <w:rtl w:val="true"/>
          <w:lang w:bidi="fa-IR"/>
        </w:rPr>
        <w:t>ویقال کان تفسیر عطیة یشتمل علی خمسة أجزاء،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عرضتُ القرآن بشکلِ تفسیرٍ وتوضیحٍ ثلاثة مرّات، وبشکل قراءة ثلاثون مرّة علی ابن عبّاس</w:t>
      </w:r>
      <w:r>
        <w:rPr>
          <w:rFonts w:eastAsia="IRNazanin" w:cs="IRNazanin"/>
          <w:color w:val="111111"/>
          <w:sz w:val="28"/>
          <w:szCs w:val="28"/>
          <w:rtl w:val="true"/>
          <w:lang w:bidi="fa-IR"/>
        </w:rPr>
        <w:t xml:space="preserve">. </w:t>
      </w:r>
      <w:r>
        <w:rPr>
          <w:rStyle w:val="FootnoteAnchor"/>
          <w:rtl w:val="true"/>
        </w:rPr>
        <w:footnoteReference w:id="463"/>
      </w:r>
      <w:r>
        <w:rPr>
          <w:rFonts w:ascii="IRNazanin" w:hAnsi="IRNazanin" w:eastAsia="IRNazanin"/>
          <w:color w:val="111111"/>
          <w:sz w:val="28"/>
          <w:sz w:val="28"/>
          <w:szCs w:val="28"/>
          <w:rtl w:val="true"/>
          <w:lang w:bidi="fa-IR"/>
        </w:rPr>
        <w:t>وکان من محبّی علی علیه السّلام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الحجّاج إلی محمّد بن القاسم، أن یعرض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عطیة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 علی علیه السّلام فإن لم یفعل، فاضربه أربعمائة سوط واحلق لحیته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فاستدعاه فأبی أنْ یسُبَّ فأمضی حکم الحجّاج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یقدّم علیاً علیه السّلام علی الکلّ</w:t>
      </w:r>
      <w:r>
        <w:rPr>
          <w:rFonts w:eastAsia="IRNazanin" w:cs="IRNazanin"/>
          <w:color w:val="111111"/>
          <w:sz w:val="28"/>
          <w:szCs w:val="28"/>
          <w:rtl w:val="true"/>
          <w:lang w:bidi="fa-IR"/>
        </w:rPr>
        <w:t xml:space="preserve">. </w:t>
      </w:r>
      <w:r>
        <w:rPr>
          <w:rStyle w:val="FootnoteAnchor"/>
          <w:rtl w:val="true"/>
        </w:rPr>
        <w:footnoteReference w:id="46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مقاتل بن سلیمان</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أبو الحسن، مقاتل بن سلیمان بن بشیر الأزدی البلخی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نقل عن عطاء بن أبی رباح ومجاهد روایات، و قد عدّه البعض من أصحاب الإمام الباقر علیه السّلام، ولکن البعض الآخر عدّه من محدّثی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الشافعی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عِیال علیه فی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عدّه ابن الندیم زیدیّ المذهب، ونسب إلیه کتباً کثیرة</w:t>
      </w:r>
      <w:r>
        <w:rPr>
          <w:rFonts w:eastAsia="IRNazanin" w:cs="IRNazanin"/>
          <w:color w:val="111111"/>
          <w:sz w:val="28"/>
          <w:szCs w:val="28"/>
          <w:rtl w:val="true"/>
          <w:lang w:bidi="fa-IR"/>
        </w:rPr>
        <w:t xml:space="preserve">. </w:t>
      </w:r>
      <w:r>
        <w:rPr>
          <w:rStyle w:val="FootnoteAnchor"/>
          <w:rtl w:val="true"/>
        </w:rPr>
        <w:footnoteReference w:id="465"/>
      </w:r>
      <w:r>
        <w:rPr>
          <w:rFonts w:ascii="IRNazanin" w:hAnsi="IRNazanin" w:eastAsia="IRNazanin"/>
          <w:color w:val="111111"/>
          <w:sz w:val="28"/>
          <w:sz w:val="28"/>
          <w:szCs w:val="28"/>
          <w:rtl w:val="true"/>
          <w:lang w:bidi="fa-IR"/>
        </w:rPr>
        <w:t>و قد روی عنه علماء الشیعة، ومن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الإسلام الکلینی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ورئیس المحدّثین الصدوق 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وعلی أی حالٍ، فإنّ اسمه ورد بکثرة فی تفاسیر الشیعة، وأهل السُنّة؛ وذلک لکونه صاحب تفسیر کبیر، یعدّ أقدم تفسیر کامل للقرآن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قام الدکتور عبد الله شحاته بجمع النسخ المتعدّدة لذلک التفسیر، ولأوّل مرّة طبع تفسیر مقاتل فی خمسة مجلّدات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عطاء بن السائب، أبو محمّد الثقفی الکوفی</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من المفسّرین الشیعة، وعاش مدّة من الزمن فی الکوفة، و قد روی عن سعید بن جُبیر، ومجاهد، و عِکرمة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أبان بن تغلب، أبو سعید البَکری الکوفی</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إمامی، و قد روی عن الإمام زین العابدین علیه السّلام و الإمام محمّد الباقر علیه السّلام، والإمام الصادق علیه السّلام، و هو صاحب کتاب معانی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طلحة الهاشمی</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من مفسّری التابعین، و هو یروی عن طریق ابن عبّاس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السائب الکلبی</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من مفسّری الشیعة، وکان من أصحاب الإمام محمّد الباقر علیه السّلام، والإمام الصادق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بن مَهرَان الأعمش</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یعدّ من مفسّری الشیعة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حمزة الثمالی، ثابت بن دینار أبو صُفیة الکوفی</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من شیعة ومحبّی أهل‌البیت علیهم السّلام، وکان من خواصّ الامام السجاد والامام الباقر، والامام الصادق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تفسیر، و قد مدح علی لسان علماء الشیعة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وصفه الإمام الرضا علیه السّلام بسلمان زمانه، فهو یتمتّع بمکانة رفیعة، کما و أنّ تفاسیر الشیعة و السنّة المشهورة تروی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عبّر النجاشی عن تفسیر أبی حمزة الثمالی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وذکره ابن الندیم </w:t>
      </w:r>
      <w:r>
        <w:rPr>
          <w:rStyle w:val="FootnoteAnchor"/>
          <w:rtl w:val="true"/>
        </w:rPr>
        <w:footnoteReference w:id="467"/>
      </w:r>
      <w:r>
        <w:rPr>
          <w:rFonts w:ascii="IRNazanin" w:hAnsi="IRNazanin" w:eastAsia="IRNazanin"/>
          <w:color w:val="111111"/>
          <w:sz w:val="28"/>
          <w:sz w:val="28"/>
          <w:szCs w:val="28"/>
          <w:rtl w:val="true"/>
          <w:lang w:bidi="fa-IR"/>
        </w:rPr>
        <w:t>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تفسیر أبو حمزة الثمالی</w:t>
      </w:r>
      <w:r>
        <w:rPr>
          <w:rFonts w:eastAsia="IRNazanin" w:cs="IRNazanin"/>
          <w:color w:val="111111"/>
          <w:sz w:val="28"/>
          <w:szCs w:val="28"/>
          <w:rtl w:val="true"/>
          <w:lang w:bidi="fa-IR"/>
        </w:rPr>
        <w:t xml:space="preserve">. </w:t>
      </w:r>
      <w:r>
        <w:rPr>
          <w:rStyle w:val="FootnoteAnchor"/>
          <w:rtl w:val="true"/>
        </w:rPr>
        <w:footnoteReference w:id="468"/>
      </w:r>
      <w:r>
        <w:rPr>
          <w:rFonts w:ascii="IRNazanin" w:hAnsi="IRNazanin" w:eastAsia="IRNazanin"/>
          <w:color w:val="111111"/>
          <w:sz w:val="28"/>
          <w:sz w:val="28"/>
          <w:szCs w:val="28"/>
          <w:rtl w:val="true"/>
          <w:lang w:bidi="fa-IR"/>
        </w:rPr>
        <w:t>غیر أنّ التفسیر الذی کتبه أبو حمزة الثُمالی لا وجود له بین أیدینا، ولکن روایاته وآراءه التفسیریة، قد أخذت أکثرها عن الائمّة الأطهار علیهم السّلام و نقلت عنه بشکل وافر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وأخیراً فقد طبع کتاب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القرآن الکریم، بتحقیق عبد الرزّاق حرز الدین، بجهود مؤسسة انتشارات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جُمعت فیه حدود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من الکتب الروائیة المختلفة و التفاسیر الشیعیة و السنیة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قیس بن مسلم</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کوفیّ، وینقل روایاته عن عطاء بن السائب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الرحیم راهواری</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تفسیر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 بن أنس</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تفسیر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سفیان بن عُیینه</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نُقلت عنه روایات تفسیریة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واصل بن عطاء</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حُذیفة واصل بن عطاء البصری، هو شیخ المعتزلة، ومؤسس مذهب الاعتزال، له کتاب معانی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ممّن یعتقد بالرجعة، ویرتضی المقام الرفیع للإمام علی علیه السّلام</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جُریح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الملک بن عبد العزیز بن جریح الرومیّ الأصل، والمتوفّی فی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أخذ عنه الطبری و الثعلبی فی تفسیریهما، ورووا عنه، </w:t>
      </w:r>
      <w:r>
        <w:rPr>
          <w:rStyle w:val="FootnoteAnchor"/>
          <w:rtl w:val="true"/>
        </w:rPr>
        <w:footnoteReference w:id="470"/>
      </w:r>
      <w:r>
        <w:rPr>
          <w:rFonts w:ascii="IRNazanin" w:hAnsi="IRNazanin" w:eastAsia="IRNazanin"/>
          <w:color w:val="111111"/>
          <w:sz w:val="28"/>
          <w:sz w:val="28"/>
          <w:szCs w:val="28"/>
          <w:rtl w:val="true"/>
          <w:lang w:bidi="fa-IR"/>
        </w:rPr>
        <w:t>و قد طُبع تفسیره فی مصر، بتحقیق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حسن عبد الغنی</w:t>
      </w:r>
      <w:r>
        <w:rPr>
          <w:rFonts w:eastAsia="IRNazanin" w:cs="IRNazanin"/>
          <w:color w:val="111111"/>
          <w:sz w:val="28"/>
          <w:szCs w:val="28"/>
          <w:rtl w:val="true"/>
          <w:lang w:bidi="fa-IR"/>
        </w:rPr>
        <w:t xml:space="preserve">. </w:t>
      </w:r>
      <w:r>
        <w:rPr>
          <w:rStyle w:val="FootnoteAnchor"/>
          <w:rtl w:val="true"/>
        </w:rPr>
        <w:footnoteReference w:id="471"/>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سفیان الثوری</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عبد الله سفیان بن سعید</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له تفسیر قصیر، و هو یعدّ من مشاهیر العلماء المحدّثین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الجارود</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زیاد بن المنذر الهمدانی الکوفی، وَلِدَ بصیراً وتنسب إلیه الطائفة الجارودیة من الزیدیة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تضمّن تفسیر علی بن إبراهیم القمّی قسماً من التفسیر المنقول عنه، وکان من أصحاب الإمام زین العابدین علیه السّلام و الإمام محمّد الباقر علیه السّلام، والإمام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تفسیره، فهو یخصّ روایاته عن الإمام الباقر علیه السّلام؛ وذلک فی مرحلة الاستقامة‌ها</w:t>
      </w:r>
      <w:r>
        <w:rPr>
          <w:rFonts w:eastAsia="IRNazanin" w:cs="IRNazanin"/>
          <w:color w:val="111111"/>
          <w:sz w:val="28"/>
          <w:szCs w:val="28"/>
          <w:rtl w:val="true"/>
          <w:lang w:bidi="fa-IR"/>
        </w:rPr>
        <w:t xml:space="preserve">. </w:t>
      </w:r>
      <w:r>
        <w:rPr>
          <w:rStyle w:val="FootnoteAnchor"/>
          <w:rtl w:val="true"/>
        </w:rPr>
        <w:footnoteReference w:id="472"/>
      </w:r>
      <w:bookmarkStart w:id="391" w:name="pg5285_67299"/>
    </w:p>
    <w:p>
      <w:pPr>
        <w:pStyle w:val="Heading3"/>
        <w:numPr>
          <w:ilvl w:val="2"/>
          <w:numId w:val="1"/>
        </w:numPr>
        <w:rPr/>
      </w:pPr>
      <w:bookmarkStart w:id="392" w:name="__RefHeading___Toc634111_581953129"/>
      <w:bookmarkStart w:id="393" w:name="_Toc151"/>
      <w:bookmarkEnd w:id="391"/>
      <w:bookmarkEnd w:id="392"/>
      <w:r>
        <w:rPr>
          <w:rtl w:val="true"/>
        </w:rPr>
        <w:t>خصائص تفسیر التابعین</w:t>
      </w:r>
      <w:bookmarkEnd w:id="393"/>
    </w:p>
    <w:p>
      <w:pPr>
        <w:pStyle w:val="BookText"/>
        <w:rPr/>
      </w:pPr>
      <w:r>
        <w:rPr>
          <w:rFonts w:ascii="IRNazanin" w:hAnsi="IRNazanin" w:eastAsia="IRNazanin"/>
          <w:color w:val="111111"/>
          <w:sz w:val="28"/>
          <w:sz w:val="28"/>
          <w:szCs w:val="28"/>
          <w:rtl w:val="true"/>
          <w:lang w:bidi="fa-IR"/>
        </w:rPr>
        <w:t>مع ملاحظة الأمور التی تعرّفنا علیها إلی الآن عن عصر التابعین و الآراء التفسیریة التی نُقلت إلینا عنهم، یمکننا الآن ذکر النقاط التالیة الواردة حول خصائص التفسیر لذلک العصر، وهی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التنوع والاختلاف فی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جملة ذلک التفسیر العقلی العرفانی، والکلامی، مثلما جاء به أسلوب مجاهد من مسائل عقلیة وأمور عرفانیة</w:t>
      </w:r>
      <w:r>
        <w:rPr>
          <w:rFonts w:eastAsia="IRNazanin" w:cs="IRNazanin"/>
          <w:color w:val="111111"/>
          <w:sz w:val="28"/>
          <w:szCs w:val="28"/>
          <w:rtl w:val="true"/>
          <w:lang w:bidi="fa-IR"/>
        </w:rPr>
        <w:t xml:space="preserve">. </w:t>
      </w:r>
      <w:r>
        <w:rPr>
          <w:rStyle w:val="FootnoteAnchor"/>
          <w:rtl w:val="true"/>
        </w:rPr>
        <w:footnoteReference w:id="473"/>
      </w:r>
      <w:r>
        <w:rPr>
          <w:rFonts w:ascii="IRNazanin" w:hAnsi="IRNazanin" w:eastAsia="IRNazanin"/>
          <w:color w:val="111111"/>
          <w:sz w:val="28"/>
          <w:sz w:val="28"/>
          <w:szCs w:val="28"/>
          <w:rtl w:val="true"/>
          <w:lang w:bidi="fa-IR"/>
        </w:rPr>
        <w:t>ومثل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البصری، وقتادة، وما طرحاه من بحوث عقائدیة ومذهبیة،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القضاء و القدر</w:t>
      </w:r>
      <w:r>
        <w:rPr>
          <w:rFonts w:eastAsia="IRNazanin" w:cs="IRNazanin"/>
          <w:color w:val="111111"/>
          <w:sz w:val="28"/>
          <w:szCs w:val="28"/>
          <w:rtl w:val="true"/>
          <w:lang w:bidi="fa-IR"/>
        </w:rPr>
        <w:t xml:space="preserve">. </w:t>
      </w:r>
      <w:r>
        <w:rPr>
          <w:rStyle w:val="FootnoteAnchor"/>
          <w:rtl w:val="true"/>
        </w:rPr>
        <w:footnoteReference w:id="47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الاعتماد علی الاجتهاد و التوسع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تمثل بالآثار الباقیة، والتی اتّخذت طابعاً خاصّاً یخالف الصحابة فی التفسیر عند التابعین بشکل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أغلب الموضوعات التی طُرحت من قبل التابعین کانت من دون سند، أو هی تعوّل علی سند ضعیف وغیر قابل للاعتماد</w:t>
      </w:r>
      <w:r>
        <w:rPr>
          <w:rFonts w:eastAsia="IRNazanin" w:cs="IRNazanin"/>
          <w:color w:val="111111"/>
          <w:sz w:val="28"/>
          <w:szCs w:val="28"/>
          <w:rtl w:val="true"/>
          <w:lang w:bidi="fa-IR"/>
        </w:rPr>
        <w:t xml:space="preserve">. </w:t>
      </w:r>
      <w:r>
        <w:rPr>
          <w:rStyle w:val="FootnoteAnchor"/>
          <w:rtl w:val="true"/>
        </w:rPr>
        <w:footnoteReference w:id="47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الاعتماد علی الظنّ</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ولعلّه بسبب ابتعاد عصر التابعین عن عصر الرسالة، وطول الفاصلة الزمینة التی حصلت بینهما؛ نتیجة ذلک صار اعتمادهم الأکبر علی الظنّ؛ ولأجل هذا السبب اتّهم البعض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بالتفسیر بالرأی کذلک</w:t>
      </w:r>
      <w:r>
        <w:rPr>
          <w:rFonts w:eastAsia="IRNazanin" w:cs="IRNazanin"/>
          <w:color w:val="111111"/>
          <w:sz w:val="28"/>
          <w:szCs w:val="28"/>
          <w:rtl w:val="true"/>
          <w:lang w:bidi="fa-IR"/>
        </w:rPr>
        <w:t xml:space="preserve">. </w:t>
      </w:r>
      <w:r>
        <w:rPr>
          <w:rStyle w:val="FootnoteAnchor"/>
          <w:rtl w:val="true"/>
        </w:rPr>
        <w:footnoteReference w:id="476"/>
      </w:r>
      <w:bookmarkStart w:id="394" w:name="pg5285_67301"/>
    </w:p>
    <w:p>
      <w:pPr>
        <w:pStyle w:val="BookText"/>
        <w:rPr/>
      </w:pPr>
      <w:bookmarkEnd w:id="394"/>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تزاید عدد الروایات الإسرائیلیة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العصر توسّعت صیاغة الروایات الإسرائیلیة ودخولها فی التفسیر فی هذا العصر، وذلک لدخول الکثیر من أهل الکتاب فی الدین الإسلامی، وهم یحملون أفکارهم ومعتقداتهم السابقه، و إن کانت لا تنجم مع عقائد وأحکام الإسلام،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بدایة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وکثیر من القصص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یؤسف له أن المفسرین من التابعین لم یمارسوا الدقة المطلوبة لعزل الإسرائیلیات فی مثل هذه المجالات، وفی النتیجة أوردوا مجموعةً کبیرةً من الإسرائیلیات فی کتبهم التفسیریة من دون تدفیق أو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أکثر ما وقع من ذلک علی ید بعض من أسلم من أهل الکتاب،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سلام، ووهب بن المنبه، وکعب الأحبار</w:t>
      </w:r>
      <w:r>
        <w:rPr>
          <w:rFonts w:eastAsia="IRNazanin" w:cs="IRNazanin"/>
          <w:color w:val="111111"/>
          <w:sz w:val="28"/>
          <w:szCs w:val="28"/>
          <w:rtl w:val="true"/>
          <w:lang w:bidi="fa-IR"/>
        </w:rPr>
        <w:t xml:space="preserve">... </w:t>
      </w:r>
      <w:r>
        <w:rPr>
          <w:rStyle w:val="FootnoteAnchor"/>
          <w:rtl w:val="true"/>
        </w:rPr>
        <w:footnoteReference w:id="477"/>
      </w:r>
      <w:r>
        <w:rPr>
          <w:rFonts w:ascii="IRNazanin" w:hAnsi="IRNazanin" w:eastAsia="IRNazanin"/>
          <w:color w:val="111111"/>
          <w:sz w:val="28"/>
          <w:sz w:val="28"/>
          <w:szCs w:val="28"/>
          <w:rtl w:val="true"/>
          <w:lang w:bidi="fa-IR"/>
        </w:rPr>
        <w:t>ثمّ راج بین التابعین</w:t>
      </w:r>
      <w:r>
        <w:rPr>
          <w:rFonts w:eastAsia="IRNazanin" w:cs="IRNazanin"/>
          <w:color w:val="111111"/>
          <w:sz w:val="28"/>
          <w:szCs w:val="28"/>
          <w:rtl w:val="true"/>
          <w:lang w:bidi="fa-IR"/>
        </w:rPr>
        <w:t>.</w:t>
      </w:r>
    </w:p>
    <w:p>
      <w:pPr>
        <w:pStyle w:val="Heading3"/>
        <w:numPr>
          <w:ilvl w:val="2"/>
          <w:numId w:val="1"/>
        </w:numPr>
        <w:rPr/>
      </w:pPr>
      <w:bookmarkStart w:id="395" w:name="__RefHeading___Toc634113_581953129"/>
      <w:bookmarkStart w:id="396" w:name="_Toc152"/>
      <w:bookmarkEnd w:id="395"/>
      <w:r>
        <w:rPr>
          <w:rtl w:val="true"/>
        </w:rPr>
        <w:t>الأسئلة</w:t>
      </w:r>
      <w:bookmarkEnd w:id="3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هی أشهر المدارس التفسیریة للتابعین؟ ومن هم إشهر أعلامها؟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خمسة من التابعین الذین ینسب إلیهم القسط الأکبر من الروایات التفسیریة؟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هو أستاذ سعید بن جبیر، ومجاهد بن جبر، مع ذکر نموذجین تفسیریین لکلٍّ منهما؟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وضّح ما تعرفه عن مذهب وأفکار ووثاقة عِکرمة؟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أی مدرسة تفسیریة ینتسب زید بن أسلم العَدوی؟ وما هو مذهبه؟ ومَن هو أستاذه؟ وضّح ذلک مع ذکر نموذجین تفسیریین من تفسیره؟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انسب الأسماء التالیة إلی مدارسهم التفسیریة</w:t>
      </w:r>
      <w:r>
        <w:rPr>
          <w:rFonts w:eastAsia="IRNazanin" w:cs="IRNazanin"/>
          <w:color w:val="111111"/>
          <w:sz w:val="28"/>
          <w:szCs w:val="28"/>
          <w:rtl w:val="true"/>
          <w:lang w:bidi="fa-IR"/>
        </w:rPr>
        <w:t>:</w:t>
      </w:r>
      <w:bookmarkStart w:id="397" w:name="pg5285_67303"/>
    </w:p>
    <w:p>
      <w:pPr>
        <w:pStyle w:val="BookText"/>
        <w:rPr/>
      </w:pPr>
      <w:bookmarkEnd w:id="397"/>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 بن المسیب،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عِکرمة،</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بن جبیر،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قتادة،</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کعب القرظی،</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یزید الجعفی،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السُدّی الکبیر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خصائص تفسیر التابعین؟</w:t>
      </w:r>
    </w:p>
    <w:p>
      <w:pPr>
        <w:pStyle w:val="Heading3"/>
        <w:numPr>
          <w:ilvl w:val="2"/>
          <w:numId w:val="1"/>
        </w:numPr>
        <w:rPr/>
      </w:pPr>
      <w:bookmarkStart w:id="398" w:name="__RefHeading___Toc634115_581953129"/>
      <w:bookmarkStart w:id="399" w:name="_Toc153"/>
      <w:bookmarkEnd w:id="398"/>
      <w:r>
        <w:rPr>
          <w:rtl w:val="true"/>
        </w:rPr>
        <w:t>البحث و التحقیق</w:t>
      </w:r>
      <w:bookmarkEnd w:id="3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حرّد الروایات الإسرائیلیة التی وردت فی تفاسیر التابعین، وراجع المصادر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التفسیرو المفسّرون فی ثوبه القشیب، للشیخ محمّد هادی معرفة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در باب إسرائیلیات در تفسیر قرآن، للدکتور دیاری، الإسرائیلیات للشیخ محمّد جواد مغنیة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لنا خمسة أسالیب تفسیریة من خلال التحقیق فی روایات التابعین التی نُقلت إلینا؛ للتعرف علی مناهج التفسیر فی المدینة المنوّرة</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 للطبرسی، والتفاسیر الروائیة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العیاشی،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w:t>
      </w:r>
      <w:bookmarkStart w:id="400" w:name="pg5285_67307"/>
    </w:p>
    <w:p>
      <w:pPr>
        <w:pStyle w:val="Heading2"/>
        <w:numPr>
          <w:ilvl w:val="1"/>
          <w:numId w:val="1"/>
        </w:numPr>
        <w:rPr/>
      </w:pPr>
      <w:bookmarkStart w:id="401" w:name="__RefHeading___Toc634117_581953129"/>
      <w:bookmarkStart w:id="402" w:name="_Toc154"/>
      <w:bookmarkEnd w:id="400"/>
      <w:bookmarkEnd w:id="401"/>
      <w:r>
        <w:rPr/>
        <w:t>5</w:t>
      </w:r>
      <w:r>
        <w:rPr>
          <w:rtl w:val="true"/>
        </w:rPr>
        <w:t xml:space="preserve">- </w:t>
      </w:r>
      <w:r>
        <w:rPr>
          <w:rtl w:val="true"/>
        </w:rPr>
        <w:t>دور أهل البیت علیهم السّلام فی تفسیر القرآن</w:t>
      </w:r>
      <w:bookmarkEnd w:id="402"/>
    </w:p>
    <w:p>
      <w:pPr>
        <w:pStyle w:val="Heading3"/>
        <w:numPr>
          <w:ilvl w:val="2"/>
          <w:numId w:val="1"/>
        </w:numPr>
        <w:rPr/>
      </w:pPr>
      <w:bookmarkStart w:id="403" w:name="__RefHeading___Toc634119_581953129"/>
      <w:bookmarkStart w:id="404" w:name="_Toc155"/>
      <w:bookmarkEnd w:id="403"/>
      <w:r>
        <w:rPr>
          <w:rtl w:val="true"/>
        </w:rPr>
        <w:t>اشارة</w:t>
      </w:r>
      <w:bookmarkEnd w:id="404"/>
    </w:p>
    <w:p>
      <w:pPr>
        <w:pStyle w:val="BookText"/>
        <w:rPr/>
      </w:pPr>
      <w:r>
        <w:rPr>
          <w:rFonts w:ascii="IRNazanin" w:hAnsi="IRNazanin" w:eastAsia="IRNazanin"/>
          <w:color w:val="111111"/>
          <w:sz w:val="28"/>
          <w:sz w:val="28"/>
          <w:szCs w:val="28"/>
          <w:rtl w:val="true"/>
          <w:lang w:bidi="fa-IR"/>
        </w:rPr>
        <w:t>الموضوعات دور أهل‌البیت علیهم السّلام فی تفسیر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 أهل‌البیت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أهل‌البیت علیهم السّلام فی تفسیر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 و التربیة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أهل‌البیت وتربیة المفسّر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الأسس و الأصول التی یقوم علیها منهج أهل‌البیت علیهم السّلام فی التفسیر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أهل‌البیت علیهم السّلام فی مواجهة الانحرافات التفسیریة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الأهداف</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التعرّف علی مفهوم أهل‌البیت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سعة علم أهل‌البیت علیهم السّلام خصوصاً فی علم التفسیر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التعرّف علی دور أهل‌البیت علیهم السّلام فی التفسیر</w:t>
      </w:r>
      <w:r>
        <w:rPr>
          <w:rFonts w:eastAsia="IRNazanin" w:cs="IRNazanin"/>
          <w:color w:val="111111"/>
          <w:sz w:val="28"/>
          <w:szCs w:val="28"/>
          <w:rtl w:val="true"/>
          <w:lang w:bidi="fa-IR"/>
        </w:rPr>
        <w:t>.</w:t>
      </w:r>
      <w:bookmarkStart w:id="405" w:name="pg5285_67309"/>
    </w:p>
    <w:p>
      <w:pPr>
        <w:pStyle w:val="Heading3"/>
        <w:numPr>
          <w:ilvl w:val="2"/>
          <w:numId w:val="1"/>
        </w:numPr>
        <w:rPr/>
      </w:pPr>
      <w:bookmarkStart w:id="406" w:name="__RefHeading___Toc634121_581953129"/>
      <w:bookmarkStart w:id="407" w:name="_Toc156"/>
      <w:bookmarkEnd w:id="405"/>
      <w:bookmarkEnd w:id="406"/>
      <w:r>
        <w:rPr>
          <w:rtl w:val="true"/>
        </w:rPr>
        <w:t>المُراد من أهل البیت علیهم السّلام</w:t>
      </w:r>
      <w:bookmarkEnd w:id="407"/>
    </w:p>
    <w:p>
      <w:pPr>
        <w:pStyle w:val="BookText"/>
        <w:rPr/>
      </w:pPr>
      <w:r>
        <w:rPr>
          <w:rFonts w:ascii="IRNazanin" w:hAnsi="IRNazanin" w:eastAsia="IRNazanin"/>
          <w:color w:val="111111"/>
          <w:sz w:val="28"/>
          <w:sz w:val="28"/>
          <w:szCs w:val="28"/>
          <w:rtl w:val="true"/>
          <w:lang w:bidi="fa-IR"/>
        </w:rPr>
        <w:t>مفردة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اللّغة، تعنی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 و الألفة </w:t>
      </w:r>
      <w:r>
        <w:rPr>
          <w:rStyle w:val="FootnoteAnchor"/>
          <w:rtl w:val="true"/>
        </w:rPr>
        <w:footnoteReference w:id="478"/>
      </w:r>
      <w:r>
        <w:rPr>
          <w:rFonts w:ascii="IRNazanin" w:hAnsi="IRNazanin" w:eastAsia="IRNazanin"/>
          <w:color w:val="111111"/>
          <w:sz w:val="28"/>
          <w:sz w:val="28"/>
          <w:szCs w:val="28"/>
          <w:rtl w:val="true"/>
          <w:lang w:bidi="fa-IR"/>
        </w:rPr>
        <w:t>بین شیئین، ثمّ أخذت بعد ذلک معنی آخر،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أفراد العائلة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والأبناء، والخدم، والأقرباء</w:t>
      </w:r>
      <w:r>
        <w:rPr>
          <w:rFonts w:eastAsia="IRNazanin" w:cs="IRNazanin"/>
          <w:color w:val="111111"/>
          <w:sz w:val="28"/>
          <w:szCs w:val="28"/>
          <w:rtl w:val="true"/>
          <w:lang w:bidi="fa-IR"/>
        </w:rPr>
        <w:t xml:space="preserve">.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و قد حدّدها الراغب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بالشیء الذی تعلم إضافته إلیه،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ویراد به الأفراد المرتبطین بالشخص بلحاظ القُرابة أو الدین، وأمثال ذلک</w:t>
      </w:r>
      <w:r>
        <w:rPr>
          <w:rFonts w:eastAsia="IRNazanin" w:cs="IRNazanin"/>
          <w:color w:val="111111"/>
          <w:sz w:val="28"/>
          <w:szCs w:val="28"/>
          <w:rtl w:val="true"/>
          <w:lang w:bidi="fa-IR"/>
        </w:rPr>
        <w:t xml:space="preserve">.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ومفردة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اللّغة، تعنی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المأوی و المآب، و مجمع الشمل</w:t>
      </w:r>
      <w:r>
        <w:rPr>
          <w:rFonts w:eastAsia="IRNazanin" w:cs="IRNazanin"/>
          <w:color w:val="111111"/>
          <w:sz w:val="28"/>
          <w:szCs w:val="28"/>
          <w:rtl w:val="true"/>
          <w:lang w:bidi="fa-IR"/>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للسکونة فی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بیتوته، وبیات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النتیجة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أهل‌البیت علیهم السّلام،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أفراد العائلة و الأشخاص، الذین لهم محلّ سکون الإنسان وطمأنینته فی رجوعه إلیه من عمله فی اللیل أو النهار، ویأنس ویستریح أفراده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تعبیر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أهل‌البیت، باعتباره مفهوم قرآنی، فقد جاءت به آیة قرآنیة هی آیة التطهیر،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Style w:val="FootnoteAnchor"/>
          <w:rtl w:val="true"/>
        </w:rPr>
        <w:footnoteReference w:id="482"/>
      </w:r>
      <w:r>
        <w:rPr>
          <w:rFonts w:ascii="IRNazanin" w:hAnsi="IRNazanin" w:eastAsia="IRNazanin"/>
          <w:color w:val="111111"/>
          <w:sz w:val="28"/>
          <w:sz w:val="28"/>
          <w:szCs w:val="28"/>
          <w:rtl w:val="true"/>
          <w:lang w:bidi="fa-IR"/>
        </w:rPr>
        <w:t xml:space="preserve">و هذه الآیة وفق ما یزید علی سبعین روایة جاءت فی کتب السنّة و الشیعة، </w:t>
      </w:r>
      <w:r>
        <w:rPr>
          <w:rStyle w:val="FootnoteAnchor"/>
          <w:rtl w:val="true"/>
        </w:rPr>
        <w:footnoteReference w:id="483"/>
      </w:r>
      <w:r>
        <w:rPr>
          <w:rFonts w:ascii="IRNazanin" w:hAnsi="IRNazanin" w:eastAsia="IRNazanin"/>
          <w:color w:val="111111"/>
          <w:sz w:val="28"/>
          <w:sz w:val="28"/>
          <w:szCs w:val="28"/>
          <w:rtl w:val="true"/>
          <w:lang w:bidi="fa-IR"/>
        </w:rPr>
        <w:t>أنّها نزلت فی الرسول صلّی الله علیه و آله وعلی بن أبی‌طالب، وفاطمة، والحسن، والحسین علیهم السّلام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وباعتبار أنّها نزلت ضمن آیات نزلت کلّها فی نساء النبی صلّی الله علیه و آله و وحدة السیاق و الکلام هنا کافیه لتعیین المراد من أهل البیت، حصل الاختلاف هل أنّ آیة التطهیر تخصّ الخمسة من أهل‌البیت علیهم السّلام، أم هی تشمل أزواج النبی صلّی الله علیه و آله کذلک؟</w:t>
      </w:r>
    </w:p>
    <w:p>
      <w:pPr>
        <w:pStyle w:val="BookText"/>
        <w:rPr/>
      </w:pPr>
      <w:r>
        <w:rPr>
          <w:rFonts w:ascii="IRNazanin" w:hAnsi="IRNazanin" w:eastAsia="IRNazanin"/>
          <w:color w:val="111111"/>
          <w:sz w:val="28"/>
          <w:sz w:val="28"/>
          <w:szCs w:val="28"/>
          <w:rtl w:val="true"/>
          <w:lang w:bidi="fa-IR"/>
        </w:rPr>
        <w:t>الجواب</w:t>
      </w:r>
    </w:p>
    <w:p>
      <w:pPr>
        <w:pStyle w:val="BookText"/>
        <w:rPr/>
      </w:pPr>
      <w:r>
        <w:rPr>
          <w:rFonts w:ascii="IRNazanin" w:hAnsi="IRNazanin" w:eastAsia="IRNazanin"/>
          <w:color w:val="111111"/>
          <w:sz w:val="28"/>
          <w:sz w:val="28"/>
          <w:szCs w:val="28"/>
          <w:rtl w:val="true"/>
          <w:lang w:bidi="fa-IR"/>
        </w:rPr>
        <w:t>بناءاً علی رؤیة الشیعة أنّ آیة التطهیر تقتصر فی نزولها علی الخمسة فقط، ولا تتعدّاهم إلی نساء النبی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ولهم علی ذلک دلائل وشواهد کثیرة،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مفردة أهل‌البیت تطلق فی المصطلح القرآنی علی أشخاص خاصّین،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أطلق نبی الله نوح علیه السّلام لفظة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ابْنِی مِنْ أَهْلِی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علیه الباری جلّ جلاله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لَیْسَ مِنْ أَهْلِکَ إِنَّهُ عَمَلٌ غَیْرُ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84"/>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نوح، إنّ ابنک هذا لیس من أهلک؛ لکونه عمل عملاً غیر صالح، وهکذا زوجة لوط لم تعدّ من أهل‌بیته علیه السّلام</w:t>
      </w:r>
      <w:r>
        <w:rPr>
          <w:rFonts w:eastAsia="IRNazanin" w:cs="IRNazanin"/>
          <w:color w:val="111111"/>
          <w:sz w:val="28"/>
          <w:szCs w:val="28"/>
          <w:rtl w:val="true"/>
          <w:lang w:bidi="fa-IR"/>
        </w:rPr>
        <w:t xml:space="preserve">.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وعلی ما تقدّم، فإنّ أحد المعاییر المهمّة فی تشخیص أهل‌البیت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الاتّباع و التسلیم المحض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ذلک فإنّ فی ذیل آیة التطهیر جاءت سبعون روایة تحدد مصداق الآیة، أنها فی الخمسة أهل العباء، تعنی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وعلی، وفاطمة و الحسن و الحسین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أهل السنة نُقل حوالی أربعون سنداً، ومن جملتها فی الدر المنثور للسیوطی، </w:t>
      </w:r>
      <w:r>
        <w:rPr>
          <w:rStyle w:val="FootnoteAnchor"/>
          <w:rtl w:val="true"/>
        </w:rPr>
        <w:footnoteReference w:id="486"/>
      </w:r>
      <w:r>
        <w:rPr>
          <w:rFonts w:ascii="IRNazanin" w:hAnsi="IRNazanin" w:eastAsia="IRNazanin"/>
          <w:color w:val="111111"/>
          <w:sz w:val="28"/>
          <w:sz w:val="28"/>
          <w:szCs w:val="28"/>
          <w:rtl w:val="true"/>
          <w:lang w:bidi="fa-IR"/>
        </w:rPr>
        <w:t xml:space="preserve">و جامع البیان للطبری، </w:t>
      </w:r>
      <w:r>
        <w:rPr>
          <w:rStyle w:val="FootnoteAnchor"/>
          <w:rtl w:val="true"/>
        </w:rPr>
        <w:footnoteReference w:id="487"/>
      </w:r>
      <w:r>
        <w:rPr>
          <w:rFonts w:ascii="IRNazanin" w:hAnsi="IRNazanin" w:eastAsia="IRNazanin"/>
          <w:color w:val="111111"/>
          <w:sz w:val="28"/>
          <w:sz w:val="28"/>
          <w:szCs w:val="28"/>
          <w:rtl w:val="true"/>
          <w:lang w:bidi="fa-IR"/>
        </w:rPr>
        <w:t>ولکلّ منهما جاءت ما یقارب الخمس عشرة روایة تثبت ما بیناه أعلاه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نقل أبو سعید الخُدری، بأسانید متعدّدة عن رسول الله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هذه الآیة فی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وفی علی وحسن، وحسین علیهم السّلام وفاطمة علیهم السّلام</w:t>
      </w:r>
      <w:bookmarkStart w:id="408" w:name="pg5285_67313"/>
    </w:p>
    <w:p>
      <w:pPr>
        <w:pStyle w:val="BookText"/>
        <w:rPr/>
      </w:pPr>
      <w:bookmarkEnd w:id="40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یُرِیدُ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88"/>
      </w:r>
      <w:r>
        <w:rPr>
          <w:rFonts w:ascii="IRNazanin" w:hAnsi="IRNazanin" w:eastAsia="IRNazanin"/>
          <w:color w:val="111111"/>
          <w:sz w:val="28"/>
          <w:sz w:val="28"/>
          <w:szCs w:val="28"/>
          <w:rtl w:val="true"/>
          <w:lang w:bidi="fa-IR"/>
        </w:rPr>
        <w:t>مع أنّ مفهوم أهل‌البیت فی زمن نزول الآیة شُخّص فی الخمسة المذکورین، إلاّ أنّه لا یقتصر علیهم علیهم السّلام، بل هو طبقاً للروایات الکثیرة الواردة عن رسول الله صلّی الله علیه و آله أنّه عرّف أهل‌البیت علیهم السّلام بشکل کامل، وذلک بضمیمة تسعه من ذریة الحسین علیه السّلام؛ فیکون المراد من أهل البیت علیهم السّلام و الأئمة الاثنی عشر المتفق علیهم لدی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جاء فی روایة أنّ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صلّینا مع رسول الله صلّی الله علیه و آله صلاة الصبح، ثمّ التفت إلینا رسول الله صلّی الله علیه و آله بوجهه،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أصحابی، مَن أحبَّ أهل بیتی حُشر معنا، ومَن استمسک بأوصیائی من بعدی، فقد استمسک بالعروة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إلیه أبوذّر الغفاری،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کم الأئمّة من بعدک؟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نقباء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أهل بیتک؟ 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من أهل بیتی علیهم السّلام، تسعة من صُلب الحسین، والمهدیّ منهم</w:t>
      </w:r>
      <w:r>
        <w:rPr>
          <w:rFonts w:eastAsia="IRNazanin" w:cs="IRNazanin"/>
          <w:color w:val="111111"/>
          <w:sz w:val="28"/>
          <w:szCs w:val="28"/>
          <w:rtl w:val="true"/>
          <w:lang w:bidi="fa-IR"/>
        </w:rPr>
        <w:t xml:space="preserve">».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وفی بعض الروایات أورد وبشکلٍ کاملٍ أسماء اثنی عشر إماماً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جاءت فی صحاح أهل السنة کذلک روایات مشابهة، ومن جملتها ما نقله جابر بن سمرة،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الإسلام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الأمر لا ینقضی حتّی یمضی فیهم اثنا عشر خلیفة</w:t>
      </w:r>
      <w:r>
        <w:rPr>
          <w:rFonts w:eastAsia="IRNazanin" w:cs="IRNazanin"/>
          <w:color w:val="111111"/>
          <w:sz w:val="28"/>
          <w:szCs w:val="28"/>
          <w:rtl w:val="true"/>
          <w:lang w:bidi="fa-IR"/>
        </w:rPr>
        <w:t xml:space="preserve">...». </w:t>
      </w:r>
      <w:r>
        <w:rPr>
          <w:rStyle w:val="FootnoteAnchor"/>
          <w:rtl w:val="true"/>
        </w:rPr>
        <w:footnoteReference w:id="490"/>
      </w:r>
    </w:p>
    <w:p>
      <w:pPr>
        <w:pStyle w:val="Heading3"/>
        <w:numPr>
          <w:ilvl w:val="2"/>
          <w:numId w:val="1"/>
        </w:numPr>
        <w:rPr/>
      </w:pPr>
      <w:bookmarkStart w:id="409" w:name="__RefHeading___Toc634123_581953129"/>
      <w:bookmarkStart w:id="410" w:name="_Toc157"/>
      <w:bookmarkEnd w:id="409"/>
      <w:r>
        <w:rPr>
          <w:rtl w:val="true"/>
        </w:rPr>
        <w:t>سعة علم اهل البیت بالقرآن</w:t>
      </w:r>
      <w:bookmarkEnd w:id="410"/>
    </w:p>
    <w:p>
      <w:pPr>
        <w:pStyle w:val="Heading4"/>
        <w:numPr>
          <w:ilvl w:val="3"/>
          <w:numId w:val="1"/>
        </w:numPr>
        <w:rPr/>
      </w:pPr>
      <w:bookmarkStart w:id="411" w:name="__RefHeading___Toc634125_581953129"/>
      <w:bookmarkStart w:id="412" w:name="_Toc158"/>
      <w:bookmarkEnd w:id="411"/>
      <w:r>
        <w:rPr>
          <w:rtl w:val="true"/>
        </w:rPr>
        <w:t>اشارة</w:t>
      </w:r>
      <w:bookmarkEnd w:id="412"/>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ینهل الأئمّة علیهم السّلام علوم القرآن الکریم عن طریق علم علی علیه السّلام، والذی هو عن رسول الله صلّی الله علیه و آله، وینتقل هذا العلم الإلهی إلی أبنائه عن طریق التوارث و الترکة، فأهل‌البیت علیهم السّلام هم خزائن العلم الإلهی، وورثة علوم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من علوم</w:t>
      </w:r>
    </w:p>
    <w:p>
      <w:pPr>
        <w:pStyle w:val="BookText"/>
        <w:rPr/>
      </w:pPr>
      <w:r>
        <w:rPr>
          <w:rFonts w:ascii="IRNazanin" w:hAnsi="IRNazanin" w:eastAsia="IRNazanin"/>
          <w:color w:val="111111"/>
          <w:sz w:val="28"/>
          <w:sz w:val="28"/>
          <w:szCs w:val="28"/>
          <w:rtl w:val="true"/>
          <w:lang w:bidi="fa-IR"/>
        </w:rPr>
        <w:t>نازلة من البارئ تعالی إلی البشریة عن طریق الوحی، فهی عندهم؛ فهم أعلم وأخبر بکتاب الله وسنّة رسوله صلّی الله علیه و آله من سائر الناس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یقول الإمام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خزّان علم الله، ونحن تراجمة وحی الله</w:t>
      </w:r>
      <w:r>
        <w:rPr>
          <w:rFonts w:eastAsia="IRNazanin" w:cs="IRNazanin"/>
          <w:color w:val="111111"/>
          <w:sz w:val="28"/>
          <w:szCs w:val="28"/>
          <w:rtl w:val="true"/>
          <w:lang w:bidi="fa-IR"/>
        </w:rPr>
        <w:t xml:space="preserve">».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 xml:space="preserve">وروی عنه علیه السّلام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خزّان الله فی الدنیا و الآخرة</w:t>
      </w:r>
      <w:r>
        <w:rPr>
          <w:rFonts w:eastAsia="IRNazanin" w:cs="IRNazanin"/>
          <w:color w:val="111111"/>
          <w:sz w:val="28"/>
          <w:szCs w:val="28"/>
          <w:rtl w:val="true"/>
          <w:lang w:bidi="fa-IR"/>
        </w:rPr>
        <w:t xml:space="preserve">».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العلوم الحقیقیة التی تحتاج إلیها البشریة، ممّا هو ضروری لهدایتهم ونجاتهم موجود عند أئمّة أهل‌البیت علیهم السّلام؛ لأنّهم الأعرف من غیرهم بکتاب الله وتفسیره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الذین عندنا علم الکتاب</w:t>
      </w:r>
      <w:r>
        <w:rPr>
          <w:rFonts w:eastAsia="IRNazanin" w:cs="IRNazanin"/>
          <w:color w:val="111111"/>
          <w:sz w:val="28"/>
          <w:szCs w:val="28"/>
          <w:rtl w:val="true"/>
          <w:lang w:bidi="fa-IR"/>
        </w:rPr>
        <w:t xml:space="preserve">.»....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وفی روایة عن الإمام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إنّی لأعلم کتاب الله من أوّله إلی آخره کأنّه فی کفّی، فیه خبر السماء وخبر الأرض، وخبر ما کان وخبر ما هو کائن، 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تبیان کلّ شیء</w:t>
      </w:r>
      <w:r>
        <w:rPr>
          <w:rFonts w:eastAsia="IRNazanin" w:cs="IRNazanin"/>
          <w:color w:val="111111"/>
          <w:sz w:val="28"/>
          <w:szCs w:val="28"/>
          <w:rtl w:val="true"/>
          <w:lang w:bidi="fa-IR"/>
        </w:rPr>
        <w:t xml:space="preserve">.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وفی روایة عبیدة السلمانی، وعلقمة بن قیس، وأسود بن یزید النخعی، أنّهم سألوا الإمام علیاً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أشکلِ علینا فهم شیء من معانی القرآن، فإلی مَن نرجع؟ فأجابهم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سلوا عن ذلک آل محمّد</w:t>
      </w:r>
      <w:r>
        <w:rPr>
          <w:rFonts w:eastAsia="IRNazanin" w:cs="IRNazanin"/>
          <w:color w:val="111111"/>
          <w:sz w:val="28"/>
          <w:szCs w:val="28"/>
          <w:rtl w:val="true"/>
          <w:lang w:bidi="fa-IR"/>
        </w:rPr>
        <w:t xml:space="preserve">».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وقال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أهل‌البیت علیهم السّلام لم یزل الله یبعث منّا مَن یعلم کتابه من أوّله إلی آخره</w:t>
      </w:r>
      <w:r>
        <w:rPr>
          <w:rFonts w:eastAsia="IRNazanin" w:cs="IRNazanin"/>
          <w:color w:val="111111"/>
          <w:sz w:val="28"/>
          <w:szCs w:val="28"/>
          <w:rtl w:val="true"/>
          <w:lang w:bidi="fa-IR"/>
        </w:rPr>
        <w:t xml:space="preserve">». </w:t>
      </w:r>
      <w:r>
        <w:rPr>
          <w:rStyle w:val="FootnoteAnchor"/>
          <w:rtl w:val="true"/>
        </w:rPr>
        <w:footnoteReference w:id="496"/>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ونقل عبد الرحمان بن کثیر، عن الإمام الصادق علیه السّلام حول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الَّذِی</w:t>
      </w:r>
      <w:bookmarkStart w:id="413" w:name="pg5285_67317"/>
    </w:p>
    <w:p>
      <w:pPr>
        <w:pStyle w:val="BookText"/>
        <w:rPr/>
      </w:pPr>
      <w:bookmarkEnd w:id="413"/>
      <w:r>
        <w:rPr>
          <w:rFonts w:ascii="Amiri" w:hAnsi="Amiri" w:eastAsia="Amiri" w:cs="Amiri"/>
          <w:color w:val="111111"/>
          <w:sz w:val="28"/>
          <w:sz w:val="28"/>
          <w:szCs w:val="28"/>
          <w:rtl w:val="true"/>
          <w:lang w:bidi="ar-SA"/>
        </w:rPr>
        <w:t>عِنْدَهُ عِلْمٌ مِنَ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9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فَفَرجَ أبوعبد اللّه علیه السّلام بین أصابعه فوضعها فی صدره،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وعندنا و الله علم الکتاب کُلّه</w:t>
      </w:r>
      <w:r>
        <w:rPr>
          <w:rFonts w:eastAsia="IRNazanin" w:cs="IRNazanin"/>
          <w:color w:val="111111"/>
          <w:sz w:val="28"/>
          <w:szCs w:val="28"/>
          <w:rtl w:val="true"/>
          <w:lang w:bidi="fa-IR"/>
        </w:rPr>
        <w:t xml:space="preserve">».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وواضح أنّه أراد من الکتاب المعنی العام الذی تعود إلیه جمیع الکتب السماویة، وبالاستفادة من هذه الروایات، تتجلّی سعة علم أهل‌البیت علیهم السّلام بالنسبة إلی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المقارنة بین تفسیر هذا الکتاب السماوی، وبین علوم جمیع الخلائق یکون هو أفضل العلوم وأشرفها، وعلیه فلا یمکن الوصول إلی مستوی ما علیه أهل البیت علیهم السّلام من علم ومعرفة، والوصول إلی حدود معلوماتهم المترامیة الأبعاد، ولکن نحن نشیر هنا إلی مجمل بعض ما عندهم من علم بکتاب الله العزیز</w:t>
      </w:r>
      <w:r>
        <w:rPr>
          <w:rFonts w:eastAsia="IRNazanin" w:cs="IRNazanin"/>
          <w:color w:val="111111"/>
          <w:sz w:val="28"/>
          <w:szCs w:val="28"/>
          <w:rtl w:val="true"/>
          <w:lang w:bidi="fa-IR"/>
        </w:rPr>
        <w:t>.</w:t>
      </w:r>
    </w:p>
    <w:p>
      <w:pPr>
        <w:pStyle w:val="Heading4"/>
        <w:numPr>
          <w:ilvl w:val="3"/>
          <w:numId w:val="1"/>
        </w:numPr>
        <w:rPr/>
      </w:pPr>
      <w:bookmarkStart w:id="414" w:name="__RefHeading___Toc634127_581953129"/>
      <w:bookmarkStart w:id="415" w:name="_Toc159"/>
      <w:bookmarkEnd w:id="414"/>
      <w:r>
        <w:rPr/>
        <w:t>1</w:t>
      </w:r>
      <w:r>
        <w:rPr>
          <w:rtl w:val="true"/>
        </w:rPr>
        <w:t xml:space="preserve">. </w:t>
      </w:r>
      <w:r>
        <w:rPr>
          <w:rtl w:val="true"/>
        </w:rPr>
        <w:t>العلوم الغیبیة</w:t>
      </w:r>
      <w:bookmarkEnd w:id="415"/>
    </w:p>
    <w:p>
      <w:pPr>
        <w:pStyle w:val="BookText"/>
        <w:rPr/>
      </w:pPr>
      <w:r>
        <w:rPr>
          <w:rStyle w:val="FootnoteAnchor"/>
          <w:rtl w:val="true"/>
        </w:rPr>
        <w:footnoteReference w:id="4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إمکانیة استخراج الحوادث و الوقائع المستقبلیة فی حیاة الأفراد و الجماعات من القرآن، هو ممّا یصرّح به الأئمّة الأطهار علیهم السّلام؛ وذلک لأنّ المعارف و الحوادث و الوقائع المستقبلیة هی قابلة للاستنباط من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 علی سبعة أوجه،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ومنه ما لم یکن بعدُ، تَعْرِفُهُ الأئمّة علیهم السّلام</w:t>
      </w:r>
      <w:r>
        <w:rPr>
          <w:rFonts w:eastAsia="IRNazanin" w:cs="IRNazanin"/>
          <w:color w:val="111111"/>
          <w:sz w:val="28"/>
          <w:szCs w:val="28"/>
          <w:rtl w:val="true"/>
          <w:lang w:bidi="fa-IR"/>
        </w:rPr>
        <w:t xml:space="preserve">».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والمستفاد فی هذه الروایة حقیقتان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فی القرآن معارف متّصلة بالمستقبل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الأئمّة المعصومین علیهم السّلام یعرفون هذه العلوم الغیبیة</w:t>
      </w:r>
      <w:r>
        <w:rPr>
          <w:rFonts w:eastAsia="IRNazanin" w:cs="IRNazanin"/>
          <w:color w:val="111111"/>
          <w:sz w:val="28"/>
          <w:szCs w:val="28"/>
          <w:rtl w:val="true"/>
          <w:lang w:bidi="fa-IR"/>
        </w:rPr>
        <w:t>.</w:t>
      </w:r>
      <w:bookmarkStart w:id="416" w:name="pg5285_67319"/>
    </w:p>
    <w:p>
      <w:pPr>
        <w:pStyle w:val="Heading4"/>
        <w:numPr>
          <w:ilvl w:val="3"/>
          <w:numId w:val="1"/>
        </w:numPr>
        <w:rPr/>
      </w:pPr>
      <w:bookmarkStart w:id="417" w:name="__RefHeading___Toc634129_581953129"/>
      <w:bookmarkStart w:id="418" w:name="_Toc160"/>
      <w:bookmarkEnd w:id="416"/>
      <w:bookmarkEnd w:id="417"/>
      <w:r>
        <w:rPr/>
        <w:t>2</w:t>
      </w:r>
      <w:r>
        <w:rPr>
          <w:rtl w:val="true"/>
        </w:rPr>
        <w:t xml:space="preserve">. </w:t>
      </w:r>
      <w:r>
        <w:rPr>
          <w:rtl w:val="true"/>
        </w:rPr>
        <w:t>تفصیل الأحکام</w:t>
      </w:r>
      <w:bookmarkEnd w:id="418"/>
    </w:p>
    <w:p>
      <w:pPr>
        <w:pStyle w:val="BookText"/>
        <w:rPr/>
      </w:pPr>
      <w:r>
        <w:rPr>
          <w:rFonts w:ascii="IRNazanin" w:hAnsi="IRNazanin" w:eastAsia="IRNazanin"/>
          <w:color w:val="111111"/>
          <w:sz w:val="28"/>
          <w:sz w:val="28"/>
          <w:szCs w:val="28"/>
          <w:rtl w:val="true"/>
          <w:lang w:bidi="fa-IR"/>
        </w:rPr>
        <w:t>إنّ واحدة من فروع العلم الواسع لأهل‌البیت علیهم السّلام، هی اطلاعهم علی ما یخصّ تفصیل الأحکام و الحدود الفقهیة لآیات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هذا العلم مأخوذ من الآباء و الأجداد، کما جاء فی الروایة التی تتحدّث عن کتاب الجامعة لعلی بن أبی‌طالب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یتوارثه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الکتاب هو من إملاء رسول الله صلّی الله علیه و آله وخطّ علی علیه السّلام، وجاءت فیه جمیع فروع أحکام الحلال و الحرام، و هو الآن عند آخر الحجج،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المهدی، الحجّة المنتظر، محمّد بن الحسن العسکری عجّل الله تعالی فرجه الشریف</w:t>
      </w:r>
      <w:r>
        <w:rPr>
          <w:rFonts w:eastAsia="IRNazanin" w:cs="IRNazanin"/>
          <w:color w:val="111111"/>
          <w:sz w:val="28"/>
          <w:szCs w:val="28"/>
          <w:rtl w:val="true"/>
          <w:lang w:bidi="fa-IR"/>
        </w:rPr>
        <w:t xml:space="preserve">. </w:t>
      </w:r>
      <w:r>
        <w:rPr>
          <w:rStyle w:val="FootnoteAnchor"/>
          <w:rtl w:val="true"/>
        </w:rPr>
        <w:footnoteReference w:id="501"/>
      </w:r>
    </w:p>
    <w:p>
      <w:pPr>
        <w:pStyle w:val="Heading4"/>
        <w:numPr>
          <w:ilvl w:val="3"/>
          <w:numId w:val="1"/>
        </w:numPr>
        <w:rPr/>
      </w:pPr>
      <w:bookmarkStart w:id="419" w:name="__RefHeading___Toc634131_581953129"/>
      <w:bookmarkStart w:id="420" w:name="_Toc161"/>
      <w:bookmarkEnd w:id="419"/>
      <w:r>
        <w:rPr/>
        <w:t>3</w:t>
      </w:r>
      <w:r>
        <w:rPr>
          <w:rtl w:val="true"/>
        </w:rPr>
        <w:t xml:space="preserve">. </w:t>
      </w:r>
      <w:r>
        <w:rPr>
          <w:rtl w:val="true"/>
        </w:rPr>
        <w:t>العلم بظاهر وباطن القرآن</w:t>
      </w:r>
      <w:bookmarkEnd w:id="420"/>
    </w:p>
    <w:p>
      <w:pPr>
        <w:pStyle w:val="BookText"/>
        <w:rPr/>
      </w:pPr>
      <w:r>
        <w:rPr>
          <w:rFonts w:ascii="IRNazanin" w:hAnsi="IRNazanin" w:eastAsia="IRNazanin"/>
          <w:color w:val="111111"/>
          <w:sz w:val="28"/>
          <w:sz w:val="28"/>
          <w:szCs w:val="28"/>
          <w:rtl w:val="true"/>
          <w:lang w:bidi="fa-IR"/>
        </w:rPr>
        <w:t>إنّ القرآن الکریم له بُعدان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الظاهری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البُعد الباطنی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بعض الروایات 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للقرآن ظهراً و بطناً، ولبطنه بطناً إلی سبعة أبطن</w:t>
      </w:r>
      <w:r>
        <w:rPr>
          <w:rFonts w:eastAsia="IRNazanin" w:cs="IRNazanin"/>
          <w:color w:val="111111"/>
          <w:sz w:val="28"/>
          <w:szCs w:val="28"/>
          <w:rtl w:val="true"/>
          <w:lang w:bidi="fa-IR"/>
        </w:rPr>
        <w:t xml:space="preserve">». </w:t>
      </w:r>
      <w:r>
        <w:rPr>
          <w:rStyle w:val="FootnoteAnchor"/>
          <w:rtl w:val="true"/>
        </w:rPr>
        <w:footnoteReference w:id="502"/>
      </w:r>
      <w:r>
        <w:rPr>
          <w:rFonts w:ascii="IRNazanin" w:hAnsi="IRNazanin" w:eastAsia="IRNazanin"/>
          <w:color w:val="111111"/>
          <w:sz w:val="28"/>
          <w:sz w:val="28"/>
          <w:szCs w:val="28"/>
          <w:rtl w:val="true"/>
          <w:lang w:bidi="fa-IR"/>
        </w:rPr>
        <w:t>و قد کان رسول الله صلّی الله علیه و آله وأهل بیته المعصومین علیهم السّلام یعلمون ذلک وبشکل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انزل علی سبعة أحرف، ما منها إلاّ له ظهر و بطن، و إنَّ علیاً عنده علم الظاهر و الباطن</w:t>
      </w:r>
      <w:r>
        <w:rPr>
          <w:rFonts w:eastAsia="IRNazanin" w:cs="IRNazanin"/>
          <w:color w:val="111111"/>
          <w:sz w:val="28"/>
          <w:szCs w:val="28"/>
          <w:rtl w:val="true"/>
          <w:lang w:bidi="fa-IR"/>
        </w:rPr>
        <w:t xml:space="preserve">. </w:t>
      </w:r>
      <w:r>
        <w:rPr>
          <w:rStyle w:val="FootnoteAnchor"/>
          <w:rtl w:val="true"/>
        </w:rPr>
        <w:footnoteReference w:id="503"/>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فی روایة أخری عن الإمام الباقر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یستطیع أحد أنّ یدّعی أنّه جمع القرآن کلّه ظاهره و باطنه غیر الأوصیاء</w:t>
      </w:r>
      <w:r>
        <w:rPr>
          <w:rFonts w:eastAsia="IRNazanin" w:cs="IRNazanin"/>
          <w:color w:val="111111"/>
          <w:sz w:val="28"/>
          <w:szCs w:val="28"/>
          <w:rtl w:val="true"/>
          <w:lang w:bidi="fa-IR"/>
        </w:rPr>
        <w:t xml:space="preserve">». </w:t>
      </w:r>
      <w:r>
        <w:rPr>
          <w:rStyle w:val="FootnoteAnchor"/>
          <w:rtl w:val="true"/>
        </w:rPr>
        <w:footnoteReference w:id="504"/>
      </w:r>
      <w:bookmarkStart w:id="421" w:name="pg5285_67321"/>
    </w:p>
    <w:p>
      <w:pPr>
        <w:pStyle w:val="BookText"/>
        <w:rPr/>
      </w:pPr>
      <w:bookmarkEnd w:id="421"/>
      <w:r>
        <w:rPr>
          <w:rFonts w:ascii="IRNazanin" w:hAnsi="IRNazanin" w:eastAsia="IRNazanin"/>
          <w:color w:val="111111"/>
          <w:sz w:val="28"/>
          <w:sz w:val="28"/>
          <w:szCs w:val="28"/>
          <w:rtl w:val="true"/>
          <w:lang w:bidi="fa-IR"/>
        </w:rPr>
        <w:t xml:space="preserve">وهناک أبعاد أخری تبین سعة علمهم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بتأویل القرآن، و العلم بالاسم الأعظم و معرفة کلّ اللغات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یمکن التعرّف علیها من خلال مراجعة موسوعة بحار الأنوار </w:t>
      </w:r>
      <w:r>
        <w:rPr>
          <w:rStyle w:val="FootnoteAnchor"/>
          <w:rtl w:val="true"/>
        </w:rPr>
        <w:footnoteReference w:id="505"/>
      </w:r>
      <w:r>
        <w:rPr>
          <w:rFonts w:ascii="IRNazanin" w:hAnsi="IRNazanin" w:eastAsia="IRNazanin"/>
          <w:color w:val="111111"/>
          <w:sz w:val="28"/>
          <w:sz w:val="28"/>
          <w:szCs w:val="28"/>
          <w:rtl w:val="true"/>
          <w:lang w:bidi="fa-IR"/>
        </w:rPr>
        <w:t>والکافی المجلّد الأول؛ وأهل‌البیت فی القرآن و السنّة، لمحمّدی ری شهری</w:t>
      </w:r>
      <w:r>
        <w:rPr>
          <w:rFonts w:eastAsia="IRNazanin" w:cs="IRNazanin"/>
          <w:color w:val="111111"/>
          <w:sz w:val="28"/>
          <w:szCs w:val="28"/>
          <w:rtl w:val="true"/>
          <w:lang w:bidi="fa-IR"/>
        </w:rPr>
        <w:t>.</w:t>
      </w:r>
    </w:p>
    <w:p>
      <w:pPr>
        <w:pStyle w:val="Heading3"/>
        <w:numPr>
          <w:ilvl w:val="2"/>
          <w:numId w:val="1"/>
        </w:numPr>
        <w:rPr/>
      </w:pPr>
      <w:bookmarkStart w:id="422" w:name="__RefHeading___Toc634133_581953129"/>
      <w:bookmarkStart w:id="423" w:name="_Toc162"/>
      <w:bookmarkEnd w:id="422"/>
      <w:r>
        <w:rPr>
          <w:rtl w:val="true"/>
        </w:rPr>
        <w:t>حجیة قول أهل البیت علیهم السّلام فی التفسیر</w:t>
      </w:r>
      <w:bookmarkEnd w:id="423"/>
    </w:p>
    <w:p>
      <w:pPr>
        <w:pStyle w:val="BookText"/>
        <w:rPr/>
      </w:pPr>
      <w:r>
        <w:rPr>
          <w:rFonts w:ascii="Amiri" w:hAnsi="Amiri" w:eastAsia="Amiri" w:cs="Amiri"/>
          <w:color w:val="111111"/>
          <w:sz w:val="28"/>
          <w:sz w:val="28"/>
          <w:szCs w:val="28"/>
          <w:rtl w:val="true"/>
          <w:lang w:bidi="ar-SA"/>
        </w:rPr>
        <w:t>تُصرّح الآیات بحُجیة قول الرسول صلّی الله علیه و آله فی التفسیر وبیان آیات القرآن الکریم، ومنها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إِلَیْکَ الذِّکْرَ لِتُبَیِّنَ لِلنّاسِ ما نُزِّلَ إِلَیْهِمْ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لأنّ هذه الآیة الشریفة تبین أنّ مهمّة الرسول الرئیسة هی بیان الآیات النازلة، وهکذا ما تضمّنته الآیة التاسعة من سورة الحشر، والتی تثبت نفس هذا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وفیما یخصّ أهل بیت النبی صلّی الله علیه و آله فإنّ حُجیتهم التفسیریة، وغیر ذلک تثبت من خلال حدیث الثقلین، والذی نقل بالتواتر،</w:t>
      </w:r>
    </w:p>
    <w:p>
      <w:pPr>
        <w:pStyle w:val="BookText"/>
        <w:rPr/>
      </w:pPr>
      <w:r>
        <w:rPr>
          <w:rFonts w:ascii="IRNazanin" w:hAnsi="IRNazanin" w:eastAsia="IRNazanin"/>
          <w:color w:val="111111"/>
          <w:sz w:val="28"/>
          <w:sz w:val="28"/>
          <w:szCs w:val="28"/>
          <w:rtl w:val="true"/>
          <w:lang w:bidi="fa-IR"/>
        </w:rPr>
        <w:t>ویمکن فی ذلک الرجوع إلی تفسیر المیزان</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و قد ذکر استدلاله علی حجیة قول أهل بیت النبی صلّی الله علیه و آله فی التفسیر کذلک من آیة التطهیر الواردة فی سورة الأحزاب الآیة الثالثة و الثلاثون، و کذلک الآیة التی جاء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یَمَسُّهُ إِلاَّ الْمُطَهَّرُونَ</w:t>
      </w:r>
      <w:r>
        <w:rPr>
          <w:rFonts w:eastAsia="IRNazanin" w:cs="IRNazanin"/>
          <w:color w:val="111111"/>
          <w:sz w:val="28"/>
          <w:szCs w:val="28"/>
          <w:rtl w:val="true"/>
          <w:lang w:bidi="fa-IR"/>
        </w:rPr>
        <w:t xml:space="preserve">) . </w:t>
      </w:r>
      <w:r>
        <w:rPr>
          <w:rStyle w:val="FootnoteAnchor"/>
          <w:rtl w:val="true"/>
        </w:rPr>
        <w:footnoteReference w:id="507"/>
      </w:r>
      <w:r>
        <w:rPr>
          <w:rFonts w:ascii="IRNazanin" w:hAnsi="IRNazanin" w:eastAsia="IRNazanin"/>
          <w:color w:val="111111"/>
          <w:sz w:val="28"/>
          <w:sz w:val="28"/>
          <w:szCs w:val="28"/>
          <w:rtl w:val="true"/>
          <w:lang w:bidi="fa-IR"/>
        </w:rPr>
        <w:t xml:space="preserve">و </w:t>
      </w:r>
      <w:r>
        <w:rPr>
          <w:rStyle w:val="FootnoteAnchor"/>
          <w:rtl w:val="true"/>
        </w:rPr>
        <w:footnoteReference w:id="508"/>
      </w:r>
    </w:p>
    <w:p>
      <w:pPr>
        <w:pStyle w:val="Heading3"/>
        <w:numPr>
          <w:ilvl w:val="2"/>
          <w:numId w:val="1"/>
        </w:numPr>
        <w:rPr/>
      </w:pPr>
      <w:bookmarkStart w:id="424" w:name="__RefHeading___Toc634135_581953129"/>
      <w:bookmarkStart w:id="425" w:name="_Toc163"/>
      <w:bookmarkEnd w:id="424"/>
      <w:r>
        <w:rPr>
          <w:rtl w:val="true"/>
        </w:rPr>
        <w:t>دور أهل البیت علیهم السّلام فی تفسیر القرآن</w:t>
      </w:r>
      <w:bookmarkEnd w:id="425"/>
    </w:p>
    <w:p>
      <w:pPr>
        <w:pStyle w:val="Heading4"/>
        <w:numPr>
          <w:ilvl w:val="3"/>
          <w:numId w:val="1"/>
        </w:numPr>
        <w:rPr/>
      </w:pPr>
      <w:bookmarkStart w:id="426" w:name="__RefHeading___Toc634137_581953129"/>
      <w:bookmarkStart w:id="427" w:name="_Toc164"/>
      <w:bookmarkEnd w:id="426"/>
      <w:r>
        <w:rPr>
          <w:rtl w:val="true"/>
        </w:rPr>
        <w:t>اشارة</w:t>
      </w:r>
      <w:bookmarkEnd w:id="427"/>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مکانة ودور أهل‌البیت علیهم السّلام فی نشر المعانی القرآنیة وبیان حقائق القرآن، وعلی</w:t>
      </w:r>
    </w:p>
    <w:p>
      <w:pPr>
        <w:pStyle w:val="BookText"/>
        <w:rPr/>
      </w:pPr>
      <w:r>
        <w:rPr>
          <w:rFonts w:ascii="IRNazanin" w:hAnsi="IRNazanin" w:eastAsia="IRNazanin"/>
          <w:color w:val="111111"/>
          <w:sz w:val="28"/>
          <w:sz w:val="28"/>
          <w:szCs w:val="28"/>
          <w:rtl w:val="true"/>
          <w:lang w:bidi="fa-IR"/>
        </w:rPr>
        <w:t>الخصوص تفسیر القرآن الکریم، هو دور رئیس، وکانت هذه المهمّة متزامنة فی بدایتها مع دور الرسول صلّی الله علیه و آله المؤثّر فی تفسیر آیات القرآن، وتربیة کوادر المفسّرین من الصحابة الأجلاّء، ومن جملتهم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علی علیه السّلام باعتبار أنّه سید المفسّرین، وأعلم الأشخاص بظاهر القرآن وباطنه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علَّم رسول الله صلّی الله علیه و آله علیاً علیه السّلام کلّ مسائل الوحی و الشریعة باعتباره التلمیذ الخاصّ لیقوم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بتربیة کوادر المفسّرین بشکل یمکّنهم من النفوذ إلی ثقافة وعلوم ذلک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یوجد أحد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ما لهم من علم أو مکانة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نفسه مستغنیاً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فأکابر المفسّرین من الصحابة بعد الإمام علی علیه السّلام، من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وابن مسعود، وأبی ابن کعب، یعترفون بأنّ علمه لا نظیر له، بل إنّهم فی کثیر من الموضوعات التفسیریة یرون أنفسهم مدینین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أخذت من تفسیر القرآن فَعَن علی بن أبی‌طالب علیه السّلام</w:t>
      </w:r>
      <w:r>
        <w:rPr>
          <w:rFonts w:eastAsia="IRNazanin" w:cs="IRNazanin"/>
          <w:color w:val="111111"/>
          <w:sz w:val="28"/>
          <w:szCs w:val="28"/>
          <w:rtl w:val="true"/>
          <w:lang w:bidi="fa-IR"/>
        </w:rPr>
        <w:t xml:space="preserve">.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إنّ ابن مسعود باتّصاله وعلاقته الفکریة بالإمام علی علیه السّلام یری أنّ علمه هی انعکاس لعلم علی علیه السّلام،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أخذتُ التفسیر من علی علیه السّلام ومنه استفدتُ، و قد عرضت علیه معلوماتی، ومن غیر شک فإنّ علیاً أفضل وأعلم الناس بعد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ومضافاً علی ذلک، فإنّ هذه المنهجیة استمرت فی أئمة أهل بیته المعصومین علیهم السّلام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کانوا یفیضون بالعلوم الواسعه، والثقافة القرآنیة علی الآخرین حتّی أنّ السیدة زینب بنت علی کانت تعلّم نساء عصرها القرآن وتفسیره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ذلک فإنّ مفهوم أهل‌البیت علیهم السّلام طبقاً للروایات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واسعاً یضمّ الأئمّة المعصومین علیهم السّلام ویشملهم</w:t>
      </w:r>
      <w:r>
        <w:rPr>
          <w:rFonts w:eastAsia="IRNazanin" w:cs="IRNazanin"/>
          <w:color w:val="111111"/>
          <w:sz w:val="28"/>
          <w:szCs w:val="28"/>
          <w:rtl w:val="true"/>
          <w:lang w:bidi="fa-IR"/>
        </w:rPr>
        <w:t>.</w:t>
      </w:r>
      <w:bookmarkStart w:id="428" w:name="pg5285_67325"/>
    </w:p>
    <w:p>
      <w:pPr>
        <w:pStyle w:val="BookText"/>
        <w:rPr/>
      </w:pPr>
      <w:bookmarkEnd w:id="428"/>
      <w:r>
        <w:rPr>
          <w:rFonts w:ascii="IRNazanin" w:hAnsi="IRNazanin" w:eastAsia="IRNazanin"/>
          <w:color w:val="111111"/>
          <w:sz w:val="28"/>
          <w:sz w:val="28"/>
          <w:szCs w:val="28"/>
          <w:rtl w:val="true"/>
          <w:lang w:bidi="fa-IR"/>
        </w:rPr>
        <w:t>ولقد کان دور الأئمّة الأطهار علیهم السّلام فی نشر الثقافة القرآنیة دوراً أساسیاً، و إن أهم هذه الأدوارهی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 و التربیة و التعلیم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تربیة وإعداد المفسّرین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أسس وأصول الهدایة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مواجهة الانحرافات الفکریة و الطرق غیر الصحیحة فی التفسیر،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الإسرائیلیات و التفسیر بالرأی، والقیاس والاستحسان</w:t>
      </w:r>
      <w:r>
        <w:rPr>
          <w:rFonts w:eastAsia="IRNazanin" w:cs="IRNazanin"/>
          <w:color w:val="111111"/>
          <w:sz w:val="28"/>
          <w:szCs w:val="28"/>
          <w:rtl w:val="true"/>
          <w:lang w:bidi="fa-IR"/>
        </w:rPr>
        <w:t>.</w:t>
      </w:r>
    </w:p>
    <w:p>
      <w:pPr>
        <w:pStyle w:val="Heading4"/>
        <w:numPr>
          <w:ilvl w:val="3"/>
          <w:numId w:val="1"/>
        </w:numPr>
        <w:rPr/>
      </w:pPr>
      <w:bookmarkStart w:id="429" w:name="__RefHeading___Toc634139_581953129"/>
      <w:bookmarkStart w:id="430" w:name="_Toc165"/>
      <w:bookmarkEnd w:id="429"/>
      <w:r>
        <w:rPr/>
        <w:t>1</w:t>
      </w:r>
      <w:r>
        <w:rPr>
          <w:rtl w:val="true"/>
        </w:rPr>
        <w:t xml:space="preserve">. </w:t>
      </w:r>
      <w:r>
        <w:rPr>
          <w:rtl w:val="true"/>
        </w:rPr>
        <w:t>دور التربیة و التعلیم فی التفسیر</w:t>
      </w:r>
      <w:bookmarkEnd w:id="430"/>
    </w:p>
    <w:p>
      <w:pPr>
        <w:pStyle w:val="BookText"/>
        <w:rPr/>
      </w:pPr>
      <w:r>
        <w:rPr>
          <w:rFonts w:ascii="IRNazanin" w:hAnsi="IRNazanin" w:eastAsia="IRNazanin"/>
          <w:color w:val="111111"/>
          <w:sz w:val="28"/>
          <w:sz w:val="28"/>
          <w:szCs w:val="28"/>
          <w:rtl w:val="true"/>
          <w:lang w:bidi="fa-IR"/>
        </w:rPr>
        <w:t>مرّت الإشارة إلی أنّ أهل‌البیت علیهم السّلام باعتبارهم الأشخاص القلائل الذین یعرفون کلّ مفاهیم القرآن ومعانیه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یقول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أهل بیت لم یزل الله یبعث منّا مَن یعلم کتابه من أوّله إلی آخره</w:t>
      </w:r>
      <w:r>
        <w:rPr>
          <w:rFonts w:eastAsia="IRNazanin" w:cs="IRNazanin"/>
          <w:color w:val="111111"/>
          <w:sz w:val="28"/>
          <w:szCs w:val="28"/>
          <w:rtl w:val="true"/>
          <w:lang w:bidi="fa-IR"/>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إنّ العلم بالکتاب الإلهی لیس ادّعاءً لا واقع له، إنّما هی المسؤولیة و العبء الذی عهد الله بها إلیهم لهدایة الناس من أجل أن یعرّفوا الناس علی مفاهیم القرآن الحقیقیة، و لهذه الهدایة تأثیر بالغ فی روح الإنسان، وهی التی تجعل من معرفة مفاهیم القرآن ومعانیه حقیقة میسورة الحصول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علی الناس أن یقرأوا القرآن کما أنزل، فإذا احتاجوا إلی تفسیره فالاهتداء بنا وإلینا</w:t>
      </w:r>
      <w:r>
        <w:rPr>
          <w:rFonts w:eastAsia="IRNazanin" w:cs="IRNazanin"/>
          <w:color w:val="111111"/>
          <w:sz w:val="28"/>
          <w:szCs w:val="28"/>
          <w:rtl w:val="true"/>
          <w:lang w:bidi="fa-IR"/>
        </w:rPr>
        <w:t xml:space="preserve">». </w:t>
      </w:r>
      <w:r>
        <w:rPr>
          <w:rStyle w:val="FootnoteAnchor"/>
          <w:rtl w:val="true"/>
        </w:rPr>
        <w:footnoteReference w:id="511"/>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رسول الله صلّی الله علیه و آله و الأئمّة الأطهار علیهم السّلام بهدایتهم وتعلیمهم الخاصّ، إنّما یروّون ضمأ أرواح الناس، ویأخذون بأیدیهم نحو الهدایة الکاملة، ویجعلون منهم فقهاءً</w:t>
      </w:r>
    </w:p>
    <w:p>
      <w:pPr>
        <w:pStyle w:val="BookText"/>
        <w:rPr/>
      </w:pPr>
      <w:r>
        <w:rPr>
          <w:rFonts w:ascii="IRNazanin" w:hAnsi="IRNazanin" w:eastAsia="IRNazanin"/>
          <w:color w:val="111111"/>
          <w:sz w:val="28"/>
          <w:sz w:val="28"/>
          <w:szCs w:val="28"/>
          <w:rtl w:val="true"/>
          <w:lang w:bidi="fa-IR"/>
        </w:rPr>
        <w:t>وعارفین بتفسیر القرآن و قادرین علی إدراک مفاهیمه ومعانیه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نحاول ذکر بعض النماذج الکاشفة عن دور أهل‌البیت علیهم السّلام فی الهدایة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شخص یهودی إلی الإمام علی علیه السّلام وطرح علیه أسئلة، ومن جملتها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فأین وجُه ربّک؟ و قد أخذ هذا السؤال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یَبْقی وَجْهُ رَبِّکَ ذُو الْجَلالِ وَ الْإِکْرامِ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فقال علی بن أبی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عبّاس، اتینی بنار وحطب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فاتیته بنار وحطب، فأضرمها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یهودی، أین یکون وجه هذه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أقف لها علی 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ربی عزّو جلّ علی هذا المثال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الْمَشْرِقُ وَ الْمَغْرِبُ فَأَیْنَما تُوَلُّوا فَثَمَّ وَجْهُ اللّهِ</w:t>
      </w:r>
      <w:r>
        <w:rPr>
          <w:rFonts w:eastAsia="Amiri" w:cs="Amiri" w:ascii="Amiri" w:hAnsi="Amiri"/>
          <w:color w:val="111111"/>
          <w:sz w:val="28"/>
          <w:szCs w:val="28"/>
          <w:rtl w:val="true"/>
          <w:lang w:bidi="ar-SA"/>
        </w:rPr>
        <w:t xml:space="preserve">) .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فالإمام علیه السّلام من إجل هدایة هذا الیهودی من خلال الإجابة علی سؤاله الذی طرحه ممّا یعود إلی علوم القرآن، والذی من 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الربّ، استخدم أسلوب التعلیم الحسّی لتوجیهه إلی المعنی و المفهوم المراد من الوجه، فی أنّ هناک بعض الأشیاء مثل النار لها وجه إلاّ أنّه لا یمکن تحدیده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علیه السّلام بعد هذا الدلیل الحسّی القاطع فی إقناعه، ذکر الشاهد القرآنی علی ذلک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الْمَشْرِقُ وَ الْمَغْرِبُ فَأَیْنَما تُوَلُّوا فَثَمَّ وَجْهُ اللّهِ</w:t>
      </w:r>
      <w:r>
        <w:rPr>
          <w:rFonts w:eastAsia="Amiri" w:cs="Amiri" w:ascii="Amiri" w:hAnsi="Amiri"/>
          <w:color w:val="111111"/>
          <w:sz w:val="28"/>
          <w:szCs w:val="28"/>
          <w:rtl w:val="true"/>
          <w:lang w:bidi="ar-SA"/>
        </w:rPr>
        <w:t xml:space="preserve">) . </w:t>
      </w:r>
      <w:r>
        <w:rPr>
          <w:rStyle w:val="FootnoteAnchor"/>
          <w:rtl w:val="true"/>
        </w:rPr>
        <w:footnoteReference w:id="51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کرهت أنْ أسأل أبا جعفر علیه السّلام عن الرجعة، واستخفیت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لاسئلنّ مسألةً لطیفةً لأبلغ بها حاجتی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عمَّن قُتِلَ، أمات؟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یا زرارة،</w:t>
      </w:r>
      <w:bookmarkStart w:id="431" w:name="pg5285_67329"/>
    </w:p>
    <w:p>
      <w:pPr>
        <w:pStyle w:val="BookText"/>
        <w:rPr/>
      </w:pPr>
      <w:bookmarkEnd w:id="431"/>
      <w:r>
        <w:rPr>
          <w:rFonts w:ascii="Amiri" w:hAnsi="Amiri" w:eastAsia="Amiri" w:cs="Amiri"/>
          <w:color w:val="111111"/>
          <w:sz w:val="28"/>
          <w:sz w:val="28"/>
          <w:szCs w:val="28"/>
          <w:rtl w:val="true"/>
          <w:lang w:bidi="ar-SA"/>
        </w:rPr>
        <w:t>قول الله أصدق من قولک، فرّق بینهما فی القرآن،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فَإِنْ ماتَ أَوْ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14"/>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مُتُّمْ أَوْ قُتِلْتُمْ لَإِلَی اللّهِ تُحْشَرُونَ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15"/>
      </w:r>
      <w:r>
        <w:rPr>
          <w:rFonts w:ascii="IRNazanin" w:hAnsi="IRNazanin" w:eastAsia="IRNazanin"/>
          <w:color w:val="111111"/>
          <w:sz w:val="28"/>
          <w:sz w:val="28"/>
          <w:szCs w:val="28"/>
          <w:rtl w:val="true"/>
          <w:lang w:bidi="fa-IR"/>
        </w:rPr>
        <w:t>ولیس کما قلت یا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موت، والقتل 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 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نَفْسٍ ذائِقَةُ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16"/>
      </w:r>
      <w:r>
        <w:rPr>
          <w:rFonts w:ascii="Amiri" w:hAnsi="Amiri" w:eastAsia="Amiri" w:cs="Amiri"/>
          <w:color w:val="111111"/>
          <w:sz w:val="28"/>
          <w:sz w:val="28"/>
          <w:szCs w:val="28"/>
          <w:rtl w:val="true"/>
          <w:lang w:bidi="ar-SA"/>
        </w:rPr>
        <w:t>مَن قُتل لم یذق الموت؟ ثمّ 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أنْ یرجع حتّی یذوق الموت</w:t>
      </w:r>
      <w:r>
        <w:rPr>
          <w:rFonts w:eastAsia="Amiri" w:cs="Amiri" w:ascii="Amiri" w:hAnsi="Amiri"/>
          <w:color w:val="111111"/>
          <w:sz w:val="28"/>
          <w:szCs w:val="28"/>
          <w:rtl w:val="true"/>
          <w:lang w:bidi="ar-SA"/>
        </w:rPr>
        <w:t xml:space="preserve">».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فی هذه الروایة وضّح الإمام علیه السّلام لزُرارة وبصورة لطیفة وظریفة موضوع الرجعة، و قد أفهمَهُ أنّ مثل هذه العقیدة یمکن استخراجها واستنباطها من القرآن الکریم</w:t>
      </w:r>
      <w:r>
        <w:rPr>
          <w:rFonts w:eastAsia="IRNazanin" w:cs="IRNazanin"/>
          <w:color w:val="111111"/>
          <w:sz w:val="28"/>
          <w:szCs w:val="28"/>
          <w:rtl w:val="true"/>
          <w:lang w:bidi="fa-IR"/>
        </w:rPr>
        <w:t>.</w:t>
      </w:r>
    </w:p>
    <w:p>
      <w:pPr>
        <w:pStyle w:val="Heading4"/>
        <w:numPr>
          <w:ilvl w:val="3"/>
          <w:numId w:val="1"/>
        </w:numPr>
        <w:rPr/>
      </w:pPr>
      <w:bookmarkStart w:id="432" w:name="__RefHeading___Toc634141_581953129"/>
      <w:bookmarkStart w:id="433" w:name="_Toc166"/>
      <w:bookmarkEnd w:id="432"/>
      <w:r>
        <w:rPr/>
        <w:t>2</w:t>
      </w:r>
      <w:r>
        <w:rPr>
          <w:rtl w:val="true"/>
        </w:rPr>
        <w:t xml:space="preserve">. </w:t>
      </w:r>
      <w:r>
        <w:rPr>
          <w:rtl w:val="true"/>
        </w:rPr>
        <w:t>تربیة وإعداد المفسّرین</w:t>
      </w:r>
      <w:bookmarkEnd w:id="433"/>
    </w:p>
    <w:p>
      <w:pPr>
        <w:pStyle w:val="Heading5"/>
        <w:numPr>
          <w:ilvl w:val="4"/>
          <w:numId w:val="1"/>
        </w:numPr>
        <w:rPr/>
      </w:pPr>
      <w:bookmarkStart w:id="434" w:name="__RefHeading___Toc634143_581953129"/>
      <w:bookmarkStart w:id="435" w:name="_Toc167"/>
      <w:bookmarkEnd w:id="434"/>
      <w:r>
        <w:rPr>
          <w:rtl w:val="true"/>
        </w:rPr>
        <w:t>اشارة</w:t>
      </w:r>
      <w:bookmarkEnd w:id="435"/>
    </w:p>
    <w:p>
      <w:pPr>
        <w:pStyle w:val="BookText"/>
        <w:rPr/>
      </w:pPr>
      <w:r>
        <w:rPr>
          <w:rFonts w:ascii="IRNazanin" w:hAnsi="IRNazanin" w:eastAsia="IRNazanin"/>
          <w:color w:val="111111"/>
          <w:sz w:val="28"/>
          <w:sz w:val="28"/>
          <w:szCs w:val="28"/>
          <w:rtl w:val="true"/>
          <w:lang w:bidi="fa-IR"/>
        </w:rPr>
        <w:t>إنّ القرآن کتاب هدایة یأخذ بید الناس من الظلمات إلی النور ویهدیهم سبل النجاة، و یلزم لأجل هذا الأمر المهمّ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هو لعامّة الناس و المشتاقین لمعارف القرآن غیر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إعداد العلماء المفسّرین لهدایة الناس علی المفاهیم الرائعة للقرآن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کانت سیرة الأئمّة الأطهار علیهم السّلام الاهتمام الدائم فی تربیة وإعداد هکذا علماء من أجل فهم القرآن، وکذلک استنباط الأحکام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خرّجوا تلامیذ أکفّاء وأجازوا لهم الاجتهاد واستنباط الأحکام من الآیات و الروایات و من هؤلاء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ابن عباس، والذی تربّی فی مدرسة الإمام علی علیه السّلام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الأئمة الآخرین علیهم السّلام خصوصاً الإمام الباقر و الصادق، ومن تلامذتهم الخاصّین نذکر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بن أعین، ومحمّد بن مسلم، وأبان بن تغلب، وهشام بن الحکم ومؤمن الطاق، ویونس بن عبد الرحمان و</w:t>
      </w:r>
      <w:r>
        <w:rPr>
          <w:rFonts w:eastAsia="IRNazanin" w:cs="IRNazanin"/>
          <w:color w:val="111111"/>
          <w:sz w:val="28"/>
          <w:szCs w:val="28"/>
          <w:rtl w:val="true"/>
          <w:lang w:bidi="fa-IR"/>
        </w:rPr>
        <w:t>....</w:t>
      </w:r>
      <w:bookmarkStart w:id="436" w:name="pg5285_67331"/>
    </w:p>
    <w:p>
      <w:pPr>
        <w:pStyle w:val="BookText"/>
        <w:rPr/>
      </w:pPr>
      <w:bookmarkEnd w:id="436"/>
      <w:r>
        <w:rPr>
          <w:rFonts w:ascii="IRNazanin" w:hAnsi="IRNazanin" w:eastAsia="IRNazanin"/>
          <w:color w:val="111111"/>
          <w:sz w:val="28"/>
          <w:sz w:val="28"/>
          <w:szCs w:val="28"/>
          <w:rtl w:val="true"/>
          <w:lang w:bidi="fa-IR"/>
        </w:rPr>
        <w:t>یقول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علینا أن نُلقی إلیکم الأصول وعلیکم أن تفرّعوا</w:t>
      </w:r>
      <w:r>
        <w:rPr>
          <w:rFonts w:eastAsia="IRNazanin" w:cs="IRNazanin"/>
          <w:color w:val="111111"/>
          <w:sz w:val="28"/>
          <w:szCs w:val="28"/>
          <w:rtl w:val="true"/>
          <w:lang w:bidi="fa-IR"/>
        </w:rPr>
        <w:t xml:space="preserve">».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یقول عبد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آل 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عثرتُ فانقطع ظُفْری فجعلت علی إصبعی مرارةً، فکیف أصنع بالوضوء؟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امسح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 عبدالاعلی من این یعرف هذا الحکم؟ 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یعرف هذا وأشباهه من کتاب الله عزّو جلّ،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 عَلَیْکُمْ فِی الدِّینِ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 علیه</w:t>
      </w:r>
      <w:r>
        <w:rPr>
          <w:rFonts w:eastAsia="Amiri" w:cs="Amiri" w:ascii="Amiri" w:hAnsi="Amiri"/>
          <w:color w:val="111111"/>
          <w:sz w:val="28"/>
          <w:szCs w:val="28"/>
          <w:rtl w:val="true"/>
          <w:lang w:bidi="ar-SA"/>
        </w:rPr>
        <w:t xml:space="preserve">». </w:t>
      </w:r>
      <w:r>
        <w:rPr>
          <w:rStyle w:val="FootnoteAnchor"/>
          <w:rtl w:val="true"/>
        </w:rPr>
        <w:footnoteReference w:id="519"/>
      </w:r>
    </w:p>
    <w:p>
      <w:pPr>
        <w:pStyle w:val="Heading5"/>
        <w:numPr>
          <w:ilvl w:val="4"/>
          <w:numId w:val="1"/>
        </w:numPr>
        <w:rPr/>
      </w:pPr>
      <w:bookmarkStart w:id="437" w:name="__RefHeading___Toc634145_581953129"/>
      <w:bookmarkStart w:id="438" w:name="_Toc168"/>
      <w:bookmarkEnd w:id="437"/>
      <w:r>
        <w:rPr>
          <w:rtl w:val="true"/>
        </w:rPr>
        <w:t>وبالنتیجة</w:t>
      </w:r>
      <w:r>
        <w:rPr>
          <w:rtl w:val="true"/>
        </w:rPr>
        <w:t>:</w:t>
      </w:r>
      <w:bookmarkEnd w:id="438"/>
    </w:p>
    <w:p>
      <w:pPr>
        <w:pStyle w:val="BookText"/>
        <w:rPr/>
      </w:pPr>
      <w:r>
        <w:rPr>
          <w:rFonts w:ascii="IRNazanin" w:hAnsi="IRNazanin" w:eastAsia="IRNazanin"/>
          <w:color w:val="111111"/>
          <w:sz w:val="28"/>
          <w:sz w:val="28"/>
          <w:szCs w:val="28"/>
          <w:rtl w:val="true"/>
          <w:lang w:bidi="fa-IR"/>
        </w:rPr>
        <w:t>یمکن الاستفادة من آیة نفی الحرج المسح علی المرهم، أو القماش الذی یجعل علی الجرح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والأئمّة علیهم السّلام أحیانا یعتمدون علی القواعد العربیة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الصرف، والنحو، والمعانی و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آیات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ویعلّمونها تلامذتهم، وهنا نُشیر إلی نموذجین من التفسیر الذی یعتمد علی الأصول و القواعد الکلیة فی استنباط أحکام الموضوعات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و هو فقیه أهل‌البیت علیهم السّلام وتلمیذ مدرسة الإمام الباقر علیه السّلام، یرید أن یعرف کیفیة استخراج حکم الوضوء وجزئیاته من آیة الوضوء الواردة فی المائدة، الآیة السادسة</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زرارة قال، فقلت لأبی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تخبرنی مَن أین علمتَ؟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المسح ببعض الرأس وبعض الرجلین؟ فضحک، ثمّ 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زرارة، قال رسول الله صلّی الله علیه و آله، ونزل به الکتاب من الله؛ لأنّ الله عزّو 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،فعرفنا أنّ الوجه کُلّه ینبغی أن یغسل،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أَیْدِیَکُمْ إِلَی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فصل بین کلامین،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امْسَحُوا بِرُؤُسِکُمْ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،فعرفنا حین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بِرُؤُسِکُمْ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المسح</w:t>
      </w:r>
      <w:bookmarkStart w:id="439" w:name="pg5285_67332"/>
    </w:p>
    <w:p>
      <w:pPr>
        <w:pStyle w:val="BookText"/>
        <w:rPr/>
      </w:pPr>
      <w:bookmarkEnd w:id="439"/>
      <w:r>
        <w:rPr>
          <w:rFonts w:ascii="Amiri" w:hAnsi="Amiri" w:eastAsia="Amiri" w:cs="Amiri"/>
          <w:color w:val="111111"/>
          <w:sz w:val="28"/>
          <w:sz w:val="28"/>
          <w:szCs w:val="28"/>
          <w:rtl w:val="true"/>
          <w:lang w:bidi="ar-SA"/>
        </w:rPr>
        <w:t>ببعض الرأس لمکان الباء، ثمّ وصل الرجلین بالرأس کما وصل الیدین بالوجه،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أَرْجُلَکُمْ إِلَی الْکَعْبَیْنِ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فعرفنا حین وصلها بالرأس إن المسح علی بعضها، ثمّ فسّر رسول الله صلّی الله علیه و آله ذلک للناس فضیعوه</w:t>
      </w:r>
      <w:r>
        <w:rPr>
          <w:rFonts w:eastAsia="Amiri" w:cs="Amiri" w:ascii="Amiri" w:hAnsi="Amiri"/>
          <w:color w:val="111111"/>
          <w:sz w:val="28"/>
          <w:szCs w:val="28"/>
          <w:rtl w:val="true"/>
          <w:lang w:bidi="ar-SA"/>
        </w:rPr>
        <w:t xml:space="preserve">...».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والملاحظ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علیه السّلام قد استدلّ علی وجوب غسل کامل الوجه فی الوضوء بالإطلاق الذی علیه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مسح بعض الرأس بالباء فی لفظة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بِرُؤُسِکُمْ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بعض معانی الباء هو التبعیض، کما بینه ابن هشام فی المغنی</w:t>
      </w:r>
      <w:r>
        <w:rPr>
          <w:rFonts w:eastAsia="IRNazanin" w:cs="IRNazanin"/>
          <w:color w:val="111111"/>
          <w:sz w:val="28"/>
          <w:szCs w:val="28"/>
          <w:rtl w:val="true"/>
          <w:lang w:bidi="fa-IR"/>
        </w:rPr>
        <w:t xml:space="preserve">. </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واستدلّ علی مسح بعض الرِجْل، لا تمامها بالاتّصال و العطف،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مسعدة بن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 ویسئل عن الأمر بالمعروف و النهی عن المنکر، أواجب علی الأمّة جمیعاً؟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علی القوی المطاع العالم بالمعروف من المنکر لا علی الضعیف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والدلیل علی ذلک، کتاب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لْتَکُنْ مِنْکُمْ أُمَّةٌ یَدْعُونَ إِلَی الْخَیْرِ وَ یَأْمُرُونَ بِالْمَعْرُوفِ وَ یَنْهَوْنَ عَنِ الْمُنْکَرِ</w:t>
      </w:r>
      <w:r>
        <w:rPr>
          <w:rFonts w:eastAsia="Amiri" w:cs="Amiri" w:ascii="Amiri" w:hAnsi="Amiri"/>
          <w:color w:val="111111"/>
          <w:sz w:val="28"/>
          <w:szCs w:val="28"/>
          <w:rtl w:val="true"/>
          <w:lang w:bidi="ar-SA"/>
        </w:rPr>
        <w:t xml:space="preserve">...) </w:t>
      </w:r>
      <w:r>
        <w:rPr>
          <w:rStyle w:val="FootnoteAnchor"/>
          <w:rtl w:val="true"/>
        </w:rPr>
        <w:footnoteReference w:id="522"/>
      </w:r>
      <w:r>
        <w:rPr>
          <w:rFonts w:ascii="Amiri" w:hAnsi="Amiri" w:eastAsia="Amiri" w:cs="Amiri"/>
          <w:color w:val="111111"/>
          <w:sz w:val="28"/>
          <w:sz w:val="28"/>
          <w:szCs w:val="28"/>
          <w:rtl w:val="true"/>
          <w:lang w:bidi="ar-SA"/>
        </w:rPr>
        <w:t>فهذا خاص غیر عام، کما قال‌الله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قَوْمِ مُوسی أُمَّةٌ یَهْدُونَ بِالْحَقِّ وَ بِهِ یَعْدِلُونَ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23"/>
      </w:r>
      <w:r>
        <w:rPr>
          <w:rFonts w:ascii="IRNazanin" w:hAnsi="IRNazanin" w:eastAsia="IRNazanin"/>
          <w:color w:val="111111"/>
          <w:sz w:val="28"/>
          <w:sz w:val="28"/>
          <w:szCs w:val="28"/>
          <w:rtl w:val="true"/>
          <w:lang w:bidi="fa-IR"/>
        </w:rPr>
        <w:t>ولم یقل علی أمّة موسی ولا علی کلّ قومه</w:t>
      </w:r>
      <w:r>
        <w:rPr>
          <w:rFonts w:eastAsia="IRNazanin" w:cs="IRNazanin"/>
          <w:color w:val="111111"/>
          <w:sz w:val="28"/>
          <w:szCs w:val="28"/>
          <w:rtl w:val="true"/>
          <w:lang w:bidi="fa-IR"/>
        </w:rPr>
        <w:t xml:space="preserve">...». </w:t>
      </w:r>
      <w:r>
        <w:rPr>
          <w:rStyle w:val="FootnoteAnchor"/>
          <w:rtl w:val="true"/>
        </w:rPr>
        <w:footnoteReference w:id="524"/>
      </w:r>
    </w:p>
    <w:p>
      <w:pPr>
        <w:pStyle w:val="Heading5"/>
        <w:numPr>
          <w:ilvl w:val="4"/>
          <w:numId w:val="1"/>
        </w:numPr>
        <w:rPr/>
      </w:pPr>
      <w:bookmarkStart w:id="440" w:name="__RefHeading___Toc634147_581953129"/>
      <w:bookmarkStart w:id="441" w:name="_Toc169"/>
      <w:bookmarkEnd w:id="440"/>
      <w:r>
        <w:rPr>
          <w:rtl w:val="true"/>
        </w:rPr>
        <w:t>والملاحظ هنا</w:t>
      </w:r>
      <w:r>
        <w:rPr>
          <w:rtl w:val="true"/>
        </w:rPr>
        <w:t>:</w:t>
      </w:r>
      <w:bookmarkEnd w:id="441"/>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الإمام علیه السّلام قد استدلّ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قَوْمِ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أنّ الأمر</w:t>
      </w:r>
      <w:bookmarkStart w:id="442" w:name="pg5285_67335"/>
    </w:p>
    <w:p>
      <w:pPr>
        <w:pStyle w:val="BookText"/>
        <w:rPr/>
      </w:pPr>
      <w:bookmarkEnd w:id="442"/>
      <w:r>
        <w:rPr>
          <w:rFonts w:ascii="IRNazanin" w:hAnsi="IRNazanin" w:eastAsia="IRNazanin"/>
          <w:color w:val="111111"/>
          <w:sz w:val="28"/>
          <w:sz w:val="28"/>
          <w:szCs w:val="28"/>
          <w:rtl w:val="true"/>
          <w:lang w:bidi="fa-IR"/>
        </w:rPr>
        <w:t>بالمعروف و النهی عن المنکر لم یکن واجباً علی جمیع أفراد المسلمین، بل هو یجب علی الأشخاص القادرین و العالمین به</w:t>
      </w:r>
      <w:r>
        <w:rPr>
          <w:rFonts w:eastAsia="IRNazanin" w:cs="IRNazanin"/>
          <w:color w:val="111111"/>
          <w:sz w:val="28"/>
          <w:szCs w:val="28"/>
          <w:rtl w:val="true"/>
          <w:lang w:bidi="fa-IR"/>
        </w:rPr>
        <w:t>.</w:t>
      </w:r>
    </w:p>
    <w:p>
      <w:pPr>
        <w:pStyle w:val="Heading4"/>
        <w:numPr>
          <w:ilvl w:val="3"/>
          <w:numId w:val="1"/>
        </w:numPr>
        <w:rPr/>
      </w:pPr>
      <w:bookmarkStart w:id="443" w:name="__RefHeading___Toc634149_581953129"/>
      <w:bookmarkStart w:id="444" w:name="_Toc170"/>
      <w:bookmarkEnd w:id="443"/>
      <w:r>
        <w:rPr/>
        <w:t>3</w:t>
      </w:r>
      <w:r>
        <w:rPr>
          <w:rtl w:val="true"/>
        </w:rPr>
        <w:t xml:space="preserve">. </w:t>
      </w:r>
      <w:r>
        <w:rPr>
          <w:rtl w:val="true"/>
        </w:rPr>
        <w:t>بیان أسس المنهاج العملی</w:t>
      </w:r>
      <w:bookmarkEnd w:id="444"/>
    </w:p>
    <w:p>
      <w:pPr>
        <w:pStyle w:val="Heading5"/>
        <w:numPr>
          <w:ilvl w:val="4"/>
          <w:numId w:val="1"/>
        </w:numPr>
        <w:rPr/>
      </w:pPr>
      <w:bookmarkStart w:id="445" w:name="__RefHeading___Toc634151_581953129"/>
      <w:bookmarkStart w:id="446" w:name="_Toc171"/>
      <w:bookmarkEnd w:id="445"/>
      <w:r>
        <w:rPr>
          <w:rtl w:val="true"/>
        </w:rPr>
        <w:t>اشارة</w:t>
      </w:r>
      <w:bookmarkEnd w:id="446"/>
    </w:p>
    <w:p>
      <w:pPr>
        <w:pStyle w:val="BookText"/>
        <w:rPr/>
      </w:pPr>
      <w:r>
        <w:rPr>
          <w:rFonts w:ascii="IRNazanin" w:hAnsi="IRNazanin" w:eastAsia="IRNazanin"/>
          <w:color w:val="111111"/>
          <w:sz w:val="28"/>
          <w:sz w:val="28"/>
          <w:szCs w:val="28"/>
          <w:rtl w:val="true"/>
          <w:lang w:bidi="fa-IR"/>
        </w:rPr>
        <w:t>إنَّ المقصود بأسّس المنهاج العملی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و القواعد التی تُرشد إلی الفهم الواعی للنصوص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واحداً من أهم الأدوار الذی اضطلع بها الأئمّة علیهم السّلام هو بیان أصول المنهج العملی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کانوا علی الدوام یشیرون إلیها بأحادیثهم وأثناء تعلیمهم التفسیر من أنّ هذه الأصول لها دورها المؤثّر فی تحدید فهم الموضوعات القرآنیة، والتی هی بید المفسّرین بمثابة مفاتیح الحلول للمعضلات التفسیریة، وعلی أساسها یمکن الکشف عن مفاهیم الآیات، وأهم هذه الأصول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عن العلم وقطع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توضیح وتبیین کلام الله اعتماداً علی الأمور الظنّیة والاحتمالیة یسوق إلی التفسیر بالرأی، و هو من مصادیق القول بغیر علم فیما یخصّ القرآن، وبالتالی فهو یؤدّی إلی شبهة الافتراء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والعیاذ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نُقل فی روایة الأمام الصادق علیه السّلام عن آبائه علیهم السّلام،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و الظنّ، فإنّ الظنَّ أکذب الکذب</w:t>
      </w:r>
      <w:r>
        <w:rPr>
          <w:rFonts w:eastAsia="IRNazanin" w:cs="IRNazanin"/>
          <w:color w:val="111111"/>
          <w:sz w:val="28"/>
          <w:szCs w:val="28"/>
          <w:rtl w:val="true"/>
          <w:lang w:bidi="fa-IR"/>
        </w:rPr>
        <w:t xml:space="preserve">». </w:t>
      </w:r>
      <w:r>
        <w:rPr>
          <w:rStyle w:val="FootnoteAnchor"/>
          <w:rtl w:val="true"/>
        </w:rPr>
        <w:footnoteReference w:id="525"/>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والإمام الباقر علیه السّلام فی مدرسته التفسیریة نهی عن هذا الأسلوب کذلک، فقد جاء فی توصیته لقتادة بن دعامة</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من التابعین من مدرسة العراق، والذی له روایات کثیرة فی التفسیر، مبیناً 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زید الشحّام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قتادة بن دعامة علی أبی جعفر الإمام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الإمام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قتادة، أنت فقیه أهل البصرة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یزعمون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أنّک تفسّر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بعلم تفسرّه أم بجهل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کنت تفسره بعلم، فأنت 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فی نفس الدرجة التی تظّنها فی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أسألک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الإمام علیه السّلام عن معنی آیة، ولکنّه أجاب بغیر الصحیح، فَنَبَهَهُ الإمام علیه السّلام إلی موضع خطئه، وقال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یا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إنّما فسّرت القرآن من تلقاء نفسک، فقد هَلکت و أهلکت</w:t>
      </w:r>
      <w:r>
        <w:rPr>
          <w:rFonts w:eastAsia="IRNazanin" w:cs="IRNazanin"/>
          <w:color w:val="111111"/>
          <w:sz w:val="28"/>
          <w:szCs w:val="28"/>
          <w:rtl w:val="true"/>
          <w:lang w:bidi="fa-IR"/>
        </w:rPr>
        <w:t xml:space="preserve">». </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و قد نقل الإمام الکاظم علیه السّلام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لک أن تتکلّم بما شئت؛ لأنّ الله عزّوجلّ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تَقْفُ ما لَیْسَ لَکَ بِهِ عِلْمٌ</w:t>
      </w:r>
      <w:r>
        <w:rPr>
          <w:rFonts w:eastAsia="Amiri" w:cs="Amiri" w:ascii="Amiri" w:hAnsi="Amiri"/>
          <w:color w:val="111111"/>
          <w:sz w:val="28"/>
          <w:szCs w:val="28"/>
          <w:rtl w:val="true"/>
          <w:lang w:bidi="ar-SA"/>
        </w:rPr>
        <w:t xml:space="preserve">)» </w:t>
      </w:r>
      <w:r>
        <w:rPr>
          <w:rStyle w:val="FootnoteAnchor"/>
          <w:rtl w:val="true"/>
        </w:rPr>
        <w:footnoteReference w:id="527"/>
      </w:r>
      <w:r>
        <w:rPr>
          <w:rFonts w:ascii="IRNazanin" w:hAnsi="IRNazanin" w:eastAsia="IRNazanin"/>
          <w:color w:val="111111"/>
          <w:sz w:val="28"/>
          <w:sz w:val="28"/>
          <w:szCs w:val="28"/>
          <w:rtl w:val="true"/>
          <w:lang w:bidi="fa-IR"/>
        </w:rPr>
        <w:t xml:space="preserve">و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إنّ المستفاد من هذه الروایات هو لزوم الأخذ بالأسّس العلمیة عند التفسیر، وفی غیر ذلک إذا اعتمد المفسّر علی رأیه الشخصی، فإنّه سَیهلِکُ ویهلَکُ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التأکید علی البعد التوحیدی فی الآیات العقائدیة</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بعض المواقع یوجّه الأئمّة علیهم السّلام المخاطبین إلی البعد التوحیدی للآیات التی یسألون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فی روایة أنّ عمرو بن عبید سأل الإمام الباقر علیه السّلام عن معنی غضب الله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یَحْلِلْ عَلَیْهِ غَضَبِی فَقَدْ 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29"/>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العقابُ یا عمرو، أنّه من زعم أنّ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 من شیء إلی شیء، فقد وصفه بصفة مخلوق</w:t>
      </w:r>
      <w:r>
        <w:rPr>
          <w:rFonts w:eastAsia="IRNazanin" w:cs="IRNazanin"/>
          <w:color w:val="111111"/>
          <w:sz w:val="28"/>
          <w:szCs w:val="28"/>
          <w:rtl w:val="true"/>
          <w:lang w:bidi="fa-IR"/>
        </w:rPr>
        <w:t xml:space="preserve">...». </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وجاء فی روایة أخری 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 الله عقابه، یا عمرو، و مَن ظَنَّ أَنَّ اللهَ یغیره شیء، فقد کفر</w:t>
      </w:r>
      <w:r>
        <w:rPr>
          <w:rFonts w:eastAsia="Amiri" w:cs="Amiri" w:ascii="Amiri" w:hAnsi="Amiri"/>
          <w:color w:val="111111"/>
          <w:sz w:val="28"/>
          <w:szCs w:val="28"/>
          <w:rtl w:val="true"/>
          <w:lang w:bidi="ar-SA"/>
        </w:rPr>
        <w:t xml:space="preserve">».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إنّ الإمام الباقر علیه السّلام یبین البعد الحقیقی للتوحید فی الآیة المسؤول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التأکید علی البعد الولائی فی 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جابر بن یزید الجُعفی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من التابعین من مدرسة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الإمام الباقر علیه السّلام عن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قُتِلْتُمْ فِی سَبِیلِ اللّهِ أَوْ 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32"/>
      </w:r>
      <w:r>
        <w:rPr>
          <w:rFonts w:ascii="IRNazanin" w:hAnsi="IRNazanin" w:eastAsia="IRNazanin"/>
          <w:color w:val="111111"/>
          <w:sz w:val="28"/>
          <w:sz w:val="28"/>
          <w:szCs w:val="28"/>
          <w:rtl w:val="true"/>
          <w:lang w:bidi="fa-IR"/>
        </w:rPr>
        <w:t xml:space="preserve">فقال الإمام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أتدری یا جابر، ما سبیل‌الله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إلاّ أن أسمعه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 هو علی علیه السّلام و ذریته، وسبیل الله من قُتل فی ولایته قُتِلَ فی سبیل الله، و من مات فی ولایته مات فی سبیل الله، لیس من مؤمن فی هذه الآیة إلاّ وله قتلة و 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قتل ینشر حتّی یموت، و من مات ینشر حتّی یقتل</w:t>
      </w:r>
      <w:r>
        <w:rPr>
          <w:rFonts w:eastAsia="IRNazanin" w:cs="IRNazanin"/>
          <w:color w:val="111111"/>
          <w:sz w:val="28"/>
          <w:szCs w:val="28"/>
          <w:rtl w:val="true"/>
          <w:lang w:bidi="fa-IR"/>
        </w:rPr>
        <w:t xml:space="preserve">».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والتوجیه إلی البعد الولائی لیس مقتصراً علی هذه الروایة، بل إنّ الأئمّة الأطهار علیهم السّلام جعلوه أصلا حاکماً علی التفسیر و الفهم القرآنی؛ وذلک من خلال أحادیثهم 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روایة أنّ الإمام الصادق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جعل ولایتنا أهل البیت قطب القرآن، وقطب جمیع الکتب، علیها یستدیرُ محکمُ القرآن</w:t>
      </w:r>
      <w:r>
        <w:rPr>
          <w:rFonts w:eastAsia="IRNazanin" w:cs="IRNazanin"/>
          <w:color w:val="111111"/>
          <w:sz w:val="28"/>
          <w:szCs w:val="28"/>
          <w:rtl w:val="true"/>
          <w:lang w:bidi="fa-IR"/>
        </w:rPr>
        <w:t xml:space="preserve">». </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خلود القرآن</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القرآن الکریم هو آخر الکتب السماویة المنزلة لهدایة البشر؛ ولهذا السبب یلزم أن تکونَ قوانینه قادرة علی الوفاء بدور الهدایة للفرد وللمجتمع، وإلی یوم القیامه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الأصل و الأساس فی خلود القرآن الکریم، بأحکامه الصالحة للزمن الحاظر وللزمن اللاحق هو یحاکی الباطن العمیق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المنطلق فإنّ الإمام الباقر علیه السّلام قال فی إحدی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 الآیة إذا نزلت فی قوم، ثمَّ مات أولئک القوم ماتت الآیة، لما بقی من القرآن شیء، و لکنَّ القرآن یجری أولّه علی آخره مادامت السموات و الأرض</w:t>
      </w:r>
      <w:r>
        <w:rPr>
          <w:rFonts w:eastAsia="IRNazanin" w:cs="IRNazanin"/>
          <w:color w:val="111111"/>
          <w:sz w:val="28"/>
          <w:szCs w:val="28"/>
          <w:rtl w:val="true"/>
          <w:lang w:bidi="fa-IR"/>
        </w:rPr>
        <w:t xml:space="preserve">». </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وهکذا قال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للقرآن تأویل یجری کما یجری اللیل و النهار، وکما تجری الشمس و القمر</w:t>
      </w:r>
      <w:r>
        <w:rPr>
          <w:rFonts w:eastAsia="IRNazanin" w:cs="IRNazanin"/>
          <w:color w:val="111111"/>
          <w:sz w:val="28"/>
          <w:szCs w:val="28"/>
          <w:rtl w:val="true"/>
          <w:lang w:bidi="fa-IR"/>
        </w:rPr>
        <w:t xml:space="preserve">».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إرجاع المتشابهات إلی المحکمات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أحد الطرق الصحیحة فی تفسیر القرآن الکریم هی الاستفادة من الآیات المحکمات، لأجل فهم متشابهات القرآن الکریم؛ وذلک لأنّ القرآن نفسه قسَّمَ آیاته إلی قسمین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المحکمات، والتی هی الأصل و الأمّ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المتشابهات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آیاتٌ مُحْکَماتٌ هُنَّ أُمُّ الْکِتابِ وَ أُخَرُ مُتَشابِهاتٌ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37"/>
      </w:r>
      <w:r>
        <w:rPr>
          <w:rFonts w:ascii="Amiri" w:hAnsi="Amiri" w:eastAsia="Amiri" w:cs="Amiri"/>
          <w:color w:val="111111"/>
          <w:sz w:val="28"/>
          <w:sz w:val="28"/>
          <w:szCs w:val="28"/>
          <w:rtl w:val="true"/>
          <w:lang w:bidi="ar-SA"/>
        </w:rPr>
        <w:t>ومفهوم أمّ الکتاب کونها 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 أُمُّ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،فمرجعیتُ المحکمات هو لتوضیح المتشابهات</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الأصل یبین لنا من جانب أنّ القرآن یمکن تفسیره بالقرآن نفسه، ثمّ هذا الجانب یمنحنا الاستقلال بنوع ما فی فهم القرآن، فإذا کان فی مکان ما آیة متشابهة فلیس بمقدور أی إنسان فهمها، بأنه فی مکان آخر قد تأتی آیة یلزم البحث عنها و الرجوع إلیها</w:t>
      </w:r>
      <w:r>
        <w:rPr>
          <w:rFonts w:eastAsia="IRNazanin" w:cs="IRNazanin"/>
          <w:color w:val="111111"/>
          <w:sz w:val="28"/>
          <w:szCs w:val="28"/>
          <w:rtl w:val="true"/>
          <w:lang w:bidi="fa-IR"/>
        </w:rPr>
        <w:t>.</w:t>
      </w:r>
      <w:bookmarkStart w:id="447" w:name="pg5285_67342"/>
    </w:p>
    <w:p>
      <w:pPr>
        <w:pStyle w:val="BookText"/>
        <w:rPr/>
      </w:pPr>
      <w:bookmarkEnd w:id="447"/>
      <w:r>
        <w:rPr>
          <w:rFonts w:ascii="IRNazanin" w:hAnsi="IRNazanin" w:eastAsia="IRNazanin"/>
          <w:color w:val="111111"/>
          <w:sz w:val="28"/>
          <w:sz w:val="28"/>
          <w:szCs w:val="28"/>
          <w:rtl w:val="true"/>
          <w:lang w:bidi="fa-IR"/>
        </w:rPr>
        <w:t>یقول الإمام الرضا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ردّ متشابه القرآن إلی محکمه هُدی إلی صراط مستقیم</w:t>
      </w:r>
      <w:r>
        <w:rPr>
          <w:rFonts w:eastAsia="IRNazanin" w:cs="IRNazanin"/>
          <w:color w:val="111111"/>
          <w:sz w:val="28"/>
          <w:szCs w:val="28"/>
          <w:rtl w:val="true"/>
          <w:lang w:bidi="fa-IR"/>
        </w:rPr>
        <w:t xml:space="preserve">». </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قال العلامة الطباطبائی رحمه الله، بعد بیان روایات تفسیر المتشابهات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کما تری متقاربة فی تفسیر المتشابه، و هی تؤید ما ذکرناه فی السابق، أنَّ التشابه یقبل الارتفاع، وأنّه یرتفع بتفسیر المحکم له</w:t>
      </w:r>
      <w:r>
        <w:rPr>
          <w:rFonts w:eastAsia="IRNazanin" w:cs="IRNazanin"/>
          <w:color w:val="111111"/>
          <w:sz w:val="28"/>
          <w:szCs w:val="28"/>
          <w:rtl w:val="true"/>
          <w:lang w:bidi="fa-IR"/>
        </w:rPr>
        <w:t xml:space="preserve">. </w:t>
      </w:r>
      <w:r>
        <w:rPr>
          <w:rStyle w:val="FootnoteAnchor"/>
          <w:rtl w:val="true"/>
        </w:rPr>
        <w:footnoteReference w:id="539"/>
      </w:r>
    </w:p>
    <w:p>
      <w:pPr>
        <w:pStyle w:val="Heading5"/>
        <w:numPr>
          <w:ilvl w:val="4"/>
          <w:numId w:val="1"/>
        </w:numPr>
        <w:rPr/>
      </w:pPr>
      <w:bookmarkStart w:id="448" w:name="__RefHeading___Toc634153_581953129"/>
      <w:bookmarkStart w:id="449" w:name="_Toc172"/>
      <w:bookmarkEnd w:id="448"/>
      <w:r>
        <w:rPr>
          <w:rtl w:val="true"/>
        </w:rPr>
        <w:t>الطریق الآخر لفهم المتشابهات</w:t>
      </w:r>
      <w:bookmarkEnd w:id="449"/>
    </w:p>
    <w:p>
      <w:pPr>
        <w:pStyle w:val="BookText"/>
        <w:rPr/>
      </w:pPr>
      <w:r>
        <w:rPr>
          <w:rFonts w:ascii="IRNazanin" w:hAnsi="IRNazanin" w:eastAsia="IRNazanin"/>
          <w:color w:val="111111"/>
          <w:sz w:val="28"/>
          <w:sz w:val="28"/>
          <w:szCs w:val="28"/>
          <w:rtl w:val="true"/>
          <w:lang w:bidi="fa-IR"/>
        </w:rPr>
        <w:t>إنّ القرآن الکریم طرح أصلاً آخر لأجل الوصول إلی فهم المتشابهات، و هو الرجوع إلی الراسخین فی العلم الذین یعلمون بتأویل المتشابهات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روایات کثیرة نجد أنّ الأئمّة علیهم السّلام یطرحون أنفسهم بأنّهم هم الراسخون فی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الراسخون فی العلم، و نحن نَعْلَمُ تأویله</w:t>
      </w:r>
      <w:r>
        <w:rPr>
          <w:rFonts w:eastAsia="IRNazanin" w:cs="IRNazanin"/>
          <w:color w:val="111111"/>
          <w:sz w:val="28"/>
          <w:szCs w:val="28"/>
          <w:rtl w:val="true"/>
          <w:lang w:bidi="fa-IR"/>
        </w:rPr>
        <w:t xml:space="preserve">».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وفی روایة أخری عنه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الراسخون فی العلم أمیر المؤمنین و الأئمّة من ولده</w:t>
      </w:r>
      <w:r>
        <w:rPr>
          <w:rFonts w:eastAsia="IRNazanin" w:cs="IRNazanin"/>
          <w:color w:val="111111"/>
          <w:sz w:val="28"/>
          <w:szCs w:val="28"/>
          <w:rtl w:val="true"/>
          <w:lang w:bidi="fa-IR"/>
        </w:rPr>
        <w:t xml:space="preserve">».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وفی روایة 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الراسخون فی العلم هم علی‌بن‌أبی‌طالب و الأئمّة من ولده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فی روایة رابعة یقول الإمام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آله أفضل الراسخین فی العلم</w:t>
      </w:r>
      <w:r>
        <w:rPr>
          <w:rFonts w:eastAsia="IRNazanin" w:cs="IRNazanin"/>
          <w:color w:val="111111"/>
          <w:sz w:val="28"/>
          <w:szCs w:val="28"/>
          <w:rtl w:val="true"/>
          <w:lang w:bidi="fa-IR"/>
        </w:rPr>
        <w:t xml:space="preserve">».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و قد جاء فی قسم من الروایات تحذیر من تأویل المتشابهات والاعتماد علی الآراء الشخصیة للمفسّرین، وأن المتشابهات موجبة لهلاک مفسّرها</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القسم الآخر منها أنّ مرجع فهم آلآیات المتشابهات هم أولیاء الله، مثلما</w:t>
      </w:r>
    </w:p>
    <w:p>
      <w:pPr>
        <w:pStyle w:val="BookText"/>
        <w:rPr/>
      </w:pPr>
      <w:r>
        <w:rPr>
          <w:rFonts w:ascii="IRNazanin" w:hAnsi="IRNazanin" w:eastAsia="IRNazanin"/>
          <w:color w:val="111111"/>
          <w:sz w:val="28"/>
          <w:sz w:val="28"/>
          <w:szCs w:val="28"/>
          <w:rtl w:val="true"/>
          <w:lang w:bidi="fa-IR"/>
        </w:rPr>
        <w:t>صرّح بالقرآن الکریم أنّ الراسخین فی العلم هم المرجع فی فهم المتشابهات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أنّ الإمام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هلک الناس فی المتشابه؛ لأنّهم لم یقفوا علی معناه، ولم یعرفوا حقیقته، فوضعوا له تأویلات من عند أنفسهم بآرائهم، واستغنوا بذلک عن مسألة الأوصیاء</w:t>
      </w:r>
      <w:r>
        <w:rPr>
          <w:rFonts w:eastAsia="IRNazanin" w:cs="IRNazanin"/>
          <w:color w:val="111111"/>
          <w:sz w:val="28"/>
          <w:szCs w:val="28"/>
          <w:rtl w:val="true"/>
          <w:lang w:bidi="fa-IR"/>
        </w:rPr>
        <w:t xml:space="preserve">».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هو المعیار الحقیقی فی فهم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 أهل‌البیت علیهم السّلام، وعلی الدوام القرآن الکریم، بأنّه محور الفهم الدینی وأوصوا مؤکّدین بالرجوع إلیه فی کلّ الأمور، وأوجدوا تیاراً مهمّاً فی أوساط المحافل الدینیة، مضافاً إلی تعلیمهم منهج تفسیر القرآن بالقرآن، وکذلک التأکید علی عرض السنّة علی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فالروایات التی تصلنا عنهم یمکننا عرضها علی القرآن الکریم لتقییمها، فإذا کانت موافقة له ومتّسقة معه، فهی فی موضع القبول، و إذا کانت مخالفة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فنضرب بها عرض الجدار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ونتیجة هذا المعیار و هذه الموازنة،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الاعتقاد بأنّ القرآن هو الأصل و الأساس لهذا الدین و هذه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 کلّ حقٍّ حقیقةً، وعلی کلّ صواب نوراً، فما وافق کتاب الله فخذوه، وما خالف کتاب الله فدعوه</w:t>
      </w:r>
      <w:r>
        <w:rPr>
          <w:rFonts w:eastAsia="IRNazanin" w:cs="IRNazanin"/>
          <w:color w:val="111111"/>
          <w:sz w:val="28"/>
          <w:szCs w:val="28"/>
          <w:rtl w:val="true"/>
          <w:lang w:bidi="fa-IR"/>
        </w:rPr>
        <w:t xml:space="preserve">».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و من هذه الروایة نستنتج أنّ جمیع الموضوعات الدینیة التی تشکّل الفکر الإسلامی، هی قابلة للعرض علی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أنّ النبی صلّی الله علیه و آله خطب بمنیً فقال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ما جاءکم عنّی یوافق کتاب الله فأنا قلته، وما جاءکم یخالف کتاب الله، فلم أقله</w:t>
      </w:r>
      <w:r>
        <w:rPr>
          <w:rFonts w:eastAsia="IRNazanin" w:cs="IRNazanin"/>
          <w:color w:val="111111"/>
          <w:sz w:val="28"/>
          <w:szCs w:val="28"/>
          <w:rtl w:val="true"/>
          <w:lang w:bidi="fa-IR"/>
        </w:rPr>
        <w:t xml:space="preserve">». </w:t>
      </w:r>
      <w:r>
        <w:rPr>
          <w:rStyle w:val="FootnoteAnchor"/>
          <w:rtl w:val="true"/>
        </w:rPr>
        <w:footnoteReference w:id="545"/>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 الإمام الصادق علیه السّلام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أصل وأساس الشریعة، ویقول علیه السّلام فی</w:t>
      </w:r>
      <w:bookmarkStart w:id="450" w:name="pg5285_67346"/>
    </w:p>
    <w:p>
      <w:pPr>
        <w:pStyle w:val="BookText"/>
        <w:rPr/>
      </w:pPr>
      <w:bookmarkEnd w:id="450"/>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أمر اختلف فیه اثنان إلّأوّله أصل فی کتاب الله، ولکن لا تبلغه العقول</w:t>
      </w:r>
      <w:r>
        <w:rPr>
          <w:rFonts w:eastAsia="IRNazanin" w:cs="IRNazanin"/>
          <w:color w:val="111111"/>
          <w:sz w:val="28"/>
          <w:szCs w:val="28"/>
          <w:rtl w:val="true"/>
          <w:lang w:bidi="fa-IR"/>
        </w:rPr>
        <w:t xml:space="preserve">».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بلغ أهل‌البیت علیهم السّلام فی تکریم القرآن وبیان مکانته العلمیة إلی حدّ التأکید علیه فی کلّ العهود و المواثیق و العقود، أن تکون موافقة للقرآن وأن یکونَ کل شرط منهن أی عقد غیر مخالف لکتاب الله وإلاّ فلا یقبل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عند شروطهم إلاّ کلّ شرط خالف کتاب الله عزّوجلّ، فلا یجوز، و إن کان شرطاً یخالف کتاب الله عزّوجلّ، فهو ردّ إلی کتاب الله</w:t>
      </w:r>
      <w:r>
        <w:rPr>
          <w:rFonts w:eastAsia="IRNazanin" w:cs="IRNazanin"/>
          <w:color w:val="111111"/>
          <w:sz w:val="28"/>
          <w:szCs w:val="28"/>
          <w:rtl w:val="true"/>
          <w:lang w:bidi="fa-IR"/>
        </w:rPr>
        <w:t>».</w:t>
      </w:r>
    </w:p>
    <w:p>
      <w:pPr>
        <w:pStyle w:val="Heading4"/>
        <w:numPr>
          <w:ilvl w:val="3"/>
          <w:numId w:val="1"/>
        </w:numPr>
        <w:rPr/>
      </w:pPr>
      <w:bookmarkStart w:id="451" w:name="__RefHeading___Toc634155_581953129"/>
      <w:bookmarkStart w:id="452" w:name="_Toc173"/>
      <w:bookmarkEnd w:id="451"/>
      <w:r>
        <w:rPr/>
        <w:t>4</w:t>
      </w:r>
      <w:r>
        <w:rPr>
          <w:rtl w:val="true"/>
        </w:rPr>
        <w:t xml:space="preserve">. </w:t>
      </w:r>
      <w:r>
        <w:rPr>
          <w:rtl w:val="true"/>
        </w:rPr>
        <w:t>مواجهة النظریات و الآراء المنحرفة</w:t>
      </w:r>
      <w:bookmarkEnd w:id="452"/>
    </w:p>
    <w:p>
      <w:pPr>
        <w:pStyle w:val="Heading5"/>
        <w:numPr>
          <w:ilvl w:val="4"/>
          <w:numId w:val="1"/>
        </w:numPr>
        <w:rPr/>
      </w:pPr>
      <w:bookmarkStart w:id="453" w:name="__RefHeading___Toc634157_581953129"/>
      <w:bookmarkStart w:id="454" w:name="_Toc174"/>
      <w:bookmarkEnd w:id="453"/>
      <w:r>
        <w:rPr>
          <w:rtl w:val="true"/>
        </w:rPr>
        <w:t>اشارة</w:t>
      </w:r>
      <w:bookmarkEnd w:id="454"/>
    </w:p>
    <w:p>
      <w:pPr>
        <w:pStyle w:val="BookText"/>
        <w:rPr/>
      </w:pPr>
      <w:r>
        <w:rPr>
          <w:rFonts w:ascii="IRNazanin" w:hAnsi="IRNazanin" w:eastAsia="IRNazanin"/>
          <w:color w:val="111111"/>
          <w:sz w:val="28"/>
          <w:sz w:val="28"/>
          <w:szCs w:val="28"/>
          <w:rtl w:val="true"/>
          <w:lang w:bidi="fa-IR"/>
        </w:rPr>
        <w:t>إنّ أحد المناهج المهمّة و المعتمدة عند أهل‌البیت علیهم السّلام فی توضیح معالم الثقافة الإسلامیة و الفکر الإسلامی الصحیح، ونشر المعارف القرآنیة، و التصدّی للآراء المنحرفة، والتی طرحت بعضها بعنوان، مذهب له نفوذه وسعته فی المجتمع الإسلامی، وذلک من خلال بیان علیهم السّلام القواعد و الأصول الصحیحة للتفسیر القرآنی و الفکر الدینی، والتصدّی لآراء المنحرفین و المضللین، والتحذیر الدائم للأصحاب و الناس منها</w:t>
      </w:r>
      <w:r>
        <w:rPr>
          <w:rFonts w:eastAsia="IRNazanin" w:cs="IRNazanin"/>
          <w:color w:val="111111"/>
          <w:sz w:val="28"/>
          <w:szCs w:val="28"/>
          <w:rtl w:val="true"/>
          <w:lang w:bidi="fa-IR"/>
        </w:rPr>
        <w:t>.</w:t>
      </w:r>
    </w:p>
    <w:p>
      <w:pPr>
        <w:pStyle w:val="Heading5"/>
        <w:numPr>
          <w:ilvl w:val="4"/>
          <w:numId w:val="1"/>
        </w:numPr>
        <w:rPr/>
      </w:pPr>
      <w:bookmarkStart w:id="455" w:name="__RefHeading___Toc634159_581953129"/>
      <w:bookmarkStart w:id="456" w:name="_Toc175"/>
      <w:bookmarkEnd w:id="455"/>
      <w:r>
        <w:rPr>
          <w:rtl w:val="true"/>
        </w:rPr>
        <w:t>أسالیب أهل‌البیت علیهم السّلام فی مواجهة الآراء المنحرفة</w:t>
      </w:r>
      <w:bookmarkEnd w:id="456"/>
    </w:p>
    <w:p>
      <w:pPr>
        <w:pStyle w:val="BookText"/>
        <w:rPr/>
      </w:pPr>
      <w:r>
        <w:rPr>
          <w:rFonts w:ascii="IRNazanin" w:hAnsi="IRNazanin" w:eastAsia="IRNazanin"/>
          <w:color w:val="111111"/>
          <w:sz w:val="28"/>
          <w:sz w:val="28"/>
          <w:szCs w:val="28"/>
          <w:rtl w:val="true"/>
          <w:lang w:bidi="fa-IR"/>
        </w:rPr>
        <w:t>واجه النبی صلّی الله علیه و آله و الأئمّة الأطهار علیهم السّلام الأفکار و النظریات المنحرفة بأسالیب مختلفة، نذکر بعضاً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التحذیر من وجود أفکار ضالة وخرافیة منحرفة فی أوساط الناس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تشخیص أصحاب الفکر المنحرف،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الیهودی کعب الأحبار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الموضوعات الصحیحة إزاء التصوّرات الباطلة،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أمّنا حوّاء من بقیة طین آدم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استدلال الأئمّة الأطهار علیهم السّلام، وإقامة البرهان فی الردّ علی الآراء و الأفکار الباطلة،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القیاس، والاستحسان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الذمّ و التوبیخ للأفکار الخارجة عن الإسلام، والتی تأول إلی هدمه،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الذامّة للتفسیر بالرأی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أهم أشکال الانحرف التی رافقت مراحل حیاة أهل‌البیت علیهم السّلام، والتی واجهوها بجزم و بمختلف الوسائل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التصدّی لظاهرة الجعل، أو الوضع ومواجهة دخول الإسرائیلیات، وذمّ القیاس والاستحسانات، والتفسیر بالرأی، وسنوضح هذه الأمور بشکلٍ مجملٍ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التصدّی لظاهرة الوضع و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سنّة الرسول صلّی الله علیه و آله وأهل‌البیت علیهم السّلام هی التصدّی للانحرافات الدینیة، فالنبی صلّی الله علیه و آله منذ وقت مبکّر بدأ یشعر بخطر ظاهرة الجعل، ومن أجل الوقوف بوجها حذّر منها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علی الکذّابة، وستکثر، فمَن کذب علی متعمّداً، فلیتبوّء مقعده من النار</w:t>
      </w:r>
      <w:r>
        <w:rPr>
          <w:rFonts w:eastAsia="IRNazanin" w:cs="IRNazanin"/>
          <w:color w:val="111111"/>
          <w:sz w:val="28"/>
          <w:szCs w:val="28"/>
          <w:rtl w:val="true"/>
          <w:lang w:bidi="fa-IR"/>
        </w:rPr>
        <w:t xml:space="preserve">».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یعتبر أبو هریرة الدُوسی إمام الوضّاعین، و مع أنّه عاش فی المدینة سنة وتسعة أشهر بعد غزوة خیبر الواقعة فی السنة السابعة بعد الهجرة، فقد نقل عن النبی صلّی الله علیه و آله أکثر ممّا نقله جمیع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عنه فی بعض الکتب ما یقارب </w:t>
      </w:r>
      <w:r>
        <w:rPr>
          <w:rFonts w:eastAsia="IRNazanin" w:cs="IRNazanin"/>
          <w:color w:val="111111"/>
          <w:sz w:val="28"/>
          <w:szCs w:val="28"/>
          <w:lang w:bidi="fa-IR"/>
        </w:rPr>
        <w:t>5374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و قد نقل البخاری لوحده عنه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Style w:val="FootnoteAnchor"/>
          <w:rtl w:val="true"/>
        </w:rPr>
        <w:footnoteReference w:id="548"/>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ولهذا الأمر کان علی علیه السّلام لایهتم به، ویقول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أحد أکذب من هذا الدُوسی علی رسول الله صلّی الله علیه و آله</w:t>
      </w:r>
      <w:r>
        <w:rPr>
          <w:rFonts w:eastAsia="IRNazanin" w:cs="IRNazanin"/>
          <w:color w:val="111111"/>
          <w:sz w:val="28"/>
          <w:szCs w:val="28"/>
          <w:rtl w:val="true"/>
          <w:lang w:bidi="fa-IR"/>
        </w:rPr>
        <w:t xml:space="preserve">».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و هذه الظاهرة الخطرة نَمَت وترعرعت بشکل خاصّ فی أوساط أهل السنّة لأهداف مختلفة،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سیاسیة، وکلامیة، و اقتصادیة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الأطهار علیهم السّلام تصدّوا لهذه الظاهرة المشؤمة وبشدّة، وعلّموا أنصارهم أن لایتساهلوا فی أخذ ومعرفة الحدیث، ولا یقبلوا کلّ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عیسی بن عبید، عن یونس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أصحابنا سأله، و أنا حاضر،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ما أشدّک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أکثر إنکارک لما یرویه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الذی یحملک علی ردّ الأحادیث؟</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هشام بن الحکم، إنّه سمع أباعبد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تقبلوا علینا حدیثاً إلاّ ما وافق القرآن و السنّة، أو تجدون معه شاهداً من أحادیثنا المتقدِّمة، فإنّ المغیرة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 فی کتب أصحاب أبی أحادیث لم یحدّث بها أبی، فاتّقوا الله ولا تقبلوا علینا ما خالف قول ربِّنا تعالی، وسنّة نبینا محمّد صلّی الله علیه و آله، فإنّا إذا حدّثنا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عزّو جلّ، وقال رسول الله صلّی الله علیه و آله</w:t>
      </w:r>
      <w:r>
        <w:rPr>
          <w:rFonts w:eastAsia="IRNazanin" w:cs="IRNazanin"/>
          <w:color w:val="111111"/>
          <w:sz w:val="28"/>
          <w:szCs w:val="28"/>
          <w:rtl w:val="true"/>
          <w:lang w:bidi="fa-IR"/>
        </w:rPr>
        <w:t xml:space="preserve">».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الحیلولة دون إدخال الإسرائیلیات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وجود الروایات الإسرائیلیة، فی التفسیر وجّه ضربةً موجعةً للروایات التفسیریة، و إنّ أکثر الروایات و الأخبار الیهودیة قام بإدخالها، الیهودی الشهیر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الأحبار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الفکرالدینی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من أهل الیمن، وفی الواقع أن أباهریرة انتهج نهج هذا الیهودی</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کتب أبو 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استطاع هذا الیهودی أن یدسّ من الخرافات و الأوهام و الأکاذیب فی الدین ما امتلاتْ به کتب التفسیر و الحدیث و التاریخ</w:t>
      </w:r>
      <w:r>
        <w:rPr>
          <w:rFonts w:eastAsia="IRNazanin" w:cs="IRNazanin"/>
          <w:color w:val="111111"/>
          <w:sz w:val="28"/>
          <w:szCs w:val="28"/>
          <w:rtl w:val="true"/>
          <w:lang w:bidi="fa-IR"/>
        </w:rPr>
        <w:t xml:space="preserve">. </w:t>
      </w:r>
      <w:r>
        <w:rPr>
          <w:rStyle w:val="FootnoteAnchor"/>
          <w:rtl w:val="true"/>
        </w:rPr>
        <w:footnoteReference w:id="551"/>
      </w:r>
      <w:r>
        <w:rPr>
          <w:rFonts w:ascii="IRNazanin" w:hAnsi="IRNazanin" w:eastAsia="IRNazanin"/>
          <w:color w:val="111111"/>
          <w:sz w:val="28"/>
          <w:sz w:val="28"/>
          <w:szCs w:val="28"/>
          <w:rtl w:val="true"/>
          <w:lang w:bidi="fa-IR"/>
        </w:rPr>
        <w:t>و قد واجه الأئمّة المعصومون علیهم السّلام هذه الظاهرة أیضاً مواجهةً شدیدةً، فمثلاً عند ما قال شخص فی</w:t>
      </w:r>
    </w:p>
    <w:p>
      <w:pPr>
        <w:pStyle w:val="BookText"/>
        <w:rPr/>
      </w:pPr>
      <w:r>
        <w:rPr>
          <w:rFonts w:ascii="IRNazanin" w:hAnsi="IRNazanin" w:eastAsia="IRNazanin"/>
          <w:color w:val="111111"/>
          <w:sz w:val="28"/>
          <w:sz w:val="28"/>
          <w:szCs w:val="28"/>
          <w:rtl w:val="true"/>
          <w:lang w:bidi="fa-IR"/>
        </w:rPr>
        <w:t>محضر الإمام الباقر علیه السّلام إنّ کعب الأحبار،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الکعبة تسجد لبیت المقدس فی کلّ غداة، ردّ علیه الإمام علیه السّلام قائلاً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 وکذّب الأحبار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وبغضب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 الله عزّوجلّ بقعة فی الأرض أحبّ إلیه منها</w:t>
      </w:r>
      <w:r>
        <w:rPr>
          <w:rFonts w:eastAsia="IRNazanin" w:cs="IRNazanin"/>
          <w:color w:val="111111"/>
          <w:sz w:val="28"/>
          <w:szCs w:val="28"/>
          <w:rtl w:val="true"/>
          <w:lang w:bidi="fa-IR"/>
        </w:rPr>
        <w:t xml:space="preserve">».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وهکذا تصدّیهم إلی الروایات و الأفکار الإسرائیلیة، والتی من جملتها المتحدّثة عن خلق حوّاء من الضلع الأیسر لآدم علیه السّلام</w:t>
      </w:r>
      <w:r>
        <w:rPr>
          <w:rFonts w:eastAsia="IRNazanin" w:cs="IRNazanin"/>
          <w:color w:val="111111"/>
          <w:sz w:val="28"/>
          <w:szCs w:val="28"/>
          <w:rtl w:val="true"/>
          <w:lang w:bidi="fa-IR"/>
        </w:rPr>
        <w:t xml:space="preserve">.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مواجهة القیاس والاستحسان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المناهج المنحرفة فی الدین الاعتماد علی القیاس و الآراء الشخصیة و الاستحسان لأجل إثبات حکم أو حقیقة دینیة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إنّ هذا الموضوع یتعرّض لمناقشته فی بحوث الفقه و الأصول، إلاّ أنّه توجد روایة تعُدُّ القیاس عامل یساعد علی تغییر کتاب الله وسنّة الرسول صلّی الله علیه و آله</w:t>
      </w:r>
      <w:r>
        <w:rPr>
          <w:rFonts w:eastAsia="IRNazanin" w:cs="IRNazanin"/>
          <w:color w:val="111111"/>
          <w:sz w:val="28"/>
          <w:szCs w:val="28"/>
          <w:rtl w:val="true"/>
          <w:lang w:bidi="fa-IR"/>
        </w:rPr>
        <w:t xml:space="preserve">. </w:t>
      </w:r>
      <w:r>
        <w:rPr>
          <w:rStyle w:val="FootnoteAnchor"/>
          <w:rtl w:val="true"/>
        </w:rPr>
        <w:footnoteReference w:id="554"/>
      </w:r>
      <w:r>
        <w:rPr>
          <w:rFonts w:ascii="IRNazanin" w:hAnsi="IRNazanin" w:eastAsia="IRNazanin"/>
          <w:color w:val="111111"/>
          <w:sz w:val="28"/>
          <w:sz w:val="28"/>
          <w:szCs w:val="28"/>
          <w:rtl w:val="true"/>
          <w:lang w:bidi="fa-IR"/>
        </w:rPr>
        <w:t xml:space="preserve">إنّ هذه المناهج المنحرفة وُجهتْ من قبل النبی صلّی الله علیه و آله و الأئمّة المعصومین علیهم السّلام بشدّة النهی و التقریع؛ </w:t>
      </w:r>
      <w:r>
        <w:rPr>
          <w:rStyle w:val="FootnoteAnchor"/>
          <w:rtl w:val="true"/>
        </w:rPr>
        <w:footnoteReference w:id="555"/>
      </w:r>
      <w:r>
        <w:rPr>
          <w:rFonts w:ascii="Amiri" w:hAnsi="Amiri" w:eastAsia="Amiri" w:cs="Amiri"/>
          <w:color w:val="111111"/>
          <w:sz w:val="28"/>
          <w:sz w:val="28"/>
          <w:szCs w:val="28"/>
          <w:rtl w:val="true"/>
          <w:lang w:bidi="ar-SA"/>
        </w:rPr>
        <w:t>وذلک لأنّ أساس الدین و التشریع هو من عند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الْحُکْمُ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56"/>
      </w:r>
      <w:r>
        <w:rPr>
          <w:rFonts w:ascii="IRNazanin" w:hAnsi="IRNazanin" w:eastAsia="IRNazanin"/>
          <w:color w:val="111111"/>
          <w:sz w:val="28"/>
          <w:sz w:val="28"/>
          <w:szCs w:val="28"/>
          <w:rtl w:val="true"/>
          <w:lang w:bidi="fa-IR"/>
        </w:rPr>
        <w:t>ومع أنّ الله المتعال ترک بعض مجال التشریع و الحکم للنبی صلّی الله علیه و آله و الأئمّة علیهم السّلام، ولکن لیس بمقدور کلّ أحد أن یحکم من عنده ویصدر الفتیا</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أهمّ مشکلة تسببها هذه المدارس الانحرافیة إذا عمّت ثقافة القیاس والاجتهاد، والآراء الشخصیة علی المجتمع الإسلامی وحکَمَتْهُ، هی إقصاء دین الله ورسوله عن</w:t>
      </w:r>
    </w:p>
    <w:p>
      <w:pPr>
        <w:pStyle w:val="BookText"/>
        <w:rPr/>
      </w:pPr>
      <w:r>
        <w:rPr>
          <w:rFonts w:ascii="IRNazanin" w:hAnsi="IRNazanin" w:eastAsia="IRNazanin"/>
          <w:color w:val="111111"/>
          <w:sz w:val="28"/>
          <w:sz w:val="28"/>
          <w:szCs w:val="28"/>
          <w:rtl w:val="true"/>
          <w:lang w:bidi="fa-IR"/>
        </w:rPr>
        <w:t>ثقافة المجتمع، و هذا یعنی عدم حاکمیة الله والاستغناء عن إرسال الرُسل ونزول الکتب السماویة</w:t>
      </w:r>
      <w:r>
        <w:rPr>
          <w:rFonts w:eastAsia="IRNazanin" w:cs="IRNazanin"/>
          <w:color w:val="111111"/>
          <w:sz w:val="28"/>
          <w:szCs w:val="28"/>
          <w:rtl w:val="true"/>
          <w:lang w:bidi="fa-IR"/>
        </w:rPr>
        <w:t xml:space="preserve">. </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حَذّر الإمام علی علیه السّلام من هذه القضیة فی عصره،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تقیسوا الدین، فإنّ من الدین ما لا یقاس، وسیأتی اقوام یقیسون فهم أعداء الدین، وأوّل من قاس إبلیس</w:t>
      </w:r>
      <w:r>
        <w:rPr>
          <w:rFonts w:eastAsia="IRNazanin" w:cs="IRNazanin"/>
          <w:color w:val="111111"/>
          <w:sz w:val="28"/>
          <w:szCs w:val="28"/>
          <w:rtl w:val="true"/>
          <w:lang w:bidi="fa-IR"/>
        </w:rPr>
        <w:t xml:space="preserve">». </w:t>
      </w:r>
      <w:r>
        <w:rPr>
          <w:rStyle w:val="FootnoteAnchor"/>
          <w:rtl w:val="true"/>
        </w:rPr>
        <w:footnoteReference w:id="558"/>
      </w:r>
      <w:r>
        <w:rPr>
          <w:rFonts w:ascii="IRNazanin" w:hAnsi="IRNazanin" w:eastAsia="IRNazanin"/>
          <w:color w:val="111111"/>
          <w:sz w:val="28"/>
          <w:sz w:val="28"/>
          <w:szCs w:val="28"/>
          <w:rtl w:val="true"/>
          <w:lang w:bidi="fa-IR"/>
        </w:rPr>
        <w:t>وفی مضمون روایة أنّ الإمام الصادق علیه السّلام عاب هذا الاتّجاه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أصحاب القیاس طلبوا العلم بالقیاس، فلم یزدادوا من الحق إلاّ بعداً، إنّ دین الله لا یصاب بالقیاس</w:t>
      </w:r>
      <w:r>
        <w:rPr>
          <w:rFonts w:eastAsia="IRNazanin" w:cs="IRNazanin"/>
          <w:color w:val="111111"/>
          <w:sz w:val="28"/>
          <w:szCs w:val="28"/>
          <w:rtl w:val="true"/>
          <w:lang w:bidi="fa-IR"/>
        </w:rPr>
        <w:t xml:space="preserve">».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الردع عن التفسیر بالرأی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السبل المضلّة للناس عن حقائق القرآن الکریم هی تحریف معانی الآیات، والتّی تؤدّی إلی الانحرافات الفکریة عن معارف الدین الحقیقیة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فالأشخاص النفعیون و طلّاب الدنیا، والذین یلهثون وراء المنافع الذاتیة، یقومون بتفسیر آیات القرآن وفق آرائهم وتأویلاتهم الباطلة تحقیقاً لأهدافهم الدنیویه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وأهل البیت علیهم السّلام من أجل الوقوف بوجه هذه السبل و المناهج الخطیرة حذّروا کثیراً من تفسیر القرآن بالرأی وذمّوا ذلک ومنعوا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نقل ابن عبّاس عن النبی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فی القرآن برأیه، فلیتبوّء مقعده من النار</w:t>
      </w:r>
      <w:r>
        <w:rPr>
          <w:rFonts w:eastAsia="IRNazanin" w:cs="IRNazanin"/>
          <w:color w:val="111111"/>
          <w:sz w:val="28"/>
          <w:szCs w:val="28"/>
          <w:rtl w:val="true"/>
          <w:lang w:bidi="fa-IR"/>
        </w:rPr>
        <w:t xml:space="preserve">».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وقال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فسّر القرآن برأیه فأصاب لم یؤجر، و إن أخطأ کان إثمُهُ علیه</w:t>
      </w:r>
      <w:r>
        <w:rPr>
          <w:rFonts w:eastAsia="IRNazanin" w:cs="IRNazanin"/>
          <w:color w:val="111111"/>
          <w:sz w:val="28"/>
          <w:szCs w:val="28"/>
          <w:rtl w:val="true"/>
          <w:lang w:bidi="fa-IR"/>
        </w:rPr>
        <w:t xml:space="preserve">». </w:t>
      </w:r>
      <w:r>
        <w:rPr>
          <w:rStyle w:val="FootnoteAnchor"/>
          <w:rtl w:val="true"/>
        </w:rPr>
        <w:footnoteReference w:id="561"/>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أخری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فسّر برأیه آیةً من کتاب الله، فقد کفر</w:t>
      </w:r>
      <w:r>
        <w:rPr>
          <w:rFonts w:eastAsia="IRNazanin" w:cs="IRNazanin"/>
          <w:color w:val="111111"/>
          <w:sz w:val="28"/>
          <w:szCs w:val="28"/>
          <w:rtl w:val="true"/>
          <w:lang w:bidi="fa-IR"/>
        </w:rPr>
        <w:t xml:space="preserve">». </w:t>
      </w:r>
      <w:r>
        <w:rPr>
          <w:rStyle w:val="FootnoteAnchor"/>
          <w:rtl w:val="true"/>
        </w:rPr>
        <w:footnoteReference w:id="562"/>
      </w:r>
      <w:bookmarkStart w:id="457" w:name="pg5285_67357"/>
    </w:p>
    <w:p>
      <w:pPr>
        <w:pStyle w:val="BookText"/>
        <w:rPr/>
      </w:pPr>
      <w:bookmarkEnd w:id="457"/>
      <w:r>
        <w:rPr>
          <w:rFonts w:ascii="IRNazanin" w:hAnsi="IRNazanin" w:eastAsia="IRNazanin"/>
          <w:color w:val="111111"/>
          <w:sz w:val="28"/>
          <w:sz w:val="28"/>
          <w:szCs w:val="28"/>
          <w:rtl w:val="true"/>
          <w:lang w:bidi="fa-IR"/>
        </w:rPr>
        <w:t>وفی روایة أخری عن أمیر المؤمنین علیه السّلام عن رسول الله صلّی الله علیه و آله عن الله جلّ جلاله،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آمن بی مَن فَسّر برأیه کلامی</w:t>
      </w:r>
      <w:r>
        <w:rPr>
          <w:rFonts w:eastAsia="IRNazanin" w:cs="IRNazanin"/>
          <w:color w:val="111111"/>
          <w:sz w:val="28"/>
          <w:szCs w:val="28"/>
          <w:rtl w:val="true"/>
          <w:lang w:bidi="fa-IR"/>
        </w:rPr>
        <w:t>».</w:t>
      </w:r>
    </w:p>
    <w:p>
      <w:pPr>
        <w:pStyle w:val="Heading3"/>
        <w:numPr>
          <w:ilvl w:val="2"/>
          <w:numId w:val="1"/>
        </w:numPr>
        <w:rPr/>
      </w:pPr>
      <w:bookmarkStart w:id="458" w:name="__RefHeading___Toc634161_581953129"/>
      <w:bookmarkStart w:id="459" w:name="_Toc176"/>
      <w:bookmarkEnd w:id="458"/>
      <w:r>
        <w:rPr>
          <w:rtl w:val="true"/>
        </w:rPr>
        <w:t>معنی التفسیر بالرأی</w:t>
      </w:r>
      <w:bookmarkEnd w:id="459"/>
    </w:p>
    <w:p>
      <w:pPr>
        <w:pStyle w:val="BookText"/>
        <w:rPr/>
      </w:pPr>
      <w:r>
        <w:rPr>
          <w:rFonts w:ascii="IRNazanin" w:hAnsi="IRNazanin" w:eastAsia="IRNazanin"/>
          <w:color w:val="111111"/>
          <w:sz w:val="28"/>
          <w:sz w:val="28"/>
          <w:szCs w:val="28"/>
          <w:rtl w:val="true"/>
          <w:lang w:bidi="fa-IR"/>
        </w:rPr>
        <w:t>ونُورد هنا بعض آراء المفسّرین فی مفهوم التفسیر بالرأی، کما فی الفقرات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الفیض الکاشانی رحمه الله، یمکن حمل التفسیر بالرأی علی 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للمفسّر رأی و میل و هویً فیفسرّ القرآن وِفق رأیه و هواه؛ لیحتجّ علی صحّة غرضه، و لو لم یکن ذلک الرأی و الهوی، لکان لا یلوح له من القرآن ذلک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یتسارع إلی تفسیر القرآن بظاهر العربیة من غیر استظهار بالسماع و النقل فیما تعلّق بغرائب القرآن، وما فیها من الألفاظ المبهمة و المبدلة، وما فیها من الاقتصار و الحذف و الإضمار، والتقدیم و التأخیر، وفیما یتعلّق بالناسخ و المنسوخ، والخاصّ و العام و الرخص، والعزائم و المحکم و المتشابه إلی ما غیر ذلک</w:t>
      </w:r>
      <w:r>
        <w:rPr>
          <w:rFonts w:eastAsia="IRNazanin" w:cs="IRNazanin"/>
          <w:color w:val="111111"/>
          <w:sz w:val="28"/>
          <w:szCs w:val="28"/>
          <w:rtl w:val="true"/>
          <w:lang w:bidi="fa-IR"/>
        </w:rPr>
        <w:t xml:space="preserve">. </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العلامة الطباطبایی رحمه الله إلی نقطتین أساسیتّین استفادها من الروایات تحدّد معنی التفسیر بالرأی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الإضافة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تُفید معنی الاختصاص والانفراد، والاستقلال بأن یستقلّ المفسّر فی تفسیر القرآن بما عنده من الأسباب فی فهم الکلام العربی</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یفسّرَ المفسّر کلام الله کما یفسّر کلام سائر الناس، ویقییس آیات القرآن بمخاطباتهم، والحال أنّ کلام الله متفاوت مع کلام البشر؛ لأنّ ألفاظه مع کونها مفرّقة بعضها عن البعض الآخر، إلاّ أنّها کذلک هی متّصلة فی الحین نفسه، فبعض الآیات تفسر البعض الآخر</w:t>
      </w:r>
      <w:r>
        <w:rPr>
          <w:rFonts w:eastAsia="IRNazanin" w:cs="IRNazanin"/>
          <w:color w:val="111111"/>
          <w:sz w:val="28"/>
          <w:szCs w:val="28"/>
          <w:rtl w:val="true"/>
          <w:lang w:bidi="fa-IR"/>
        </w:rPr>
        <w:t>.</w:t>
      </w:r>
      <w:bookmarkStart w:id="460" w:name="pg5285_67359"/>
    </w:p>
    <w:p>
      <w:pPr>
        <w:pStyle w:val="BookText"/>
        <w:rPr/>
      </w:pPr>
      <w:bookmarkEnd w:id="460"/>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نُهی عن تفهم کلامه علی نحو ما یتفهّم به کلام غیره، و إن کان هذا النحو من التفهم ربّما صادف الواقع، والدلیل علی ذلک هو قوله رسول الله صلّی الله علیه و آله فی الروایة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تکلّم فی القرآن برأیه فأصاب الحقّ، فقد أخطأ</w:t>
      </w:r>
      <w:r>
        <w:rPr>
          <w:rFonts w:eastAsia="IRNazanin" w:cs="IRNazanin"/>
          <w:color w:val="111111"/>
          <w:sz w:val="28"/>
          <w:szCs w:val="28"/>
          <w:rtl w:val="true"/>
          <w:lang w:bidi="fa-IR"/>
        </w:rPr>
        <w:t xml:space="preserve">».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والمعنی الآخر للتفسیر بالرأی هو تقبلّنا لمفهوم عبارة عمّا نتقبل القواعد الأدبیة وما تقتضیه اللغة، ولکن عند تطبیقها علی المصادیق نرتکب تحریفاً، والشیء الذی لیس هو مصداقاً لها نعرّفه مصداقاً لها تبعاً لذوقنا الشخصی</w:t>
      </w:r>
      <w:r>
        <w:rPr>
          <w:rFonts w:eastAsia="IRNazanin" w:cs="IRNazanin"/>
          <w:color w:val="111111"/>
          <w:sz w:val="28"/>
          <w:szCs w:val="28"/>
          <w:rtl w:val="true"/>
          <w:lang w:bidi="fa-IR"/>
        </w:rPr>
        <w:t xml:space="preserve">. </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وهناک آراء أخری فی هذا المجال وردت، وللمزید فی البحث والاطلاع یمکن مراجعة المصادر الأخری</w:t>
      </w:r>
      <w:r>
        <w:rPr>
          <w:rFonts w:eastAsia="IRNazanin" w:cs="IRNazanin"/>
          <w:color w:val="111111"/>
          <w:sz w:val="28"/>
          <w:szCs w:val="28"/>
          <w:rtl w:val="true"/>
          <w:lang w:bidi="fa-IR"/>
        </w:rPr>
        <w:t xml:space="preserve">. </w:t>
      </w:r>
      <w:r>
        <w:rPr>
          <w:rStyle w:val="FootnoteAnchor"/>
          <w:rtl w:val="true"/>
        </w:rPr>
        <w:footnoteReference w:id="566"/>
      </w:r>
    </w:p>
    <w:p>
      <w:pPr>
        <w:pStyle w:val="Heading3"/>
        <w:numPr>
          <w:ilvl w:val="2"/>
          <w:numId w:val="1"/>
        </w:numPr>
        <w:rPr/>
      </w:pPr>
      <w:bookmarkStart w:id="461" w:name="__RefHeading___Toc634163_581953129"/>
      <w:bookmarkStart w:id="462" w:name="_Toc177"/>
      <w:bookmarkEnd w:id="461"/>
      <w:r>
        <w:rPr>
          <w:rtl w:val="true"/>
        </w:rPr>
        <w:t>المحصّلة</w:t>
      </w:r>
      <w:bookmarkEnd w:id="462"/>
    </w:p>
    <w:p>
      <w:pPr>
        <w:pStyle w:val="Heading4"/>
        <w:numPr>
          <w:ilvl w:val="3"/>
          <w:numId w:val="1"/>
        </w:numPr>
        <w:rPr/>
      </w:pPr>
      <w:bookmarkStart w:id="463" w:name="__RefHeading___Toc634165_581953129"/>
      <w:bookmarkStart w:id="464" w:name="_Toc178"/>
      <w:bookmarkEnd w:id="463"/>
      <w:r>
        <w:rPr>
          <w:rtl w:val="true"/>
        </w:rPr>
        <w:t>اشارة</w:t>
      </w:r>
      <w:bookmarkEnd w:id="464"/>
    </w:p>
    <w:p>
      <w:pPr>
        <w:pStyle w:val="BookText"/>
        <w:rPr/>
      </w:pPr>
      <w:r>
        <w:rPr>
          <w:rFonts w:ascii="IRNazanin" w:hAnsi="IRNazanin" w:eastAsia="IRNazanin"/>
          <w:color w:val="111111"/>
          <w:sz w:val="28"/>
          <w:sz w:val="28"/>
          <w:szCs w:val="28"/>
          <w:rtl w:val="true"/>
          <w:lang w:bidi="fa-IR"/>
        </w:rPr>
        <w:t>مفردة أهل‌البیت لغویاً تعنی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أفراد العائلة الذین یسکنون فی محلّ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طرحت فی اصطلاح القرآن الکریم فی سورة الأحزاب، الآیة الثالثة و الثلاثون علی أنّ المقصود من أهل‌البیت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الإسلام صلّی الله علیه و آله وعلی بن‌أبی‌طالب وفاطمة الزهراء، والحسن و الحسین علیهم السّلام وبالمفهوم الروائی الأدق و الأوسع تُطلق علی الأربعة عشر معصوماً علیهم السّلام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تختصّ علوم أهل‌البیت علیهم السّلام فی مجال معین، و إنّما هی تتّسع لکلّ ما هو نازل من عند الله تبارک وتعالی ومطّلعون علیه، فهم لا یعلمون بما جاء به القرآن الکریم</w:t>
      </w:r>
      <w:bookmarkStart w:id="465" w:name="pg5285_67361"/>
    </w:p>
    <w:p>
      <w:pPr>
        <w:pStyle w:val="BookText"/>
        <w:rPr/>
      </w:pPr>
      <w:bookmarkEnd w:id="465"/>
      <w:r>
        <w:rPr>
          <w:rFonts w:ascii="IRNazanin" w:hAnsi="IRNazanin" w:eastAsia="IRNazanin"/>
          <w:color w:val="111111"/>
          <w:sz w:val="28"/>
          <w:sz w:val="28"/>
          <w:szCs w:val="28"/>
          <w:rtl w:val="true"/>
          <w:lang w:bidi="fa-IR"/>
        </w:rPr>
        <w:t>فقط، و إنّما هم یعلمون بکلّ ما جاءت به الکتب السماویة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بعض الموارد فإنّ علوم أهل‌البیت علیهم السّلام تشمل العلم بالحوادث و الوقائع المستقبلیة التی أطلعهم الرسول علیها،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الأمور الغیبیة، وکذلک شرح وتفصیل الأحکام، والعلم بظاهر وباطن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دور أهل‌البیت علیهم السّلام فی تفسیر القرآن هو دور رئیس وأساسی، ویمکن أنّ نشیرَ إلی أربعة من أدوارهم المهمّة، والتی لها تأثیرها الجدّی فی ذلک</w:t>
      </w:r>
      <w:r>
        <w:rPr>
          <w:rFonts w:eastAsia="IRNazanin" w:cs="IRNazanin"/>
          <w:color w:val="111111"/>
          <w:sz w:val="28"/>
          <w:szCs w:val="28"/>
          <w:rtl w:val="true"/>
          <w:lang w:bidi="fa-IR"/>
        </w:rPr>
        <w:t>:</w:t>
      </w:r>
    </w:p>
    <w:p>
      <w:pPr>
        <w:pStyle w:val="Heading4"/>
        <w:numPr>
          <w:ilvl w:val="3"/>
          <w:numId w:val="1"/>
        </w:numPr>
        <w:rPr/>
      </w:pPr>
      <w:bookmarkStart w:id="466" w:name="__RefHeading___Toc634167_581953129"/>
      <w:bookmarkStart w:id="467" w:name="_Toc179"/>
      <w:bookmarkEnd w:id="466"/>
      <w:r>
        <w:rPr/>
        <w:t>1</w:t>
      </w:r>
      <w:r>
        <w:rPr>
          <w:rtl w:val="true"/>
        </w:rPr>
        <w:t xml:space="preserve">. </w:t>
      </w:r>
      <w:r>
        <w:rPr>
          <w:rtl w:val="true"/>
        </w:rPr>
        <w:t>دور الهدایة و التربیة</w:t>
      </w:r>
      <w:r>
        <w:rPr>
          <w:rtl w:val="true"/>
        </w:rPr>
        <w:t>:</w:t>
      </w:r>
      <w:bookmarkEnd w:id="467"/>
    </w:p>
    <w:p>
      <w:pPr>
        <w:pStyle w:val="BookText"/>
        <w:rPr/>
      </w:pPr>
      <w:r>
        <w:rPr>
          <w:rFonts w:ascii="IRNazanin" w:hAnsi="IRNazanin" w:eastAsia="IRNazanin"/>
          <w:color w:val="111111"/>
          <w:sz w:val="28"/>
          <w:sz w:val="28"/>
          <w:szCs w:val="28"/>
          <w:rtl w:val="true"/>
          <w:lang w:bidi="fa-IR"/>
        </w:rPr>
        <w:t>فإنّ أهل‌البیت علیهم السّلام یهدون الناس إلی المفاهیم و المعانی الحقیقیة التی جاء بهاالقرآن</w:t>
      </w:r>
      <w:r>
        <w:rPr>
          <w:rFonts w:eastAsia="IRNazanin" w:cs="IRNazanin"/>
          <w:color w:val="111111"/>
          <w:sz w:val="28"/>
          <w:szCs w:val="28"/>
          <w:rtl w:val="true"/>
          <w:lang w:bidi="fa-IR"/>
        </w:rPr>
        <w:t>.</w:t>
      </w:r>
    </w:p>
    <w:p>
      <w:pPr>
        <w:pStyle w:val="Heading4"/>
        <w:numPr>
          <w:ilvl w:val="3"/>
          <w:numId w:val="1"/>
        </w:numPr>
        <w:rPr/>
      </w:pPr>
      <w:bookmarkStart w:id="468" w:name="__RefHeading___Toc634169_581953129"/>
      <w:bookmarkStart w:id="469" w:name="_Toc180"/>
      <w:bookmarkEnd w:id="468"/>
      <w:r>
        <w:rPr/>
        <w:t>2</w:t>
      </w:r>
      <w:r>
        <w:rPr>
          <w:rtl w:val="true"/>
        </w:rPr>
        <w:t xml:space="preserve">. </w:t>
      </w:r>
      <w:r>
        <w:rPr>
          <w:rtl w:val="true"/>
        </w:rPr>
        <w:t>إعداد المفسّرین</w:t>
      </w:r>
      <w:r>
        <w:rPr>
          <w:rtl w:val="true"/>
        </w:rPr>
        <w:t>:</w:t>
      </w:r>
      <w:bookmarkEnd w:id="469"/>
    </w:p>
    <w:p>
      <w:pPr>
        <w:pStyle w:val="BookText"/>
        <w:rPr/>
      </w:pPr>
      <w:r>
        <w:rPr>
          <w:rFonts w:ascii="IRNazanin" w:hAnsi="IRNazanin" w:eastAsia="IRNazanin"/>
          <w:color w:val="111111"/>
          <w:sz w:val="28"/>
          <w:sz w:val="28"/>
          <w:szCs w:val="28"/>
          <w:rtl w:val="true"/>
          <w:lang w:bidi="fa-IR"/>
        </w:rPr>
        <w:t>فقد حرص أهل‌البیت علیهم السّلام علی تربیة العلماء لأجل إدراک وفهم القرآن واستنباط الأحکام الشرعیة، والمفاهیم الدینیة وأجازوهم الاجتهاد</w:t>
      </w:r>
      <w:r>
        <w:rPr>
          <w:rFonts w:eastAsia="IRNazanin" w:cs="IRNazanin"/>
          <w:color w:val="111111"/>
          <w:sz w:val="28"/>
          <w:szCs w:val="28"/>
          <w:rtl w:val="true"/>
          <w:lang w:bidi="fa-IR"/>
        </w:rPr>
        <w:t>.</w:t>
      </w:r>
    </w:p>
    <w:p>
      <w:pPr>
        <w:pStyle w:val="Heading4"/>
        <w:numPr>
          <w:ilvl w:val="3"/>
          <w:numId w:val="1"/>
        </w:numPr>
        <w:rPr/>
      </w:pPr>
      <w:bookmarkStart w:id="470" w:name="__RefHeading___Toc634171_581953129"/>
      <w:bookmarkStart w:id="471" w:name="_Toc181"/>
      <w:bookmarkEnd w:id="470"/>
      <w:r>
        <w:rPr/>
        <w:t>3</w:t>
      </w:r>
      <w:r>
        <w:rPr>
          <w:rtl w:val="true"/>
        </w:rPr>
        <w:t xml:space="preserve">. </w:t>
      </w:r>
      <w:r>
        <w:rPr>
          <w:rtl w:val="true"/>
        </w:rPr>
        <w:t>طرح الأصول العملیة</w:t>
      </w:r>
      <w:r>
        <w:rPr>
          <w:rtl w:val="true"/>
        </w:rPr>
        <w:t>:</w:t>
      </w:r>
      <w:bookmarkEnd w:id="471"/>
    </w:p>
    <w:p>
      <w:pPr>
        <w:pStyle w:val="BookText"/>
        <w:rPr/>
      </w:pPr>
      <w:r>
        <w:rPr>
          <w:rFonts w:ascii="IRNazanin" w:hAnsi="IRNazanin" w:eastAsia="IRNazanin"/>
          <w:color w:val="111111"/>
          <w:sz w:val="28"/>
          <w:sz w:val="28"/>
          <w:szCs w:val="28"/>
          <w:rtl w:val="true"/>
          <w:lang w:bidi="fa-IR"/>
        </w:rPr>
        <w:t>ومن أهمّ أدوار أهل‌البیت علیهم السّلام طرحهم الأسّس العملیة التی هی بمثابة مفاتیح مشکلات المفسّرین وانطلاقاً منها یمکنهم فهم آیات القرآن، والکشف عن معانیها، والتی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بالأمور القطعیة و العلمیة، التوجیه إلی البعد التوحیدی، التنبیه إلی البعد الولائی، التأکید علی خلود القرآن، و إرجاع المتشابهات إلی المحکمات، و أنّ القرآن هو المعیار الحقیقی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مواجهة الآراء المنحرفه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مجابهة ظاهرة جعل الأحادیث و الحیلولة دون ورود الإسرائیلیات و إبطال القیاس والاستحسان، والمنع من التفسیر بالرأی وغیرها</w:t>
      </w:r>
      <w:r>
        <w:rPr>
          <w:rFonts w:eastAsia="IRNazanin" w:cs="IRNazanin"/>
          <w:color w:val="111111"/>
          <w:sz w:val="28"/>
          <w:szCs w:val="28"/>
          <w:rtl w:val="true"/>
          <w:lang w:bidi="fa-IR"/>
        </w:rPr>
        <w:t>.</w:t>
      </w:r>
      <w:bookmarkStart w:id="472" w:name="pg5285_67363"/>
    </w:p>
    <w:p>
      <w:pPr>
        <w:pStyle w:val="Heading4"/>
        <w:numPr>
          <w:ilvl w:val="3"/>
          <w:numId w:val="1"/>
        </w:numPr>
        <w:rPr/>
      </w:pPr>
      <w:bookmarkStart w:id="473" w:name="__RefHeading___Toc634173_581953129"/>
      <w:bookmarkStart w:id="474" w:name="_Toc182"/>
      <w:bookmarkEnd w:id="472"/>
      <w:bookmarkEnd w:id="473"/>
      <w:r>
        <w:rPr>
          <w:rtl w:val="true"/>
        </w:rPr>
        <w:t>الأسئلة</w:t>
      </w:r>
      <w:bookmarkEnd w:id="4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وضّحّ بشکلٍ کاملٍ ما یدور حول مفهوم أهل‌البیت علیهم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هی مجالات علوم أهل‌البیت علیهم السّلام، بینها واذکر ثلاثة موارد منها؟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الفارق بین دور الهدایة التفسیریة، ودور إعداد المفسّرین عند أهل‌البیت علیهم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المقصود من الأصول العملیة التی طرحها أهل‌البیت علیهم السّلام؟ حدّدها واذکر أربعة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جیداً الانحرافات التفسیریة التی ظهرت فی عصر أهل‌البیت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هی الأسالیب التی واجه بها أهل البیت علیهم السّلام الآراء المنحرفة و الأفکار الباطله؟</w:t>
      </w:r>
    </w:p>
    <w:p>
      <w:pPr>
        <w:pStyle w:val="BookText"/>
        <w:rPr/>
      </w:pPr>
      <w:r>
        <w:rPr>
          <w:rFonts w:ascii="IRNazanin" w:hAnsi="IRNazanin" w:eastAsia="IRNazanin"/>
          <w:color w:val="111111"/>
          <w:sz w:val="28"/>
          <w:sz w:val="28"/>
          <w:szCs w:val="28"/>
          <w:rtl w:val="true"/>
          <w:lang w:bidi="fa-IR"/>
        </w:rPr>
        <w:t>للبحث فی الموضوع</w:t>
      </w:r>
    </w:p>
    <w:p>
      <w:pPr>
        <w:pStyle w:val="BookText"/>
        <w:rPr/>
      </w:pPr>
      <w:r>
        <w:rPr>
          <w:rFonts w:ascii="IRNazanin" w:hAnsi="IRNazanin" w:eastAsia="IRNazanin"/>
          <w:color w:val="111111"/>
          <w:sz w:val="28"/>
          <w:sz w:val="28"/>
          <w:szCs w:val="28"/>
          <w:rtl w:val="true"/>
          <w:lang w:bidi="fa-IR"/>
        </w:rPr>
        <w:t>اکتب بحثاً حول علم أهل البیت علیهم السّلام فی تفسیر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أهل‌البیت فی القرآن و السنّة، محمّدی ری شهری، مجلّدین مع الترجمة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أصول الکافی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الروایات التی تتعلّق بعلوم أهل‌البیت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Heading4"/>
        <w:numPr>
          <w:ilvl w:val="3"/>
          <w:numId w:val="1"/>
        </w:numPr>
        <w:rPr/>
      </w:pPr>
      <w:bookmarkStart w:id="475" w:name="__RefHeading___Toc634175_581953129"/>
      <w:bookmarkStart w:id="476" w:name="_Toc183"/>
      <w:bookmarkEnd w:id="475"/>
      <w:r>
        <w:rPr>
          <w:rtl w:val="true"/>
        </w:rPr>
        <w:t>التحقیق للجمیع تحت إشراف الأستاذ</w:t>
      </w:r>
      <w:r>
        <w:rPr>
          <w:rtl w:val="true"/>
        </w:rPr>
        <w:t>:</w:t>
      </w:r>
      <w:bookmarkEnd w:id="476"/>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المطلوب استخراج الروایات الواردة فی ذیل سورة ابراهیم علیه السّلام، فی تفسیر العیاشی ونور الثقلین وکنز الدقائق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وتوضیح الأصول المطروحة من قبل أهل‌البیت علیهم السّلام فی ذلک</w:t>
      </w:r>
      <w:r>
        <w:rPr>
          <w:rFonts w:eastAsia="IRNazanin" w:cs="IRNazanin"/>
          <w:color w:val="111111"/>
          <w:sz w:val="28"/>
          <w:szCs w:val="28"/>
          <w:rtl w:val="true"/>
          <w:lang w:bidi="fa-IR"/>
        </w:rPr>
        <w:t>.</w:t>
      </w:r>
      <w:bookmarkStart w:id="477" w:name="pg5285_67365"/>
    </w:p>
    <w:p>
      <w:pPr>
        <w:pStyle w:val="Heading4"/>
        <w:numPr>
          <w:ilvl w:val="3"/>
          <w:numId w:val="1"/>
        </w:numPr>
        <w:rPr/>
      </w:pPr>
      <w:bookmarkStart w:id="478" w:name="__RefHeading___Toc634177_581953129"/>
      <w:bookmarkStart w:id="479" w:name="_Toc184"/>
      <w:bookmarkEnd w:id="477"/>
      <w:bookmarkEnd w:id="478"/>
      <w:r>
        <w:rPr>
          <w:rtl w:val="true"/>
        </w:rPr>
        <w:t>مصادر التفسیر الروائی</w:t>
      </w:r>
      <w:bookmarkEnd w:id="4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 السمرقندی العیاشی، محمّد بن مسعود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الثقلین، العروسی الحویزی، علی بن جمعة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الدقائق، المشهدی القمّی، محمّد بن محمّد رضا</w:t>
      </w:r>
      <w:r>
        <w:rPr>
          <w:rFonts w:eastAsia="IRNazanin" w:cs="IRNazanin"/>
          <w:color w:val="111111"/>
          <w:sz w:val="28"/>
          <w:szCs w:val="28"/>
          <w:rtl w:val="true"/>
          <w:lang w:bidi="fa-IR"/>
        </w:rPr>
        <w:t>.</w:t>
      </w:r>
      <w:bookmarkStart w:id="480" w:name="pg5285_67366"/>
    </w:p>
    <w:p>
      <w:pPr>
        <w:pStyle w:val="Heading2"/>
        <w:numPr>
          <w:ilvl w:val="1"/>
          <w:numId w:val="1"/>
        </w:numPr>
        <w:rPr/>
      </w:pPr>
      <w:bookmarkStart w:id="481" w:name="__RefHeading___Toc634179_581953129"/>
      <w:bookmarkStart w:id="482" w:name="_Toc185"/>
      <w:bookmarkEnd w:id="480"/>
      <w:bookmarkEnd w:id="481"/>
      <w:r>
        <w:rPr/>
        <w:t>6</w:t>
      </w:r>
      <w:r>
        <w:rPr>
          <w:rtl w:val="true"/>
        </w:rPr>
        <w:t xml:space="preserve">- </w:t>
      </w:r>
      <w:r>
        <w:rPr>
          <w:rtl w:val="true"/>
        </w:rPr>
        <w:t>التفسیر فی القرن الثالث</w:t>
      </w:r>
      <w:bookmarkEnd w:id="482"/>
    </w:p>
    <w:p>
      <w:pPr>
        <w:pStyle w:val="Heading3"/>
        <w:numPr>
          <w:ilvl w:val="2"/>
          <w:numId w:val="1"/>
        </w:numPr>
        <w:rPr/>
      </w:pPr>
      <w:bookmarkStart w:id="483" w:name="__RefHeading___Toc634181_581953129"/>
      <w:bookmarkStart w:id="484" w:name="_Toc186"/>
      <w:bookmarkEnd w:id="483"/>
      <w:r>
        <w:rPr>
          <w:rtl w:val="true"/>
        </w:rPr>
        <w:t>اشارة</w:t>
      </w:r>
      <w:bookmarkEnd w:id="484"/>
    </w:p>
    <w:p>
      <w:pPr>
        <w:pStyle w:val="BookText"/>
        <w:rPr/>
      </w:pPr>
      <w:r>
        <w:rPr>
          <w:rFonts w:ascii="IRNazanin" w:hAnsi="IRNazanin" w:eastAsia="IRNazanin"/>
          <w:color w:val="111111"/>
          <w:sz w:val="28"/>
          <w:sz w:val="28"/>
          <w:szCs w:val="28"/>
          <w:rtl w:val="true"/>
          <w:lang w:bidi="fa-IR"/>
        </w:rPr>
        <w:t>الموضوعات</w:t>
      </w:r>
    </w:p>
    <w:p>
      <w:pPr>
        <w:pStyle w:val="BookText"/>
        <w:rPr/>
      </w:pPr>
      <w:r>
        <w:rPr>
          <w:rFonts w:ascii="IRNazanin" w:hAnsi="IRNazanin" w:eastAsia="IRNazanin"/>
          <w:color w:val="111111"/>
          <w:sz w:val="28"/>
          <w:sz w:val="28"/>
          <w:szCs w:val="28"/>
          <w:rtl w:val="true"/>
          <w:lang w:bidi="fa-IR"/>
        </w:rPr>
        <w:t>التفسیر فی القرن الثالث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ازدهار العلوم وتدوین التفسیر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خصوصیة التفسیر فی هذا العصر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التفاسیر و المفسّرون فی القرن الثالث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اتّجاه التفسیر فی القرن الثالث</w:t>
      </w:r>
      <w:r>
        <w:rPr>
          <w:rFonts w:eastAsia="IRNazanin" w:cs="IRNazanin"/>
          <w:color w:val="111111"/>
          <w:sz w:val="28"/>
          <w:szCs w:val="28"/>
          <w:rtl w:val="true"/>
          <w:lang w:bidi="fa-IR"/>
        </w:rPr>
        <w:t>.</w:t>
      </w:r>
    </w:p>
    <w:p>
      <w:pPr>
        <w:pStyle w:val="Heading3"/>
        <w:numPr>
          <w:ilvl w:val="2"/>
          <w:numId w:val="1"/>
        </w:numPr>
        <w:rPr/>
      </w:pPr>
      <w:bookmarkStart w:id="485" w:name="__RefHeading___Toc634183_581953129"/>
      <w:bookmarkStart w:id="486" w:name="_Toc187"/>
      <w:bookmarkEnd w:id="485"/>
      <w:r>
        <w:rPr>
          <w:rtl w:val="true"/>
        </w:rPr>
        <w:t>التفسیر فی القرن الثالث</w:t>
      </w:r>
      <w:bookmarkEnd w:id="486"/>
    </w:p>
    <w:p>
      <w:pPr>
        <w:pStyle w:val="Heading4"/>
        <w:numPr>
          <w:ilvl w:val="3"/>
          <w:numId w:val="1"/>
        </w:numPr>
        <w:rPr/>
      </w:pPr>
      <w:bookmarkStart w:id="487" w:name="__RefHeading___Toc634185_581953129"/>
      <w:bookmarkStart w:id="488" w:name="_Toc188"/>
      <w:bookmarkEnd w:id="487"/>
      <w:r>
        <w:rPr>
          <w:rtl w:val="true"/>
        </w:rPr>
        <w:t>عصر ازدهار العلوم وتدوین التفسیر</w:t>
      </w:r>
      <w:bookmarkEnd w:id="488"/>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شهد القرن الهجری الثالث ازدهاراً ورفعةً خاصّةً فی علوم القرآن؛ وذلک لاتّساع وانتشار آراء وأفکار أهل‌البیت علیهم السّلام عن طریق أصحابهم وتابعیهم وتلامذتهم، وتوسّعت بعض العلوم،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اللغة و الأدب، والعرفان و الإشارة، والرمز وتهیأة أرضیة تدوین الکتب و کتابة البحوث المستقلّة فی إطار مقالات غنیة المضمون فی علوم التفسیر</w:t>
      </w:r>
      <w:r>
        <w:rPr>
          <w:rFonts w:eastAsia="IRNazanin" w:cs="IRNazanin"/>
          <w:color w:val="111111"/>
          <w:sz w:val="28"/>
          <w:szCs w:val="28"/>
          <w:rtl w:val="true"/>
          <w:lang w:bidi="fa-IR"/>
        </w:rPr>
        <w:t>.</w:t>
      </w:r>
      <w:bookmarkStart w:id="489" w:name="pg5285_67369"/>
    </w:p>
    <w:p>
      <w:pPr>
        <w:pStyle w:val="BookText"/>
        <w:rPr/>
      </w:pPr>
      <w:bookmarkEnd w:id="489"/>
      <w:r>
        <w:rPr>
          <w:rFonts w:ascii="IRNazanin" w:hAnsi="IRNazanin" w:eastAsia="IRNazanin"/>
          <w:color w:val="111111"/>
          <w:sz w:val="28"/>
          <w:sz w:val="28"/>
          <w:szCs w:val="28"/>
          <w:rtl w:val="true"/>
          <w:lang w:bidi="fa-IR"/>
        </w:rPr>
        <w:t>ففی هذا العصر قُطفت ثمار جهود الأئمّة المعصومین علیهم السّلام، وأخذ التفسیر دوره المستقلّ، وکذلک فی باکورة هذا العصر تشعّبت الکتابة فی التفسیر إلی مناهج مختلفة، مثل التفاسیر اللغویة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القرآن، والأدبیة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القرآن، والتفسیر بالأسلوب العرفانی الرمزی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الصوفی، وکذلک الروائی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هذه التشعبات فی التدوین، هی المقدّمة لتثبیت المنهج الأقوی، والذی یعنی التفسیر الأثری و الروائی فی القرن الرابع</w:t>
      </w:r>
      <w:r>
        <w:rPr>
          <w:rFonts w:eastAsia="IRNazanin" w:cs="IRNazanin"/>
          <w:color w:val="111111"/>
          <w:sz w:val="28"/>
          <w:szCs w:val="28"/>
          <w:rtl w:val="true"/>
          <w:lang w:bidi="fa-IR"/>
        </w:rPr>
        <w:t>.</w:t>
      </w:r>
    </w:p>
    <w:p>
      <w:pPr>
        <w:pStyle w:val="Heading3"/>
        <w:numPr>
          <w:ilvl w:val="2"/>
          <w:numId w:val="1"/>
        </w:numPr>
        <w:rPr/>
      </w:pPr>
      <w:bookmarkStart w:id="490" w:name="__RefHeading___Toc634187_581953129"/>
      <w:bookmarkStart w:id="491" w:name="_Toc189"/>
      <w:bookmarkEnd w:id="490"/>
      <w:r>
        <w:rPr>
          <w:rtl w:val="true"/>
        </w:rPr>
        <w:t>خصائص التفسیر فی القرن الثالث</w:t>
      </w:r>
      <w:bookmarkEnd w:id="491"/>
    </w:p>
    <w:p>
      <w:pPr>
        <w:pStyle w:val="BookText"/>
        <w:rPr/>
      </w:pPr>
      <w:r>
        <w:rPr>
          <w:rFonts w:ascii="IRNazanin" w:hAnsi="IRNazanin" w:eastAsia="IRNazanin"/>
          <w:color w:val="111111"/>
          <w:sz w:val="28"/>
          <w:sz w:val="28"/>
          <w:szCs w:val="28"/>
          <w:rtl w:val="true"/>
          <w:lang w:bidi="fa-IR"/>
        </w:rPr>
        <w:t>ویمکن بشکل عام أن نعدّ الخصائص التفسیریة التالیة هی من سمات القرن الثالث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هذا القرن انتشرت روایات الأئمّة الأطهار علیهم السّلام و الصحابة و التابعین فی المدن المختلفة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هذا العصر نَمَت وازدهرت العلوم المختلفة، وانتعشت اللغة وقَوِی الأدب، وبدأت مسیرة العرفان، ونشأ الاختلاف الشدید فی البحوث الکلامیة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دوّن علم التفسیر تحت عنوان مستقلّ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کتب التفسیر فی هذا العصر بأسالیب مختلفة و اتّجاهات متعدّدة، الروائی و الأدبی و اللغوی و العرفانی، وذلک لتوسّع العلوم المتنوّعة</w:t>
      </w:r>
      <w:r>
        <w:rPr>
          <w:rFonts w:eastAsia="IRNazanin" w:cs="IRNazanin"/>
          <w:color w:val="111111"/>
          <w:sz w:val="28"/>
          <w:szCs w:val="28"/>
          <w:rtl w:val="true"/>
          <w:lang w:bidi="fa-IR"/>
        </w:rPr>
        <w:t xml:space="preserve">. </w:t>
      </w:r>
      <w:r>
        <w:rPr>
          <w:rStyle w:val="FootnoteAnchor"/>
          <w:rtl w:val="true"/>
        </w:rPr>
        <w:footnoteReference w:id="56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الاختلاف فی الاتّجاهات التفسیریة یعدُّ الباعث علی تثبیت المنهج الروائی فی التفسیر فی القرن الرابع</w:t>
      </w:r>
      <w:r>
        <w:rPr>
          <w:rFonts w:eastAsia="IRNazanin" w:cs="IRNazanin"/>
          <w:color w:val="111111"/>
          <w:sz w:val="28"/>
          <w:szCs w:val="28"/>
          <w:rtl w:val="true"/>
          <w:lang w:bidi="fa-IR"/>
        </w:rPr>
        <w:t xml:space="preserve">. </w:t>
      </w:r>
      <w:r>
        <w:rPr>
          <w:rStyle w:val="FootnoteAnchor"/>
          <w:rtl w:val="true"/>
        </w:rPr>
        <w:footnoteReference w:id="568"/>
      </w:r>
      <w:bookmarkStart w:id="492" w:name="pg5285_67371"/>
    </w:p>
    <w:p>
      <w:pPr>
        <w:pStyle w:val="Heading3"/>
        <w:numPr>
          <w:ilvl w:val="2"/>
          <w:numId w:val="1"/>
        </w:numPr>
        <w:rPr/>
      </w:pPr>
      <w:bookmarkStart w:id="493" w:name="__RefHeading___Toc634189_581953129"/>
      <w:bookmarkStart w:id="494" w:name="_Toc190"/>
      <w:bookmarkEnd w:id="492"/>
      <w:bookmarkEnd w:id="493"/>
      <w:r>
        <w:rPr>
          <w:rtl w:val="true"/>
        </w:rPr>
        <w:t>التفاسیر و المفسّرون فی القرن الثالث</w:t>
      </w:r>
      <w:bookmarkEnd w:id="494"/>
    </w:p>
    <w:p>
      <w:pPr>
        <w:pStyle w:val="BookText"/>
        <w:rPr/>
      </w:pPr>
      <w:r>
        <w:rPr>
          <w:rFonts w:ascii="IRNazanin" w:hAnsi="IRNazanin" w:eastAsia="IRNazanin"/>
          <w:color w:val="111111"/>
          <w:sz w:val="28"/>
          <w:sz w:val="28"/>
          <w:szCs w:val="28"/>
          <w:rtl w:val="true"/>
          <w:lang w:bidi="fa-IR"/>
        </w:rPr>
        <w:t xml:space="preserve">کما تقدّم ممّا مضی، فإنّ التفسیر فی هذا القرن تزاید کمّاً وکیفاً فی تنوّع الأسالیب، و قد ذکروا أسماء حوالی سبعین تفسیراً لمفسّرین من الشیعة وأهل السنّة، و قد ذکر محمّد بن الأدنوی فی طبقات المفسّرین قُرابة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نفراً منهم، </w:t>
      </w:r>
      <w:r>
        <w:rPr>
          <w:rStyle w:val="FootnoteAnchor"/>
          <w:rtl w:val="true"/>
        </w:rPr>
        <w:footnoteReference w:id="569"/>
      </w:r>
      <w:r>
        <w:rPr>
          <w:rFonts w:ascii="IRNazanin" w:hAnsi="IRNazanin" w:eastAsia="IRNazanin"/>
          <w:color w:val="111111"/>
          <w:sz w:val="28"/>
          <w:sz w:val="28"/>
          <w:szCs w:val="28"/>
          <w:rtl w:val="true"/>
          <w:lang w:bidi="fa-IR"/>
        </w:rPr>
        <w:t>وسیأتی ذکر بعضهم فی أصحاب الاتّجاهات التفسیریة فی القرن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أکثر من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نفراً </w:t>
      </w:r>
      <w:r>
        <w:rPr>
          <w:rStyle w:val="FootnoteAnchor"/>
          <w:rtl w:val="true"/>
        </w:rPr>
        <w:footnoteReference w:id="570"/>
      </w:r>
      <w:r>
        <w:rPr>
          <w:rFonts w:ascii="IRNazanin" w:hAnsi="IRNazanin" w:eastAsia="IRNazanin"/>
          <w:color w:val="111111"/>
          <w:sz w:val="28"/>
          <w:sz w:val="28"/>
          <w:szCs w:val="28"/>
          <w:rtl w:val="true"/>
          <w:lang w:bidi="fa-IR"/>
        </w:rPr>
        <w:t>منهم هم من أصحاب ومحبّی الأئمّة الأطهار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ذُکرت أسماؤهم ضمن أصحاب التفاسیر و المؤلّفات و البحوث القرآنیة، ونحن نُورد هنا بعضاً من مشاهیرهم</w:t>
      </w:r>
      <w:r>
        <w:rPr>
          <w:rFonts w:eastAsia="IRNazanin" w:cs="IRNazanin"/>
          <w:color w:val="111111"/>
          <w:sz w:val="28"/>
          <w:szCs w:val="28"/>
          <w:rtl w:val="true"/>
          <w:lang w:bidi="fa-IR"/>
        </w:rPr>
        <w:t>:</w:t>
      </w:r>
    </w:p>
    <w:p>
      <w:pPr>
        <w:pStyle w:val="Heading3"/>
        <w:numPr>
          <w:ilvl w:val="2"/>
          <w:numId w:val="1"/>
        </w:numPr>
        <w:rPr/>
      </w:pPr>
      <w:bookmarkStart w:id="495" w:name="__RefHeading___Toc634191_581953129"/>
      <w:bookmarkStart w:id="496" w:name="_Toc191"/>
      <w:bookmarkEnd w:id="495"/>
      <w:r>
        <w:rPr>
          <w:rtl w:val="true"/>
        </w:rPr>
        <w:t>أشهر التفاسیر و المفسّرین الشیعة فی القرن الثالث</w:t>
      </w:r>
      <w:bookmarkEnd w:id="4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المصابیح، للإسفرائینی</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أبو العبّاس أحمد بن حسن الإسفراینی صاحب تفسیر المصابیح، و إنّ هذا التفسیر بحث بشکل خاصّ فی الآیات التی نزلت فی أهل‌البیت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صاحب الذریعة اسم تفسیره،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المصابیح فیما نزل من القرآن فی أهل‌البیت علیهم السّلام</w:t>
      </w:r>
      <w:r>
        <w:rPr>
          <w:rFonts w:eastAsia="IRNazanin" w:cs="IRNazanin"/>
          <w:color w:val="111111"/>
          <w:sz w:val="28"/>
          <w:szCs w:val="28"/>
          <w:rtl w:val="true"/>
          <w:lang w:bidi="fa-IR"/>
        </w:rPr>
        <w:t xml:space="preserve">. </w:t>
      </w:r>
      <w:r>
        <w:rPr>
          <w:rStyle w:val="FootnoteAnchor"/>
          <w:rtl w:val="true"/>
        </w:rPr>
        <w:footnoteReference w:id="57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هشام بن محمّد السائب الکلبی</w:t>
      </w:r>
      <w:r>
        <w:rPr>
          <w:rFonts w:eastAsia="IRNazanin" w:cs="IRNazanin"/>
          <w:color w:val="111111"/>
          <w:sz w:val="28"/>
          <w:szCs w:val="28"/>
          <w:rtl w:val="true"/>
          <w:lang w:bidi="fa-IR"/>
        </w:rPr>
        <w:t>(</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من شیعة الکوفه، ومحبّی أهل‌البیت علیهم السّلام و هو من المقرّبین عند الإمام الصادق علیه السّلام، ومحلّ رعایته و قد مدحه النجاشی ووصفه بالفضل و العلم، وذکر له کتباً کثیرة</w:t>
      </w:r>
      <w:r>
        <w:rPr>
          <w:rFonts w:eastAsia="IRNazanin" w:cs="IRNazanin"/>
          <w:color w:val="111111"/>
          <w:sz w:val="28"/>
          <w:szCs w:val="28"/>
          <w:rtl w:val="true"/>
          <w:lang w:bidi="fa-IR"/>
        </w:rPr>
        <w:t xml:space="preserve">. </w:t>
      </w:r>
      <w:r>
        <w:rPr>
          <w:rStyle w:val="FootnoteAnchor"/>
          <w:rtl w:val="true"/>
        </w:rPr>
        <w:footnoteReference w:id="572"/>
      </w:r>
      <w:r>
        <w:rPr>
          <w:rFonts w:ascii="IRNazanin" w:hAnsi="IRNazanin" w:eastAsia="IRNazanin"/>
          <w:color w:val="111111"/>
          <w:sz w:val="28"/>
          <w:sz w:val="28"/>
          <w:szCs w:val="28"/>
          <w:rtl w:val="true"/>
          <w:lang w:bidi="fa-IR"/>
        </w:rPr>
        <w:t>و قد ذکر ابن الندیم لهشام وأبیه محمّد السائب لکلّ واحد منهما تفسیراً</w:t>
      </w:r>
    </w:p>
    <w:p>
      <w:pPr>
        <w:pStyle w:val="BookText"/>
        <w:rPr/>
      </w:pPr>
      <w:r>
        <w:rPr>
          <w:rFonts w:ascii="IRNazanin" w:hAnsi="IRNazanin" w:eastAsia="IRNazanin"/>
          <w:color w:val="111111"/>
          <w:sz w:val="28"/>
          <w:sz w:val="28"/>
          <w:szCs w:val="28"/>
          <w:rtl w:val="true"/>
          <w:lang w:bidi="fa-IR"/>
        </w:rPr>
        <w:t>مستقّلاً، و أنّ اسم تفسیره الآی التی نزلت فی أقوام بأعیانهم</w:t>
      </w:r>
      <w:r>
        <w:rPr>
          <w:rFonts w:eastAsia="IRNazanin" w:cs="IRNazanin"/>
          <w:color w:val="111111"/>
          <w:sz w:val="28"/>
          <w:szCs w:val="28"/>
          <w:rtl w:val="true"/>
          <w:lang w:bidi="fa-IR"/>
        </w:rPr>
        <w:t xml:space="preserve">. </w:t>
      </w:r>
      <w:r>
        <w:rPr>
          <w:rStyle w:val="FootnoteAnchor"/>
          <w:rtl w:val="true"/>
        </w:rPr>
        <w:footnoteReference w:id="57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یونس بن عبد الرحمان</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من الرواة الثقاة، کوفی له قدر جلیل، و قد کان مولیً لعلی بن یقطین، ومن الأصحاب الخاصّین للإمام موسی الکاظم و الإمام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الشخصیة التی عند ما سؤل الإمام الرضا علیه السّلام من قبل أحد أتباعه ومحبّیه أنّی لا أستطیع الاتّصال بکم علی الدوام، فمن أین لی أن آخذ معلوماتی الدینیة؟</w:t>
      </w:r>
    </w:p>
    <w:p>
      <w:pPr>
        <w:pStyle w:val="BookText"/>
        <w:rPr/>
      </w:pPr>
      <w:r>
        <w:rPr>
          <w:rFonts w:ascii="IRNazanin" w:hAnsi="IRNazanin" w:eastAsia="IRNazanin"/>
          <w:color w:val="111111"/>
          <w:sz w:val="28"/>
          <w:sz w:val="28"/>
          <w:szCs w:val="28"/>
          <w:rtl w:val="true"/>
          <w:lang w:bidi="fa-IR"/>
        </w:rPr>
        <w:t>فقال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عن یونس بن عبد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ومضافاً إلی ذلک فإنّه مجتهد وصاحب افتاء و الإمام الرضا علیه السّلام أجاز أفتاءه</w:t>
      </w:r>
      <w:r>
        <w:rPr>
          <w:rFonts w:eastAsia="IRNazanin" w:cs="IRNazanin"/>
          <w:color w:val="111111"/>
          <w:sz w:val="28"/>
          <w:szCs w:val="28"/>
          <w:rtl w:val="true"/>
          <w:lang w:bidi="fa-IR"/>
        </w:rPr>
        <w:t xml:space="preserve">. </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هذا و قد نسب النّجاشی له مؤلّفات کثیرة، ومن 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تفسیر القرآن و کتاب فضل القرآن و کتاب الإمامة</w:t>
      </w:r>
      <w:r>
        <w:rPr>
          <w:rFonts w:eastAsia="IRNazanin" w:cs="IRNazanin"/>
          <w:color w:val="111111"/>
          <w:sz w:val="28"/>
          <w:szCs w:val="28"/>
          <w:rtl w:val="true"/>
          <w:lang w:bidi="fa-IR"/>
        </w:rPr>
        <w:t xml:space="preserve">. </w:t>
      </w:r>
      <w:r>
        <w:rPr>
          <w:rStyle w:val="FootnoteAnchor"/>
          <w:rtl w:val="true"/>
        </w:rPr>
        <w:footnoteReference w:id="57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ابن الفضّال</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بن علی الفضّال الکوفی، کان فی البدء علی المذهب الفِطحی الذی هو بإمامة عبد الله الفطحی ابن الإمام جعفر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مدّة غیر اعتقاده ورجع وتاب وقَبِلَ إمامة موسی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نقل عن الإمام الصادق علیه السّلام روایات وکان من خواصّ أصحابه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 بالزهد و التقوی و الوثاقة والاعتماد فی روایة الحدیث</w:t>
      </w:r>
      <w:r>
        <w:rPr>
          <w:rFonts w:eastAsia="IRNazanin" w:cs="IRNazanin"/>
          <w:color w:val="111111"/>
          <w:sz w:val="28"/>
          <w:szCs w:val="28"/>
          <w:rtl w:val="true"/>
          <w:lang w:bidi="fa-IR"/>
        </w:rPr>
        <w:t xml:space="preserve">. </w:t>
      </w:r>
      <w:r>
        <w:rPr>
          <w:rStyle w:val="FootnoteAnchor"/>
          <w:rtl w:val="true"/>
        </w:rPr>
        <w:footnoteReference w:id="576"/>
      </w:r>
      <w:r>
        <w:rPr>
          <w:rFonts w:ascii="IRNazanin" w:hAnsi="IRNazanin" w:eastAsia="IRNazanin"/>
          <w:color w:val="111111"/>
          <w:sz w:val="28"/>
          <w:sz w:val="28"/>
          <w:szCs w:val="28"/>
          <w:rtl w:val="true"/>
          <w:lang w:bidi="fa-IR"/>
        </w:rPr>
        <w:t>کما وله مؤلّفات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 له الشیخ الطوسی فی مجال التفسیر کتاب التفسیر، </w:t>
      </w:r>
      <w:r>
        <w:rPr>
          <w:rStyle w:val="FootnoteAnchor"/>
          <w:rtl w:val="true"/>
        </w:rPr>
        <w:footnoteReference w:id="577"/>
      </w:r>
      <w:r>
        <w:rPr>
          <w:rFonts w:ascii="Amiri" w:hAnsi="Amiri" w:eastAsia="Amiri" w:cs="Amiri"/>
          <w:color w:val="111111"/>
          <w:sz w:val="28"/>
          <w:sz w:val="28"/>
          <w:szCs w:val="28"/>
          <w:rtl w:val="true"/>
          <w:lang w:bidi="ar-SA"/>
        </w:rPr>
        <w:t>وسمّاه</w:t>
      </w:r>
    </w:p>
    <w:p>
      <w:pPr>
        <w:pStyle w:val="BookText"/>
        <w:rPr/>
      </w:pPr>
      <w:r>
        <w:rPr>
          <w:rFonts w:ascii="IRNazanin" w:hAnsi="IRNazanin" w:eastAsia="IRNazanin"/>
          <w:color w:val="111111"/>
          <w:sz w:val="28"/>
          <w:sz w:val="28"/>
          <w:szCs w:val="28"/>
          <w:rtl w:val="true"/>
          <w:lang w:bidi="fa-IR"/>
        </w:rPr>
        <w:t>النجاشی کتاب الناسخ و المنسوخ</w:t>
      </w:r>
      <w:r>
        <w:rPr>
          <w:rFonts w:eastAsia="IRNazanin" w:cs="IRNazanin"/>
          <w:color w:val="111111"/>
          <w:sz w:val="28"/>
          <w:szCs w:val="28"/>
          <w:rtl w:val="true"/>
          <w:lang w:bidi="fa-IR"/>
        </w:rPr>
        <w:t xml:space="preserve">. </w:t>
      </w:r>
      <w:r>
        <w:rPr>
          <w:rStyle w:val="FootnoteAnchor"/>
          <w:rtl w:val="true"/>
        </w:rPr>
        <w:footnoteReference w:id="578"/>
      </w:r>
      <w:r>
        <w:rPr>
          <w:rFonts w:ascii="IRNazanin" w:hAnsi="IRNazanin" w:eastAsia="IRNazanin"/>
          <w:color w:val="111111"/>
          <w:sz w:val="28"/>
          <w:sz w:val="28"/>
          <w:szCs w:val="28"/>
          <w:rtl w:val="true"/>
          <w:lang w:bidi="fa-IR"/>
        </w:rPr>
        <w:t>ونسب له ابن الندیم کتابی الشواهد من کتاب الله و الناسخ و المنسوخ</w:t>
      </w:r>
      <w:r>
        <w:rPr>
          <w:rFonts w:eastAsia="IRNazanin" w:cs="IRNazanin"/>
          <w:color w:val="111111"/>
          <w:sz w:val="28"/>
          <w:szCs w:val="28"/>
          <w:rtl w:val="true"/>
          <w:lang w:bidi="fa-IR"/>
        </w:rPr>
        <w:t xml:space="preserve">. </w:t>
      </w:r>
      <w:r>
        <w:rPr>
          <w:rStyle w:val="FootnoteAnchor"/>
          <w:rtl w:val="true"/>
        </w:rPr>
        <w:footnoteReference w:id="579"/>
      </w:r>
      <w:r>
        <w:rPr>
          <w:rFonts w:ascii="IRNazanin" w:hAnsi="IRNazanin" w:eastAsia="IRNazanin"/>
          <w:color w:val="111111"/>
          <w:sz w:val="28"/>
          <w:sz w:val="28"/>
          <w:szCs w:val="28"/>
          <w:rtl w:val="true"/>
          <w:lang w:bidi="fa-IR"/>
        </w:rPr>
        <w:t>وهکذا علی بن حسن الفطحیّ المذهب، فهو فی الروایات مدح کثیراً وله کتاب تفسیر</w:t>
      </w:r>
      <w:r>
        <w:rPr>
          <w:rFonts w:eastAsia="IRNazanin" w:cs="IRNazanin"/>
          <w:color w:val="111111"/>
          <w:sz w:val="28"/>
          <w:szCs w:val="28"/>
          <w:rtl w:val="true"/>
          <w:lang w:bidi="fa-IR"/>
        </w:rPr>
        <w:t xml:space="preserve">. </w:t>
      </w:r>
      <w:r>
        <w:rPr>
          <w:rStyle w:val="FootnoteAnchor"/>
          <w:rtl w:val="true"/>
        </w:rPr>
        <w:footnoteReference w:id="58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البطائنی</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بن علی أبو حمزة البطائنی هو من المحدّثین و المفسّرین فی القرن الثالث، وله کتاب تفسیر وکتاب فضائل القرآن و 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ضُعَّفَ فی مجال التوثیق وعدد کثیر لا یقبلون روایاته، ومن جملة رواته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الفضال، والذی لا تقبل روایاته</w:t>
      </w:r>
      <w:r>
        <w:rPr>
          <w:rFonts w:eastAsia="IRNazanin" w:cs="IRNazanin"/>
          <w:color w:val="111111"/>
          <w:sz w:val="28"/>
          <w:szCs w:val="28"/>
          <w:rtl w:val="true"/>
          <w:lang w:bidi="fa-IR"/>
        </w:rPr>
        <w:t xml:space="preserve">.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وهناک تفاسیر کثیرة أخری منسوبة إلی أصحاب ومحبّی الأئمّة المعصومین علیهم السّلام نذکرها بشکل مجمل علی نحو الفهرسة کالتالی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الحسن بن محبوب</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ثقة من أصحاب الإجماع، و قد نقل عن الإمام الرضا علیه السّلام روایات قد ذکر الشیخ الطوسی </w:t>
      </w:r>
      <w:r>
        <w:rPr>
          <w:rStyle w:val="FootnoteAnchor"/>
          <w:rtl w:val="true"/>
        </w:rPr>
        <w:footnoteReference w:id="582"/>
      </w:r>
      <w:r>
        <w:rPr>
          <w:rFonts w:ascii="IRNazanin" w:hAnsi="IRNazanin" w:eastAsia="IRNazanin"/>
          <w:color w:val="111111"/>
          <w:sz w:val="28"/>
          <w:sz w:val="28"/>
          <w:szCs w:val="28"/>
          <w:rtl w:val="true"/>
          <w:lang w:bidi="fa-IR"/>
        </w:rPr>
        <w:t xml:space="preserve">و ابن الندیم </w:t>
      </w:r>
      <w:r>
        <w:rPr>
          <w:rStyle w:val="FootnoteAnchor"/>
          <w:rtl w:val="true"/>
        </w:rPr>
        <w:footnoteReference w:id="583"/>
      </w:r>
      <w:r>
        <w:rPr>
          <w:rFonts w:ascii="IRNazanin" w:hAnsi="IRNazanin" w:eastAsia="IRNazanin"/>
          <w:color w:val="111111"/>
          <w:sz w:val="28"/>
          <w:sz w:val="28"/>
          <w:szCs w:val="28"/>
          <w:rtl w:val="true"/>
          <w:lang w:bidi="fa-IR"/>
        </w:rPr>
        <w:t>أن من مؤلّفاته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تفسیر</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التفاسیر التی یمکن أن یشار إلیه فی هذا المجال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القرآن و هو من الکتب التی ألّفت فی علوم القرآن، لمؤلّفه علیّ بن مِهزیار الدورقی </w:t>
      </w:r>
      <w:r>
        <w:rPr>
          <w:rStyle w:val="FootnoteAnchor"/>
          <w:rtl w:val="true"/>
        </w:rPr>
        <w:footnoteReference w:id="584"/>
      </w:r>
      <w:r>
        <w:rPr>
          <w:rFonts w:ascii="IRNazanin" w:hAnsi="IRNazanin" w:eastAsia="IRNazanin"/>
          <w:color w:val="111111"/>
          <w:sz w:val="28"/>
          <w:sz w:val="28"/>
          <w:szCs w:val="28"/>
          <w:rtl w:val="true"/>
          <w:lang w:bidi="fa-IR"/>
        </w:rPr>
        <w:t>الأهوازی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علماء القرن الثالث، ومن أصحاب الإمام الرضا و الإمام الجواد و الإمام</w:t>
      </w:r>
      <w:bookmarkStart w:id="497" w:name="pg5285_67377"/>
    </w:p>
    <w:p>
      <w:pPr>
        <w:pStyle w:val="BookText"/>
        <w:rPr/>
      </w:pPr>
      <w:bookmarkEnd w:id="497"/>
      <w:r>
        <w:rPr>
          <w:rFonts w:ascii="IRNazanin" w:hAnsi="IRNazanin" w:eastAsia="IRNazanin"/>
          <w:color w:val="111111"/>
          <w:sz w:val="28"/>
          <w:sz w:val="28"/>
          <w:szCs w:val="28"/>
          <w:rtl w:val="true"/>
          <w:lang w:bidi="fa-IR"/>
        </w:rPr>
        <w:t>الهادی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کان هذا المؤلف موضع ثقة، ونسب له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و التی من 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القرآن و تفسیر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التفاسیر الأخری فی هذا الصعید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القرآن، لحسین بن سعید الأهوازی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حیاً فی آخر القرن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إنّه من الرواة الثقاة فی عصر الإمام الرضا و الإمام الجواد و الإمام الهادی علیهم السّلام، </w:t>
      </w:r>
      <w:r>
        <w:rPr>
          <w:rStyle w:val="FootnoteAnchor"/>
          <w:rtl w:val="true"/>
        </w:rPr>
        <w:footnoteReference w:id="585"/>
      </w:r>
      <w:r>
        <w:rPr>
          <w:rFonts w:ascii="IRNazanin" w:hAnsi="IRNazanin" w:eastAsia="IRNazanin"/>
          <w:color w:val="111111"/>
          <w:sz w:val="28"/>
          <w:sz w:val="28"/>
          <w:szCs w:val="28"/>
          <w:rtl w:val="true"/>
          <w:lang w:bidi="fa-IR"/>
        </w:rPr>
        <w:t>و من ضمن النتاج القرآنی لهذا العصر أیضاً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القرآن ومنسوخه، لسعد بن عبد الله الأشعری</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والذی یحتمل أن یکون هو نفسه تفسیر النُعمانی</w:t>
      </w:r>
      <w:r>
        <w:rPr>
          <w:rFonts w:eastAsia="IRNazanin" w:cs="IRNazanin"/>
          <w:color w:val="111111"/>
          <w:sz w:val="28"/>
          <w:szCs w:val="28"/>
          <w:rtl w:val="true"/>
          <w:lang w:bidi="fa-IR"/>
        </w:rPr>
        <w:t xml:space="preserve">. </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و یعدّ کتاب فضل القرآن و کتاب التفسیر من نتاج أحمد بن محمّد بن خالد البُرقی</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صاحب مؤلّفات کثیرة فی مجال القرآن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التأویل و کتاب ثواب القرآن و کتاب خلق السماوات و الأرض هذه الکتب هی ممّا نسب إلیه</w:t>
      </w:r>
      <w:r>
        <w:rPr>
          <w:rFonts w:eastAsia="IRNazanin" w:cs="IRNazanin"/>
          <w:color w:val="111111"/>
          <w:sz w:val="28"/>
          <w:szCs w:val="28"/>
          <w:rtl w:val="true"/>
          <w:lang w:bidi="fa-IR"/>
        </w:rPr>
        <w:t xml:space="preserve">. </w:t>
      </w:r>
      <w:r>
        <w:rPr>
          <w:rStyle w:val="FootnoteAnchor"/>
          <w:rtl w:val="true"/>
        </w:rPr>
        <w:footnoteReference w:id="587"/>
      </w:r>
    </w:p>
    <w:p>
      <w:pPr>
        <w:pStyle w:val="Heading3"/>
        <w:numPr>
          <w:ilvl w:val="2"/>
          <w:numId w:val="1"/>
        </w:numPr>
        <w:rPr/>
      </w:pPr>
      <w:bookmarkStart w:id="498" w:name="__RefHeading___Toc634193_581953129"/>
      <w:bookmarkStart w:id="499" w:name="_Toc192"/>
      <w:bookmarkEnd w:id="498"/>
      <w:r>
        <w:rPr>
          <w:rtl w:val="true"/>
        </w:rPr>
        <w:t>تفاسیر أخری</w:t>
      </w:r>
      <w:bookmarkEnd w:id="499"/>
    </w:p>
    <w:p>
      <w:pPr>
        <w:pStyle w:val="BookText"/>
        <w:rPr/>
      </w:pPr>
      <w:r>
        <w:rPr>
          <w:rFonts w:ascii="IRNazanin" w:hAnsi="IRNazanin" w:eastAsia="IRNazanin"/>
          <w:color w:val="111111"/>
          <w:sz w:val="28"/>
          <w:sz w:val="28"/>
          <w:szCs w:val="28"/>
          <w:rtl w:val="true"/>
          <w:lang w:bidi="fa-IR"/>
        </w:rPr>
        <w:t xml:space="preserve">یذکر محمّد بن الأدنوی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 من مفسّری القرن الثالث، ومن جملتهم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إدریس الشافعی، صاحب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القرآن و محمّد بن منیر أبو علی النحوی اللغوی و المشهور بقطرب</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القرآن فی التفسیر و کتاب الردّ علی الملحدین فی تشابه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ألّف العالم المُجدّ ابن همام الصنعانی</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کتباً کثیرةً فی مجال البحوث القرآنیة و التی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القرآن</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قواعد القرآن، و تفسیر الفاتحة و الحروف المقطعة فی أوائل السور</w:t>
      </w:r>
      <w:r>
        <w:rPr>
          <w:rFonts w:eastAsia="IRNazanin" w:cs="IRNazanin"/>
          <w:color w:val="111111"/>
          <w:sz w:val="28"/>
          <w:szCs w:val="28"/>
          <w:rtl w:val="true"/>
          <w:lang w:bidi="fa-IR"/>
        </w:rPr>
        <w:t xml:space="preserve">. </w:t>
      </w:r>
      <w:r>
        <w:rPr>
          <w:rStyle w:val="FootnoteAnchor"/>
          <w:rtl w:val="true"/>
        </w:rPr>
        <w:footnoteReference w:id="588"/>
      </w:r>
      <w:bookmarkStart w:id="500" w:name="pg5285_67379"/>
    </w:p>
    <w:p>
      <w:pPr>
        <w:pStyle w:val="BookText"/>
        <w:rPr/>
      </w:pPr>
      <w:bookmarkEnd w:id="500"/>
      <w:r>
        <w:rPr>
          <w:rFonts w:ascii="IRNazanin" w:hAnsi="IRNazanin" w:eastAsia="IRNazanin"/>
          <w:color w:val="111111"/>
          <w:sz w:val="28"/>
          <w:sz w:val="28"/>
          <w:szCs w:val="28"/>
          <w:rtl w:val="true"/>
          <w:lang w:bidi="fa-IR"/>
        </w:rPr>
        <w:t>و قد عرّفه البعض أنّه من أتباع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عرّفه الشیخ الطوسی رحمه الله أنّه من أصحاب وأنصار الإمام الصادق علیه السّلام</w:t>
      </w:r>
      <w:r>
        <w:rPr>
          <w:rFonts w:eastAsia="IRNazanin" w:cs="IRNazanin"/>
          <w:color w:val="111111"/>
          <w:sz w:val="28"/>
          <w:szCs w:val="28"/>
          <w:rtl w:val="true"/>
          <w:lang w:bidi="fa-IR"/>
        </w:rPr>
        <w:t xml:space="preserve">. </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ومن جملة مفسّری هذا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هارون السُلَمی‌الواسطی</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یملک حافظةً قویةً، و هو محدّث ومفسّر بارز فی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المفسّرین الذین تجدر الإشارة إلیه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حاتم السجستانی</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إنّه صاحب تألیف فی التفسیر، وکذلک أبو العبّاس المبرّد، الأدیب المقتدر، المعروف یفصاحت وبلاغت، و هو من تلامذة الکسائی، وله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القرآن و إعراب القرآن</w:t>
      </w:r>
      <w:r>
        <w:rPr>
          <w:rFonts w:eastAsia="IRNazanin" w:cs="IRNazanin"/>
          <w:color w:val="111111"/>
          <w:sz w:val="28"/>
          <w:szCs w:val="28"/>
          <w:rtl w:val="true"/>
          <w:lang w:bidi="fa-IR"/>
        </w:rPr>
        <w:t xml:space="preserve">.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وأخیراً ابن قتیبة الدیتوری و الذی سنتناوله بالإضافة إلی ملاحظة تفسیره فی البحث المقبل</w:t>
      </w:r>
      <w:r>
        <w:rPr>
          <w:rFonts w:eastAsia="IRNazanin" w:cs="IRNazanin"/>
          <w:color w:val="111111"/>
          <w:sz w:val="28"/>
          <w:szCs w:val="28"/>
          <w:rtl w:val="true"/>
          <w:lang w:bidi="fa-IR"/>
        </w:rPr>
        <w:t>.</w:t>
      </w:r>
    </w:p>
    <w:p>
      <w:pPr>
        <w:pStyle w:val="Heading3"/>
        <w:numPr>
          <w:ilvl w:val="2"/>
          <w:numId w:val="1"/>
        </w:numPr>
        <w:rPr/>
      </w:pPr>
      <w:bookmarkStart w:id="501" w:name="__RefHeading___Toc634195_581953129"/>
      <w:bookmarkStart w:id="502" w:name="_Toc193"/>
      <w:bookmarkEnd w:id="501"/>
      <w:r>
        <w:rPr>
          <w:rtl w:val="true"/>
        </w:rPr>
        <w:t>الاتّجاهات التفسیریة فی القرن الثالث</w:t>
      </w:r>
      <w:bookmarkEnd w:id="502"/>
    </w:p>
    <w:p>
      <w:pPr>
        <w:pStyle w:val="Heading4"/>
        <w:numPr>
          <w:ilvl w:val="3"/>
          <w:numId w:val="1"/>
        </w:numPr>
        <w:rPr/>
      </w:pPr>
      <w:bookmarkStart w:id="503" w:name="__RefHeading___Toc634197_581953129"/>
      <w:bookmarkStart w:id="504" w:name="_Toc194"/>
      <w:bookmarkEnd w:id="503"/>
      <w:r>
        <w:rPr>
          <w:rtl w:val="true"/>
        </w:rPr>
        <w:t>اشارة</w:t>
      </w:r>
      <w:bookmarkEnd w:id="504"/>
    </w:p>
    <w:p>
      <w:pPr>
        <w:pStyle w:val="BookText"/>
        <w:rPr/>
      </w:pPr>
      <w:r>
        <w:rPr>
          <w:rFonts w:ascii="IRNazanin" w:hAnsi="IRNazanin" w:eastAsia="IRNazanin"/>
          <w:color w:val="111111"/>
          <w:sz w:val="28"/>
          <w:sz w:val="28"/>
          <w:szCs w:val="28"/>
          <w:rtl w:val="true"/>
          <w:lang w:bidi="fa-IR"/>
        </w:rPr>
        <w:t>إنّ إحدی الخصائص التی شغلت القرن الثالث هی الاهتمام بتقدیم المناهج التفسیریة ذات الاتّجاهات المختلفة، فالروایات التفسیریة، والتی تعتبر واحدة من أهم المصادر الدینیة، والتی انتشرت فی البلدان بشکل واسع کانت الباعث علی ظاهرة التفسیر الروائی، و قد تلقّاه الناس بشوق واعتزاز کبیرین</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فقد کتب التفسیر فی اتّجاهات أخری، ولعلّ واحدة من العوامل التی ساعدة علی بروزها هی وجود العلوم المختلفة،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اللغة و الأدب، والتی ازدهرة بضاعتها فی هذا القرن بعد أن ظهرت فی القرن الثانی علی ید الأدباء البصریین و الکوفیین،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القرن الثامن میلادی و الذی فیه دوّنوا اللغة العربیة</w:t>
      </w:r>
      <w:r>
        <w:rPr>
          <w:rFonts w:eastAsia="IRNazanin" w:cs="IRNazanin"/>
          <w:color w:val="111111"/>
          <w:sz w:val="28"/>
          <w:szCs w:val="28"/>
          <w:rtl w:val="true"/>
          <w:lang w:bidi="fa-IR"/>
        </w:rPr>
        <w:t xml:space="preserve">. </w:t>
      </w:r>
      <w:r>
        <w:rPr>
          <w:rStyle w:val="FootnoteAnchor"/>
          <w:rtl w:val="true"/>
        </w:rPr>
        <w:footnoteReference w:id="591"/>
      </w:r>
      <w:bookmarkStart w:id="505" w:name="pg5285_67381"/>
    </w:p>
    <w:p>
      <w:pPr>
        <w:pStyle w:val="BookText"/>
        <w:rPr/>
      </w:pPr>
      <w:bookmarkEnd w:id="505"/>
      <w:r>
        <w:rPr>
          <w:rFonts w:ascii="IRNazanin" w:hAnsi="IRNazanin" w:eastAsia="IRNazanin"/>
          <w:color w:val="111111"/>
          <w:sz w:val="28"/>
          <w:sz w:val="28"/>
          <w:szCs w:val="28"/>
          <w:rtl w:val="true"/>
          <w:lang w:bidi="fa-IR"/>
        </w:rPr>
        <w:t>وهکذا فإنّ الفقه و القیام بترتیب الأحادیث الفقهیة هی الجانب الآخر الذی أنجز فی هذا العصر، وکذلک فإن التفسیر العرفانی و الإشاری الرمزی راج اتجّاههما فی هذا القرن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ونحاول هنا بیان أهمّ المناهج والاتّجاهات التفسیریة فی القرن الثالث</w:t>
      </w:r>
      <w:r>
        <w:rPr>
          <w:rFonts w:eastAsia="IRNazanin" w:cs="IRNazanin"/>
          <w:color w:val="111111"/>
          <w:sz w:val="28"/>
          <w:szCs w:val="28"/>
          <w:rtl w:val="true"/>
          <w:lang w:bidi="fa-IR"/>
        </w:rPr>
        <w:t>:</w:t>
      </w:r>
    </w:p>
    <w:p>
      <w:pPr>
        <w:pStyle w:val="Heading4"/>
        <w:numPr>
          <w:ilvl w:val="3"/>
          <w:numId w:val="1"/>
        </w:numPr>
        <w:rPr/>
      </w:pPr>
      <w:bookmarkStart w:id="506" w:name="__RefHeading___Toc634199_581953129"/>
      <w:bookmarkStart w:id="507" w:name="_Toc195"/>
      <w:bookmarkEnd w:id="506"/>
      <w:r>
        <w:rPr/>
        <w:t>1</w:t>
      </w:r>
      <w:r>
        <w:rPr>
          <w:rtl w:val="true"/>
        </w:rPr>
        <w:t xml:space="preserve">. </w:t>
      </w:r>
      <w:r>
        <w:rPr>
          <w:rtl w:val="true"/>
        </w:rPr>
        <w:t>التفسیر الروائی</w:t>
      </w:r>
      <w:bookmarkEnd w:id="507"/>
    </w:p>
    <w:p>
      <w:pPr>
        <w:pStyle w:val="BookText"/>
        <w:rPr/>
      </w:pPr>
      <w:r>
        <w:rPr>
          <w:rFonts w:ascii="IRNazanin" w:hAnsi="IRNazanin" w:eastAsia="IRNazanin"/>
          <w:color w:val="111111"/>
          <w:sz w:val="28"/>
          <w:sz w:val="28"/>
          <w:szCs w:val="28"/>
          <w:rtl w:val="true"/>
          <w:lang w:bidi="fa-IR"/>
        </w:rPr>
        <w:t>إنّ من جملة التفاسیر الروائیة فی هذا القرن هو تفسیر المصابیح لأحمد الأسفرائینی</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اتّجه المؤلّف فی هذا التفسیر باستخدام الروایات المتعلّقة بأهل‌البیت علیهم السّلام و القیام بتطبیق الآیات الواردة فی حقّهم علیهم السّلام، ویضاهی هذا التفسیره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الحبری، لأبی عبد الله حسین بن حکیم مسلم الکوفی</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المحدّث ولمفسّر لمعروف علی المذهب الزیدی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اشتمل هذا التفسیر علی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منها ما تتعلّق بالآیات النازلة فی حقّ أهل‌البیت علیهم السّلام،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أخری لها علاقة بالفضائل الموجودة لدیهم،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أخری فی موضوعات مختلفة،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العقیدة و التاریخ و الأحکام</w:t>
      </w:r>
      <w:r>
        <w:rPr>
          <w:rFonts w:eastAsia="IRNazanin" w:cs="IRNazanin"/>
          <w:color w:val="111111"/>
          <w:sz w:val="28"/>
          <w:szCs w:val="28"/>
          <w:rtl w:val="true"/>
          <w:lang w:bidi="fa-IR"/>
        </w:rPr>
        <w:t xml:space="preserve">. </w:t>
      </w:r>
      <w:r>
        <w:rPr>
          <w:rStyle w:val="FootnoteAnchor"/>
          <w:rtl w:val="true"/>
        </w:rPr>
        <w:footnoteReference w:id="592"/>
      </w:r>
    </w:p>
    <w:p>
      <w:pPr>
        <w:pStyle w:val="Heading4"/>
        <w:numPr>
          <w:ilvl w:val="3"/>
          <w:numId w:val="1"/>
        </w:numPr>
        <w:rPr/>
      </w:pPr>
      <w:bookmarkStart w:id="508" w:name="__RefHeading___Toc634201_581953129"/>
      <w:bookmarkStart w:id="509" w:name="_Toc196"/>
      <w:bookmarkEnd w:id="508"/>
      <w:r>
        <w:rPr/>
        <w:t>2</w:t>
      </w:r>
      <w:r>
        <w:rPr>
          <w:rtl w:val="true"/>
        </w:rPr>
        <w:t xml:space="preserve">. </w:t>
      </w:r>
      <w:r>
        <w:rPr>
          <w:rtl w:val="true"/>
        </w:rPr>
        <w:t>التفسیر الفقهی</w:t>
      </w:r>
      <w:bookmarkEnd w:id="509"/>
    </w:p>
    <w:p>
      <w:pPr>
        <w:pStyle w:val="BookText"/>
        <w:rPr/>
      </w:pPr>
      <w:r>
        <w:rPr>
          <w:rFonts w:ascii="IRNazanin" w:hAnsi="IRNazanin" w:eastAsia="IRNazanin"/>
          <w:color w:val="111111"/>
          <w:sz w:val="28"/>
          <w:sz w:val="28"/>
          <w:szCs w:val="28"/>
          <w:rtl w:val="true"/>
          <w:lang w:bidi="fa-IR"/>
        </w:rPr>
        <w:t>یعدّ هذا النوع من التفسیر من أقدم المناهج التفسیریة الموجودة فی مجال التفسیر، و هو جزء من التفسیر الموضوعی وکذلک یعدّ فرعاً من التفسیر الروائی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ثمّ تدوینه علی أساس الموضوعات الفقهیة وأخذ نهجه الموضوعی فی التفسیر فی القرن الثالث</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و بدأت کتابة التفسیر لآیات الأحکام فی هذا القرن و قد وصلت قرابة عشر تفاسیر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ویمکننا الإشارة هنا إلی بعضها،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آیات الأحکام، لهشام بن محمّد</w:t>
      </w:r>
      <w:bookmarkStart w:id="510" w:name="pg5285_67383"/>
    </w:p>
    <w:p>
      <w:pPr>
        <w:pStyle w:val="BookText"/>
        <w:rPr/>
      </w:pPr>
      <w:bookmarkEnd w:id="510"/>
      <w:r>
        <w:rPr>
          <w:rFonts w:ascii="IRNazanin" w:hAnsi="IRNazanin" w:eastAsia="IRNazanin"/>
          <w:color w:val="111111"/>
          <w:sz w:val="28"/>
          <w:sz w:val="28"/>
          <w:szCs w:val="28"/>
          <w:rtl w:val="true"/>
          <w:lang w:bidi="fa-IR"/>
        </w:rPr>
        <w:t>السائب الکلبی الکوفی</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أحکام القرآن، لمحمّد بن إدریس الشافعی إمام المذهب الشافعی</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وکذلک أحکام القرآن، للمروزی الخراسانی</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593"/>
      </w:r>
    </w:p>
    <w:p>
      <w:pPr>
        <w:pStyle w:val="Heading3"/>
        <w:numPr>
          <w:ilvl w:val="2"/>
          <w:numId w:val="1"/>
        </w:numPr>
        <w:rPr/>
      </w:pPr>
      <w:bookmarkStart w:id="511" w:name="__RefHeading___Toc634203_581953129"/>
      <w:bookmarkStart w:id="512" w:name="_Toc197"/>
      <w:bookmarkEnd w:id="511"/>
      <w:r>
        <w:rPr>
          <w:rtl w:val="true"/>
        </w:rPr>
        <w:t>التفاسیر الأدبیة</w:t>
      </w:r>
      <w:bookmarkEnd w:id="512"/>
    </w:p>
    <w:p>
      <w:pPr>
        <w:pStyle w:val="Heading4"/>
        <w:numPr>
          <w:ilvl w:val="3"/>
          <w:numId w:val="1"/>
        </w:numPr>
        <w:rPr/>
      </w:pPr>
      <w:bookmarkStart w:id="513" w:name="__RefHeading___Toc634205_581953129"/>
      <w:bookmarkStart w:id="514" w:name="_Toc198"/>
      <w:bookmarkEnd w:id="513"/>
      <w:r>
        <w:rPr>
          <w:rtl w:val="true"/>
        </w:rPr>
        <w:t>اشارة</w:t>
      </w:r>
      <w:bookmarkEnd w:id="514"/>
    </w:p>
    <w:p>
      <w:pPr>
        <w:pStyle w:val="BookText"/>
        <w:rPr/>
      </w:pPr>
      <w:r>
        <w:rPr>
          <w:rFonts w:ascii="IRNazanin" w:hAnsi="IRNazanin" w:eastAsia="IRNazanin"/>
          <w:color w:val="111111"/>
          <w:sz w:val="28"/>
          <w:sz w:val="28"/>
          <w:szCs w:val="28"/>
          <w:rtl w:val="true"/>
          <w:lang w:bidi="fa-IR"/>
        </w:rPr>
        <w:t>إنّ التفاسیر التی کتبت فی هذا القرن بالاتّجاه الأدبی لقد اشتملت فی مضمونها علی المعانی و البیان و اللغة، وبعضها اشتملت علی الصرف و النحو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القرن کتبت تفاسیر تحت عناوین غریب القرآن، معانی القرآن و مشکل القرآن، وکذلک مجاز القرآن وبعض منها کالتالی</w:t>
      </w:r>
      <w:r>
        <w:rPr>
          <w:rFonts w:eastAsia="IRNazanin" w:cs="IRNazanin"/>
          <w:color w:val="111111"/>
          <w:sz w:val="28"/>
          <w:szCs w:val="28"/>
          <w:rtl w:val="true"/>
          <w:lang w:bidi="fa-IR"/>
        </w:rPr>
        <w:t>:</w:t>
      </w:r>
    </w:p>
    <w:p>
      <w:pPr>
        <w:pStyle w:val="Heading4"/>
        <w:numPr>
          <w:ilvl w:val="3"/>
          <w:numId w:val="1"/>
        </w:numPr>
        <w:rPr/>
      </w:pPr>
      <w:bookmarkStart w:id="515" w:name="__RefHeading___Toc634207_581953129"/>
      <w:bookmarkStart w:id="516" w:name="_Toc199"/>
      <w:bookmarkEnd w:id="515"/>
      <w:r>
        <w:rPr/>
        <w:t>1</w:t>
      </w:r>
      <w:r>
        <w:rPr>
          <w:rtl w:val="true"/>
        </w:rPr>
        <w:t xml:space="preserve">. </w:t>
      </w:r>
      <w:r>
        <w:rPr>
          <w:rtl w:val="true"/>
        </w:rPr>
        <w:t>مجاز القرآن</w:t>
      </w:r>
      <w:bookmarkEnd w:id="516"/>
    </w:p>
    <w:p>
      <w:pPr>
        <w:pStyle w:val="BookText"/>
        <w:rPr/>
      </w:pPr>
      <w:r>
        <w:rPr>
          <w:rFonts w:ascii="IRNazanin" w:hAnsi="IRNazanin" w:eastAsia="IRNazanin"/>
          <w:color w:val="111111"/>
          <w:sz w:val="28"/>
          <w:sz w:val="28"/>
          <w:szCs w:val="28"/>
          <w:rtl w:val="true"/>
          <w:lang w:bidi="fa-IR"/>
        </w:rPr>
        <w:t>إنّ هذا التفسیر لأبی عبیدة معمّر بن مثنی</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أوّل شخص بحث المعانی و البیان فی تدوین الموضوعات القرآنیة، إذا لم نقل أنّه المؤسس للبحوث اللغویة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عندما یتعرّض إلی تفسیر الآیات یشیر إلی الأمثلة، والتشبیهات و الکنایات و الحذف، والتقدیم و التأخیر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ویمکننا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أباعبیدة کان مؤسساً لبعض أصول التدوین فی هذا النهج التفسیری للقرآن الکریم</w:t>
      </w:r>
      <w:r>
        <w:rPr>
          <w:rFonts w:eastAsia="IRNazanin" w:cs="IRNazanin"/>
          <w:color w:val="111111"/>
          <w:sz w:val="28"/>
          <w:szCs w:val="28"/>
          <w:rtl w:val="true"/>
          <w:lang w:bidi="fa-IR"/>
        </w:rPr>
        <w:t xml:space="preserve">. </w:t>
      </w:r>
      <w:r>
        <w:rPr>
          <w:rStyle w:val="FootnoteAnchor"/>
          <w:rtl w:val="true"/>
        </w:rPr>
        <w:footnoteReference w:id="594"/>
      </w:r>
    </w:p>
    <w:p>
      <w:pPr>
        <w:pStyle w:val="Heading4"/>
        <w:numPr>
          <w:ilvl w:val="3"/>
          <w:numId w:val="1"/>
        </w:numPr>
        <w:rPr/>
      </w:pPr>
      <w:bookmarkStart w:id="517" w:name="__RefHeading___Toc634209_581953129"/>
      <w:bookmarkStart w:id="518" w:name="_Toc200"/>
      <w:bookmarkEnd w:id="517"/>
      <w:r>
        <w:rPr/>
        <w:t>2</w:t>
      </w:r>
      <w:r>
        <w:rPr>
          <w:rtl w:val="true"/>
        </w:rPr>
        <w:t xml:space="preserve">. </w:t>
      </w:r>
      <w:r>
        <w:rPr>
          <w:rtl w:val="true"/>
        </w:rPr>
        <w:t>تفسیر الفرّاء معانی القرآن</w:t>
      </w:r>
      <w:bookmarkEnd w:id="518"/>
    </w:p>
    <w:p>
      <w:pPr>
        <w:pStyle w:val="BookText"/>
        <w:rPr/>
      </w:pPr>
      <w:r>
        <w:rPr>
          <w:rFonts w:ascii="IRNazanin" w:hAnsi="IRNazanin" w:eastAsia="IRNazanin"/>
          <w:color w:val="111111"/>
          <w:sz w:val="28"/>
          <w:sz w:val="28"/>
          <w:szCs w:val="28"/>
          <w:rtl w:val="true"/>
          <w:lang w:bidi="fa-IR"/>
        </w:rPr>
        <w:t>والفرّاء هو یحیی بن زیاد الأقطع المعروف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الفرّاء، المتوفّی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فقد واصل بعد أبی عبیدة هذا النهج وکتب معانی القرآن علی أسلوب مجاز القرآن</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ونلفت الانتباه إلی أنّ الفرّاء نفسه کان عالمٌ متبحّرٌ فی علوم اللغة و الأدب العربی، ولأجل هذا السبب فإنّ الطابع النحوی هو الغالب علی تفسیره دون غیره، ولکن مع</w:t>
      </w:r>
      <w:bookmarkStart w:id="519" w:name="pg5285_67385"/>
    </w:p>
    <w:p>
      <w:pPr>
        <w:pStyle w:val="BookText"/>
        <w:rPr/>
      </w:pPr>
      <w:bookmarkEnd w:id="519"/>
      <w:r>
        <w:rPr>
          <w:rFonts w:ascii="IRNazanin" w:hAnsi="IRNazanin" w:eastAsia="IRNazanin"/>
          <w:color w:val="111111"/>
          <w:sz w:val="28"/>
          <w:sz w:val="28"/>
          <w:szCs w:val="28"/>
          <w:rtl w:val="true"/>
          <w:lang w:bidi="fa-IR"/>
        </w:rPr>
        <w:t>وجود هذا البعد لم یکن الفرّاء أقلّ طرحاً للنکات البیانیة من أبی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انصبّ هذا الکتاب علی طرح المسائل البیانیة علی أساس ترتیب المصحف،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الکنایة و التشبیه، والاستعارة و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 فی ذیل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الأمثال و النثر، وأبیات من الشعر العربی من أجل توضیح معانی الآیات، ومضافاً إلی ذلک تمّة روایات تُنقل عن الصحابة و التابعین فی فقرات الکتاب</w:t>
      </w:r>
      <w:r>
        <w:rPr>
          <w:rFonts w:eastAsia="IRNazanin" w:cs="IRNazanin"/>
          <w:color w:val="111111"/>
          <w:sz w:val="28"/>
          <w:szCs w:val="28"/>
          <w:rtl w:val="true"/>
          <w:lang w:bidi="fa-IR"/>
        </w:rPr>
        <w:t xml:space="preserve">. </w:t>
      </w:r>
      <w:r>
        <w:rPr>
          <w:rStyle w:val="FootnoteAnchor"/>
          <w:rtl w:val="true"/>
        </w:rPr>
        <w:footnoteReference w:id="595"/>
      </w:r>
      <w:r>
        <w:rPr>
          <w:rFonts w:ascii="IRNazanin" w:hAnsi="IRNazanin" w:eastAsia="IRNazanin"/>
          <w:color w:val="111111"/>
          <w:sz w:val="28"/>
          <w:sz w:val="28"/>
          <w:szCs w:val="28"/>
          <w:rtl w:val="true"/>
          <w:lang w:bidi="fa-IR"/>
        </w:rPr>
        <w:t>ویذکر أن ابن شهر آشوب فی أسباب النزول یسند روایاته إلی الفرّاء إلی غیر کتاب معانی القرآن و لغات القرآن و الوقف والابتداء کما واعتبره واحداً من أکثر المؤلّفین جهداً فی مجال علوم القرآن</w:t>
      </w:r>
      <w:r>
        <w:rPr>
          <w:rFonts w:eastAsia="IRNazanin" w:cs="IRNazanin"/>
          <w:color w:val="111111"/>
          <w:sz w:val="28"/>
          <w:szCs w:val="28"/>
          <w:rtl w:val="true"/>
          <w:lang w:bidi="fa-IR"/>
        </w:rPr>
        <w:t xml:space="preserve">. </w:t>
      </w:r>
      <w:r>
        <w:rPr>
          <w:rStyle w:val="FootnoteAnchor"/>
          <w:rtl w:val="true"/>
        </w:rPr>
        <w:footnoteReference w:id="596"/>
      </w:r>
    </w:p>
    <w:p>
      <w:pPr>
        <w:pStyle w:val="Heading4"/>
        <w:numPr>
          <w:ilvl w:val="3"/>
          <w:numId w:val="1"/>
        </w:numPr>
        <w:rPr/>
      </w:pPr>
      <w:bookmarkStart w:id="520" w:name="__RefHeading___Toc634211_581953129"/>
      <w:bookmarkStart w:id="521" w:name="_Toc201"/>
      <w:bookmarkEnd w:id="520"/>
      <w:r>
        <w:rPr/>
        <w:t>3</w:t>
      </w:r>
      <w:r>
        <w:rPr>
          <w:rtl w:val="true"/>
        </w:rPr>
        <w:t xml:space="preserve">. </w:t>
      </w:r>
      <w:r>
        <w:rPr>
          <w:rtl w:val="true"/>
        </w:rPr>
        <w:t>تفسیر الجاحظ نظم القرآن</w:t>
      </w:r>
      <w:bookmarkEnd w:id="521"/>
    </w:p>
    <w:p>
      <w:pPr>
        <w:pStyle w:val="BookText"/>
        <w:rPr/>
      </w:pPr>
      <w:r>
        <w:rPr>
          <w:rFonts w:ascii="IRNazanin" w:hAnsi="IRNazanin" w:eastAsia="IRNazanin"/>
          <w:color w:val="111111"/>
          <w:sz w:val="28"/>
          <w:sz w:val="28"/>
          <w:szCs w:val="28"/>
          <w:rtl w:val="true"/>
          <w:lang w:bidi="fa-IR"/>
        </w:rPr>
        <w:t>لأبی عثمان، الجاحظ</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القرآن، ألّف فیه الکثیر من بحوثه منصبّةً علی البیان و التبیین للعبارات القرآنیة، وطرح بشکل واسع المجاز و التشبیه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والجاحظ مارس کتابة بحوثه بشکل فنیٍّ و متقن، ولکن مع بالغ الأسف، لم یتناول فی تفسیره کامل القرآن، بل إنّه تناول،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وبشکل متفرق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آیات القرآن، وذلک فی ضمن بحوثه البیانیة للتفسیر</w:t>
      </w:r>
      <w:r>
        <w:rPr>
          <w:rFonts w:eastAsia="IRNazanin" w:cs="IRNazanin"/>
          <w:color w:val="111111"/>
          <w:sz w:val="28"/>
          <w:szCs w:val="28"/>
          <w:rtl w:val="true"/>
          <w:lang w:bidi="fa-IR"/>
        </w:rPr>
        <w:t xml:space="preserve">. </w:t>
      </w:r>
      <w:r>
        <w:rPr>
          <w:rStyle w:val="FootnoteAnchor"/>
          <w:rtl w:val="true"/>
        </w:rPr>
        <w:footnoteReference w:id="597"/>
      </w:r>
    </w:p>
    <w:p>
      <w:pPr>
        <w:pStyle w:val="Heading4"/>
        <w:numPr>
          <w:ilvl w:val="3"/>
          <w:numId w:val="1"/>
        </w:numPr>
        <w:rPr/>
      </w:pPr>
      <w:bookmarkStart w:id="522" w:name="__RefHeading___Toc634213_581953129"/>
      <w:bookmarkStart w:id="523" w:name="_Toc202"/>
      <w:bookmarkEnd w:id="522"/>
      <w:r>
        <w:rPr/>
        <w:t>4</w:t>
      </w:r>
      <w:r>
        <w:rPr>
          <w:rtl w:val="true"/>
        </w:rPr>
        <w:t xml:space="preserve">. </w:t>
      </w:r>
      <w:r>
        <w:rPr>
          <w:rtl w:val="true"/>
        </w:rPr>
        <w:t>تفسیر ابن قتیبة تأویل مشکل القرآن</w:t>
      </w:r>
      <w:r>
        <w:rPr>
          <w:rtl w:val="true"/>
        </w:rPr>
        <w:t>:</w:t>
      </w:r>
      <w:bookmarkEnd w:id="523"/>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 ابن قتیبة الدینوری</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الجاحظ بخطیب أهل السنّة، و قد ألّف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مشکل القرآن، فی الردّ علی الأشخاص الذین یطعنون فی بلاغة القرآن</w:t>
      </w:r>
      <w:r>
        <w:rPr>
          <w:rFonts w:eastAsia="IRNazanin" w:cs="IRNazanin"/>
          <w:color w:val="111111"/>
          <w:sz w:val="28"/>
          <w:szCs w:val="28"/>
          <w:rtl w:val="true"/>
          <w:lang w:bidi="fa-IR"/>
        </w:rPr>
        <w:t xml:space="preserve">. </w:t>
      </w:r>
      <w:r>
        <w:rPr>
          <w:rStyle w:val="FootnoteAnchor"/>
          <w:rtl w:val="true"/>
        </w:rPr>
        <w:footnoteReference w:id="598"/>
      </w:r>
      <w:r>
        <w:rPr>
          <w:rFonts w:ascii="IRNazanin" w:hAnsi="IRNazanin" w:eastAsia="IRNazanin"/>
          <w:color w:val="111111"/>
          <w:sz w:val="28"/>
          <w:sz w:val="28"/>
          <w:szCs w:val="28"/>
          <w:rtl w:val="true"/>
          <w:lang w:bidi="fa-IR"/>
        </w:rPr>
        <w:t>وفی هذا التفسیر قدّم أنواع المتشابهات القرآنیة، وکذلک ما یطرحه</w:t>
      </w:r>
      <w:bookmarkStart w:id="524" w:name="pg5285_67387"/>
    </w:p>
    <w:p>
      <w:pPr>
        <w:pStyle w:val="BookText"/>
        <w:rPr/>
      </w:pPr>
      <w:bookmarkEnd w:id="524"/>
      <w:r>
        <w:rPr>
          <w:rFonts w:ascii="IRNazanin" w:hAnsi="IRNazanin" w:eastAsia="IRNazanin"/>
          <w:color w:val="111111"/>
          <w:sz w:val="28"/>
          <w:sz w:val="28"/>
          <w:szCs w:val="28"/>
          <w:rtl w:val="true"/>
          <w:lang w:bidi="fa-IR"/>
        </w:rPr>
        <w:t>المخالفون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متناقضات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بحث فیها وتصدی لتفسیرها، ومضافاً إلی ذلک، فقد تعرّض إلی الأشباه و النظائر فی معانی ألفاظ القرآن</w:t>
      </w:r>
      <w:r>
        <w:rPr>
          <w:rFonts w:eastAsia="IRNazanin" w:cs="IRNazanin"/>
          <w:color w:val="111111"/>
          <w:sz w:val="28"/>
          <w:szCs w:val="28"/>
          <w:rtl w:val="true"/>
          <w:lang w:bidi="fa-IR"/>
        </w:rPr>
        <w:t xml:space="preserve">. </w:t>
      </w:r>
      <w:r>
        <w:rPr>
          <w:rStyle w:val="FootnoteAnchor"/>
          <w:rtl w:val="true"/>
        </w:rPr>
        <w:footnoteReference w:id="599"/>
      </w:r>
    </w:p>
    <w:p>
      <w:pPr>
        <w:pStyle w:val="Heading3"/>
        <w:numPr>
          <w:ilvl w:val="2"/>
          <w:numId w:val="1"/>
        </w:numPr>
        <w:rPr/>
      </w:pPr>
      <w:bookmarkStart w:id="525" w:name="__RefHeading___Toc634215_581953129"/>
      <w:bookmarkStart w:id="526" w:name="_Toc203"/>
      <w:bookmarkEnd w:id="525"/>
      <w:r>
        <w:rPr>
          <w:rtl w:val="true"/>
        </w:rPr>
        <w:t>الاتّجاه العرفانی و الرمزی</w:t>
      </w:r>
      <w:bookmarkEnd w:id="526"/>
    </w:p>
    <w:p>
      <w:pPr>
        <w:pStyle w:val="BookText"/>
        <w:rPr/>
      </w:pPr>
      <w:r>
        <w:rPr>
          <w:rFonts w:ascii="IRNazanin" w:hAnsi="IRNazanin" w:eastAsia="IRNazanin"/>
          <w:color w:val="111111"/>
          <w:sz w:val="28"/>
          <w:sz w:val="28"/>
          <w:szCs w:val="28"/>
          <w:rtl w:val="true"/>
          <w:lang w:bidi="fa-IR"/>
        </w:rPr>
        <w:t>إنّ أحد الخصائص التفسیریة التی اتّسم بها ذلک القرن هو الجنوح نحو التألیف بالاتّجاهات العرفانیة و الرمزیة، والتی تمثلت بدایته فی تفسیر القرآن العظیم التستری و المؤلّف هو أبو محمّد سهل بن عبد الله التستری</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من العرفاء الکبار، و یعدّ من أهل الریاضات الروحیة و الکرامات، و قد أقام طویلاً فی البصرة، وفیها 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صبَّ بحوثه فی البدایة علی معانی الظاهر و الباطن فی مطلعهما ونهایتهما، ومع أنّ هذا التفسیر منصبّ علی البحوث الرمزیة و العرفانیة إلاّ أنّ فیه آراء فی المعانی الظاهریة للألفاظ</w:t>
      </w:r>
      <w:r>
        <w:rPr>
          <w:rFonts w:eastAsia="IRNazanin" w:cs="IRNazanin"/>
          <w:color w:val="111111"/>
          <w:sz w:val="28"/>
          <w:szCs w:val="28"/>
          <w:rtl w:val="true"/>
          <w:lang w:bidi="fa-IR"/>
        </w:rPr>
        <w:t xml:space="preserve">. </w:t>
      </w:r>
      <w:r>
        <w:rPr>
          <w:rStyle w:val="FootnoteAnchor"/>
          <w:rtl w:val="true"/>
        </w:rPr>
        <w:footnoteReference w:id="600"/>
      </w:r>
      <w:r>
        <w:rPr>
          <w:rFonts w:ascii="IRNazanin" w:hAnsi="IRNazanin" w:eastAsia="IRNazanin"/>
          <w:color w:val="111111"/>
          <w:sz w:val="28"/>
          <w:sz w:val="28"/>
          <w:szCs w:val="28"/>
          <w:rtl w:val="true"/>
          <w:lang w:bidi="fa-IR"/>
        </w:rPr>
        <w:t xml:space="preserve">و قد طبع هذا التفسیر سنة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الهجرة فی مجلّد کبیر فی مصر، بواسطة دار الکتب العربیة</w:t>
      </w:r>
      <w:r>
        <w:rPr>
          <w:rFonts w:eastAsia="IRNazanin" w:cs="IRNazanin"/>
          <w:color w:val="111111"/>
          <w:sz w:val="28"/>
          <w:szCs w:val="28"/>
          <w:rtl w:val="true"/>
          <w:lang w:bidi="fa-IR"/>
        </w:rPr>
        <w:t xml:space="preserve">. </w:t>
      </w:r>
      <w:r>
        <w:rPr>
          <w:rStyle w:val="FootnoteAnchor"/>
          <w:rtl w:val="true"/>
        </w:rPr>
        <w:footnoteReference w:id="601"/>
      </w:r>
    </w:p>
    <w:p>
      <w:pPr>
        <w:pStyle w:val="Heading3"/>
        <w:numPr>
          <w:ilvl w:val="2"/>
          <w:numId w:val="1"/>
        </w:numPr>
        <w:rPr/>
      </w:pPr>
      <w:bookmarkStart w:id="527" w:name="__RefHeading___Toc634217_581953129"/>
      <w:bookmarkStart w:id="528" w:name="_Toc204"/>
      <w:bookmarkEnd w:id="527"/>
      <w:r>
        <w:rPr>
          <w:rtl w:val="true"/>
        </w:rPr>
        <w:t>المُحصّلة</w:t>
      </w:r>
      <w:bookmarkEnd w:id="5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القول إنّ الباعث علی ازدهار العلوم وتطوّرها فی القرن الثالث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روایات الأئمّة الأطهار علیهم السّلام و الصحابة و التابعین، وتدوین علم التفسیر واختلاف الاتّجاهات التفسیریة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الروائیة و الأدبیة، واللغویة و العرفانیة</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نفسه شکّل أیضاً أرضیةً لتثبیت المنهج الروائی فی القرن الرابع، و هو بحدِّ ذاته یعدُّ أهمّ خصوصیات هذا القرن</w:t>
      </w:r>
      <w:r>
        <w:rPr>
          <w:rFonts w:eastAsia="IRNazanin" w:cs="IRNazanin"/>
          <w:color w:val="111111"/>
          <w:sz w:val="28"/>
          <w:szCs w:val="28"/>
          <w:rtl w:val="true"/>
          <w:lang w:bidi="fa-IR"/>
        </w:rPr>
        <w:t>.</w:t>
      </w:r>
      <w:bookmarkStart w:id="529" w:name="pg5285_67389"/>
    </w:p>
    <w:p>
      <w:pPr>
        <w:pStyle w:val="BookText"/>
        <w:rPr/>
      </w:pPr>
      <w:bookmarkEnd w:id="52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ذکروا لهذا القرن أسماء تقارب سبعین تفسیراً ومفسّراً، و قد عرّفوا أهمّ هذه التفاسیر فی مجال التدریس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 التفاسیر الآیتة من أهمّ التفاسیر فی هذا القرن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المصابیح للأسفرائینی</w:t>
      </w:r>
      <w:r>
        <w:rPr>
          <w:rFonts w:eastAsia="IRNazanin" w:cs="IRNazanin"/>
          <w:color w:val="111111"/>
          <w:sz w:val="28"/>
          <w:szCs w:val="28"/>
          <w:rtl w:val="true"/>
          <w:lang w:bidi="fa-IR"/>
        </w:rPr>
        <w:t>(</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هشام بن محمّد السائب الکلبی</w:t>
      </w:r>
      <w:r>
        <w:rPr>
          <w:rFonts w:eastAsia="IRNazanin" w:cs="IRNazanin"/>
          <w:color w:val="111111"/>
          <w:sz w:val="28"/>
          <w:szCs w:val="28"/>
          <w:rtl w:val="true"/>
          <w:lang w:bidi="fa-IR"/>
        </w:rPr>
        <w:t>(</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 التی نزلت فی أقوام بأعیانهم، تفسیر یونس بن عبد الرحمان ابن فضال، والبطائنی، وکذلک غیرهم من تلامذة الأئمّة الأطهار علیهم السّلام ممّا مرّ ذکرهم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یمکننا ذکر التفاسیر الأخری،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القرآن للشافعی، و معانی القرآن للقرطبی، نظم القرآن و قواعد القرآن لابن همّام الصنعانی، و معانی القرآن لأبی العبّاس المبرّد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وفیما یخصّ المناهج التفسیریة فی هذا العصر، فإنّ المنهج الروائی له وجوده فی تفسیر المصابیح وتفسیر الحبری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التفسیر الفقهی یمکن الإشارة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القرآن لهشام بن محمّد السائب الکلبی، وأحکام القرآن للشافعی و المروزی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التفاسیر الأدبیة و اللغویة یمکننا الإشارة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القرآن لأبی عُبَیده و معانی القرآن للفرّاء، و نظم القرآن للجاحظ وتأویل مشکل القرآن لابن قُتیبة الدینوری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تفسیر القرآن العظیم لابن رفیع التستری، و هو من التفاسیر العرفانیة و الرمزیة لذلک القرن</w:t>
      </w:r>
      <w:r>
        <w:rPr>
          <w:rFonts w:eastAsia="IRNazanin" w:cs="IRNazanin"/>
          <w:color w:val="111111"/>
          <w:sz w:val="28"/>
          <w:szCs w:val="28"/>
          <w:rtl w:val="true"/>
          <w:lang w:bidi="fa-IR"/>
        </w:rPr>
        <w:t>.</w:t>
      </w:r>
    </w:p>
    <w:p>
      <w:pPr>
        <w:pStyle w:val="Heading3"/>
        <w:numPr>
          <w:ilvl w:val="2"/>
          <w:numId w:val="1"/>
        </w:numPr>
        <w:rPr/>
      </w:pPr>
      <w:bookmarkStart w:id="530" w:name="__RefHeading___Toc634219_581953129"/>
      <w:bookmarkStart w:id="531" w:name="_Toc205"/>
      <w:bookmarkEnd w:id="530"/>
      <w:r>
        <w:rPr>
          <w:rtl w:val="true"/>
        </w:rPr>
        <w:t>المصادر من أجل البحث و الاستقصاء المعمّق</w:t>
      </w:r>
      <w:bookmarkEnd w:id="5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المفسّرین، لجلال الدین السیوطی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المفسّرین، لمحمّد الأدنوی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تطور تفاسیر شیعه، لسید محمّد علی أیازی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الذریعة إلی تصانیف الشیعة،</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لعلاّمة الحاج آغا بزرک الطهرانی</w:t>
      </w:r>
      <w:r>
        <w:rPr>
          <w:rFonts w:eastAsia="IRNazanin" w:cs="IRNazanin"/>
          <w:color w:val="111111"/>
          <w:sz w:val="28"/>
          <w:szCs w:val="28"/>
          <w:rtl w:val="true"/>
          <w:lang w:bidi="fa-IR"/>
        </w:rPr>
        <w:t>.</w:t>
      </w:r>
      <w:bookmarkStart w:id="532" w:name="pg5285_67391"/>
    </w:p>
    <w:p>
      <w:pPr>
        <w:pStyle w:val="BookText"/>
        <w:rPr/>
      </w:pPr>
      <w:bookmarkEnd w:id="532"/>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النجاشی، للنجّاشی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الفهرست، لشیخ الطوسی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اتّجاهات التفسیر، لسلیمان فهد الرومی</w:t>
      </w:r>
      <w:r>
        <w:rPr>
          <w:rFonts w:eastAsia="IRNazanin" w:cs="IRNazanin"/>
          <w:color w:val="111111"/>
          <w:sz w:val="28"/>
          <w:szCs w:val="28"/>
          <w:rtl w:val="true"/>
          <w:lang w:bidi="fa-IR"/>
        </w:rPr>
        <w:t>.</w:t>
      </w:r>
    </w:p>
    <w:p>
      <w:pPr>
        <w:pStyle w:val="Heading3"/>
        <w:numPr>
          <w:ilvl w:val="2"/>
          <w:numId w:val="1"/>
        </w:numPr>
        <w:rPr/>
      </w:pPr>
      <w:bookmarkStart w:id="533" w:name="__RefHeading___Toc634221_581953129"/>
      <w:bookmarkStart w:id="534" w:name="_Toc206"/>
      <w:bookmarkEnd w:id="533"/>
      <w:r>
        <w:rPr>
          <w:rtl w:val="true"/>
        </w:rPr>
        <w:t>الأسئلة</w:t>
      </w:r>
      <w:bookmarkEnd w:id="5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خصائص التفسیر فی القرن الثالث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بعضاً من مشاهیر التفسیر فی القرن الثالث من الذین تتلمذوا علی ید الأئمّة‌الاطهار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وضّح ما تعرفه عن تفسیر البطائنی ومؤلّفه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أسماء أهمّ المناهج التفسیریة فی القرن الثالث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تفسیر الحبری، عرّفه لنا؟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هی أهمّ التفاسیر الأدبیة فی القرن الثالث؟ ولمن یعود تفسیر معانی القرآن، وضّح ما تعرفه عن هذا التفسیر ومؤلّفه؟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أهمّ تفسیر عرفانی کُتب فی القرن الثالث، عرّفه لنا، وبین أوّل موضوعاته؟</w:t>
      </w:r>
    </w:p>
    <w:p>
      <w:pPr>
        <w:pStyle w:val="BookText"/>
        <w:rPr/>
      </w:pPr>
      <w:r>
        <w:rPr>
          <w:rFonts w:ascii="IRNazanin" w:hAnsi="IRNazanin" w:eastAsia="IRNazanin"/>
          <w:color w:val="111111"/>
          <w:sz w:val="28"/>
          <w:sz w:val="28"/>
          <w:szCs w:val="28"/>
          <w:rtl w:val="true"/>
          <w:lang w:bidi="fa-IR"/>
        </w:rPr>
        <w:t>للبحث فی الموضوع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حقّق حول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التستری و تفسیر القرآن العظیم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وضّح الخصائص الإیجابیة و السلبیة للتفسیر العرفانی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الرمزی أو الإشاری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و المفسّرون فی ثوبه القشیب، معرفة</w:t>
      </w:r>
      <w:r>
        <w:rPr>
          <w:rFonts w:eastAsia="IRNazanin" w:cs="IRNazanin"/>
          <w:color w:val="111111"/>
          <w:sz w:val="28"/>
          <w:szCs w:val="28"/>
          <w:rtl w:val="true"/>
          <w:lang w:bidi="fa-IR"/>
        </w:rPr>
        <w:t>:</w:t>
      </w:r>
      <w:r>
        <w:rPr>
          <w:rFonts w:eastAsia="IRNazanin" w:cs="IRNazanin"/>
          <w:color w:val="111111"/>
          <w:sz w:val="28"/>
          <w:szCs w:val="28"/>
          <w:lang w:bidi="fa-IR"/>
        </w:rPr>
        <w:t>526/2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عمید رنجانی، مبانی و روش‌های تفسیر قرآن؛</w:t>
      </w:r>
    </w:p>
    <w:p>
      <w:pPr>
        <w:pStyle w:val="BookText"/>
        <w:rPr/>
      </w:pPr>
      <w:r>
        <w:rPr>
          <w:rFonts w:ascii="IRNazanin" w:hAnsi="IRNazanin" w:eastAsia="IRNazanin"/>
          <w:color w:val="111111"/>
          <w:sz w:val="28"/>
          <w:sz w:val="28"/>
          <w:szCs w:val="28"/>
          <w:rtl w:val="true"/>
          <w:lang w:bidi="fa-IR"/>
        </w:rPr>
        <w:t>حسین علوی‌مهر، روش‌ها وگرایش‌های تفسیری؛</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رضائی أصفهانی، درسنامه روش‌ها و گرایش‌های تفسیر قرآن؛</w:t>
      </w:r>
    </w:p>
    <w:p>
      <w:pPr>
        <w:pStyle w:val="BookText"/>
        <w:rPr/>
      </w:pPr>
      <w:r>
        <w:rPr>
          <w:rFonts w:ascii="IRNazanin" w:hAnsi="IRNazanin" w:eastAsia="IRNazanin"/>
          <w:color w:val="111111"/>
          <w:sz w:val="28"/>
          <w:sz w:val="28"/>
          <w:szCs w:val="28"/>
          <w:rtl w:val="true"/>
          <w:lang w:bidi="fa-IR"/>
        </w:rPr>
        <w:t>منیع عبد الحلیم محمود، مناهج المفسّرین؛</w:t>
      </w:r>
    </w:p>
    <w:p>
      <w:pPr>
        <w:pStyle w:val="BookText"/>
        <w:rPr/>
      </w:pPr>
      <w:r>
        <w:rPr>
          <w:rFonts w:ascii="IRNazanin" w:hAnsi="IRNazanin" w:eastAsia="IRNazanin"/>
          <w:color w:val="111111"/>
          <w:sz w:val="28"/>
          <w:sz w:val="28"/>
          <w:szCs w:val="28"/>
          <w:rtl w:val="true"/>
          <w:lang w:bidi="fa-IR"/>
        </w:rPr>
        <w:t>سلیمان فهد الرومی، اتّجاهات التفسیر فی العصر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أعطِ إحصائیة عن تفاسیر الشیعة فی القرن الثالث عند المراجعة لکتب طبقات مفسّران شیعة، عقیقی بخشایشی و سیر تطوّر تفاسیر شیعة، سید محمّد علی أیازی، وحقّق حول صحّة وسقم التفاسیر ومؤلّفیها</w:t>
      </w:r>
      <w:r>
        <w:rPr>
          <w:rFonts w:eastAsia="IRNazanin" w:cs="IRNazanin"/>
          <w:color w:val="111111"/>
          <w:sz w:val="28"/>
          <w:szCs w:val="28"/>
          <w:rtl w:val="true"/>
          <w:lang w:bidi="fa-IR"/>
        </w:rPr>
        <w:t>.</w:t>
      </w:r>
      <w:bookmarkStart w:id="535" w:name="pg5285_67395"/>
    </w:p>
    <w:p>
      <w:pPr>
        <w:pStyle w:val="Heading2"/>
        <w:numPr>
          <w:ilvl w:val="1"/>
          <w:numId w:val="1"/>
        </w:numPr>
        <w:rPr/>
      </w:pPr>
      <w:bookmarkStart w:id="536" w:name="__RefHeading___Toc634223_581953129"/>
      <w:bookmarkStart w:id="537" w:name="_Toc207"/>
      <w:bookmarkEnd w:id="535"/>
      <w:bookmarkEnd w:id="536"/>
      <w:r>
        <w:rPr/>
        <w:t>7</w:t>
      </w:r>
      <w:r>
        <w:rPr>
          <w:rtl w:val="true"/>
        </w:rPr>
        <w:t xml:space="preserve">- </w:t>
      </w:r>
      <w:r>
        <w:rPr>
          <w:rtl w:val="true"/>
        </w:rPr>
        <w:t xml:space="preserve">التفسیر فی القرن الرابع </w:t>
      </w:r>
      <w:r>
        <w:rPr>
          <w:rtl w:val="true"/>
        </w:rPr>
        <w:t>(</w:t>
      </w:r>
      <w:r>
        <w:rPr/>
        <w:t>1</w:t>
      </w:r>
      <w:r>
        <w:rPr>
          <w:rtl w:val="true"/>
        </w:rPr>
        <w:t>)</w:t>
      </w:r>
      <w:bookmarkEnd w:id="537"/>
    </w:p>
    <w:p>
      <w:pPr>
        <w:pStyle w:val="Heading3"/>
        <w:numPr>
          <w:ilvl w:val="2"/>
          <w:numId w:val="1"/>
        </w:numPr>
        <w:rPr/>
      </w:pPr>
      <w:bookmarkStart w:id="538" w:name="__RefHeading___Toc634225_581953129"/>
      <w:bookmarkStart w:id="539" w:name="_Toc208"/>
      <w:bookmarkEnd w:id="538"/>
      <w:r>
        <w:rPr>
          <w:rtl w:val="true"/>
        </w:rPr>
        <w:t>اشارة</w:t>
      </w:r>
      <w:bookmarkEnd w:id="539"/>
    </w:p>
    <w:p>
      <w:pPr>
        <w:pStyle w:val="BookText"/>
        <w:rPr/>
      </w:pPr>
      <w:r>
        <w:rPr>
          <w:rFonts w:ascii="IRNazanin" w:hAnsi="IRNazanin" w:eastAsia="IRNazanin"/>
          <w:color w:val="111111"/>
          <w:sz w:val="28"/>
          <w:sz w:val="28"/>
          <w:szCs w:val="28"/>
          <w:rtl w:val="true"/>
          <w:lang w:bidi="fa-IR"/>
        </w:rPr>
        <w:t>الموضوعات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فی القرن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 السیاسیة و الثقافیة للقرن الرابع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تثبیت المنهج الروائی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التفاسیر الروائیة عند الشیعة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المیول التفسیریة فی القرن الثالث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الکوفی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النعمانی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الأهداف</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التعرّف علی الاوضاع الثقافیة فی القرن الرابع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التعرّف علی التفاسیر الروائیة لدی الشیعة</w:t>
      </w:r>
      <w:bookmarkStart w:id="540" w:name="pg5285_67397"/>
    </w:p>
    <w:p>
      <w:pPr>
        <w:pStyle w:val="Heading3"/>
        <w:numPr>
          <w:ilvl w:val="2"/>
          <w:numId w:val="1"/>
        </w:numPr>
        <w:rPr/>
      </w:pPr>
      <w:bookmarkStart w:id="541" w:name="__RefHeading___Toc634227_581953129"/>
      <w:bookmarkStart w:id="542" w:name="_Toc209"/>
      <w:bookmarkEnd w:id="540"/>
      <w:bookmarkEnd w:id="541"/>
      <w:r>
        <w:rPr>
          <w:rtl w:val="true"/>
        </w:rPr>
        <w:t>الأوضاع السیاسیة و الثقافیة فی القرن الرابع</w:t>
      </w:r>
      <w:bookmarkEnd w:id="542"/>
    </w:p>
    <w:p>
      <w:pPr>
        <w:pStyle w:val="BookText"/>
        <w:rPr/>
      </w:pPr>
      <w:r>
        <w:rPr>
          <w:rFonts w:ascii="IRNazanin" w:hAnsi="IRNazanin" w:eastAsia="IRNazanin"/>
          <w:color w:val="111111"/>
          <w:sz w:val="28"/>
          <w:sz w:val="28"/>
          <w:szCs w:val="28"/>
          <w:rtl w:val="true"/>
          <w:lang w:bidi="fa-IR"/>
        </w:rPr>
        <w:t>تعتبر نهایة القرن الثالث وبدایة القرن الرابع مرحلة الفکر و النضوج والازدهار، و قد تمّ فیها الضبط و التثبیت وتصنیف العلوم الإسلامیة، وفی هذه المرحلة جمعت أحادیث وخُطب النبی صلّی الله علیه و آله و الأئمّة المعصومین علیهم السّلام، وکذا الصحابة، ودوّنت وبوّبت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جانب آخر فإنّ علماء تلک الفترة جرت بینهم منافسات ومناقشات واسعة فی علم الکلام ونزل إلی حلبة الصراع کلّ من المذاهب الکلامیة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الأشعری و المعتزلی و الماتریدی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واشتغلوا بالمناظرات و المجادلات، وبعضهم اعتبر نفسه منافساً للإمامیة، ولأجل هذه الظاهرة کتبت تفاسیر کثیرة بمیول وتوجّهات کلامیة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انجرّت هذه المنافسات بین العلماء فی ذلک العصر خصوصاً علی أرضیة التفسیر إلی تدوین الآثار الکثیرة و القیمة فی الوسط الشیعی، مثل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فرات الکوفی، والعیاشی و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یخصُّ علوم الإسلام، فقد أنجز کتابان قیمان من الکتب الأربعة الأوّل لثقة الإسلام الشیخ الکلینی</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جمع فیه الأحادیث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والثانی لرئیس المحدّثین الشیخ الصدوق</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جانب آخر فإنّ أهل السنّة أیضاً مارسوا جهدهم العلمی فی تألیف الکتب الرئیسة عندهم،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الصحاح الستّة فی نفس هذه المرحلة، وکذا تفسیر الطبری و الذی یعدّ أوسع عمل تفسیری فی مورده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هذه الإنجازات العلمیة و الثقافیة تحققت فی هذه المرحلة الزمنیة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ونحاول هنا تلخیص أهمّ العوامل الباعثة علی التقدم فی مجال العلوم الإسلامیة فی هذه المرحلة الزمنیة، وهی عبارة عن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الصراعات السیاسیة والاجتماعیة انخفظت نسبتها فی هذا العصر إلی حدٍّ 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نفوذ التشیع إلی کلّ نقاط العالم الإسلامی، و أنّ الکثیر من حکّام الشیعة فی ذلک کانوا علی صلة عمیقة بالعلم، ما عدا ناحیةً فی الشرق هی حکومة الخوارزمیین، وجود حکومة الفاطمیین و فی شمال أفریقیا وکانت تشتمل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و تونس و مراکش وحتّی قسم من سوریا ولبنان و الیمن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وحکومة الحمدانیین فی شمال ما بین النهرین وحلب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وحکومة الدیالمة و البویهیین فی العراق وفارس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وعلی الخصوص عندما دخل معزّ الدولة الدیلمی</w:t>
      </w:r>
      <w:r>
        <w:rPr>
          <w:rFonts w:eastAsia="IRNazanin" w:cs="IRNazanin"/>
          <w:color w:val="111111"/>
          <w:sz w:val="28"/>
          <w:szCs w:val="28"/>
          <w:rtl w:val="true"/>
          <w:lang w:bidi="fa-IR"/>
        </w:rPr>
        <w:t>(</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بغداد، وأنهی حکومة الأتراک، صارت الحکومات إلی جانب أهل‌البیت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نوعاً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إلی جانب حبّ العلم و العلماء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هذا العصر تأسّست المکتبات و المراکز العلمیة، فالفاطمیون قاموا بتأسیس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الأزهر فی مصر، وفی طرابلس أسّسوا مرکزاً 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العلم، ومع وصول البویهیین و الدیالمة إلی استلام الأمور، والذین کانوا علی مذهب أهل‌البیت علیهم السّلام، وحفظوا للخلفاء احترامهم حوّلوا المدن الکبیرة،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نیسابور وبخارا و شیراز، أصفهان و همدان و طبرستان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واحدة منها إلی مراکز علمیة وحواضر ثقافیة تستقطب العلماء و المتعلمین فی العلوم و الآداب، ومضافاً إلی ذلک فقد ساعد فی التقدّم والازدهار وجود علماء وأدباء لامعین،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الرازی</w:t>
      </w:r>
      <w:r>
        <w:rPr>
          <w:rFonts w:eastAsia="IRNazanin" w:cs="IRNazanin"/>
          <w:color w:val="111111"/>
          <w:sz w:val="28"/>
          <w:szCs w:val="28"/>
          <w:rtl w:val="true"/>
          <w:lang w:bidi="fa-IR"/>
        </w:rPr>
        <w:t>(</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أبو فراس الحَمدانی</w:t>
      </w:r>
      <w:r>
        <w:rPr>
          <w:rFonts w:eastAsia="IRNazanin" w:cs="IRNazanin"/>
          <w:color w:val="111111"/>
          <w:sz w:val="28"/>
          <w:szCs w:val="28"/>
          <w:rtl w:val="true"/>
          <w:lang w:bidi="fa-IR"/>
        </w:rPr>
        <w:t>(</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والصاحب بن عبّاد</w:t>
      </w:r>
      <w:r>
        <w:rPr>
          <w:rFonts w:eastAsia="IRNazanin" w:cs="IRNazanin"/>
          <w:color w:val="111111"/>
          <w:sz w:val="28"/>
          <w:szCs w:val="28"/>
          <w:rtl w:val="true"/>
          <w:lang w:bidi="fa-IR"/>
        </w:rPr>
        <w:t>(</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وأبو الفرج الأصفهانی</w:t>
      </w:r>
      <w:r>
        <w:rPr>
          <w:rFonts w:eastAsia="IRNazanin" w:cs="IRNazanin"/>
          <w:color w:val="111111"/>
          <w:sz w:val="28"/>
          <w:szCs w:val="28"/>
          <w:rtl w:val="true"/>
          <w:lang w:bidi="fa-IR"/>
        </w:rPr>
        <w:t>(</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 من الشخصیات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وتزامناً مع تأسیس المراکز العلمیة تطوّرت وسائل العلم،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تطوّر صناعة الورق بشکل ملحوظ، وهکذا تطوّر الخط وتذهیب الکتابة ممّا ساعد علی دقّة ضبط العلوم</w:t>
      </w:r>
      <w:r>
        <w:rPr>
          <w:rFonts w:eastAsia="IRNazanin" w:cs="IRNazanin"/>
          <w:color w:val="111111"/>
          <w:sz w:val="28"/>
          <w:szCs w:val="28"/>
          <w:rtl w:val="true"/>
          <w:lang w:bidi="fa-IR"/>
        </w:rPr>
        <w:t>.</w:t>
      </w:r>
      <w:bookmarkStart w:id="543" w:name="pg5285_67401"/>
    </w:p>
    <w:p>
      <w:pPr>
        <w:pStyle w:val="BookText"/>
        <w:rPr/>
      </w:pPr>
      <w:bookmarkEnd w:id="543"/>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اتّساع رقعة علم الکلام بسبب کثرت الاختلافات وازدیاد الإعلام المضادّ بین المذاهب الکلامیة المختلفة، ومن جملتها المدارس الأشعریة و المعتزلة و الماتریدیة، و هذه الاختلافات حفّزت المسلمین علی المواجهات فیما بینهم</w:t>
      </w:r>
      <w:r>
        <w:rPr>
          <w:rFonts w:eastAsia="IRNazanin" w:cs="IRNazanin"/>
          <w:color w:val="111111"/>
          <w:sz w:val="28"/>
          <w:szCs w:val="28"/>
          <w:rtl w:val="true"/>
          <w:lang w:bidi="fa-IR"/>
        </w:rPr>
        <w:t>.</w:t>
      </w:r>
    </w:p>
    <w:p>
      <w:pPr>
        <w:pStyle w:val="Heading3"/>
        <w:numPr>
          <w:ilvl w:val="2"/>
          <w:numId w:val="1"/>
        </w:numPr>
        <w:rPr/>
      </w:pPr>
      <w:bookmarkStart w:id="544" w:name="__RefHeading___Toc634229_581953129"/>
      <w:bookmarkStart w:id="545" w:name="_Toc210"/>
      <w:bookmarkEnd w:id="544"/>
      <w:r>
        <w:rPr>
          <w:rtl w:val="true"/>
        </w:rPr>
        <w:t>التفسیر فی القرن الرابع</w:t>
      </w:r>
      <w:bookmarkEnd w:id="545"/>
    </w:p>
    <w:p>
      <w:pPr>
        <w:pStyle w:val="Heading3"/>
        <w:numPr>
          <w:ilvl w:val="2"/>
          <w:numId w:val="1"/>
        </w:numPr>
        <w:rPr/>
      </w:pPr>
      <w:bookmarkStart w:id="546" w:name="__RefHeading___Toc634231_581953129"/>
      <w:bookmarkStart w:id="547" w:name="_Toc211"/>
      <w:bookmarkEnd w:id="546"/>
      <w:r>
        <w:rPr>
          <w:rtl w:val="true"/>
        </w:rPr>
        <w:t>تثبیت المنهج الروائی</w:t>
      </w:r>
      <w:bookmarkEnd w:id="547"/>
    </w:p>
    <w:p>
      <w:pPr>
        <w:pStyle w:val="BookText"/>
        <w:rPr/>
      </w:pPr>
      <w:r>
        <w:rPr>
          <w:rFonts w:ascii="IRNazanin" w:hAnsi="IRNazanin" w:eastAsia="IRNazanin"/>
          <w:color w:val="111111"/>
          <w:sz w:val="28"/>
          <w:sz w:val="28"/>
          <w:szCs w:val="28"/>
          <w:rtl w:val="true"/>
          <w:lang w:bidi="fa-IR"/>
        </w:rPr>
        <w:t>أفرزت المساعی العلمیة الحثیثة المختلفة و التحرّکات و النشاطات المتنوّعة فی القرن الثالث آثاراً مختلفة فی المحیط الدینی خصوصاً فی التفسیر فی هذا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آل الأمر إلی تثبیت المنهج الصحیح و المعتبر فی التفسیر، وذلک فی أواخر القرن الثالث وأوائل القرن الرابع،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المنهج الروائی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فالاهتمام بالأخبار و الروایات من جهة، وتوسّع الأفکار وما طرحه أهل‌البیت علیهم السّلام من جهة أخری، رسم للعلماء مساراً خاصّاً فی هذا العصر فی تبویب وتنظیم الروایات الواصلة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ألّفت تفاسیر روائیة عند الشیعة و السنّة وبصورة مستقلّة، ففی الوسط الشیعی کتب تفسیر القمّی وتفسیر فرات الکوفی، وتفسیر العیاشی وتفسیر النعمانی؛ وفی الوسط السُنی ألّف الطبری تفسیره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البیان</w:t>
      </w:r>
      <w:r>
        <w:rPr>
          <w:rFonts w:eastAsia="IRNazanin" w:cs="IRNazanin"/>
          <w:color w:val="111111"/>
          <w:sz w:val="28"/>
          <w:szCs w:val="28"/>
          <w:rtl w:val="true"/>
          <w:lang w:bidi="fa-IR"/>
        </w:rPr>
        <w:t>.</w:t>
      </w:r>
    </w:p>
    <w:p>
      <w:pPr>
        <w:pStyle w:val="Heading3"/>
        <w:numPr>
          <w:ilvl w:val="2"/>
          <w:numId w:val="1"/>
        </w:numPr>
        <w:rPr/>
      </w:pPr>
      <w:bookmarkStart w:id="548" w:name="__RefHeading___Toc634233_581953129"/>
      <w:bookmarkStart w:id="549" w:name="_Toc212"/>
      <w:bookmarkEnd w:id="548"/>
      <w:r>
        <w:rPr>
          <w:rtl w:val="true"/>
        </w:rPr>
        <w:t>التفاسیر الروائیة عند الشیعة</w:t>
      </w:r>
      <w:bookmarkEnd w:id="549"/>
    </w:p>
    <w:p>
      <w:pPr>
        <w:pStyle w:val="Heading4"/>
        <w:numPr>
          <w:ilvl w:val="3"/>
          <w:numId w:val="1"/>
        </w:numPr>
        <w:rPr/>
      </w:pPr>
      <w:bookmarkStart w:id="550" w:name="__RefHeading___Toc634235_581953129"/>
      <w:bookmarkStart w:id="551" w:name="_Toc213"/>
      <w:bookmarkEnd w:id="550"/>
      <w:r>
        <w:rPr/>
        <w:t>1</w:t>
      </w:r>
      <w:r>
        <w:rPr>
          <w:rtl w:val="true"/>
        </w:rPr>
        <w:t xml:space="preserve">. </w:t>
      </w:r>
      <w:r>
        <w:rPr>
          <w:rtl w:val="true"/>
        </w:rPr>
        <w:t>تفسیر القمّی</w:t>
      </w:r>
      <w:r>
        <w:rPr>
          <w:rtl w:val="true"/>
        </w:rPr>
        <w:t>:</w:t>
      </w:r>
      <w:bookmarkEnd w:id="551"/>
    </w:p>
    <w:p>
      <w:pPr>
        <w:pStyle w:val="Heading5"/>
        <w:numPr>
          <w:ilvl w:val="4"/>
          <w:numId w:val="1"/>
        </w:numPr>
        <w:rPr/>
      </w:pPr>
      <w:bookmarkStart w:id="552" w:name="__RefHeading___Toc634237_581953129"/>
      <w:bookmarkStart w:id="553" w:name="_Toc214"/>
      <w:bookmarkEnd w:id="552"/>
      <w:r>
        <w:rPr>
          <w:rtl w:val="true"/>
        </w:rPr>
        <w:t>اشارة</w:t>
      </w:r>
      <w:bookmarkEnd w:id="553"/>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حیاً إلی سنة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نقلی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إبراهیم القمّی أحد مشایخ ثقة الإسلام الکلینی</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معاصری الإمام الحسن العسکری علیه السّلام، </w:t>
      </w:r>
      <w:r>
        <w:rPr>
          <w:rStyle w:val="FootnoteAnchor"/>
          <w:rtl w:val="true"/>
        </w:rPr>
        <w:footnoteReference w:id="602"/>
      </w:r>
      <w:r>
        <w:rPr>
          <w:rFonts w:ascii="IRNazanin" w:hAnsi="IRNazanin" w:eastAsia="IRNazanin"/>
          <w:color w:val="111111"/>
          <w:sz w:val="28"/>
          <w:sz w:val="28"/>
          <w:szCs w:val="28"/>
          <w:rtl w:val="true"/>
          <w:lang w:bidi="fa-IR"/>
        </w:rPr>
        <w:t>وکان أوّل من روّج أحادیث الکوفیین فی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النجاشی المتوفّی سنة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بن هاشم، أبو الحسن القمّی، ثقة فی الحدیث ثبت معتمد، صحیح المذهب؛ سمع فأکثر، صَنَّفَ کُتباً؛ أَضَرَ فی وسط عمره</w:t>
      </w:r>
      <w:r>
        <w:rPr>
          <w:rFonts w:eastAsia="IRNazanin" w:cs="IRNazanin"/>
          <w:color w:val="111111"/>
          <w:sz w:val="28"/>
          <w:szCs w:val="28"/>
          <w:rtl w:val="true"/>
          <w:lang w:bidi="fa-IR"/>
        </w:rPr>
        <w:t xml:space="preserve">. </w:t>
      </w:r>
      <w:r>
        <w:rPr>
          <w:rStyle w:val="FootnoteAnchor"/>
          <w:rtl w:val="true"/>
        </w:rPr>
        <w:footnoteReference w:id="603"/>
      </w:r>
      <w:r>
        <w:rPr>
          <w:rFonts w:ascii="IRNazanin" w:hAnsi="IRNazanin" w:eastAsia="IRNazanin"/>
          <w:color w:val="111111"/>
          <w:sz w:val="28"/>
          <w:sz w:val="28"/>
          <w:szCs w:val="28"/>
          <w:rtl w:val="true"/>
          <w:lang w:bidi="fa-IR"/>
        </w:rPr>
        <w:t xml:space="preserve">ولا شکّ فی أنّه کان لعلی بن إبراهیم تفسیراً، و قد اتّفق الشیعة علی توثیقه من غیر کلام، هذا، و قد أخبر عن تفسیره شیخ الطائفة الطوسی، </w:t>
      </w:r>
      <w:r>
        <w:rPr>
          <w:rStyle w:val="FootnoteAnchor"/>
          <w:rtl w:val="true"/>
        </w:rPr>
        <w:footnoteReference w:id="604"/>
      </w:r>
      <w:r>
        <w:rPr>
          <w:rFonts w:ascii="IRNazanin" w:hAnsi="IRNazanin" w:eastAsia="IRNazanin"/>
          <w:color w:val="111111"/>
          <w:sz w:val="28"/>
          <w:sz w:val="28"/>
          <w:szCs w:val="28"/>
          <w:rtl w:val="true"/>
          <w:lang w:bidi="fa-IR"/>
        </w:rPr>
        <w:t xml:space="preserve">والنجاشی </w:t>
      </w:r>
      <w:r>
        <w:rPr>
          <w:rStyle w:val="FootnoteAnchor"/>
          <w:rtl w:val="true"/>
        </w:rPr>
        <w:footnoteReference w:id="605"/>
      </w:r>
      <w:r>
        <w:rPr>
          <w:rFonts w:ascii="IRNazanin" w:hAnsi="IRNazanin" w:eastAsia="IRNazanin"/>
          <w:color w:val="111111"/>
          <w:sz w:val="28"/>
          <w:sz w:val="28"/>
          <w:szCs w:val="28"/>
          <w:rtl w:val="true"/>
          <w:lang w:bidi="fa-IR"/>
        </w:rPr>
        <w:t xml:space="preserve">وابن الندیم، </w:t>
      </w:r>
      <w:r>
        <w:rPr>
          <w:rStyle w:val="FootnoteAnchor"/>
          <w:rtl w:val="true"/>
        </w:rPr>
        <w:footnoteReference w:id="606"/>
      </w:r>
      <w:r>
        <w:rPr>
          <w:rFonts w:ascii="IRNazanin" w:hAnsi="IRNazanin" w:eastAsia="IRNazanin"/>
          <w:color w:val="111111"/>
          <w:sz w:val="28"/>
          <w:sz w:val="28"/>
          <w:szCs w:val="28"/>
          <w:rtl w:val="true"/>
          <w:lang w:bidi="fa-IR"/>
        </w:rPr>
        <w:t xml:space="preserve">وفی القرون المتأخّرة السید حسن الصدر </w:t>
      </w:r>
      <w:r>
        <w:rPr>
          <w:rStyle w:val="FootnoteAnchor"/>
          <w:rtl w:val="true"/>
        </w:rPr>
        <w:footnoteReference w:id="607"/>
      </w:r>
      <w:r>
        <w:rPr>
          <w:rFonts w:ascii="IRNazanin" w:hAnsi="IRNazanin" w:eastAsia="IRNazanin"/>
          <w:color w:val="111111"/>
          <w:sz w:val="28"/>
          <w:sz w:val="28"/>
          <w:szCs w:val="28"/>
          <w:rtl w:val="true"/>
          <w:lang w:bidi="fa-IR"/>
        </w:rPr>
        <w:t xml:space="preserve">،وصاحب وسائل الشیعة </w:t>
      </w:r>
      <w:r>
        <w:rPr>
          <w:rStyle w:val="FootnoteAnchor"/>
          <w:rtl w:val="true"/>
        </w:rPr>
        <w:footnoteReference w:id="608"/>
      </w:r>
      <w:r>
        <w:rPr>
          <w:rFonts w:ascii="IRNazanin" w:hAnsi="IRNazanin" w:eastAsia="IRNazanin"/>
          <w:color w:val="111111"/>
          <w:sz w:val="28"/>
          <w:sz w:val="28"/>
          <w:szCs w:val="28"/>
          <w:rtl w:val="true"/>
          <w:lang w:bidi="fa-IR"/>
        </w:rPr>
        <w:t xml:space="preserve">وصاحب روضات الجنّات، </w:t>
      </w:r>
      <w:r>
        <w:rPr>
          <w:rStyle w:val="FootnoteAnchor"/>
          <w:rtl w:val="true"/>
        </w:rPr>
        <w:footnoteReference w:id="609"/>
      </w:r>
      <w:r>
        <w:rPr>
          <w:rFonts w:ascii="IRNazanin" w:hAnsi="IRNazanin" w:eastAsia="IRNazanin"/>
          <w:color w:val="111111"/>
          <w:sz w:val="28"/>
          <w:sz w:val="28"/>
          <w:szCs w:val="28"/>
          <w:rtl w:val="true"/>
          <w:lang w:bidi="fa-IR"/>
        </w:rPr>
        <w:t xml:space="preserve">وصاحب الذریعة، </w:t>
      </w:r>
      <w:r>
        <w:rPr>
          <w:rStyle w:val="FootnoteAnchor"/>
          <w:rtl w:val="true"/>
        </w:rPr>
        <w:footnoteReference w:id="610"/>
      </w:r>
      <w:r>
        <w:rPr>
          <w:rFonts w:ascii="IRNazanin" w:hAnsi="IRNazanin" w:eastAsia="IRNazanin"/>
          <w:color w:val="111111"/>
          <w:sz w:val="28"/>
          <w:sz w:val="28"/>
          <w:szCs w:val="28"/>
          <w:rtl w:val="true"/>
          <w:lang w:bidi="fa-IR"/>
        </w:rPr>
        <w:t>والکثیر من علماء الرجال وکُتّاب الفهارس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العلاّمة الطبرسی فقد نقل فی مجمع البیان عنه أموراً، وکذلک نقل عنه تفسیر الصافی، والبرهان، ونور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والتفسیر موجود الآن باسم تفسیر القمّی، و هو من مجلّدین اثنین، و هو إلی آخر القرآن</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الواقع فإنّ هذا التفسیر هو مکوّن من تفسیرین</w:t>
      </w:r>
      <w:r>
        <w:rPr>
          <w:rFonts w:eastAsia="IRNazanin" w:cs="IRNazanin"/>
          <w:color w:val="111111"/>
          <w:sz w:val="28"/>
          <w:szCs w:val="28"/>
          <w:rtl w:val="true"/>
          <w:lang w:bidi="fa-IR"/>
        </w:rPr>
        <w:t>:</w:t>
      </w:r>
      <w:bookmarkStart w:id="554" w:name="pg5285_67405"/>
    </w:p>
    <w:p>
      <w:pPr>
        <w:pStyle w:val="BookText"/>
        <w:rPr/>
      </w:pPr>
      <w:bookmarkEnd w:id="554"/>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 من هذا التفسیر یعود إلی علی بن إبراهیم، و هو یشکّل القسم الأکبر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القسم الآخر مأخوذ من تفسیر أبی الجارود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آغا بزرک حول شخصیة أبی الجارود وتفسیره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أبی الجارود، اسمه زیاد بن منذر المتوفّی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Style w:val="FootnoteAnchor"/>
          <w:rtl w:val="true"/>
        </w:rPr>
        <w:footnoteReference w:id="611"/>
      </w:r>
      <w:r>
        <w:rPr>
          <w:rFonts w:ascii="IRNazanin" w:hAnsi="IRNazanin" w:eastAsia="IRNazanin"/>
          <w:color w:val="111111"/>
          <w:sz w:val="28"/>
          <w:sz w:val="28"/>
          <w:szCs w:val="28"/>
          <w:rtl w:val="true"/>
          <w:lang w:bidi="fa-IR"/>
        </w:rPr>
        <w:t xml:space="preserve">کان أعمی من حین ولادته؛ تنسب إلیه الزیدیة </w:t>
      </w:r>
      <w:r>
        <w:rPr>
          <w:rStyle w:val="FootnoteAnchor"/>
          <w:rtl w:val="true"/>
        </w:rPr>
        <w:footnoteReference w:id="612"/>
      </w:r>
      <w:r>
        <w:rPr>
          <w:rFonts w:ascii="IRNazanin" w:hAnsi="IRNazanin" w:eastAsia="IRNazanin"/>
          <w:color w:val="111111"/>
          <w:sz w:val="28"/>
          <w:sz w:val="28"/>
          <w:szCs w:val="28"/>
          <w:rtl w:val="true"/>
          <w:lang w:bidi="fa-IR"/>
        </w:rPr>
        <w:t xml:space="preserve">الجارودیة، </w:t>
      </w:r>
      <w:r>
        <w:rPr>
          <w:rStyle w:val="FootnoteAnchor"/>
          <w:rtl w:val="true"/>
        </w:rPr>
        <w:footnoteReference w:id="613"/>
      </w:r>
      <w:r>
        <w:rPr>
          <w:rFonts w:ascii="IRNazanin" w:hAnsi="IRNazanin" w:eastAsia="IRNazanin"/>
          <w:color w:val="111111"/>
          <w:sz w:val="28"/>
          <w:sz w:val="28"/>
          <w:szCs w:val="28"/>
          <w:rtl w:val="true"/>
          <w:lang w:bidi="fa-IR"/>
        </w:rPr>
        <w:t>وکان من أصحاب الأئمّة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ومحمّد بن علی، وجعفر بن محمد علیهم السّلام، ولکن یروی تفسیره عن خصوص الباقر علیه السّلام أیام استقامته، </w:t>
      </w:r>
      <w:r>
        <w:rPr>
          <w:rStyle w:val="FootnoteAnchor"/>
          <w:rtl w:val="true"/>
        </w:rPr>
        <w:footnoteReference w:id="614"/>
      </w:r>
      <w:r>
        <w:rPr>
          <w:rFonts w:ascii="IRNazanin" w:hAnsi="IRNazanin" w:eastAsia="IRNazanin"/>
          <w:color w:val="111111"/>
          <w:sz w:val="28"/>
          <w:sz w:val="28"/>
          <w:szCs w:val="28"/>
          <w:rtl w:val="true"/>
          <w:lang w:bidi="fa-IR"/>
        </w:rPr>
        <w:t>وکأنّه کان یکتبه عن إملائه علیه السّلام؛ ولذا نسبه ابن الندیم إلی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أوّل تفسیر ذکره فی الصفحة ال</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تسمیته کتب التفاسیر</w:t>
      </w:r>
      <w:r>
        <w:rPr>
          <w:rFonts w:eastAsia="IRNazanin" w:cs="IRNazanin"/>
          <w:color w:val="111111"/>
          <w:sz w:val="28"/>
          <w:szCs w:val="28"/>
          <w:rtl w:val="true"/>
          <w:lang w:bidi="fa-IR"/>
        </w:rPr>
        <w:t xml:space="preserve">. </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یعتقد البعض أنّ اعتبار تفسیر أبی الجارود و روایاته لیس بأقلّ من اعتبار تفسیر علی بن إبراهیم، لانّه نقل الروایات عن الباقر علیه السّلام فی ایام استقامته وقبل انحراف عقیدته، ولکنّ البعض الآخر یعتقد أنّ لکلّ منهما حسابه الخاصّ به،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التفسیر مرکّب، و روایات الی الجارود ضعیفه، و أنّ أبا الجارود کان منحرفاً، ولا یمکن قیاسه بعلی بن إبراهیم الذی کان ثقة بارعاً مقبول الروایة</w:t>
      </w:r>
      <w:r>
        <w:rPr>
          <w:rFonts w:eastAsia="IRNazanin" w:cs="IRNazanin"/>
          <w:color w:val="111111"/>
          <w:sz w:val="28"/>
          <w:szCs w:val="28"/>
          <w:rtl w:val="true"/>
          <w:lang w:bidi="fa-IR"/>
        </w:rPr>
        <w:t>.</w:t>
      </w:r>
    </w:p>
    <w:p>
      <w:pPr>
        <w:pStyle w:val="Heading5"/>
        <w:numPr>
          <w:ilvl w:val="4"/>
          <w:numId w:val="1"/>
        </w:numPr>
        <w:rPr/>
      </w:pPr>
      <w:bookmarkStart w:id="555" w:name="__RefHeading___Toc634239_581953129"/>
      <w:bookmarkStart w:id="556" w:name="_Toc215"/>
      <w:bookmarkEnd w:id="555"/>
      <w:r>
        <w:rPr>
          <w:rtl w:val="true"/>
        </w:rPr>
        <w:t>مستویات القوّة و الضعف</w:t>
      </w:r>
      <w:bookmarkEnd w:id="556"/>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لهذا التفسیر امتیازات کثیرة، من 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أقرب تفسیر روائی مدوّن من عصر النزول، فهو ذخیرة ذات قیمة ثمینة من أقول أهل‌البیت علیهم السّلام، فالکثیر من الروایات</w:t>
      </w:r>
      <w:bookmarkStart w:id="557" w:name="pg5285_67407"/>
    </w:p>
    <w:p>
      <w:pPr>
        <w:pStyle w:val="BookText"/>
        <w:rPr/>
      </w:pPr>
      <w:bookmarkEnd w:id="557"/>
      <w:r>
        <w:rPr>
          <w:rFonts w:ascii="IRNazanin" w:hAnsi="IRNazanin" w:eastAsia="IRNazanin"/>
          <w:color w:val="111111"/>
          <w:sz w:val="28"/>
          <w:sz w:val="28"/>
          <w:szCs w:val="28"/>
          <w:rtl w:val="true"/>
          <w:lang w:bidi="fa-IR"/>
        </w:rPr>
        <w:t>تدافع عن أهل‌البیت علیهم السّلام وتطبقها علیهم وبعضها تتمتّع بإسناد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هذه الامتیازات ونقاط القوّة فإنّ هناک نقطتا ضعف لهما أهمیتهما، وهما عبارة عن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بعض الروایات لا سند لها أو أنّ سندها ضعیف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هناک روایات تقوّی شبهة التحریف، مع أنّ هذه الملاحظة أجیب علیها، ومن جملتها أنّ المقصود هو التحریف المعنوی</w:t>
      </w:r>
      <w:r>
        <w:rPr>
          <w:rFonts w:eastAsia="IRNazanin" w:cs="IRNazanin"/>
          <w:color w:val="111111"/>
          <w:sz w:val="28"/>
          <w:szCs w:val="28"/>
          <w:rtl w:val="true"/>
          <w:lang w:bidi="fa-IR"/>
        </w:rPr>
        <w:t xml:space="preserve">. </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وتُوجد ملاحظة أخری حول هذا التفسیر،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التفسیر الموجود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بمجلّدیه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 بن إبراهیم القمّی، أم لا؟</w:t>
      </w:r>
    </w:p>
    <w:p>
      <w:pPr>
        <w:pStyle w:val="BookText"/>
        <w:rPr/>
      </w:pPr>
      <w:r>
        <w:rPr>
          <w:rFonts w:ascii="IRNazanin" w:hAnsi="IRNazanin" w:eastAsia="IRNazanin"/>
          <w:color w:val="111111"/>
          <w:sz w:val="28"/>
          <w:sz w:val="28"/>
          <w:szCs w:val="28"/>
          <w:rtl w:val="true"/>
          <w:lang w:bidi="fa-IR"/>
        </w:rPr>
        <w:t>وعند التحقیق فی أقسام الروایات التی وردت فی هذا التفسیر، قد نوفّق للإجابة علی هذا السؤال</w:t>
      </w:r>
      <w:r>
        <w:rPr>
          <w:rFonts w:eastAsia="IRNazanin" w:cs="IRNazanin"/>
          <w:color w:val="111111"/>
          <w:sz w:val="28"/>
          <w:szCs w:val="28"/>
          <w:rtl w:val="true"/>
          <w:lang w:bidi="fa-IR"/>
        </w:rPr>
        <w:t>.</w:t>
      </w:r>
    </w:p>
    <w:p>
      <w:pPr>
        <w:pStyle w:val="Heading5"/>
        <w:numPr>
          <w:ilvl w:val="4"/>
          <w:numId w:val="1"/>
        </w:numPr>
        <w:rPr/>
      </w:pPr>
      <w:bookmarkStart w:id="558" w:name="__RefHeading___Toc634241_581953129"/>
      <w:bookmarkStart w:id="559" w:name="_Toc216"/>
      <w:bookmarkEnd w:id="558"/>
      <w:r>
        <w:rPr>
          <w:rtl w:val="true"/>
        </w:rPr>
        <w:t>أقسام روایات تفسیر القمّی</w:t>
      </w:r>
      <w:bookmarkEnd w:id="559"/>
    </w:p>
    <w:p>
      <w:pPr>
        <w:pStyle w:val="Heading6"/>
        <w:numPr>
          <w:ilvl w:val="5"/>
          <w:numId w:val="1"/>
        </w:numPr>
        <w:rPr/>
      </w:pPr>
      <w:bookmarkStart w:id="560" w:name="__RefHeading___Toc634243_581953129"/>
      <w:bookmarkStart w:id="561" w:name="_Toc217"/>
      <w:bookmarkEnd w:id="560"/>
      <w:r>
        <w:rPr>
          <w:rtl w:val="true"/>
        </w:rPr>
        <w:t>اشارة</w:t>
      </w:r>
      <w:bookmarkEnd w:id="561"/>
    </w:p>
    <w:p>
      <w:pPr>
        <w:pStyle w:val="BookText"/>
        <w:rPr/>
      </w:pPr>
      <w:r>
        <w:rPr>
          <w:rFonts w:ascii="IRNazanin" w:hAnsi="IRNazanin" w:eastAsia="IRNazanin"/>
          <w:color w:val="111111"/>
          <w:sz w:val="28"/>
          <w:sz w:val="28"/>
          <w:szCs w:val="28"/>
          <w:rtl w:val="true"/>
          <w:lang w:bidi="fa-IR"/>
        </w:rPr>
        <w:t>نُواجه فی هذا التفسیر نماذج مختلفة من الروایات، ففی بعض الحالات نحن لا نعلم هل أنّ تفسیر هذه الآیة هو لعلی بن إبراهیم، نفسه أم هو من الإمام المعصوم علیهم السّلام أم من غیره؟ وهنا نعرض أربعة نماذج لهذه الروایات علی النحو المقبل</w:t>
      </w:r>
      <w:r>
        <w:rPr>
          <w:rFonts w:eastAsia="IRNazanin" w:cs="IRNazanin"/>
          <w:color w:val="111111"/>
          <w:sz w:val="28"/>
          <w:szCs w:val="28"/>
          <w:rtl w:val="true"/>
          <w:lang w:bidi="fa-IR"/>
        </w:rPr>
        <w:t>.</w:t>
      </w:r>
    </w:p>
    <w:p>
      <w:pPr>
        <w:pStyle w:val="Heading6"/>
        <w:numPr>
          <w:ilvl w:val="5"/>
          <w:numId w:val="1"/>
        </w:numPr>
        <w:rPr/>
      </w:pPr>
      <w:bookmarkStart w:id="562" w:name="__RefHeading___Toc634245_581953129"/>
      <w:bookmarkStart w:id="563" w:name="_Toc218"/>
      <w:bookmarkEnd w:id="562"/>
      <w:r>
        <w:rPr>
          <w:rtl w:val="true"/>
        </w:rPr>
        <w:t>أ</w:t>
      </w:r>
      <w:r>
        <w:rPr>
          <w:rtl w:val="true"/>
        </w:rPr>
        <w:t xml:space="preserve">) </w:t>
      </w:r>
      <w:r>
        <w:rPr>
          <w:rtl w:val="true"/>
        </w:rPr>
        <w:t>قول علی بن إبراهیم</w:t>
      </w:r>
      <w:bookmarkEnd w:id="563"/>
    </w:p>
    <w:p>
      <w:pPr>
        <w:pStyle w:val="BookText"/>
        <w:rPr/>
      </w:pPr>
      <w:r>
        <w:rPr>
          <w:rFonts w:ascii="Amiri" w:hAnsi="Amiri" w:eastAsia="Amiri" w:cs="Amiri"/>
          <w:color w:val="111111"/>
          <w:sz w:val="28"/>
          <w:sz w:val="28"/>
          <w:szCs w:val="28"/>
          <w:rtl w:val="true"/>
          <w:lang w:bidi="ar-SA"/>
        </w:rPr>
        <w:t>یأتی فی هذا التفسیر أحیاناً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إبراهیم، ومرّة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ومثالاً علی ذلک جاء فی تفسیر سورة فاطر هکذا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علی بن إبراهیم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تَدْعُونَ مِنْ دُونِهِ ما یَمْلِکُونَ مِنْ قِطْمِیرٍ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1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الجلدة الرقیقة التی علی ظهر النواة</w:t>
      </w:r>
      <w:r>
        <w:rPr>
          <w:rFonts w:eastAsia="IRNazanin" w:cs="IRNazanin"/>
          <w:color w:val="111111"/>
          <w:sz w:val="28"/>
          <w:szCs w:val="28"/>
          <w:rtl w:val="true"/>
          <w:lang w:bidi="fa-IR"/>
        </w:rPr>
        <w:t xml:space="preserve">. </w:t>
      </w:r>
      <w:r>
        <w:rPr>
          <w:rStyle w:val="FootnoteAnchor"/>
          <w:rtl w:val="true"/>
        </w:rPr>
        <w:footnoteReference w:id="618"/>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وأحیانا 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الثانیة، ومثال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إبراهیم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تَحْسَبَنَّ الَّذِینَ یَفْرَحُونَ بِما أَتَوْا وَ یُحِبُّونَ أَنْ یُحْمَدُوا بِما لَمْ یَفْعَلُوا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19"/>
      </w:r>
      <w:r>
        <w:rPr>
          <w:rFonts w:ascii="IRNazanin" w:hAnsi="IRNazanin" w:eastAsia="IRNazanin"/>
          <w:color w:val="111111"/>
          <w:sz w:val="28"/>
          <w:sz w:val="28"/>
          <w:szCs w:val="28"/>
          <w:rtl w:val="true"/>
          <w:lang w:bidi="fa-IR"/>
        </w:rPr>
        <w:t>نزلت فی المنافقین، الذین یحبّون ان یحمدوا علی غیر فعل</w:t>
      </w:r>
      <w:r>
        <w:rPr>
          <w:rFonts w:eastAsia="IRNazanin" w:cs="IRNazanin"/>
          <w:color w:val="111111"/>
          <w:sz w:val="28"/>
          <w:szCs w:val="28"/>
          <w:rtl w:val="true"/>
          <w:lang w:bidi="fa-IR"/>
        </w:rPr>
        <w:t xml:space="preserve">. </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تراه ینقل السند أحیاناً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وأکثره عن و الده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یصل به إلی الإمام المعصوم علیهم السّلام،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أبی عن 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علیه السّلام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لَتَنْزِیلُ رَبِّ الْعالَمِینَ نَزَلَ بِهِ الرُّوحُ الْأَمِینُ عَلی قَلْبِکَ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2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نزلت لأمیر المؤمنین علیه السّلام یوم الغدیر</w:t>
      </w:r>
      <w:r>
        <w:rPr>
          <w:rFonts w:eastAsia="IRNazanin" w:cs="IRNazanin"/>
          <w:color w:val="111111"/>
          <w:sz w:val="28"/>
          <w:szCs w:val="28"/>
          <w:rtl w:val="true"/>
          <w:lang w:bidi="fa-IR"/>
        </w:rPr>
        <w:t xml:space="preserve">. </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وأحیاناً یقول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 وعلی سبیل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ففی أوّل سورة المؤمنون هکذا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خلق الله الجنّة،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تکلّمی،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 xml:space="preserve">) . </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أبی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الکثیر من الروایات التی نقلها هی عن أبی الجارود عن الإمام الباقر علیه السّلام فی تفسیر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فالقسم المهمّ من هذا التفسیر یقوم علی روایات أبی الجارود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جملتها ما جاء فی تفسیر سورة البینة، وفی روایة أبی الجارود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البینة محمّد رسول الله صلّی الله علیه و آله</w:t>
      </w:r>
      <w:r>
        <w:rPr>
          <w:rFonts w:eastAsia="IRNazanin" w:cs="IRNazanin"/>
          <w:color w:val="111111"/>
          <w:sz w:val="28"/>
          <w:szCs w:val="28"/>
          <w:rtl w:val="true"/>
          <w:lang w:bidi="fa-IR"/>
        </w:rPr>
        <w:t xml:space="preserve">. </w:t>
      </w:r>
      <w:r>
        <w:rPr>
          <w:rStyle w:val="FootnoteAnchor"/>
          <w:rtl w:val="true"/>
        </w:rPr>
        <w:footnoteReference w:id="624"/>
      </w:r>
      <w:r>
        <w:rPr>
          <w:rFonts w:ascii="IRNazanin" w:hAnsi="IRNazanin" w:eastAsia="IRNazanin"/>
          <w:color w:val="111111"/>
          <w:sz w:val="28"/>
          <w:sz w:val="28"/>
          <w:szCs w:val="28"/>
          <w:rtl w:val="true"/>
          <w:lang w:bidi="fa-IR"/>
        </w:rPr>
        <w:t xml:space="preserve">وفی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الرابعة و العشرون، جاء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أبی الجارود عن أبی جعفر علیه السّلام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ظَنَّ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625"/>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علم أنّا امتحناه</w:t>
      </w:r>
      <w:r>
        <w:rPr>
          <w:rFonts w:eastAsia="IRNazanin" w:cs="IRNazanin"/>
          <w:color w:val="111111"/>
          <w:sz w:val="28"/>
          <w:szCs w:val="28"/>
          <w:rtl w:val="true"/>
          <w:lang w:bidi="fa-IR"/>
        </w:rPr>
        <w:t>.</w:t>
      </w:r>
      <w:bookmarkStart w:id="564" w:name="pg5285_67412"/>
    </w:p>
    <w:p>
      <w:pPr>
        <w:pStyle w:val="BookText"/>
        <w:rPr/>
      </w:pPr>
      <w:bookmarkEnd w:id="564"/>
      <w:r>
        <w:rPr>
          <w:rFonts w:ascii="IRNazanin" w:hAnsi="IRNazanin" w:eastAsia="IRNazanin"/>
          <w:color w:val="111111"/>
          <w:sz w:val="28"/>
          <w:sz w:val="28"/>
          <w:szCs w:val="28"/>
          <w:rtl w:val="true"/>
          <w:lang w:bidi="fa-IR"/>
        </w:rPr>
        <w:t>وفی الحقیقة هو تفسیر باللغة، وظن تأتی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فمع وجود هذه الأقسام فی تفسیر القمّی یمکن القول یقیناً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هذا التفسیر هو من علی بن إبراهیم القمّی؛ و أمّا الأقسام الأخری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أبی الجارود أو الروایات التی ابتدأت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إبراهیم، والتی هی لیست منه، فإنّما هی إضافات من أشخاص آخرین قاموا بعده بإجراءات حول ترتیب التفسیر واستنساخه</w:t>
      </w:r>
      <w:r>
        <w:rPr>
          <w:rFonts w:eastAsia="IRNazanin" w:cs="IRNazanin"/>
          <w:color w:val="111111"/>
          <w:sz w:val="28"/>
          <w:szCs w:val="28"/>
          <w:rtl w:val="true"/>
          <w:lang w:bidi="fa-IR"/>
        </w:rPr>
        <w:t>.</w:t>
      </w:r>
    </w:p>
    <w:p>
      <w:pPr>
        <w:pStyle w:val="Heading6"/>
        <w:numPr>
          <w:ilvl w:val="5"/>
          <w:numId w:val="1"/>
        </w:numPr>
        <w:rPr/>
      </w:pPr>
      <w:bookmarkStart w:id="565" w:name="__RefHeading___Toc634247_581953129"/>
      <w:bookmarkStart w:id="566" w:name="_Toc219"/>
      <w:bookmarkEnd w:id="565"/>
      <w:r>
        <w:rPr>
          <w:rtl w:val="true"/>
        </w:rPr>
        <w:t>قیمة تفسیر القمّی</w:t>
      </w:r>
      <w:bookmarkEnd w:id="566"/>
    </w:p>
    <w:p>
      <w:pPr>
        <w:pStyle w:val="BookText"/>
        <w:rPr/>
      </w:pPr>
      <w:r>
        <w:rPr>
          <w:rFonts w:ascii="IRNazanin" w:hAnsi="IRNazanin" w:eastAsia="IRNazanin"/>
          <w:color w:val="111111"/>
          <w:sz w:val="28"/>
          <w:sz w:val="28"/>
          <w:szCs w:val="28"/>
          <w:rtl w:val="true"/>
          <w:lang w:bidi="fa-IR"/>
        </w:rPr>
        <w:t>ما هی قیمة واعتبار تفسیر القمّی وروایاته؟</w:t>
      </w:r>
    </w:p>
    <w:p>
      <w:pPr>
        <w:pStyle w:val="BookText"/>
        <w:rPr/>
      </w:pPr>
      <w:r>
        <w:rPr>
          <w:rFonts w:ascii="IRNazanin" w:hAnsi="IRNazanin" w:eastAsia="IRNazanin"/>
          <w:color w:val="111111"/>
          <w:sz w:val="28"/>
          <w:sz w:val="28"/>
          <w:szCs w:val="28"/>
          <w:rtl w:val="true"/>
          <w:lang w:bidi="fa-IR"/>
        </w:rPr>
        <w:t>بعد ملاحظة ما بیناه أعلاه 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جاء فی هذا التفسیر من أحادیث مسندة یمکن التحقیق فی سندها، وفی حالة الظفر بصحّة السند وعدم ضعف رواته، فإنّها تقبل؛ و أمّا إذا کان العکس من ذلک، فلا یمکن الاعتماد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إذا وُجدتْ روایات صحیحة، ودلائل أخری تُشکّل قرینة خارجیة علی صحّتها،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جاء فی نصوص روایات أخری، کالکافی یرویها بسند أکمل أو بنفس المحتوی، لکنّها بنقل معتبر آخر</w:t>
      </w:r>
      <w:r>
        <w:rPr>
          <w:rFonts w:eastAsia="IRNazanin" w:cs="IRNazanin"/>
          <w:color w:val="111111"/>
          <w:sz w:val="28"/>
          <w:szCs w:val="28"/>
          <w:rtl w:val="true"/>
          <w:lang w:bidi="fa-IR"/>
        </w:rPr>
        <w:t>.</w:t>
      </w:r>
    </w:p>
    <w:p>
      <w:pPr>
        <w:pStyle w:val="Heading4"/>
        <w:numPr>
          <w:ilvl w:val="3"/>
          <w:numId w:val="1"/>
        </w:numPr>
        <w:rPr/>
      </w:pPr>
      <w:bookmarkStart w:id="567" w:name="__RefHeading___Toc634249_581953129"/>
      <w:bookmarkStart w:id="568" w:name="_Toc220"/>
      <w:bookmarkEnd w:id="567"/>
      <w:r>
        <w:rPr/>
        <w:t>2</w:t>
      </w:r>
      <w:r>
        <w:rPr>
          <w:rtl w:val="true"/>
        </w:rPr>
        <w:t xml:space="preserve">. </w:t>
      </w:r>
      <w:r>
        <w:rPr>
          <w:rtl w:val="true"/>
        </w:rPr>
        <w:t>تفسیر فرات الکوفی</w:t>
      </w:r>
      <w:bookmarkEnd w:id="568"/>
    </w:p>
    <w:p>
      <w:pPr>
        <w:pStyle w:val="Heading5"/>
        <w:numPr>
          <w:ilvl w:val="4"/>
          <w:numId w:val="1"/>
        </w:numPr>
        <w:rPr/>
      </w:pPr>
      <w:bookmarkStart w:id="569" w:name="__RefHeading___Toc634251_581953129"/>
      <w:bookmarkStart w:id="570" w:name="_Toc221"/>
      <w:bookmarkEnd w:id="569"/>
      <w:r>
        <w:rPr>
          <w:rtl w:val="true"/>
        </w:rPr>
        <w:t>اشارة</w:t>
      </w:r>
      <w:bookmarkEnd w:id="570"/>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الشیخ أبوالقاسم، فُرات بن إبراهیم‌الکوفی، من محدّثی الغیبة الصغری البارزین، ومن معاصری الشیخ الکلینی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أواخر القرن الثالث و أوائل القرن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محض</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یحتوی هذا التفسیر علی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ویبدأ من سورة الحمد حتّی آخر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 نحو الانتقاء لحوالی خمسمائة و ثلاثین آیة، وإنّه سعی کثیراً للتعریف فی مکانة أهل‌البیت علیهم السّلام، وبیان مقامات أئمّة الشیعة وبشکل خاصّ مکانة الإمام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روایاته، فبشکل أساس وردت عن الإمام الباقر و الإمام الصادق، والبعض منها وردت ابن عبّاس وزید بن علی کما هی 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وجدیر بالذکر أنّ الحاکم الحَسَکَانی نقل فی شواهد التنزیل عن فُرات مقداراً کثیراً من الروایات </w:t>
      </w:r>
      <w:r>
        <w:rPr>
          <w:rStyle w:val="FootnoteAnchor"/>
          <w:rtl w:val="true"/>
        </w:rPr>
        <w:footnoteReference w:id="627"/>
      </w:r>
      <w:r>
        <w:rPr>
          <w:rFonts w:ascii="IRNazanin" w:hAnsi="IRNazanin" w:eastAsia="IRNazanin"/>
          <w:color w:val="111111"/>
          <w:sz w:val="28"/>
          <w:sz w:val="28"/>
          <w:szCs w:val="28"/>
          <w:rtl w:val="true"/>
          <w:lang w:bidi="fa-IR"/>
        </w:rPr>
        <w:t xml:space="preserve">وهکذا صاحب تفسیر القمّی و أمالی الصدوق وغیرهم، </w:t>
      </w:r>
      <w:r>
        <w:rPr>
          <w:rStyle w:val="FootnoteAnchor"/>
          <w:rtl w:val="true"/>
        </w:rPr>
        <w:footnoteReference w:id="628"/>
      </w:r>
      <w:r>
        <w:rPr>
          <w:rFonts w:ascii="IRNazanin" w:hAnsi="IRNazanin" w:eastAsia="IRNazanin"/>
          <w:color w:val="111111"/>
          <w:sz w:val="28"/>
          <w:sz w:val="28"/>
          <w:szCs w:val="28"/>
          <w:rtl w:val="true"/>
          <w:lang w:bidi="fa-IR"/>
        </w:rPr>
        <w:t>ونقل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إبراهیم عن فرات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فرات أحد مشایخ و الد الصدوق قدّس سره أو هو شیخ أحد مشیخة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وصف البعض فُرات ابن إبراهیم بأنّه زیدی المذهب؛ لأنّ روایاته التی نقلها عن زید بلغت ثلاثین روایة، وهکذا هو یمجد زیداً إلی حدّ الإفراط</w:t>
      </w:r>
      <w:r>
        <w:rPr>
          <w:rFonts w:eastAsia="IRNazanin" w:cs="IRNazanin"/>
          <w:color w:val="111111"/>
          <w:sz w:val="28"/>
          <w:szCs w:val="28"/>
          <w:rtl w:val="true"/>
          <w:lang w:bidi="fa-IR"/>
        </w:rPr>
        <w:t xml:space="preserve">. </w:t>
      </w:r>
      <w:r>
        <w:rPr>
          <w:rStyle w:val="FootnoteAnchor"/>
          <w:rtl w:val="true"/>
        </w:rPr>
        <w:footnoteReference w:id="629"/>
      </w:r>
      <w:r>
        <w:rPr>
          <w:rFonts w:ascii="IRNazanin" w:hAnsi="IRNazanin" w:eastAsia="IRNazanin"/>
          <w:color w:val="111111"/>
          <w:sz w:val="28"/>
          <w:sz w:val="28"/>
          <w:szCs w:val="28"/>
          <w:rtl w:val="true"/>
          <w:lang w:bidi="fa-IR"/>
        </w:rPr>
        <w:t xml:space="preserve">وما نقله فرات من شرط خروج الإمام بالسیف، إنّما نقله عن زید، </w:t>
      </w:r>
      <w:r>
        <w:rPr>
          <w:rStyle w:val="FootnoteAnchor"/>
          <w:rtl w:val="true"/>
        </w:rPr>
        <w:footnoteReference w:id="630"/>
      </w:r>
      <w:r>
        <w:rPr>
          <w:rFonts w:ascii="IRNazanin" w:hAnsi="IRNazanin" w:eastAsia="IRNazanin"/>
          <w:color w:val="111111"/>
          <w:sz w:val="28"/>
          <w:sz w:val="28"/>
          <w:szCs w:val="28"/>
          <w:rtl w:val="true"/>
          <w:lang w:bidi="fa-IR"/>
        </w:rPr>
        <w:t>غیر أنّ رئیس المحدّثین الشیخ الصدوق یؤکّد علی أنّه کان إمامیاً، ولکون أنّ فرات عاصر زمن نفوذ الزیدیة، فمن المحتمل اتّهموه بالزیدیة</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ومضافاً علی ذلک، فإنّه ذکر الإمام المهدی علیه السّلام فی خطبة کتابه، </w:t>
      </w:r>
      <w:r>
        <w:rPr>
          <w:rStyle w:val="FootnoteAnchor"/>
          <w:rtl w:val="true"/>
        </w:rPr>
        <w:footnoteReference w:id="631"/>
      </w:r>
      <w:r>
        <w:rPr>
          <w:rFonts w:ascii="IRNazanin" w:hAnsi="IRNazanin" w:eastAsia="IRNazanin"/>
          <w:color w:val="111111"/>
          <w:sz w:val="28"/>
          <w:sz w:val="28"/>
          <w:szCs w:val="28"/>
          <w:rtl w:val="true"/>
          <w:lang w:bidi="fa-IR"/>
        </w:rPr>
        <w:t>وکذلک فقد نقل فرات روایات لیلة معراج النبی صلّی الله علیه و آله، والتی جاء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 فی تلک اللیلة رأی أنوار کلّ الأئمّة علیهم السّلام حتّی المهدی عجّل الله تعالی فرجه الشریف</w:t>
      </w:r>
      <w:r>
        <w:rPr>
          <w:rFonts w:eastAsia="IRNazanin" w:cs="IRNazanin"/>
          <w:color w:val="111111"/>
          <w:sz w:val="28"/>
          <w:szCs w:val="28"/>
          <w:rtl w:val="true"/>
          <w:lang w:bidi="fa-IR"/>
        </w:rPr>
        <w:t xml:space="preserve">. </w:t>
      </w:r>
      <w:r>
        <w:rPr>
          <w:rStyle w:val="FootnoteAnchor"/>
          <w:rtl w:val="true"/>
        </w:rPr>
        <w:footnoteReference w:id="632"/>
      </w:r>
      <w:r>
        <w:rPr>
          <w:rFonts w:ascii="IRNazanin" w:hAnsi="IRNazanin" w:eastAsia="IRNazanin"/>
          <w:color w:val="111111"/>
          <w:sz w:val="28"/>
          <w:sz w:val="28"/>
          <w:szCs w:val="28"/>
          <w:rtl w:val="true"/>
          <w:lang w:bidi="fa-IR"/>
        </w:rPr>
        <w:t>وهکذا أورد الروایات التی تدلّ علی إمامة</w:t>
      </w:r>
    </w:p>
    <w:p>
      <w:pPr>
        <w:pStyle w:val="BookText"/>
        <w:rPr/>
      </w:pPr>
      <w:r>
        <w:rPr>
          <w:rFonts w:ascii="Amiri" w:hAnsi="Amiri" w:eastAsia="Amiri" w:cs="Amiri"/>
          <w:color w:val="111111"/>
          <w:sz w:val="28"/>
          <w:sz w:val="28"/>
          <w:szCs w:val="28"/>
          <w:rtl w:val="true"/>
          <w:lang w:bidi="ar-SA"/>
        </w:rPr>
        <w:t xml:space="preserve">الباقر و إمامة الصادق، </w:t>
      </w:r>
      <w:r>
        <w:rPr>
          <w:rStyle w:val="FootnoteAnchor"/>
          <w:rtl w:val="true"/>
        </w:rPr>
        <w:footnoteReference w:id="633"/>
      </w:r>
      <w:r>
        <w:rPr>
          <w:rFonts w:ascii="IRNazanin" w:hAnsi="IRNazanin" w:eastAsia="IRNazanin"/>
          <w:color w:val="111111"/>
          <w:sz w:val="28"/>
          <w:sz w:val="28"/>
          <w:szCs w:val="28"/>
          <w:rtl w:val="true"/>
          <w:lang w:bidi="fa-IR"/>
        </w:rPr>
        <w:t>کما أنّ الشیخ الصدوق نقل عن فرات روایة 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لرسول الله صلّی الله علیه و آله اثنا عشر وصیاً</w:t>
      </w:r>
      <w:r>
        <w:rPr>
          <w:rFonts w:eastAsia="IRNazanin" w:cs="IRNazanin"/>
          <w:color w:val="111111"/>
          <w:sz w:val="28"/>
          <w:szCs w:val="28"/>
          <w:rtl w:val="true"/>
          <w:lang w:bidi="fa-IR"/>
        </w:rPr>
        <w:t xml:space="preserve">». </w:t>
      </w:r>
      <w:r>
        <w:rPr>
          <w:rStyle w:val="FootnoteAnchor"/>
          <w:rtl w:val="true"/>
        </w:rPr>
        <w:footnoteReference w:id="634"/>
      </w:r>
      <w:r>
        <w:rPr>
          <w:rFonts w:ascii="Amiri" w:hAnsi="Amiri" w:eastAsia="Amiri" w:cs="Amiri"/>
          <w:color w:val="111111"/>
          <w:sz w:val="28"/>
          <w:sz w:val="28"/>
          <w:szCs w:val="28"/>
          <w:rtl w:val="true"/>
          <w:lang w:bidi="ar-SA"/>
        </w:rPr>
        <w:t>وکلّ هذه تُعدّ شواهد تنفی عنه کونه زیدیاً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وکذا قال صاحب روضات الجنّات عند تقییمه فراتاً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التفسیر یتضمّن ما یدلّ علی حسن اعتقاد مؤلّفه وجودة انتقاده، ووفور علمه وحسن حاله، ومضمونه موافق للکتب المعتمدة</w:t>
      </w:r>
      <w:r>
        <w:rPr>
          <w:rFonts w:eastAsia="IRNazanin" w:cs="IRNazanin"/>
          <w:color w:val="111111"/>
          <w:sz w:val="28"/>
          <w:szCs w:val="28"/>
          <w:rtl w:val="true"/>
          <w:lang w:bidi="fa-IR"/>
        </w:rPr>
        <w:t xml:space="preserve">. </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و قد نسب البعض فراتاً إلی الاتّجاه الصوفی، ومن جملة أولئک و الد 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نقل صاحب روضات الجنّات عن و الد العلاّمة المجلسی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منه أنّه کان متصوّفاً، ویمکن أن یکون صوفیاً</w:t>
      </w:r>
      <w:r>
        <w:rPr>
          <w:rFonts w:eastAsia="IRNazanin" w:cs="IRNazanin"/>
          <w:color w:val="111111"/>
          <w:sz w:val="28"/>
          <w:szCs w:val="28"/>
          <w:rtl w:val="true"/>
          <w:lang w:bidi="fa-IR"/>
        </w:rPr>
        <w:t xml:space="preserve">. </w:t>
      </w:r>
      <w:r>
        <w:rPr>
          <w:rStyle w:val="FootnoteAnchor"/>
          <w:rtl w:val="true"/>
        </w:rPr>
        <w:footnoteReference w:id="636"/>
      </w:r>
      <w:r>
        <w:rPr>
          <w:rFonts w:ascii="IRNazanin" w:hAnsi="IRNazanin" w:eastAsia="IRNazanin"/>
          <w:color w:val="111111"/>
          <w:sz w:val="28"/>
          <w:sz w:val="28"/>
          <w:szCs w:val="28"/>
          <w:rtl w:val="true"/>
          <w:lang w:bidi="fa-IR"/>
        </w:rPr>
        <w:t>و هذه النسبة الأخری هی غیر صحیحة أیضاً، وصاحب روضات الجنّات نفسه ردّ علیها،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مراده ارتباطه بالله، وفناؤه فی الله، وبقاؤه بالله، و هذا المعنی موجود فی الروایات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فإذا وُصّف بالصوفیة، فلیست صوفیته بالمعنی السلبی، ولکنّها بالمعنی التی جاءت بها الروایات الصحیحة، مثل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النوافل</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نقل فرات روایات کثیرة عن الإمامین الباقر و الصادق، کما وتعرّض لبعض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وثّقته شخصیات عظیمة، مثل العلاّمة المجلسی، وقال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فرات و إن لم یتعرّض أحد من الأصحاب لمؤلّفه بمدح و قدح، لکن کون أخباره موافقه لما وصل إلینا من الأحادیث المعتبرة وحسن الضبط فی نقلها ممّا، فیعطی الوثوق لمؤلفه و حسن الظنّ به</w:t>
      </w:r>
      <w:r>
        <w:rPr>
          <w:rFonts w:eastAsia="IRNazanin" w:cs="IRNazanin"/>
          <w:color w:val="111111"/>
          <w:sz w:val="28"/>
          <w:szCs w:val="28"/>
          <w:rtl w:val="true"/>
          <w:lang w:bidi="fa-IR"/>
        </w:rPr>
        <w:t xml:space="preserve">. </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و قد ذکروا لفرات بن إبراهیم أکثر من مائة وعشرین شیخاً جاءت أسماؤهم فی سلسلة إسناده، من جملتهم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سعید الأهوازی 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الکتاب حُقّق أخیراً علی ید شخص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الکاظم وکان تحقیقه جیداً جدّاً ومفیداً، ولقد قامت وزارة الإرشاد فی الجمهوریة الإسلامیة الإیرانیة بطبعه ضمن منشوراتها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وتُرجم تفسیر فرات من قبل أحد علماء أذربایجان، و هو الشیخ یوسف بنایی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ثمرة الفُؤاد؛ در ترجمة وشرح تفسیر فُرات کوفی، و قد طُبع المجلّد الأوّل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کان المترجم ذا علاقة بالأخبار و التفسیر الروائی، و قد فکّر إذا ترجمه ووضعه بین أیدی الناس یعود علیهم بالعقیدة المحکمة فی الولایة</w:t>
      </w:r>
      <w:r>
        <w:rPr>
          <w:rFonts w:eastAsia="IRNazanin" w:cs="IRNazanin"/>
          <w:color w:val="111111"/>
          <w:sz w:val="28"/>
          <w:szCs w:val="28"/>
          <w:rtl w:val="true"/>
          <w:lang w:bidi="fa-IR"/>
        </w:rPr>
        <w:t xml:space="preserve">. </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و لهذا التفسیر مع کونه تفسیراً ولائیاً یمکنه أن یقوی طُرُق العلاقة بأهل‌البیت علیهم السّلام؛ وذلک من خلال بیان مصادیق القرآن المتجلّیة فیهم، ولکن هناک ملاحظتان تسجّلان علیه، و 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روایات التفسیر لم تُنظّم بشکل جید، فمنلاحظ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التی تخصّ الآیة الفلانیة من سورة المائدة جاءت متفرّقة فی أماکن مختلفة من سورة البقرة، أو آل‌عمران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الممکن أن تکونَ هناک خمس روایات لتفسیر آیة واحدة، فاثنان منها فی ذیل تفسیر الآیة نفسها، والثلاثة الأخری فی أماکن أخری یلزم البحث عنها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والملاحظة الثانیة التی جدیرة بالذکر هی أنّ هناک تقطیع للسند وحذف للأسانید من الروایات، ویحتمل هذا فی أنّ الکُتّاب المستنسخون لهذا الکتاب هم الذین قاموا بهذه العلمیة</w:t>
      </w:r>
      <w:r>
        <w:rPr>
          <w:rFonts w:eastAsia="IRNazanin" w:cs="IRNazanin"/>
          <w:color w:val="111111"/>
          <w:sz w:val="28"/>
          <w:szCs w:val="28"/>
          <w:rtl w:val="true"/>
          <w:lang w:bidi="fa-IR"/>
        </w:rPr>
        <w:t>.</w:t>
      </w:r>
      <w:bookmarkStart w:id="571" w:name="pg5285_67420"/>
    </w:p>
    <w:p>
      <w:pPr>
        <w:pStyle w:val="BookText"/>
        <w:rPr/>
      </w:pPr>
      <w:bookmarkEnd w:id="571"/>
      <w:r>
        <w:rPr>
          <w:rFonts w:ascii="IRNazanin" w:hAnsi="IRNazanin" w:eastAsia="IRNazanin"/>
          <w:color w:val="111111"/>
          <w:sz w:val="28"/>
          <w:sz w:val="28"/>
          <w:szCs w:val="28"/>
          <w:rtl w:val="true"/>
          <w:lang w:bidi="fa-IR"/>
        </w:rPr>
        <w:t>ولهذا التفسیر خطبة ومقدّمة تدلّ علی أنّ الشخص الذی کتب هذا التفسیر، هو شخص شیعی وذلک لِما تتضمّنت خطبة الکتاب من الصلاة علی النبی وأهل بیته علیهم السّلام، مع ذکر اسم الإمام المهدی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جاء فی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فهذا تفسیر آیات القرآن مروی عن الأئمّة علیهم السّلام</w:t>
      </w:r>
      <w:r>
        <w:rPr>
          <w:rFonts w:eastAsia="IRNazanin" w:cs="IRNazanin"/>
          <w:color w:val="111111"/>
          <w:sz w:val="28"/>
          <w:szCs w:val="28"/>
          <w:rtl w:val="true"/>
          <w:lang w:bidi="fa-IR"/>
        </w:rPr>
        <w:t xml:space="preserve">. </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إنّ هذا التفسیر الموجود حالیاً تفسیر فرات الکوفی هو بروایة أبوالخیر مقداد بن علی‌الحجازی المدنی عن أبی‌القاسم عبد الرحمن بن محمّد بن عبد الرحمان العلوی الحسنی و الحسینیّ عن فرات، و قد نقل هذه الروایة فی أوّل الکتاب</w:t>
      </w:r>
      <w:r>
        <w:rPr>
          <w:rFonts w:eastAsia="IRNazanin" w:cs="IRNazanin"/>
          <w:color w:val="111111"/>
          <w:sz w:val="28"/>
          <w:szCs w:val="28"/>
          <w:rtl w:val="true"/>
          <w:lang w:bidi="fa-IR"/>
        </w:rPr>
        <w:t>.</w:t>
      </w:r>
    </w:p>
    <w:p>
      <w:pPr>
        <w:pStyle w:val="Heading5"/>
        <w:numPr>
          <w:ilvl w:val="4"/>
          <w:numId w:val="1"/>
        </w:numPr>
        <w:rPr/>
      </w:pPr>
      <w:bookmarkStart w:id="572" w:name="__RefHeading___Toc634253_581953129"/>
      <w:bookmarkStart w:id="573" w:name="_Toc222"/>
      <w:bookmarkEnd w:id="572"/>
      <w:r>
        <w:rPr>
          <w:rtl w:val="true"/>
        </w:rPr>
        <w:t>أقسام روایات فرات بن إبراهیم</w:t>
      </w:r>
      <w:bookmarkEnd w:id="573"/>
    </w:p>
    <w:p>
      <w:pPr>
        <w:pStyle w:val="BookText"/>
        <w:rPr/>
      </w:pPr>
      <w:r>
        <w:rPr>
          <w:rFonts w:ascii="IRNazanin" w:hAnsi="IRNazanin" w:eastAsia="IRNazanin"/>
          <w:color w:val="111111"/>
          <w:sz w:val="28"/>
          <w:sz w:val="28"/>
          <w:szCs w:val="28"/>
          <w:rtl w:val="true"/>
          <w:lang w:bidi="fa-IR"/>
        </w:rPr>
        <w:t>توجد فی هذا التفسیر روایات بأشکال مختلفة، فأحیاناً یذکر الروات مع السند، وأحیاناً ینقل الحدیث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مشایخه، وأحیاناً یشیر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بالسند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وأحیاناً أخری لا یذکر رواة السند، ویذکر اسم الراوی الأخیر الذی قام بنقل الروایة عن المعصوم علیهم السّلام فقط، وأحیاناً یأتی باسم راوٍ واحد، ویقول معنعنا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نذکر بعض النماذج لما أشرنا إلیه أعلاه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الحدیث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فرات، حدّثنی جعفر بن محمّد الفزاری،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موسی بن القاسم عن عثمان بن عیسی عن سماعة عن أبی عبد الله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أَوْفُوا بِعَهْدِی أُوفِ بِعَهْدِکُمْ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أوفوا بولایة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 لکم بالجنّة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ونلاحظ هنا أنّه فقد ذکر لهذه الروایة سنداً کاملاً</w:t>
      </w:r>
      <w:r>
        <w:rPr>
          <w:rFonts w:eastAsia="IRNazanin" w:cs="IRNazanin"/>
          <w:color w:val="111111"/>
          <w:sz w:val="28"/>
          <w:szCs w:val="28"/>
          <w:rtl w:val="true"/>
          <w:lang w:bidi="fa-IR"/>
        </w:rPr>
        <w:t>.</w:t>
      </w:r>
      <w:bookmarkStart w:id="574" w:name="pg5285_67422"/>
    </w:p>
    <w:p>
      <w:pPr>
        <w:pStyle w:val="BookText"/>
        <w:rPr/>
      </w:pPr>
      <w:bookmarkEnd w:id="57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وبالسند المتقدّم، فی ح</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هذا الحدیث هو یحلّ رقم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فی تفسیر الآیة الثلاثة و الأربعین من سورة البقرة،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ارْکَعُوا مَعَ الرّاکِعِینَ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،وأنّها نزلت فی رسول الله صلّی الله علیه و آله وعلی بن أبی طالب علیه السّلام وهما أوّل من صلّی ورکع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وسند هذا الحدیث هو سند الحدیث ال</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عبّاس أنّ رسول الله صلّی الله علیه و آله دعا علیاً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احفظ علی الباب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وفی هذا المکان لم یذکر فی الواسطة غیر ابن عبّاس الذی نقل قول رسول الله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الحدیث رقم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 بن محمّد بن مصعب معنعناً،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أبی‌طالب علیه السّلام یقول فی حیاة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یقول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فَإِنْ ماتَ أَوْ قُتِلَ انْقَلَبْتُمْ عَلی أَعْقابِکُمْ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،والله لا ننقلب علی أعقابنا بعد إذ هدانا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وفی بعض الأحیانا یأتی بأصل الحدیث الذی یرید نقله، ثمّ یأتی کذلک بالمؤیدات من الأحادیث الموجوده و المماثلة له</w:t>
      </w:r>
      <w:r>
        <w:rPr>
          <w:rFonts w:eastAsia="IRNazanin" w:cs="IRNazanin"/>
          <w:color w:val="111111"/>
          <w:sz w:val="28"/>
          <w:szCs w:val="28"/>
          <w:rtl w:val="true"/>
          <w:lang w:bidi="fa-IR"/>
        </w:rPr>
        <w:t>.</w:t>
      </w:r>
    </w:p>
    <w:p>
      <w:pPr>
        <w:pStyle w:val="Heading5"/>
        <w:numPr>
          <w:ilvl w:val="4"/>
          <w:numId w:val="1"/>
        </w:numPr>
        <w:rPr/>
      </w:pPr>
      <w:bookmarkStart w:id="575" w:name="__RefHeading___Toc634255_581953129"/>
      <w:bookmarkStart w:id="576" w:name="_Toc223"/>
      <w:bookmarkEnd w:id="575"/>
      <w:r>
        <w:rPr>
          <w:rtl w:val="true"/>
        </w:rPr>
        <w:t>القیمة الاعتباریة لتفسیر فرات</w:t>
      </w:r>
      <w:bookmarkEnd w:id="576"/>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وفیما یخصّ القیمة الاعتباریة ل‌تفسیر فرات الکوفی نقول مثلما مرّ الحدیث سابقاً حول تفسیر القمّی، فیما یعود إلی الروایات التی لها سند یتّصل بالمعصوم علیهم السّلام، إذا کان الرواة فی موضع ثقة واعتماد، فإنّ الروایة لها قیمتها واعتبارها؛ و أمّا إذا نقلت مرسلة أو</w:t>
      </w:r>
      <w:bookmarkStart w:id="577" w:name="pg5285_67424"/>
    </w:p>
    <w:p>
      <w:pPr>
        <w:pStyle w:val="BookText"/>
        <w:rPr/>
      </w:pPr>
      <w:bookmarkEnd w:id="577"/>
      <w:r>
        <w:rPr>
          <w:rFonts w:ascii="IRNazanin" w:hAnsi="IRNazanin" w:eastAsia="IRNazanin"/>
          <w:color w:val="111111"/>
          <w:sz w:val="28"/>
          <w:sz w:val="28"/>
          <w:szCs w:val="28"/>
          <w:rtl w:val="true"/>
          <w:lang w:bidi="fa-IR"/>
        </w:rPr>
        <w:t>لم یعثر علی سندها، أو أنّ رواتها ضِعاف، فإنّه لا اعتبار لها، إلاّ إذا کان لها ما یشابهها فی نصوص روایات معتبرة أخری، مثل ما جاءت به الکتب الأربعة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فی حالة انتهائها إلی المعصوم علیه السّلام؛ أمّا الروایات التی لا تنتهی إلی المعصوم علیه السّلام،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الروایات التی تُروی عن زید أو ابن عبّاس، فلا حجّیة لها</w:t>
      </w:r>
      <w:r>
        <w:rPr>
          <w:rFonts w:eastAsia="IRNazanin" w:cs="IRNazanin"/>
          <w:color w:val="111111"/>
          <w:sz w:val="28"/>
          <w:szCs w:val="28"/>
          <w:rtl w:val="true"/>
          <w:lang w:bidi="fa-IR"/>
        </w:rPr>
        <w:t>.</w:t>
      </w:r>
    </w:p>
    <w:p>
      <w:pPr>
        <w:pStyle w:val="Heading4"/>
        <w:numPr>
          <w:ilvl w:val="3"/>
          <w:numId w:val="1"/>
        </w:numPr>
        <w:rPr/>
      </w:pPr>
      <w:bookmarkStart w:id="578" w:name="__RefHeading___Toc634257_581953129"/>
      <w:bookmarkStart w:id="579" w:name="_Toc224"/>
      <w:bookmarkEnd w:id="578"/>
      <w:r>
        <w:rPr/>
        <w:t>3</w:t>
      </w:r>
      <w:r>
        <w:rPr>
          <w:rtl w:val="true"/>
        </w:rPr>
        <w:t xml:space="preserve">. </w:t>
      </w:r>
      <w:r>
        <w:rPr>
          <w:rtl w:val="true"/>
        </w:rPr>
        <w:t>تفسیر العیاشی</w:t>
      </w:r>
      <w:bookmarkEnd w:id="579"/>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السمرقندی، أبو الفضل المعروف بالعیاشی، من علماء الشیعة البارزین فی القرن الرابع الهجری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نقلی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من محدّثی الکوفة، و متمکن جدّاً فی نقل الحدیث و التفسیر، و قد نقل الحدیث من سنة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وإلی ما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ثقة، صدوق، عین من عیون هذه الطائفة</w:t>
      </w:r>
      <w:r>
        <w:rPr>
          <w:rFonts w:eastAsia="IRNazanin" w:cs="IRNazanin"/>
          <w:color w:val="111111"/>
          <w:sz w:val="28"/>
          <w:szCs w:val="28"/>
          <w:rtl w:val="true"/>
          <w:lang w:bidi="fa-IR"/>
        </w:rPr>
        <w:t xml:space="preserve">. </w:t>
      </w:r>
      <w:r>
        <w:rPr>
          <w:rStyle w:val="FootnoteAnchor"/>
          <w:rtl w:val="true"/>
        </w:rPr>
        <w:footnoteReference w:id="640"/>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ویقول ابن الندیم فی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العیاشی من أهل سمرقند،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بنی تمیم ومن فقهاء الشیعة الإمامیة،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أوحد دهره وزمانه فی غزارة العلم، ولکتبه بنواحی خراسان شأن من الشأن، </w:t>
      </w:r>
      <w:r>
        <w:rPr>
          <w:rStyle w:val="FootnoteAnchor"/>
          <w:rtl w:val="true"/>
        </w:rPr>
        <w:footnoteReference w:id="641"/>
      </w:r>
      <w:r>
        <w:rPr>
          <w:rFonts w:ascii="IRNazanin" w:hAnsi="IRNazanin" w:eastAsia="IRNazanin"/>
          <w:color w:val="111111"/>
          <w:sz w:val="28"/>
          <w:sz w:val="28"/>
          <w:szCs w:val="28"/>
          <w:rtl w:val="true"/>
          <w:lang w:bidi="fa-IR"/>
        </w:rPr>
        <w:t xml:space="preserve">کما أنّ ابن الندیم ذکر له فی الفهرس ما یقرب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أکثر هذه الکتب صُنّفت فی الحدیث و الفقه و المتفرّقات،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علم الکلام، والتفسیر وحتّی النجوم؛ ولأجل هذا قال بعض ممّن ترجم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عالِماً موسوعیاً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وإنّه عالم مقتدر قد ربّی تلامذة کثیرین، ومن جملتهم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الکشی الرجالی 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بیته منتدی الفضلاء و العلماء و المفکّرین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هو جدیر بالذکر فی أنّ العیاشی شخص غنی ورث ثروةً مالیة عن أبیه، و قد سخّرها بدوره فی خدمة نشر العلم وطلبته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والمعروف عنه أنّه کان متسنّناً فی بدایته، فقد نقل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مذهبه کان سُنیاً فی مطلع شبابه، وفی عنفوان شبابه اختار المذهب الشیعی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فیما یخصّ کتاباته، فهل لها اعتبار علمی أم لا؟ و یمکن أن نلاحظ أن الإجابة علی المستویین التالیین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العیاشی فی سنّی شبابه مال إلی التشیع وتمسک به، و قد عاش حیاً بعد ذلک سنینّاً وکتب کتبه، وما کتبه قبل ذلک فمن المحتم أنه أتلفه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شخص یمتدح بمثل هذه الکلمات،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صدوق، عین من عیون هذه الطائفة، فإذا مثلاً کتب کتاباً فی سنّ الخامس و العشرین وعلی المنهج و الأفکار السنیة، ثمّ تحول إلی التشیع وصار من علماء الشیعة الکبار فإنّه دون شک سیتلف ما کتبه قبل تشیعه أو یلفت النظر إلی عدم اعتباره</w:t>
      </w:r>
      <w:r>
        <w:rPr>
          <w:rFonts w:eastAsia="IRNazanin" w:cs="IRNazanin"/>
          <w:color w:val="111111"/>
          <w:sz w:val="28"/>
          <w:szCs w:val="28"/>
          <w:rtl w:val="true"/>
          <w:lang w:bidi="fa-IR"/>
        </w:rPr>
        <w:t xml:space="preserve">. </w:t>
      </w:r>
      <w:r>
        <w:rPr>
          <w:rStyle w:val="FootnoteAnchor"/>
          <w:rtl w:val="true"/>
        </w:rPr>
        <w:footnoteReference w:id="64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حدیث الشیعة و السنّة لا یشتبه أحد فیهما؛ لأنّ أسلوب الحدیث الشیعی عن السنّی واضح و الفرق بینهما بین، فالشخص الذی له أدنی اطلاع بعلم الحدیث یعرف اتجّاه الکتاب العقائدی الذی یقع بیده، ویمکنه فهم الحدیث الذی فیه شیعیاً کان أو سنیاً، </w:t>
      </w:r>
      <w:r>
        <w:rPr>
          <w:rStyle w:val="FootnoteAnchor"/>
          <w:rtl w:val="true"/>
        </w:rPr>
        <w:footnoteReference w:id="643"/>
      </w:r>
      <w:r>
        <w:rPr>
          <w:rFonts w:ascii="IRNazanin" w:hAnsi="IRNazanin" w:eastAsia="IRNazanin"/>
          <w:color w:val="111111"/>
          <w:sz w:val="28"/>
          <w:sz w:val="28"/>
          <w:szCs w:val="28"/>
          <w:rtl w:val="true"/>
          <w:lang w:bidi="fa-IR"/>
        </w:rPr>
        <w:t>فإنّ أسلوب سلسلة السند و المنقول عنه فیها فارق کبیر، بل وحتّی الروات للفرقتین هم علی تمایز فیما بینهما</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فأهل السنّة ینقلون روایاتهم عن رسول الله صلّی الله علیه و آله وعن أصحابه، والحال فإنّ الشیعة تنقل روایات النبی صلّی الله علیه و آله و الأئمّة الاثنی عشر علیهم السّلام، و هذا یعنی علی فرض أنّ تألیفات</w:t>
      </w:r>
    </w:p>
    <w:p>
      <w:pPr>
        <w:pStyle w:val="BookText"/>
        <w:rPr/>
      </w:pPr>
      <w:r>
        <w:rPr>
          <w:rFonts w:ascii="IRNazanin" w:hAnsi="IRNazanin" w:eastAsia="IRNazanin"/>
          <w:color w:val="111111"/>
          <w:sz w:val="28"/>
          <w:sz w:val="28"/>
          <w:szCs w:val="28"/>
          <w:rtl w:val="true"/>
          <w:lang w:bidi="fa-IR"/>
        </w:rPr>
        <w:t>العیاشی منها ما کُتبت فی أیام تسنُّنه ومنها بعد تشیعه، فلا ضرر فی ذلک، ویمکن تشخیصها کما ینبغی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وفعلاً فإنّ من یطلع علی تفسیره یفهم بوضوح وشفافیة أنّ مؤلّفه شیعیٌّ؛ وذلک لأنّ روایاته التی یوردها هی عن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تفسیر العیاشی مکوّن من مجلّدین ویحتوی علی </w:t>
      </w:r>
      <w:r>
        <w:rPr>
          <w:rFonts w:eastAsia="IRNazanin" w:cs="IRNazanin"/>
          <w:color w:val="111111"/>
          <w:sz w:val="28"/>
          <w:szCs w:val="28"/>
          <w:lang w:bidi="fa-IR"/>
        </w:rPr>
        <w:t>2700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و هذان المجلّدان موجودان من سورة الحمد إلی آخر سورة الکهف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کتب العلّامة الطباطبائی فی مقدّمته لهذا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لعمری أحسن کتاب ألّف قدیماً فی بابه، وأوثق ما ورثناه من قدماء مشایخنا من کتب التفسیر بالمأثور، و قد تلّقاه علماء هذا الشأن منذ ألّف إلی یومنا هذا بالقبول من غیر أن یذکر بقدح أو یغمض فیه بطرف</w:t>
      </w:r>
      <w:r>
        <w:rPr>
          <w:rFonts w:eastAsia="IRNazanin" w:cs="IRNazanin"/>
          <w:color w:val="111111"/>
          <w:sz w:val="28"/>
          <w:szCs w:val="28"/>
          <w:rtl w:val="true"/>
          <w:lang w:bidi="fa-IR"/>
        </w:rPr>
        <w:t xml:space="preserve">. </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فی محل اعتبار هذا التفسیر تُوجد ملاحظة دقیقة یلزم الانتباه إلیها، وهی أنّ أغلب الروایات تشتمل علی الإسناد فی أصلها، غیر أنّ النسّاخ حذفوا ذلک الإسناد واکتفوا بنقل النصوص؛ والنسخة الموجودة حالیاً هی مختصرة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القول فی أن أحد نسّاخ هذا التفسیر لأجل سهولة المطالعة وتیسیر عملیة الاستنساخ، </w:t>
      </w:r>
      <w:r>
        <w:rPr>
          <w:rStyle w:val="FootnoteAnchor"/>
          <w:rtl w:val="true"/>
        </w:rPr>
        <w:footnoteReference w:id="645"/>
      </w:r>
      <w:r>
        <w:rPr>
          <w:rFonts w:ascii="IRNazanin" w:hAnsi="IRNazanin" w:eastAsia="IRNazanin"/>
          <w:color w:val="111111"/>
          <w:sz w:val="28"/>
          <w:sz w:val="28"/>
          <w:szCs w:val="28"/>
          <w:rtl w:val="true"/>
          <w:lang w:bidi="fa-IR"/>
        </w:rPr>
        <w:t>ولعدم وجود المؤلّف لیأخذ إذنه فی الروایة و النقل عن رواة السند قام بحذف السند بکامله، ومن هنا قیل أنّ تفسیر العیاشی مسندٌ متصلٌ إلی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ظنّ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أنّه یمارس الاحتیاط فی عمله هذا، ولکنّه بعمله هذا سبّب للشیعة ضرراً کبیراً</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وطبیعی فإنّ فارق اعتبار الکتاب الذی کان له سند بالأصل عن الکتاب المرسل بالأصل واضح جدّاً من الحیث العلمی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ومضافاً إلی روایات هذا الکتاب فإنّه أحیاناً نجدها موافقة بالکامل مع روایات تفسیر علی بن إبراهیم و أصول الکافی، و من لا یحضره الفقیه و التهذیب، و هذا هو امتیاز للکتاب له أهمیة عظمی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الأمر یتضّح من خلال مراجعة هوامش النسخة المطبوعة؛ لأنّ الهوامش أخذت عن الکافی و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یعدّ میزة اعتباریة لهذا الکتاب</w:t>
      </w:r>
      <w:r>
        <w:rPr>
          <w:rFonts w:eastAsia="IRNazanin" w:cs="IRNazanin"/>
          <w:color w:val="111111"/>
          <w:sz w:val="28"/>
          <w:szCs w:val="28"/>
          <w:rtl w:val="true"/>
          <w:lang w:bidi="fa-IR"/>
        </w:rPr>
        <w:t xml:space="preserve">. </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إنّ هذا التفسیر ینتهی عند سورة الکهف، و قد وصلنا فی مجلّدین، والقسم الثانی منه مفقود ولا وجود له، و إنّ أرباب فن التفسیر الروائی و المحدّثین ذکروا هذا القسم الموجود فقط ونقلوا عنه، ومن أولئک المحدّث البحرانی فی البرهان و الحویزی فی نور الثقلین، والفیض الکاشانی فی الصافی وکذلک العلامة المجلسی فی البحار، فقد نقلوا عنه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وفیما یخصّ القسم الثانی من الکتاب لا یوجد لدنیا عنه اطلاع متقن کما هو مطلوب، ویقول البعض إنّ هناک قسم قلیل منه شوهد فی خزانات المکتبات فی مدن إیران الجنوبیة، وعلی هذا فإن القسم الثانی ل‌تفسیر العیاشی موجود فیها، لکن لا وجود لما یدلّ علیه</w:t>
      </w:r>
      <w:r>
        <w:rPr>
          <w:rFonts w:eastAsia="IRNazanin" w:cs="IRNazanin"/>
          <w:color w:val="111111"/>
          <w:sz w:val="28"/>
          <w:szCs w:val="28"/>
          <w:rtl w:val="true"/>
          <w:lang w:bidi="fa-IR"/>
        </w:rPr>
        <w:t xml:space="preserve">. </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یقول العلاّمة السید حسن الصدر صاحب کتاب تأسیس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تفسیر یعرف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 فی مجلّدین کبیرین، غیر أنّ الموجود منه الیوم نصف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طبقة الکلینی من علماء المائة الثالثة</w:t>
      </w:r>
      <w:r>
        <w:rPr>
          <w:rFonts w:eastAsia="IRNazanin" w:cs="IRNazanin"/>
          <w:color w:val="111111"/>
          <w:sz w:val="28"/>
          <w:szCs w:val="28"/>
          <w:rtl w:val="true"/>
          <w:lang w:bidi="fa-IR"/>
        </w:rPr>
        <w:t xml:space="preserve">. </w:t>
      </w:r>
      <w:r>
        <w:rPr>
          <w:rStyle w:val="FootnoteAnchor"/>
          <w:rtl w:val="true"/>
        </w:rPr>
        <w:footnoteReference w:id="648"/>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اللازم ذکر هذه الملاحظة، وهی أنّ مقدّمة هذا الکتاب تحتوی علی بعض</w:t>
      </w:r>
      <w:bookmarkStart w:id="580" w:name="pg5285_67431"/>
    </w:p>
    <w:p>
      <w:pPr>
        <w:pStyle w:val="BookText"/>
        <w:rPr/>
      </w:pPr>
      <w:bookmarkEnd w:id="580"/>
      <w:r>
        <w:rPr>
          <w:rFonts w:ascii="IRNazanin" w:hAnsi="IRNazanin" w:eastAsia="IRNazanin"/>
          <w:color w:val="111111"/>
          <w:sz w:val="28"/>
          <w:sz w:val="28"/>
          <w:szCs w:val="28"/>
          <w:rtl w:val="true"/>
          <w:lang w:bidi="fa-IR"/>
        </w:rPr>
        <w:t>الروایات المتعلّقة ببحوث علوم القرآن، وذات فوائد جمّة، وفی الحقیقة هی تُعطی آراء الأئمّة علیهم السّلام فی بعض بحوث علوم القرآن،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فضل القرآن، و أنّ القرآن هو المیزان فی معرفة روایات المعصومین علیهم السّلام و أقسام الآیات فی القرآن و الناسخ و المنسوخ، و الظاهر و الباطن و المحکم و المتشابه و أنّ الأئمّة علیهم السّلام هم محور فهم القرآن و علم الأئمّة علیهم السّلام بالتأویل و خطورة التفسیر بالرأی و النهی عن الجدال فی القرآن، فإنّ هذه الموضوعات تُشاهد فی هذا التفسیر</w:t>
      </w:r>
      <w:r>
        <w:rPr>
          <w:rFonts w:eastAsia="IRNazanin" w:cs="IRNazanin"/>
          <w:color w:val="111111"/>
          <w:sz w:val="28"/>
          <w:szCs w:val="28"/>
          <w:rtl w:val="true"/>
          <w:lang w:bidi="fa-IR"/>
        </w:rPr>
        <w:t>.</w:t>
      </w:r>
    </w:p>
    <w:p>
      <w:pPr>
        <w:pStyle w:val="Heading4"/>
        <w:numPr>
          <w:ilvl w:val="3"/>
          <w:numId w:val="1"/>
        </w:numPr>
        <w:rPr/>
      </w:pPr>
      <w:bookmarkStart w:id="581" w:name="__RefHeading___Toc634259_581953129"/>
      <w:bookmarkStart w:id="582" w:name="_Toc225"/>
      <w:bookmarkEnd w:id="581"/>
      <w:r>
        <w:rPr/>
        <w:t>4</w:t>
      </w:r>
      <w:r>
        <w:rPr>
          <w:rtl w:val="true"/>
        </w:rPr>
        <w:t xml:space="preserve">. </w:t>
      </w:r>
      <w:r>
        <w:rPr>
          <w:rtl w:val="true"/>
        </w:rPr>
        <w:t>تفسیر النعمانی</w:t>
      </w:r>
      <w:bookmarkEnd w:id="582"/>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محمّد بن إبراهیم بن جعفر، المعروف بالکاتب النعمانی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نقلی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أورده العلاّمة المجلسی فی أوّل الجزء التسعین من بحارالأنوار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محمّد بن إبراهیم النعمانی من تلامذة ثقة الإسلام الکلینی وشریک الصفوانی، و هو مؤلّف کتاب الغیبة الشهیر، والذی طُبع أخیراً طبعةً منقّحةً مزینةً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النعمانی المعروف</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تفسیر النعمانی هو روایة عن أمیر المؤمنین علیه السّلام، والذی تُقسّم آیات القرآن إلی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ویأتی لکلّ صنف منها بمثال،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الناسخ و المنسوخ و المحکم و المتشابه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نقل العلاّمة المجلسی کلّ تفسیر النعمانی فی بحارالأنوار فی الجزء التاسع عشرمن الطبعة الحجریة، وفی الجزء التسعین من الطبعة البیروتیة، ولم یضف المجلسی من عنده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وثمّة أشخاص آخرون نقلوا هذه الروایة، وهم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بن عبد الله الأشعری، والذی نُسب إلیه هذا التفسیر، وهناک فرق بین هذین الکتابین بلحاظ الترتیب و التقدیم و التأخیر ووجود زیادة محلوظة فی محتواهما</w:t>
      </w:r>
      <w:r>
        <w:rPr>
          <w:rFonts w:eastAsia="IRNazanin" w:cs="IRNazanin"/>
          <w:color w:val="111111"/>
          <w:sz w:val="28"/>
          <w:szCs w:val="28"/>
          <w:rtl w:val="true"/>
          <w:lang w:bidi="fa-IR"/>
        </w:rPr>
        <w:t xml:space="preserve">. </w:t>
      </w:r>
      <w:r>
        <w:rPr>
          <w:rStyle w:val="FootnoteAnchor"/>
          <w:rtl w:val="true"/>
        </w:rPr>
        <w:footnoteReference w:id="64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الروایة أیضاً أوردها السید المرتضی رحمه الله فی کتاب باسم المحکم و المتشابه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نقل الشیخ الحرّ العاملی فی وسائل الشیعة روایات عن کتاب المحکم و المتشابه، تألیف السید المرتضی، وبعد التحقیق عُلم أنّ المقصود هو هذا الکتاب، وعُرّف من تألیف السید المرتضی علی نحو الخطأ</w:t>
      </w:r>
      <w:r>
        <w:rPr>
          <w:rFonts w:eastAsia="IRNazanin" w:cs="IRNazanin"/>
          <w:color w:val="111111"/>
          <w:sz w:val="28"/>
          <w:szCs w:val="28"/>
          <w:rtl w:val="true"/>
          <w:lang w:bidi="fa-IR"/>
        </w:rPr>
        <w:t xml:space="preserve">. </w:t>
      </w:r>
      <w:r>
        <w:rPr>
          <w:rStyle w:val="FootnoteAnchor"/>
          <w:rtl w:val="true"/>
        </w:rPr>
        <w:footnoteReference w:id="65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والشخص الآخر الذی نقل هذه الروایة هو علی بن إبراهیم القمّی رحمه الله، والذی سیأتی الحدیث عن تفسیره، وعلی ما تقدّم فإنّ الکتب الثلاثة رُویت عن أمیر المؤمنین علیه السّلام روایة مفصّلة، و هذه الثلاثة هی روایة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أن نقلت هذه الروایة عن أربعة أشخاص قیل إنّ النعمانی لم یضف، ولم یتصرّف بها، ولکن السید المرتضی وعلی بن إبراهیم اختصراها وسعد بن عبد الله الأشعری قدّم فیها وأخرّ مع إضافة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هذه الکتب الأربعة فی الحقیقة هی کتاب واحد، و قد أسند إلی السید المرتضی المتوفّی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و النعمانی الذی کان علی قید الحیاة فیما یقرب من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وعلی بن إبراهیم القمّی المتوفّی بعد سنة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وسعد الأشعری المتوفّی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وعلی هذه الحالة فإنّ الفاصلة الزمنیة بینهم وبین الإمام الصادق علیه السّلام وبینهم وبین الإمام علی علیه السّلام کبیرة وملحوظة</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هذه الرسالة، طرحت أکثر من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من آیات القرآن الکریم تحت</w:t>
      </w:r>
      <w:bookmarkStart w:id="583" w:name="pg5285_67435"/>
    </w:p>
    <w:p>
      <w:pPr>
        <w:pStyle w:val="BookText"/>
        <w:rPr/>
      </w:pPr>
      <w:bookmarkEnd w:id="583"/>
      <w:r>
        <w:rPr>
          <w:rFonts w:ascii="IRNazanin" w:hAnsi="IRNazanin" w:eastAsia="IRNazanin"/>
          <w:color w:val="111111"/>
          <w:sz w:val="28"/>
          <w:sz w:val="28"/>
          <w:szCs w:val="28"/>
          <w:rtl w:val="true"/>
          <w:lang w:bidi="fa-IR"/>
        </w:rPr>
        <w:t>عنوان أنّ هذه الآیة خاصّة، ولیست هی عامّة، ومحرّفة وغیر محرّفة، ناسخة أو منسوخة، وعلی هذا فقد أعطی توضیحاً للآیات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اللحاظ، فهو تفسیر، وکذا یمکن ألاَ یسمّی تفسیراً لکونه لا یشتمل علی معنی وتفسیر الآیات، و إنّما هو إشارات إلی أمور تخصّ علوم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السند الذی ذکره النعمانی یشتمل علی ستّة رواة، واحد منهم باسم حسن بن علی بن حمزة، و هو ضعیف و الآخر باسم أحمد بن یوسف ین یعقوب الجُعْفی، و هو مجهول و النتیجة تابعة لأخسّ الرواة، وعلیه فإنّه لا اعتبار للسند</w:t>
      </w:r>
      <w:r>
        <w:rPr>
          <w:rFonts w:eastAsia="IRNazanin" w:cs="IRNazanin"/>
          <w:color w:val="111111"/>
          <w:sz w:val="28"/>
          <w:szCs w:val="28"/>
          <w:rtl w:val="true"/>
          <w:lang w:bidi="fa-IR"/>
        </w:rPr>
        <w:t xml:space="preserve">. </w:t>
      </w:r>
      <w:r>
        <w:rPr>
          <w:rStyle w:val="FootnoteAnchor"/>
          <w:rtl w:val="true"/>
        </w:rPr>
        <w:footnoteReference w:id="651"/>
      </w:r>
    </w:p>
    <w:p>
      <w:pPr>
        <w:pStyle w:val="Heading3"/>
        <w:numPr>
          <w:ilvl w:val="2"/>
          <w:numId w:val="1"/>
        </w:numPr>
        <w:rPr/>
      </w:pPr>
      <w:bookmarkStart w:id="584" w:name="__RefHeading___Toc634261_581953129"/>
      <w:bookmarkStart w:id="585" w:name="_Toc226"/>
      <w:bookmarkEnd w:id="584"/>
      <w:r>
        <w:rPr>
          <w:rtl w:val="true"/>
        </w:rPr>
        <w:t>قسم من محتوی هذه الرسالة</w:t>
      </w:r>
      <w:bookmarkEnd w:id="585"/>
    </w:p>
    <w:p>
      <w:pPr>
        <w:pStyle w:val="BookText"/>
        <w:rPr/>
      </w:pPr>
      <w:r>
        <w:rPr>
          <w:rFonts w:ascii="IRNazanin" w:hAnsi="IRNazanin" w:eastAsia="IRNazanin"/>
          <w:color w:val="111111"/>
          <w:sz w:val="28"/>
          <w:sz w:val="28"/>
          <w:szCs w:val="28"/>
          <w:rtl w:val="true"/>
          <w:lang w:bidi="fa-IR"/>
        </w:rPr>
        <w:t>وهنا نشیر إلی قسم من محتوی الرسالة علی النحو المقبل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الناسخ،</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المنسوخ،</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المحکم،</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المتشابه،</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الخاصّ،</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المؤخّر،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العزائم،</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الرخص،</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المنقطع المعطوف،</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المنقطع غیر المعطوف،</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لفظه خاصّ ومعناه عامّ،</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لفظه عامّ ومعناه خاصّ،</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لفظه واحد ومعناه جمع،</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لفظه جمع ومعناه واحد،</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لفظه ماضٍ ومعناه المستقبل،</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لفظه علی الخبر ومعناه حکایة عن قوم آخرین،</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علی خلاف تنزیله،</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بعضها فی سورة وتمامها فی سورة أخری،</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نصفها منسوخ ونصفها متروک علی حاله،</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مختلفة اللفظ ومتّفقة المعنی،</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متّفقة اللفظ ومختلفة المعنی،</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فیها رخصة وإطلاق بعد العزیمة،</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لفظه خاصّ ومعناه عامّ محتمل العموم،</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علی الیهود،</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علی الملحدین،</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علی الشخص المنکر للمعراج،</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علی الشخص المنکر للرجعة،</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علی النصاری،</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علی الذی یری أنّ الإیمان</w:t>
      </w:r>
      <w:bookmarkStart w:id="586" w:name="pg5285_67437"/>
    </w:p>
    <w:p>
      <w:pPr>
        <w:pStyle w:val="BookText"/>
        <w:rPr/>
      </w:pPr>
      <w:bookmarkEnd w:id="586"/>
      <w:r>
        <w:rPr>
          <w:rFonts w:ascii="IRNazanin" w:hAnsi="IRNazanin" w:eastAsia="IRNazanin"/>
          <w:color w:val="111111"/>
          <w:sz w:val="28"/>
          <w:sz w:val="28"/>
          <w:szCs w:val="28"/>
          <w:rtl w:val="true"/>
          <w:lang w:bidi="fa-IR"/>
        </w:rPr>
        <w:t>والکفر لا یزاد فیه ولا ینقص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العناوین نصفها مرتبط بموضوعات علوم القرآن ونصفها الآخر له علاقته بموضوعات أخری</w:t>
      </w:r>
      <w:r>
        <w:rPr>
          <w:rFonts w:eastAsia="IRNazanin" w:cs="IRNazanin"/>
          <w:color w:val="111111"/>
          <w:sz w:val="28"/>
          <w:szCs w:val="28"/>
          <w:rtl w:val="true"/>
          <w:lang w:bidi="fa-IR"/>
        </w:rPr>
        <w:t>.</w:t>
      </w:r>
    </w:p>
    <w:p>
      <w:pPr>
        <w:pStyle w:val="Heading3"/>
        <w:numPr>
          <w:ilvl w:val="2"/>
          <w:numId w:val="1"/>
        </w:numPr>
        <w:rPr/>
      </w:pPr>
      <w:bookmarkStart w:id="587" w:name="__RefHeading___Toc634263_581953129"/>
      <w:bookmarkStart w:id="588" w:name="_Toc227"/>
      <w:bookmarkEnd w:id="587"/>
      <w:r>
        <w:rPr>
          <w:rtl w:val="true"/>
        </w:rPr>
        <w:t>محصّلة الدرس السابع</w:t>
      </w:r>
      <w:bookmarkEnd w:id="588"/>
    </w:p>
    <w:p>
      <w:pPr>
        <w:pStyle w:val="BookText"/>
        <w:rPr/>
      </w:pPr>
      <w:r>
        <w:rPr>
          <w:rFonts w:ascii="IRNazanin" w:hAnsi="IRNazanin" w:eastAsia="IRNazanin"/>
          <w:color w:val="111111"/>
          <w:sz w:val="28"/>
          <w:sz w:val="28"/>
          <w:szCs w:val="28"/>
          <w:rtl w:val="true"/>
          <w:lang w:bidi="fa-IR"/>
        </w:rPr>
        <w:t>إنّ القرن الرابع هو قرن ازدهار الأفکار، و هو عصر الثبت و الضبط وتصنیف العلوم، و إنّ بعض خصوصیاته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انحسار المنازعات السیاسیة والاجتماعیة، وانتشار واتّساع نفوذ المذهب الشیعی إلی نقاط مختلفة من العالم، وعلی الخصوص علی ید الفاطمیین فی شمال إفریقیا وحکومة الدیلم فی العراق وإیران و انتشار المکتبات و المراکز العلمیة، وتقدّم وسائل العلم،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الورق وأسالیب تثبیت الروایة</w:t>
      </w:r>
      <w:r>
        <w:rPr>
          <w:rFonts w:eastAsia="IRNazanin" w:cs="IRNazanin"/>
          <w:color w:val="111111"/>
          <w:sz w:val="28"/>
          <w:szCs w:val="28"/>
          <w:rtl w:val="true"/>
          <w:lang w:bidi="fa-IR"/>
        </w:rPr>
        <w:t>.</w:t>
      </w:r>
    </w:p>
    <w:p>
      <w:pPr>
        <w:pStyle w:val="Heading3"/>
        <w:numPr>
          <w:ilvl w:val="2"/>
          <w:numId w:val="1"/>
        </w:numPr>
        <w:rPr/>
      </w:pPr>
      <w:bookmarkStart w:id="589" w:name="__RefHeading___Toc634265_581953129"/>
      <w:bookmarkStart w:id="590" w:name="_Toc228"/>
      <w:bookmarkEnd w:id="589"/>
      <w:r>
        <w:rPr>
          <w:rtl w:val="true"/>
        </w:rPr>
        <w:t>التفاسیر الروائیة عند الشیعة</w:t>
      </w:r>
      <w:bookmarkEnd w:id="590"/>
    </w:p>
    <w:p>
      <w:pPr>
        <w:pStyle w:val="BookText"/>
        <w:rPr/>
      </w:pPr>
      <w:r>
        <w:rPr>
          <w:rFonts w:ascii="IRNazanin" w:hAnsi="IRNazanin" w:eastAsia="IRNazanin"/>
          <w:color w:val="111111"/>
          <w:sz w:val="28"/>
          <w:sz w:val="28"/>
          <w:szCs w:val="28"/>
          <w:rtl w:val="true"/>
          <w:lang w:bidi="fa-IR"/>
        </w:rPr>
        <w:t>تفسیر القمّی، و هو لعلی بن إبراهیم القمّی، و عن أشخاص موثقین و الشیخ الکلینی کذلک، أنّ تفسیره مکوّن من مجلّدین، و أنّ قسماً من روایاته عن أبی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ملاحظة أقسام الروایات فی هذا التفسیر، والتی من جملتها،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وروایات مسندة وروایات بدون سند، وهکذا روایات أبی الجارود 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بعضاً من أقسام هذا التفسیر هی لیست للمؤلّف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القیمة الاعتباریة لهذا التفسیر، 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الروایات التی لها سند وکان السند صحیحاً، فهی مورد اعتماد، وفی غیر هذه الحالة یجب البحث عن القرائن و الشواهد الأخری</w:t>
      </w:r>
      <w:r>
        <w:rPr>
          <w:rFonts w:eastAsia="IRNazanin" w:cs="IRNazanin"/>
          <w:color w:val="111111"/>
          <w:sz w:val="28"/>
          <w:szCs w:val="28"/>
          <w:rtl w:val="true"/>
          <w:lang w:bidi="fa-IR"/>
        </w:rPr>
        <w:t>.</w:t>
      </w:r>
    </w:p>
    <w:p>
      <w:pPr>
        <w:pStyle w:val="Heading3"/>
        <w:numPr>
          <w:ilvl w:val="2"/>
          <w:numId w:val="1"/>
        </w:numPr>
        <w:rPr/>
      </w:pPr>
      <w:bookmarkStart w:id="591" w:name="__RefHeading___Toc634267_581953129"/>
      <w:bookmarkStart w:id="592" w:name="_Toc229"/>
      <w:bookmarkEnd w:id="591"/>
      <w:r>
        <w:rPr>
          <w:rtl w:val="true"/>
        </w:rPr>
        <w:t>تفسیر فرات الکوفی</w:t>
      </w:r>
      <w:bookmarkEnd w:id="592"/>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لفرات بن إبراهیم الکوفی، وأنّه اشتمل علی اختیار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من أوّل القرآن و حتّی آخر سور القرآن، سورة الناس، ولکن بشکل متفرّق، ثمّ مارس طرح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فرات نُسب إلی الزیدیة، إلاّ أنّ القرائن تدلّ علی نفی ذلک، وهکذا نسبته إلی الطرق</w:t>
      </w:r>
    </w:p>
    <w:p>
      <w:pPr>
        <w:pStyle w:val="BookText"/>
        <w:rPr/>
      </w:pPr>
      <w:r>
        <w:rPr>
          <w:rFonts w:ascii="IRNazanin" w:hAnsi="IRNazanin" w:eastAsia="IRNazanin"/>
          <w:color w:val="111111"/>
          <w:sz w:val="28"/>
          <w:sz w:val="28"/>
          <w:szCs w:val="28"/>
          <w:rtl w:val="true"/>
          <w:lang w:bidi="fa-IR"/>
        </w:rPr>
        <w:t>الصوفیة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ویفتقد هذا التفسیر النظم فی طرح الروایات و هو جانب ملحوظ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ولقسم من روایات فرات التفسیریة سند، والقسم الآخر یفتقده، وبعض معنعن و البعض الآخر إرجاع إلی السند السابق، ولکن فیما یخصّ اعتبار تفسیر فرات فإنّنا نقول مثل القول الذی قلناه فی تفسیر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فی شأن تفسیر العیاشی، لمحمود بن مسعود العیاشی السمرقندی، ومع أنّهم قالوا بکونه من أهل السنّة فی مطلع حیاته، فإنّ هذه المسألة متعلّقة فی أیام شبابه؛ و أمّا عن زمان کتابته التفسیر، فلا یوجد شاهد علی تسنّنه، بل العکس هو 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روایات السنة متمایزة بالکامل عن روایات الشیعة من جهة السند، و إنّ هذا التفسیر منطبق بالکامل مع روایات الشیعة، کما و أنّ هذا التفسیر یشتمل علی مجلّدین، و هو إلی آخر سورة الکهف، ولا یوجد اطلاع عن النصف الثانی، و قد احتوی علی مقدّمة مفیدة جدّاً، و قد کتبها حول ما یرتبط بعلوم القرآن</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تفسیر النعمانی، لأبی عبد الله محمّد بن إبراهیم بن جعفر المعروف بالکاتب النعمانی، فیحتوی فقط علی روایة واحدة عن الإمام علی علیه السّلام، والتی تتضمّن توضیح مایقرب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و قد تناولت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بحثاً من أنواع بحوث علوم القرآن،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الناسخ و المنسوخ، والظاهر و الباطن، والعامّ و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ومضافاً إلی النعمانی، فقد کتبها کلّ من السید المرتضی وسعد بن عبد الله الأشعری وعلی بن إبراهیم</w:t>
      </w:r>
      <w:r>
        <w:rPr>
          <w:rFonts w:eastAsia="IRNazanin" w:cs="IRNazanin"/>
          <w:color w:val="111111"/>
          <w:sz w:val="28"/>
          <w:szCs w:val="28"/>
          <w:rtl w:val="true"/>
          <w:lang w:bidi="fa-IR"/>
        </w:rPr>
        <w:t>.</w:t>
      </w:r>
      <w:bookmarkStart w:id="593" w:name="pg5285_67441"/>
    </w:p>
    <w:p>
      <w:pPr>
        <w:pStyle w:val="Heading2"/>
        <w:numPr>
          <w:ilvl w:val="1"/>
          <w:numId w:val="1"/>
        </w:numPr>
        <w:rPr/>
      </w:pPr>
      <w:bookmarkStart w:id="594" w:name="__RefHeading___Toc634269_581953129"/>
      <w:bookmarkStart w:id="595" w:name="_Toc230"/>
      <w:bookmarkEnd w:id="593"/>
      <w:bookmarkEnd w:id="594"/>
      <w:r>
        <w:rPr/>
        <w:t>8</w:t>
      </w:r>
      <w:r>
        <w:rPr>
          <w:rtl w:val="true"/>
        </w:rPr>
        <w:t xml:space="preserve">- </w:t>
      </w:r>
      <w:r>
        <w:rPr>
          <w:rtl w:val="true"/>
        </w:rPr>
        <w:t xml:space="preserve">التفسیر فی القرن الرابع </w:t>
      </w:r>
      <w:r>
        <w:rPr>
          <w:rtl w:val="true"/>
        </w:rPr>
        <w:t>(</w:t>
      </w:r>
      <w:r>
        <w:rPr/>
        <w:t>2</w:t>
      </w:r>
      <w:r>
        <w:rPr>
          <w:rtl w:val="true"/>
        </w:rPr>
        <w:t>)</w:t>
      </w:r>
      <w:bookmarkEnd w:id="595"/>
    </w:p>
    <w:p>
      <w:pPr>
        <w:pStyle w:val="Heading3"/>
        <w:numPr>
          <w:ilvl w:val="2"/>
          <w:numId w:val="1"/>
        </w:numPr>
        <w:rPr/>
      </w:pPr>
      <w:bookmarkStart w:id="596" w:name="__RefHeading___Toc634271_581953129"/>
      <w:bookmarkStart w:id="597" w:name="_Toc231"/>
      <w:bookmarkEnd w:id="596"/>
      <w:r>
        <w:rPr>
          <w:rtl w:val="true"/>
        </w:rPr>
        <w:t>اشارة</w:t>
      </w:r>
      <w:bookmarkEnd w:id="597"/>
    </w:p>
    <w:p>
      <w:pPr>
        <w:pStyle w:val="BookText"/>
        <w:rPr/>
      </w:pPr>
      <w:r>
        <w:rPr>
          <w:rFonts w:ascii="IRNazanin" w:hAnsi="IRNazanin" w:eastAsia="IRNazanin"/>
          <w:color w:val="111111"/>
          <w:sz w:val="28"/>
          <w:sz w:val="28"/>
          <w:szCs w:val="28"/>
          <w:rtl w:val="true"/>
          <w:lang w:bidi="fa-IR"/>
        </w:rPr>
        <w:t>الموضوعات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فی القرن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الحسن العسکری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تفاسیر أهل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الطبری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بحر العلوم السمرقندی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الاتّجاهات المختلفة فی القرن الرابع</w:t>
      </w:r>
      <w:r>
        <w:rPr>
          <w:rFonts w:eastAsia="IRNazanin" w:cs="IRNazanin"/>
          <w:color w:val="111111"/>
          <w:sz w:val="28"/>
          <w:szCs w:val="28"/>
          <w:rtl w:val="true"/>
          <w:lang w:bidi="fa-IR"/>
        </w:rPr>
        <w:t>.</w:t>
      </w:r>
    </w:p>
    <w:p>
      <w:pPr>
        <w:pStyle w:val="Heading3"/>
        <w:numPr>
          <w:ilvl w:val="2"/>
          <w:numId w:val="1"/>
        </w:numPr>
        <w:rPr/>
      </w:pPr>
      <w:bookmarkStart w:id="598" w:name="__RefHeading___Toc634273_581953129"/>
      <w:bookmarkStart w:id="599" w:name="_Toc232"/>
      <w:bookmarkEnd w:id="598"/>
      <w:r>
        <w:rPr>
          <w:rtl w:val="true"/>
        </w:rPr>
        <w:t>التفسیر المنسوب إلی الإمام الحسن العسکری علیه السّلام</w:t>
      </w:r>
      <w:bookmarkEnd w:id="599"/>
    </w:p>
    <w:p>
      <w:pPr>
        <w:pStyle w:val="Heading4"/>
        <w:numPr>
          <w:ilvl w:val="3"/>
          <w:numId w:val="1"/>
        </w:numPr>
        <w:rPr/>
      </w:pPr>
      <w:bookmarkStart w:id="600" w:name="__RefHeading___Toc634275_581953129"/>
      <w:bookmarkStart w:id="601" w:name="_Toc233"/>
      <w:bookmarkEnd w:id="600"/>
      <w:r>
        <w:rPr>
          <w:rtl w:val="true"/>
        </w:rPr>
        <w:t>اشارة</w:t>
      </w:r>
      <w:bookmarkEnd w:id="601"/>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قاسم الأسترأبادی، و قد نقله عن أبی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یوسف‌بن محمّدبن زیاد وأبی الحسن علی بن محمّد السیار</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الرابع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bookmarkStart w:id="602" w:name="pg5285_67442"/>
    </w:p>
    <w:p>
      <w:pPr>
        <w:pStyle w:val="BookText"/>
        <w:rPr/>
      </w:pPr>
      <w:bookmarkEnd w:id="602"/>
      <w:r>
        <w:rPr>
          <w:rFonts w:ascii="IRNazanin" w:hAnsi="IRNazanin" w:eastAsia="IRNazanin"/>
          <w:color w:val="111111"/>
          <w:sz w:val="28"/>
          <w:sz w:val="28"/>
          <w:szCs w:val="28"/>
          <w:rtl w:val="true"/>
          <w:lang w:bidi="fa-IR"/>
        </w:rPr>
        <w:t>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نقلی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واحد حتّی آیة المئتین و الثلاثة و الثمانین من سورة البقرة</w:t>
      </w:r>
      <w:r>
        <w:rPr>
          <w:rFonts w:eastAsia="IRNazanin" w:cs="IRNazanin"/>
          <w:color w:val="111111"/>
          <w:sz w:val="28"/>
          <w:szCs w:val="28"/>
          <w:rtl w:val="true"/>
          <w:lang w:bidi="fa-IR"/>
        </w:rPr>
        <w:t>.</w:t>
      </w:r>
    </w:p>
    <w:p>
      <w:pPr>
        <w:pStyle w:val="Heading4"/>
        <w:numPr>
          <w:ilvl w:val="3"/>
          <w:numId w:val="1"/>
        </w:numPr>
        <w:rPr/>
      </w:pPr>
      <w:bookmarkStart w:id="603" w:name="__RefHeading___Toc634277_581953129"/>
      <w:bookmarkStart w:id="604" w:name="_Toc234"/>
      <w:bookmarkEnd w:id="603"/>
      <w:r>
        <w:rPr>
          <w:rtl w:val="true"/>
        </w:rPr>
        <w:t>نظرة حول الکتاب</w:t>
      </w:r>
      <w:bookmarkEnd w:id="604"/>
    </w:p>
    <w:p>
      <w:pPr>
        <w:pStyle w:val="BookText"/>
        <w:rPr/>
      </w:pPr>
      <w:r>
        <w:rPr>
          <w:rFonts w:ascii="IRNazanin" w:hAnsi="IRNazanin" w:eastAsia="IRNazanin"/>
          <w:color w:val="111111"/>
          <w:sz w:val="28"/>
          <w:sz w:val="28"/>
          <w:szCs w:val="28"/>
          <w:rtl w:val="true"/>
          <w:lang w:bidi="fa-IR"/>
        </w:rPr>
        <w:t>یعدّ هذا الکتاب من نتاج محمّد بن علی بن محمّد بن جعفر الدقّاق، والذی یسنده إلی محمّد بن قاسم الأستر أبادی، و هو یسنده عن أبی یعقوب یوسف بن محمّد بن زیاد، وأبی الحسن علی بن محمّد السیار، و هذان الاثنان ینقلانه عن الإمام العسکری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وکلاهما کانا من رواة الأسترأبادی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کان أغلب الناس فی مدینة أسترأباد فی ذلک الزمان من الزیدیة، غیر أنّ هذین الشخصین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ما نقل فی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من الشیعة الإمامیة</w:t>
      </w:r>
      <w:r>
        <w:rPr>
          <w:rFonts w:eastAsia="IRNazanin" w:cs="IRNazanin"/>
          <w:color w:val="111111"/>
          <w:sz w:val="28"/>
          <w:szCs w:val="28"/>
          <w:rtl w:val="true"/>
          <w:lang w:bidi="fa-IR"/>
        </w:rPr>
        <w:t xml:space="preserve">. </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وفی بدایة هذا التفسیر، ذکر أنّ أبا یعقوب وأبا الحسن، حضرا عند الإمام العسکری علیه السّلام لاجئین متخفیین لِمَا یواجهانه من مشکلات ذلک الزمان، وما هم علیه من خوف علی النفس و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فخرجنا بأهلینا إلی حضرة الإمام أبی محمّد الحسن بن علی بن محمّد أبی القائم</w:t>
      </w:r>
      <w:r>
        <w:rPr>
          <w:rFonts w:eastAsia="IRNazanin" w:cs="IRNazanin"/>
          <w:color w:val="111111"/>
          <w:sz w:val="28"/>
          <w:szCs w:val="28"/>
          <w:rtl w:val="true"/>
          <w:lang w:bidi="fa-IR"/>
        </w:rPr>
        <w:t xml:space="preserve">. </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 xml:space="preserve">وبعد ذلک تتلمّذاً علی ید الإمام علیه السّلام لمدّة سبع سنوات من سنة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وحتّی سنة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التفسیر المذکور له مقدّمة طرحت موضوعات فضل القرآن و فضل العالم بتأویل القرآن، و آداب قراءة القرآن وحدیث سدُّ الأبواب، </w:t>
      </w:r>
      <w:r>
        <w:rPr>
          <w:rStyle w:val="FootnoteAnchor"/>
          <w:rtl w:val="true"/>
        </w:rPr>
        <w:footnoteReference w:id="654"/>
      </w:r>
      <w:r>
        <w:rPr>
          <w:rFonts w:ascii="Amiri" w:hAnsi="Amiri" w:eastAsia="Amiri" w:cs="Amiri"/>
          <w:color w:val="111111"/>
          <w:sz w:val="28"/>
          <w:sz w:val="28"/>
          <w:szCs w:val="28"/>
          <w:rtl w:val="true"/>
          <w:lang w:bidi="ar-SA"/>
        </w:rPr>
        <w:t>بالإضافة إلی روایات حول بدء الأمور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w:t>
      </w:r>
      <w:bookmarkStart w:id="605" w:name="pg5285_67443"/>
    </w:p>
    <w:p>
      <w:pPr>
        <w:pStyle w:val="BookText"/>
        <w:rPr/>
      </w:pPr>
      <w:bookmarkEnd w:id="605"/>
      <w:r>
        <w:rPr>
          <w:rFonts w:ascii="Amiri" w:hAnsi="Amiri" w:eastAsia="Amiri" w:cs="Amiri"/>
          <w:color w:val="111111"/>
          <w:sz w:val="28"/>
          <w:sz w:val="28"/>
          <w:szCs w:val="28"/>
          <w:rtl w:val="true"/>
          <w:lang w:bidi="ar-SA"/>
        </w:rPr>
        <w:t xml:space="preserve">إنّ تفسیر الإمام الحسن العسکری علیه السّلام هو تفسیر روائی یحتوی علی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روایة، و هو یبتدئ من سورة الحمد ویستمر إلی الآیة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آیة فیه هی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تَکْتُمُوا الشَّهادَةَ وَ مَنْ یَکْتُمْها فَإِنَّهُ آثِمٌ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5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قلبه</w:t>
      </w:r>
      <w:r>
        <w:rPr>
          <w:rFonts w:eastAsia="IRNazanin" w:cs="IRNazanin"/>
          <w:color w:val="111111"/>
          <w:sz w:val="28"/>
          <w:szCs w:val="28"/>
          <w:rtl w:val="true"/>
          <w:lang w:bidi="fa-IR"/>
        </w:rPr>
        <w:t xml:space="preserve">. </w:t>
      </w:r>
      <w:r>
        <w:rPr>
          <w:rStyle w:val="FootnoteAnchor"/>
          <w:rtl w:val="true"/>
        </w:rPr>
        <w:footnoteReference w:id="656"/>
      </w:r>
    </w:p>
    <w:p>
      <w:pPr>
        <w:pStyle w:val="Heading4"/>
        <w:numPr>
          <w:ilvl w:val="3"/>
          <w:numId w:val="1"/>
        </w:numPr>
        <w:rPr/>
      </w:pPr>
      <w:bookmarkStart w:id="606" w:name="__RefHeading___Toc634279_581953129"/>
      <w:bookmarkStart w:id="607" w:name="_Toc235"/>
      <w:bookmarkEnd w:id="606"/>
      <w:r>
        <w:rPr>
          <w:rtl w:val="true"/>
        </w:rPr>
        <w:t>القیمة الاعتباریة للتفسیر</w:t>
      </w:r>
      <w:bookmarkEnd w:id="607"/>
    </w:p>
    <w:p>
      <w:pPr>
        <w:pStyle w:val="BookText"/>
        <w:rPr/>
      </w:pPr>
      <w:r>
        <w:rPr>
          <w:rFonts w:ascii="IRNazanin" w:hAnsi="IRNazanin" w:eastAsia="IRNazanin"/>
          <w:color w:val="111111"/>
          <w:sz w:val="28"/>
          <w:sz w:val="28"/>
          <w:szCs w:val="28"/>
          <w:rtl w:val="true"/>
          <w:lang w:bidi="fa-IR"/>
        </w:rPr>
        <w:t>لقد کان البحث فی تقییم هذا التفسیر واعتباره وعدمه قائماً منذ القرن الرابع، و قد أمعنوا النظر و الدقّة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رواته من کتب الرجال المعروفة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وفهرس الشیخ الطوسی، وکذلک رجال الکشّی و النجّاشی، و إنّ أول شخص لم یعترف بهذا التفسیر، حیث أعلن قائلاً عن مجهولیة رواته وضعفهم هو ابن الغضائری الشهیر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ثمّة من اتّبع بعده هذه النظرة حول التفسیر، فقام عدد کثیر بتضعیفة إلاّ أنّ الذی بلاحظ فی عکس هذه النظرة وجود، أشخاص نقلوا عنه فی کتبهم أو صرّحوا بأهمیته ومکانته، ومن جملتهم بعض الأخباریین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وتحسن هنا الإشارة إلی الفریقین المخالف و الموافق</w:t>
      </w:r>
      <w:r>
        <w:rPr>
          <w:rFonts w:eastAsia="IRNazanin" w:cs="IRNazanin"/>
          <w:color w:val="111111"/>
          <w:sz w:val="28"/>
          <w:szCs w:val="28"/>
          <w:rtl w:val="true"/>
          <w:lang w:bidi="fa-IR"/>
        </w:rPr>
        <w:t>:</w:t>
      </w:r>
    </w:p>
    <w:p>
      <w:pPr>
        <w:pStyle w:val="Heading4"/>
        <w:numPr>
          <w:ilvl w:val="3"/>
          <w:numId w:val="1"/>
        </w:numPr>
        <w:rPr/>
      </w:pPr>
      <w:bookmarkStart w:id="608" w:name="__RefHeading___Toc634281_581953129"/>
      <w:bookmarkStart w:id="609" w:name="_Toc236"/>
      <w:bookmarkEnd w:id="608"/>
      <w:r>
        <w:rPr>
          <w:rtl w:val="true"/>
        </w:rPr>
        <w:t>المخالفون</w:t>
      </w:r>
      <w:bookmarkEnd w:id="609"/>
    </w:p>
    <w:p>
      <w:pPr>
        <w:pStyle w:val="BookText"/>
        <w:rPr/>
      </w:pPr>
      <w:r>
        <w:rPr>
          <w:rFonts w:ascii="IRNazanin" w:hAnsi="IRNazanin" w:eastAsia="IRNazanin"/>
          <w:color w:val="111111"/>
          <w:sz w:val="28"/>
          <w:sz w:val="28"/>
          <w:szCs w:val="28"/>
          <w:rtl w:val="true"/>
          <w:lang w:bidi="fa-IR"/>
        </w:rPr>
        <w:t xml:space="preserve">ابن الغضائری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یعدُ الشخص الأوّل الذی جرح هذا التفسیر ورواته واعتبرهم مجهولین، کما و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تفسیر الإمام العسکری علیه السّلام مجعول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أساساً</w:t>
      </w:r>
      <w:r>
        <w:rPr>
          <w:rFonts w:eastAsia="IRNazanin" w:cs="IRNazanin"/>
          <w:color w:val="111111"/>
          <w:sz w:val="28"/>
          <w:szCs w:val="28"/>
          <w:rtl w:val="true"/>
          <w:lang w:bidi="fa-IR"/>
        </w:rPr>
        <w:t xml:space="preserve">]. </w:t>
      </w:r>
      <w:r>
        <w:rPr>
          <w:rStyle w:val="FootnoteAnchor"/>
          <w:rtl w:val="true"/>
        </w:rPr>
        <w:footnoteReference w:id="657"/>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میرزا أبو الحسن الشعرانی صاحب الحاشیة علی مجمع البیان، لأمین الإسلام الطبرسی، وذلک فی آخر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ینقل المصنّف عن التفسیر المنسوب إلی</w:t>
      </w:r>
    </w:p>
    <w:p>
      <w:pPr>
        <w:pStyle w:val="BookText"/>
        <w:rPr/>
      </w:pPr>
      <w:r>
        <w:rPr>
          <w:rFonts w:ascii="IRNazanin" w:hAnsi="IRNazanin" w:eastAsia="IRNazanin"/>
          <w:color w:val="111111"/>
          <w:sz w:val="28"/>
          <w:sz w:val="28"/>
          <w:szCs w:val="28"/>
          <w:rtl w:val="true"/>
          <w:lang w:bidi="fa-IR"/>
        </w:rPr>
        <w:t>العسکری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العلامة الحلّی فی محمّد بن قاسم الأسترأبادی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الراوی من قِبَل أبی یعقوب وأبی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التفسیر موضوع</w:t>
      </w:r>
      <w:r>
        <w:rPr>
          <w:rFonts w:eastAsia="IRNazanin" w:cs="IRNazanin"/>
          <w:color w:val="111111"/>
          <w:sz w:val="28"/>
          <w:szCs w:val="28"/>
          <w:rtl w:val="true"/>
          <w:lang w:bidi="fa-IR"/>
        </w:rPr>
        <w:t xml:space="preserve">. </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ومن المخالفین لهذا التفسیر کذلک هو العلاّمة الشیخ محمّد جواد البلاغی، فهو ضمن الذین اعتبروا التفسیر مجعولاً، ثمّ یضعّف رواة سنده،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هناک تناقض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عباراته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واضطراب وواضح لا یمکن الدفاع عنه</w:t>
      </w:r>
      <w:r>
        <w:rPr>
          <w:rFonts w:eastAsia="IRNazanin" w:cs="IRNazanin"/>
          <w:color w:val="111111"/>
          <w:sz w:val="28"/>
          <w:szCs w:val="28"/>
          <w:rtl w:val="true"/>
          <w:lang w:bidi="fa-IR"/>
        </w:rPr>
        <w:t xml:space="preserve">. </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وکتب العلاّمة محمّد تقی التستری فی کتابه القیم قاموس الرجال، بعد نقله کلام ابن الغضائری فی تضعیفه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التفسیر المنقول روایته عن أبی یعقوب وأبی الحسن علی بن السیار لا یمکن الاعتماد علیه، وأنا قد أثبتّ جعله ووضعه فی کتاب آخر</w:t>
      </w:r>
      <w:r>
        <w:rPr>
          <w:rFonts w:eastAsia="IRNazanin" w:cs="IRNazanin"/>
          <w:color w:val="111111"/>
          <w:sz w:val="28"/>
          <w:szCs w:val="28"/>
          <w:rtl w:val="true"/>
          <w:lang w:bidi="fa-IR"/>
        </w:rPr>
        <w:t xml:space="preserve">. </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و قد قام العلاّمة التستری کما أشار بالبحث و التحقیق فی الموضوع فی کتابه الأخبار الدخیلة بشکل مفصّل حول هذا التفسیر وجاء ب</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شاهداً ودلیلاً علی ضعفه و صحّة مجعولیته، ثمّ انتهی إلی أنّ هذا التفسیر لا یمکن أن یکون من الإمام الحسن العسکری علیه السّلام</w:t>
      </w:r>
      <w:r>
        <w:rPr>
          <w:rFonts w:eastAsia="IRNazanin" w:cs="IRNazanin"/>
          <w:color w:val="111111"/>
          <w:sz w:val="28"/>
          <w:szCs w:val="28"/>
          <w:rtl w:val="true"/>
          <w:lang w:bidi="fa-IR"/>
        </w:rPr>
        <w:t xml:space="preserve">. </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و من جملة الأشخاص الذین یرون وضع هذا التفسیر هو آیة الله الخویی، فقد قال</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التفسیر المنسوب إلی الإمام الحسن العسکری علیه السّلام بروایة أبی الحسن علی بن علی بن محمّد بن سیار وصاحبه یوسف بن محمّد بن زیاد، والذین هما مجهولا الحال، وصرف نقلهما عن الإمام علیه السّلام لا یجعل منهما موثّقین ومعتبرین عند الإمام علیه السّلام</w:t>
      </w:r>
      <w:r>
        <w:rPr>
          <w:rFonts w:eastAsia="IRNazanin" w:cs="IRNazanin"/>
          <w:color w:val="111111"/>
          <w:sz w:val="28"/>
          <w:szCs w:val="28"/>
          <w:rtl w:val="true"/>
          <w:lang w:bidi="fa-IR"/>
        </w:rPr>
        <w:t xml:space="preserve">. </w:t>
      </w:r>
      <w:r>
        <w:rPr>
          <w:rStyle w:val="FootnoteAnchor"/>
          <w:rtl w:val="true"/>
        </w:rPr>
        <w:footnoteReference w:id="662"/>
      </w:r>
      <w:bookmarkStart w:id="610" w:name="pg5285_67445"/>
    </w:p>
    <w:p>
      <w:pPr>
        <w:pStyle w:val="BookText"/>
        <w:rPr/>
      </w:pPr>
      <w:bookmarkEnd w:id="610"/>
      <w:r>
        <w:rPr>
          <w:rFonts w:ascii="IRNazanin" w:hAnsi="IRNazanin" w:eastAsia="IRNazanin"/>
          <w:color w:val="111111"/>
          <w:sz w:val="28"/>
          <w:sz w:val="28"/>
          <w:szCs w:val="28"/>
          <w:rtl w:val="true"/>
          <w:lang w:bidi="fa-IR"/>
        </w:rPr>
        <w:t>وکتب بعد عدّة سطور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الشخص الذی یدقّق فی هذا التفسیر لا یتردّد فی کونه موضوعاً، و أنّ العالم المحقّق أسمی من أن یکتب هکذا تفسیر، فکیف بالإمام المعصوم علیه السّلام؟</w:t>
      </w:r>
      <w:r>
        <w:rPr>
          <w:rFonts w:eastAsia="IRNazanin" w:cs="IRNazanin"/>
          <w:color w:val="111111"/>
          <w:sz w:val="28"/>
          <w:szCs w:val="28"/>
          <w:rtl w:val="true"/>
          <w:lang w:bidi="fa-IR"/>
        </w:rPr>
        <w:t xml:space="preserve">. </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و ممّی وافق هذا الرأی أیضاً آیة الله معرفة، فهو ضمن توجیه نقده للتفاسیر التی تنقل روایات عن تفسیر الإمام العسکری علیه السّلام یقول مشیراً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التفسیر هو من جعل ووضع أبی یعقوب یوسف بن محمّد بن زیاد وأبی الحسن علی بن محمّد بن سیار و الذین هما من أسترأباد، و إنّ نسبته إلی الإمام الحسن العسکری علیه السّلام غیر صحیحة</w:t>
      </w:r>
      <w:r>
        <w:rPr>
          <w:rFonts w:eastAsia="IRNazanin" w:cs="IRNazanin"/>
          <w:color w:val="111111"/>
          <w:sz w:val="28"/>
          <w:szCs w:val="28"/>
          <w:rtl w:val="true"/>
          <w:lang w:bidi="fa-IR"/>
        </w:rPr>
        <w:t xml:space="preserve">. </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وهناک أشخاص آخرون ضعّفوا هذا التفسیر، یمکن أن نُشیر إلیهم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خلاصة الأقوال، و المقدّس الأردبیلی فی جامع الرواة، و القهبایی فی مجمع الرجال و الأسترأبادی فی منهج المقال، و میر مصطفی التفرشی فی نقد الرجال </w:t>
      </w:r>
      <w:r>
        <w:rPr>
          <w:rStyle w:val="FootnoteAnchor"/>
          <w:rtl w:val="true"/>
        </w:rPr>
        <w:footnoteReference w:id="6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الحادی عشر</w:t>
      </w:r>
      <w:r>
        <w:rPr>
          <w:rFonts w:eastAsia="IRNazanin" w:cs="IRNazanin"/>
          <w:color w:val="111111"/>
          <w:sz w:val="28"/>
          <w:szCs w:val="28"/>
          <w:rtl w:val="true"/>
          <w:lang w:bidi="fa-IR"/>
        </w:rPr>
        <w:t>).</w:t>
      </w:r>
    </w:p>
    <w:p>
      <w:pPr>
        <w:pStyle w:val="Heading4"/>
        <w:numPr>
          <w:ilvl w:val="3"/>
          <w:numId w:val="1"/>
        </w:numPr>
        <w:rPr/>
      </w:pPr>
      <w:bookmarkStart w:id="611" w:name="__RefHeading___Toc634283_581953129"/>
      <w:bookmarkStart w:id="612" w:name="_Toc237"/>
      <w:bookmarkEnd w:id="611"/>
      <w:r>
        <w:rPr>
          <w:rtl w:val="true"/>
        </w:rPr>
        <w:t>الموافقون</w:t>
      </w:r>
      <w:bookmarkEnd w:id="612"/>
    </w:p>
    <w:p>
      <w:pPr>
        <w:pStyle w:val="BookText"/>
        <w:rPr/>
      </w:pPr>
      <w:r>
        <w:rPr>
          <w:rFonts w:ascii="IRNazanin" w:hAnsi="IRNazanin" w:eastAsia="IRNazanin"/>
          <w:color w:val="111111"/>
          <w:sz w:val="28"/>
          <w:sz w:val="28"/>
          <w:szCs w:val="28"/>
          <w:rtl w:val="true"/>
          <w:lang w:bidi="fa-IR"/>
        </w:rPr>
        <w:t>وفی مقابل المخالفین نجد علماء فحولاً وبعض الإخباریین من لهم نظرة إیجابیة فی صحّة نسبة هذا التفسیر إلی الإمام العسکری علیه السّلام لا یمکن التغاضی عن آرائهم بهذه السهولة</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نلاحظ مثلاً أنّ الشیخ الصدوق، محمّد بن علی بن بابویه، صاحب من لا یحضره الفقیه ضمن الذین رووا کثیراً عن الامام العسکری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فی مختلف کتبه وفی مقدّمتها 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هو من الکتب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 من الروایات عن الإمام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اعتبر الشیخ الصدوق الروایات الواردة فی من لا یحضره الفقیه کلَّها صحیحةً، وأنّها حجّة بینه وبین الله جلّ شأنه</w:t>
      </w:r>
      <w:r>
        <w:rPr>
          <w:rFonts w:eastAsia="IRNazanin" w:cs="IRNazanin"/>
          <w:color w:val="111111"/>
          <w:sz w:val="28"/>
          <w:szCs w:val="28"/>
          <w:rtl w:val="true"/>
          <w:lang w:bidi="fa-IR"/>
        </w:rPr>
        <w:t xml:space="preserve">. </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 xml:space="preserve">و قد جاء ضمن ما نقله عن تفسیر الإمام العسکری علیه السّلام فی کتابه الأمالی </w:t>
      </w:r>
      <w:r>
        <w:rPr>
          <w:rStyle w:val="FootnoteAnchor"/>
          <w:rtl w:val="true"/>
        </w:rPr>
        <w:footnoteReference w:id="667"/>
      </w:r>
      <w:r>
        <w:rPr>
          <w:rFonts w:ascii="IRNazanin" w:hAnsi="IRNazanin" w:eastAsia="IRNazanin"/>
          <w:color w:val="111111"/>
          <w:sz w:val="28"/>
          <w:sz w:val="28"/>
          <w:szCs w:val="28"/>
          <w:rtl w:val="true"/>
          <w:lang w:bidi="fa-IR"/>
        </w:rPr>
        <w:t xml:space="preserve">و التوحید </w:t>
      </w:r>
      <w:r>
        <w:rPr>
          <w:rStyle w:val="FootnoteAnchor"/>
          <w:rtl w:val="true"/>
        </w:rPr>
        <w:footnoteReference w:id="668"/>
      </w:r>
      <w:r>
        <w:rPr>
          <w:rFonts w:ascii="IRNazanin" w:hAnsi="IRNazanin" w:eastAsia="IRNazanin"/>
          <w:color w:val="111111"/>
          <w:sz w:val="28"/>
          <w:sz w:val="28"/>
          <w:szCs w:val="28"/>
          <w:rtl w:val="true"/>
          <w:lang w:bidi="fa-IR"/>
        </w:rPr>
        <w:t xml:space="preserve">وعلل الشرایع، </w:t>
      </w:r>
      <w:r>
        <w:rPr>
          <w:rStyle w:val="FootnoteAnchor"/>
          <w:rtl w:val="true"/>
        </w:rPr>
        <w:footnoteReference w:id="669"/>
      </w:r>
      <w:r>
        <w:rPr>
          <w:rFonts w:ascii="IRNazanin" w:hAnsi="IRNazanin" w:eastAsia="IRNazanin"/>
          <w:color w:val="111111"/>
          <w:sz w:val="28"/>
          <w:sz w:val="28"/>
          <w:szCs w:val="28"/>
          <w:rtl w:val="true"/>
          <w:lang w:bidi="fa-IR"/>
        </w:rPr>
        <w:t>حیث أورد روایات مسندة إلی الإمام الحسن العسکری علیه السّلام، وبهذا السند أو بشکل متفاوت قلیل عن تفسیر الإمام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نقل ابن شهرأشوب صاحب المناقب عن تفسیر الإمام الحسن‌العسکری علیه السّلام فی عدّة مواضع روایات و أجری ما أجراه الشیخ الصدوق</w:t>
      </w:r>
      <w:r>
        <w:rPr>
          <w:rFonts w:eastAsia="IRNazanin" w:cs="IRNazanin"/>
          <w:color w:val="111111"/>
          <w:sz w:val="28"/>
          <w:szCs w:val="28"/>
          <w:rtl w:val="true"/>
          <w:lang w:bidi="fa-IR"/>
        </w:rPr>
        <w:t xml:space="preserve">. </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و قد کتب السید هاشم البحرانی صاحب تفسیر البرهان فی المقدّمة السادسة عشر، والتی احتوت علی ذکر مصادر تفسیره ما حیث کانت</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مصدراً، کتب فی ذکر المصدر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تفسیر مولانا أبی محمّد الحسن ابن علی العسکری علیه السّلام</w:t>
      </w:r>
      <w:r>
        <w:rPr>
          <w:rFonts w:eastAsia="IRNazanin" w:cs="IRNazanin"/>
          <w:color w:val="111111"/>
          <w:sz w:val="28"/>
          <w:szCs w:val="28"/>
          <w:rtl w:val="true"/>
          <w:lang w:bidi="fa-IR"/>
        </w:rPr>
        <w:t xml:space="preserve">. </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و هذا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المصدر هو موضع اعتماده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الشیخ الحرّ العاملی فی کتابه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رئیس المحدّثین ابن بابویه یعتمد علی هذا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نقل عنه أحادیث کثیرةً فی کتاب من لا یحضره الفقیه، وکذا فی کتبه الأخری، وهکذا الطبرسی صاحب الاحتجاج، و اعتمد علماؤنا الآخرون علیه أیضاً</w:t>
      </w:r>
      <w:r>
        <w:rPr>
          <w:rFonts w:eastAsia="IRNazanin" w:cs="IRNazanin"/>
          <w:color w:val="111111"/>
          <w:sz w:val="28"/>
          <w:szCs w:val="28"/>
          <w:rtl w:val="true"/>
          <w:lang w:bidi="fa-IR"/>
        </w:rPr>
        <w:t xml:space="preserve">. </w:t>
      </w:r>
      <w:r>
        <w:rPr>
          <w:rStyle w:val="FootnoteAnchor"/>
          <w:rtl w:val="true"/>
        </w:rPr>
        <w:footnoteReference w:id="672"/>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العلماء الذین یرون صحّة هذا التفسیر ویعتبرونه ذا قیمة کبیرة هو أبو منصور الطبرسی صاحب کتاب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کتب فی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فی أکثر الموارد لا</w:t>
      </w:r>
    </w:p>
    <w:p>
      <w:pPr>
        <w:pStyle w:val="BookText"/>
        <w:rPr/>
      </w:pPr>
      <w:r>
        <w:rPr>
          <w:rFonts w:ascii="IRNazanin" w:hAnsi="IRNazanin" w:eastAsia="IRNazanin"/>
          <w:color w:val="111111"/>
          <w:sz w:val="28"/>
          <w:sz w:val="28"/>
          <w:szCs w:val="28"/>
          <w:rtl w:val="true"/>
          <w:lang w:bidi="fa-IR"/>
        </w:rPr>
        <w:t>أذکر سند الروایة التی أنقلها؛ وذلک لکونی لا أنقل إلاّ ما هو موافق للاجماع، أو ما هو یستدلّ علیه بموافقة حکم العقل أو هو مشهور بین المخالفین و الموافقین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 قائلاً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السند الوحید الذی أنقله هو عن الإمام الحسن العسکری علیه السّلام لئن هذا الکتاب لیس مشهور مثل سائر الکتب، ولأجل هذا الأمر أوردت سنده فی أوّل الکتاب</w:t>
      </w:r>
      <w:r>
        <w:rPr>
          <w:rFonts w:eastAsia="IRNazanin" w:cs="IRNazanin"/>
          <w:color w:val="111111"/>
          <w:sz w:val="28"/>
          <w:szCs w:val="28"/>
          <w:rtl w:val="true"/>
          <w:lang w:bidi="fa-IR"/>
        </w:rPr>
        <w:t xml:space="preserve">. </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وهکذا یعتقد العلاّمة السید محسن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التفسیر معروف عند الشیعة أنّه موضع اعتبار رئیس المحدّثین الشیخ الصدوق، و هو یری رفض تضعیف هذا التفسیر</w:t>
      </w:r>
      <w:r>
        <w:rPr>
          <w:rFonts w:eastAsia="IRNazanin" w:cs="IRNazanin"/>
          <w:color w:val="111111"/>
          <w:sz w:val="28"/>
          <w:szCs w:val="28"/>
          <w:rtl w:val="true"/>
          <w:lang w:bidi="fa-IR"/>
        </w:rPr>
        <w:t xml:space="preserve">. </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و العلاّمة آغا بزرک الطهرانی بعد بحث مطوّل له فی سند تفسیر الإمام العسکری علیه السّلام وصفه بالمعتبر المفید، ثمّ عدّد أسماء الأعلام الذین تلقوه بالقبول و التأیید، ومن جملتهم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المجلسی رحمه الله فی بحار الأنوار، والشهید الثانی فی منیة المرید و المحقّق الکرکی فی إجازته لصفی الدین</w:t>
      </w:r>
      <w:r>
        <w:rPr>
          <w:rFonts w:eastAsia="IRNazanin" w:cs="IRNazanin"/>
          <w:color w:val="111111"/>
          <w:sz w:val="28"/>
          <w:szCs w:val="28"/>
          <w:rtl w:val="true"/>
          <w:lang w:bidi="fa-IR"/>
        </w:rPr>
        <w:t xml:space="preserve">. </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ومع ملاحظة ما تقدّم یطرح هذا السؤال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أنّ التفسیر المنسوب إلی الإمام العسکری علیه السّلام تفسیرٌ خالٍ من الفائدة والاعتبار، أم هو ذا قیمة ویستحقّ الدفاع عنه؟</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عدم الجنوح إلی جهة من الأطراف الموافقة أو المخالفة، والذی لکلّ طرف منهم أدلّته، فلیس سهلاً الحکم علیه من خلال ذلک، بل یجب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یمکن ردّ هذا التفسیر بشکل کامل، ولا یمکن قبوله بالکامل مع کلّ ما أورده من روایات، بل یجب التعامل معه مثل التعامل مع سائر التفاسیر الروائیة الأخری،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 وتفسیر القمّی، وتفسیر فرات 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البحث فیه وما یفرزه التحقیق من نتیجة فی حال الراویین المعروفین، هل هما ضعیفین أم موثّقین؟</w:t>
      </w:r>
    </w:p>
    <w:p>
      <w:pPr>
        <w:pStyle w:val="BookText"/>
        <w:rPr/>
      </w:pPr>
      <w:r>
        <w:rPr>
          <w:rFonts w:ascii="IRNazanin" w:hAnsi="IRNazanin" w:eastAsia="IRNazanin"/>
          <w:color w:val="111111"/>
          <w:sz w:val="28"/>
          <w:sz w:val="28"/>
          <w:szCs w:val="28"/>
          <w:rtl w:val="true"/>
          <w:lang w:bidi="fa-IR"/>
        </w:rPr>
        <w:t>فیلزم طرح کلّ روایة علی حدة، والتحقیق فیها فإذا کان المتن و السند سالمین من الضعف و الإشکال تُقبل، مع أنّ هناک فی بعض المواقع یکون محتوی الروایة بشکل لا یصدر من غیر المعصوم، ومن جملة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من کان من الفقهاء صائناً لنفسه حافظاً لدینه مخالفاً لهواه مطیعاً لأمر مولاه، فللعوام أن یقلّدوه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الشیخ الأنصاری رحمه الله بعد نقله هذه الروایة عن تفسیر الإمام الحسن العسکری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ویلوح منه آثار الصدوق</w:t>
      </w:r>
      <w:r>
        <w:rPr>
          <w:rFonts w:eastAsia="IRNazanin" w:cs="IRNazanin"/>
          <w:color w:val="111111"/>
          <w:sz w:val="28"/>
          <w:szCs w:val="28"/>
          <w:rtl w:val="true"/>
          <w:lang w:bidi="fa-IR"/>
        </w:rPr>
        <w:t xml:space="preserve">. </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 xml:space="preserve">و أمّا الأمور الأخری الموجودة فی هذا التفسیر، والتی أشار إلیها العلاّمة الشعرانی و العلامة البلاغی علی أنّها تسحب الاعتبار عنه، فمن جملتها اضطراب سند هذا التفسیر فی أوّله، و هو هل أنّ ابنا أبی یعقوب وأبی الحسن فعلاً کانا فی محضر الإمام علیه السّلام وتلقّیا منه هذا التفسیر أم هما وضعاه؟ </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و قد تمسک المخالفون بأدلة ثلاث، وذلک بالاستفادة ممّا تقدم أعلاه للردّ علی ذلک، و هذه الأدلّة الثلاثة 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شهادة قسم من متن الکتاب بکذبه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تضعیف ابن الغضائری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توثیق رواة الکتاب فی کتب الرجال</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الردّ علی الدلیل الأوّل 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هناک إشکال علی قسم من الکتاب لا یشکّل دلیلاً علی نسف الکتاب بالکامل؛ و أمّا الردّ علی الدلیل الثانی، فیمکن أن نقول</w:t>
      </w:r>
      <w:r>
        <w:rPr>
          <w:rFonts w:eastAsia="IRNazanin" w:cs="IRNazanin"/>
          <w:color w:val="111111"/>
          <w:sz w:val="28"/>
          <w:szCs w:val="28"/>
          <w:rtl w:val="true"/>
          <w:lang w:bidi="fa-IR"/>
        </w:rPr>
        <w:t>:</w:t>
      </w:r>
      <w:bookmarkStart w:id="613" w:name="pg5285_67449"/>
    </w:p>
    <w:p>
      <w:pPr>
        <w:pStyle w:val="BookText"/>
        <w:rPr/>
      </w:pPr>
      <w:bookmarkEnd w:id="613"/>
      <w:r>
        <w:rPr>
          <w:rFonts w:ascii="IRNazanin" w:hAnsi="IRNazanin" w:eastAsia="IRNazanin"/>
          <w:color w:val="111111"/>
          <w:sz w:val="28"/>
          <w:sz w:val="28"/>
          <w:szCs w:val="28"/>
          <w:rtl w:val="true"/>
          <w:lang w:bidi="fa-IR"/>
        </w:rPr>
        <w:t>إنّ فی قبال تضعیف ابن الغضائری یوجد محقّقون نقلوا روایات هذا التفسیر فی کتبهم المعتبرة،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الشیخ الصدوق رحمه الله وهناک أشخاص منهم صرّحوا باعتبار تفسیر الإمام العسکری علیه السّلام،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السید محسن الأمین و الحرّ 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الجواب علی الدلیل الثالث، والذی هو عدم توثیق رواة الکتاب فی کتب الرجال، فإنّ المراد من ضعفهم هو الضعف الاصطلاحی فی قبال الضعف الیقینی</w:t>
      </w:r>
      <w:r>
        <w:rPr>
          <w:rFonts w:eastAsia="IRNazanin" w:cs="IRNazanin"/>
          <w:color w:val="111111"/>
          <w:sz w:val="28"/>
          <w:szCs w:val="28"/>
          <w:rtl w:val="true"/>
          <w:lang w:bidi="fa-IR"/>
        </w:rPr>
        <w:t xml:space="preserve">. </w:t>
      </w:r>
      <w:r>
        <w:rPr>
          <w:rStyle w:val="FootnoteAnchor"/>
          <w:rtl w:val="true"/>
        </w:rPr>
        <w:footnoteReference w:id="678"/>
      </w:r>
      <w:r>
        <w:rPr>
          <w:rFonts w:ascii="IRNazanin" w:hAnsi="IRNazanin" w:eastAsia="IRNazanin"/>
          <w:color w:val="111111"/>
          <w:sz w:val="28"/>
          <w:sz w:val="28"/>
          <w:szCs w:val="28"/>
          <w:rtl w:val="true"/>
          <w:lang w:bidi="fa-IR"/>
        </w:rPr>
        <w:t>وهکذا المراد من الصحیح أیضاً؛ وذلک لأنّ بعض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من کان من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تحتوی علی قیمة معنویة وفؤائد جمّة لا یمکن إغماض الطَرَف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الضروری أن نؤکّد علی هذه النقطة المهمّة، وهی أنّه تُوجد لهذا التفسیر نسخ خطیة متعدّدة، و قد أشیر فی طبعاته الجدیدة إلی ستّ نسخ منها، کما و أنّ هذا التفسیر طُبع مرّتین بالطبعة الحجریة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طبع فی إیران وبیروت، وثمّ ترجمته الفارسیة طُبعتَ فی الهند أیضاً</w:t>
      </w:r>
      <w:r>
        <w:rPr>
          <w:rFonts w:eastAsia="IRNazanin" w:cs="IRNazanin"/>
          <w:color w:val="111111"/>
          <w:sz w:val="28"/>
          <w:szCs w:val="28"/>
          <w:rtl w:val="true"/>
          <w:lang w:bidi="fa-IR"/>
        </w:rPr>
        <w:t>.</w:t>
      </w:r>
    </w:p>
    <w:p>
      <w:pPr>
        <w:pStyle w:val="Heading3"/>
        <w:numPr>
          <w:ilvl w:val="2"/>
          <w:numId w:val="1"/>
        </w:numPr>
        <w:rPr/>
      </w:pPr>
      <w:bookmarkStart w:id="614" w:name="__RefHeading___Toc634285_581953129"/>
      <w:bookmarkStart w:id="615" w:name="_Toc238"/>
      <w:bookmarkEnd w:id="614"/>
      <w:r>
        <w:rPr>
          <w:rtl w:val="true"/>
        </w:rPr>
        <w:t>تفاسیر أهل السنّة</w:t>
      </w:r>
      <w:bookmarkEnd w:id="615"/>
    </w:p>
    <w:p>
      <w:pPr>
        <w:pStyle w:val="Heading4"/>
        <w:numPr>
          <w:ilvl w:val="3"/>
          <w:numId w:val="1"/>
        </w:numPr>
        <w:rPr/>
      </w:pPr>
      <w:bookmarkStart w:id="616" w:name="__RefHeading___Toc634287_581953129"/>
      <w:bookmarkStart w:id="617" w:name="_Toc239"/>
      <w:bookmarkEnd w:id="616"/>
      <w:r>
        <w:rPr/>
        <w:t>1</w:t>
      </w:r>
      <w:r>
        <w:rPr>
          <w:rtl w:val="true"/>
        </w:rPr>
        <w:t xml:space="preserve">. </w:t>
      </w:r>
      <w:r>
        <w:rPr>
          <w:rtl w:val="true"/>
        </w:rPr>
        <w:t>تفسیر الطبری</w:t>
      </w:r>
      <w:r>
        <w:rPr>
          <w:rtl w:val="true"/>
        </w:rPr>
        <w:t>:</w:t>
      </w:r>
      <w:bookmarkEnd w:id="617"/>
    </w:p>
    <w:p>
      <w:pPr>
        <w:pStyle w:val="Heading5"/>
        <w:numPr>
          <w:ilvl w:val="4"/>
          <w:numId w:val="1"/>
        </w:numPr>
        <w:rPr/>
      </w:pPr>
      <w:bookmarkStart w:id="618" w:name="__RefHeading___Toc634289_581953129"/>
      <w:bookmarkStart w:id="619" w:name="_Toc240"/>
      <w:bookmarkEnd w:id="618"/>
      <w:r>
        <w:rPr>
          <w:rtl w:val="true"/>
        </w:rPr>
        <w:t>اشارة</w:t>
      </w:r>
      <w:bookmarkEnd w:id="619"/>
    </w:p>
    <w:p>
      <w:pPr>
        <w:pStyle w:val="BookText"/>
        <w:rPr/>
      </w:pPr>
      <w:r>
        <w:rPr>
          <w:rFonts w:ascii="IRNazanin" w:hAnsi="IRNazanin" w:eastAsia="IRNazanin"/>
          <w:color w:val="111111"/>
          <w:sz w:val="28"/>
          <w:sz w:val="28"/>
          <w:szCs w:val="28"/>
          <w:rtl w:val="true"/>
          <w:lang w:bidi="fa-IR"/>
        </w:rPr>
        <w:t>اسم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البیان فی تأویل آی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الروائی، وأحیاناً یرفقه بالتحلیل و النکات الأدبیة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من أشهر تفاسیر أهل السنّة هو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البیان فی تأویل آی القرآن، لمؤلّفه</w:t>
      </w:r>
      <w:bookmarkStart w:id="620" w:name="pg5285_67450"/>
    </w:p>
    <w:p>
      <w:pPr>
        <w:pStyle w:val="BookText"/>
        <w:rPr/>
      </w:pPr>
      <w:bookmarkEnd w:id="620"/>
      <w:r>
        <w:rPr>
          <w:rFonts w:ascii="IRNazanin" w:hAnsi="IRNazanin" w:eastAsia="IRNazanin"/>
          <w:color w:val="111111"/>
          <w:sz w:val="28"/>
          <w:sz w:val="28"/>
          <w:szCs w:val="28"/>
          <w:rtl w:val="true"/>
          <w:lang w:bidi="fa-IR"/>
        </w:rPr>
        <w:t>أبی جعفر محمّد بن جریر الطبری، والمعروف بتفسیر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یعدّ الطبری من علماء القرن الثالث و الرابع، و قد وُلد فی سنة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فی مدینة آمل من مازندران الإیرانیة، و قد عُرفت فی ذلک الزمان بطبرستان، وتوفّی فی بغداد سنة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الطبری متخصّصاً فی القراءات و الحدیث، والفقه و التاریخ، وعلوم القرآن و التفسیر، ومن علماء الطراز الأوّل بین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کان یعدّ الإمام و المتقدّم فی کثیر من علوم زمانه علی غیره من دون منازع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ویذکر أنّه کان فی بدایة أمره تابعاً للمذهب الشافعی فی الفقه، ثمّ بعد ذلک شرع فی تأسیس مذهب فقهی مستقلّ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استمرّ المذهب الطبری فی الفقه بأتباعه إلی مدّة معینة، ثمّ انقرض تدریجیاً، و قد ذکر ابن الندیم فی الفهرس أسماء عدّة من فقهاء لمذهب الفقه الطبری</w:t>
      </w:r>
      <w:r>
        <w:rPr>
          <w:rFonts w:eastAsia="IRNazanin" w:cs="IRNazanin"/>
          <w:color w:val="111111"/>
          <w:sz w:val="28"/>
          <w:szCs w:val="28"/>
          <w:rtl w:val="true"/>
          <w:lang w:bidi="fa-IR"/>
        </w:rPr>
        <w:t xml:space="preserve">. </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أمّا تفسیر محمد بن جریر الطبری، فهو</w:t>
      </w:r>
      <w:r>
        <w:rPr>
          <w:rFonts w:eastAsia="IRNazanin" w:cs="IRNazanin"/>
          <w:color w:val="111111"/>
          <w:sz w:val="28"/>
          <w:szCs w:val="28"/>
          <w:rtl w:val="true"/>
          <w:lang w:bidi="fa-IR"/>
        </w:rPr>
        <w:t>:</w:t>
      </w:r>
    </w:p>
    <w:p>
      <w:pPr>
        <w:pStyle w:val="Heading5"/>
        <w:numPr>
          <w:ilvl w:val="4"/>
          <w:numId w:val="1"/>
        </w:numPr>
        <w:rPr/>
      </w:pPr>
      <w:bookmarkStart w:id="621" w:name="__RefHeading___Toc634291_581953129"/>
      <w:bookmarkStart w:id="622" w:name="_Toc241"/>
      <w:bookmarkEnd w:id="621"/>
      <w:r>
        <w:rPr>
          <w:rtl w:val="true"/>
        </w:rPr>
        <w:t>تفسیر جامع البیان</w:t>
      </w:r>
      <w:bookmarkEnd w:id="622"/>
    </w:p>
    <w:p>
      <w:pPr>
        <w:pStyle w:val="BookText"/>
        <w:rPr/>
      </w:pPr>
      <w:r>
        <w:rPr>
          <w:rFonts w:ascii="IRNazanin" w:hAnsi="IRNazanin" w:eastAsia="IRNazanin"/>
          <w:color w:val="111111"/>
          <w:sz w:val="28"/>
          <w:sz w:val="28"/>
          <w:szCs w:val="28"/>
          <w:rtl w:val="true"/>
          <w:lang w:bidi="fa-IR"/>
        </w:rPr>
        <w:t>کُتب هذا التفسیر فی أواخر القرن الثالث، ومن هنا فإنّه لم یکتب فی ذلک الزمان تفسیر کامل مدوّن لتفسیر القرآن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حاز هذا التفسیر علی شهرة واسعة جدّاً، ومضافاً إلی کونه تفسیر لکلّ القرآن هو أحد التفاسیر المفصّلة و المبسوطة التی کتب فی ذلک العهد؛ ولهذه العلّة وصف هذا التفسیر بأمّ التفاسیر، ولقّب الطبری بأبی المفسّرین</w:t>
      </w:r>
      <w:r>
        <w:rPr>
          <w:rFonts w:eastAsia="IRNazanin" w:cs="IRNazanin"/>
          <w:color w:val="111111"/>
          <w:sz w:val="28"/>
          <w:szCs w:val="28"/>
          <w:rtl w:val="true"/>
          <w:lang w:bidi="fa-IR"/>
        </w:rPr>
        <w:t xml:space="preserve">. </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و قد وصفه المستشرق جولد زیهر بأنّه دائرة معارف کبیرة فی التفسیر</w:t>
      </w:r>
      <w:r>
        <w:rPr>
          <w:rFonts w:eastAsia="IRNazanin" w:cs="IRNazanin"/>
          <w:color w:val="111111"/>
          <w:sz w:val="28"/>
          <w:szCs w:val="28"/>
          <w:rtl w:val="true"/>
          <w:lang w:bidi="fa-IR"/>
        </w:rPr>
        <w:t xml:space="preserve">. </w:t>
      </w:r>
      <w:r>
        <w:rPr>
          <w:rStyle w:val="FootnoteAnchor"/>
          <w:rtl w:val="true"/>
        </w:rPr>
        <w:footnoteReference w:id="681"/>
      </w:r>
    </w:p>
    <w:p>
      <w:pPr>
        <w:pStyle w:val="Heading5"/>
        <w:numPr>
          <w:ilvl w:val="4"/>
          <w:numId w:val="1"/>
        </w:numPr>
        <w:rPr/>
      </w:pPr>
      <w:bookmarkStart w:id="623" w:name="__RefHeading___Toc634293_581953129"/>
      <w:bookmarkStart w:id="624" w:name="_Toc242"/>
      <w:bookmarkEnd w:id="623"/>
      <w:r>
        <w:rPr>
          <w:rtl w:val="true"/>
        </w:rPr>
        <w:t>منهج ومصادر التفسیر عند الطبری</w:t>
      </w:r>
      <w:bookmarkEnd w:id="624"/>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الحقیقة إنّ المنهج التفسیری عند الطبری هو المنهج النقلی و التحلیلی، و إنّ</w:t>
      </w:r>
      <w:bookmarkStart w:id="625" w:name="pg5285_67451"/>
    </w:p>
    <w:p>
      <w:pPr>
        <w:pStyle w:val="BookText"/>
        <w:rPr/>
      </w:pPr>
      <w:bookmarkEnd w:id="625"/>
      <w:r>
        <w:rPr>
          <w:rFonts w:ascii="IRNazanin" w:hAnsi="IRNazanin" w:eastAsia="IRNazanin"/>
          <w:color w:val="111111"/>
          <w:sz w:val="28"/>
          <w:sz w:val="28"/>
          <w:szCs w:val="28"/>
          <w:rtl w:val="true"/>
          <w:lang w:bidi="fa-IR"/>
        </w:rPr>
        <w:t>أهمّ مصادره هی الروایات الواصلة إلیه عن النبی صلّی الله علیه و آله وأقوال الصحابة و التابعین، ویمکن ذکر مصادر أخری لتفسیره، وهی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الاستفادة من الأدب العربی، وعلی الخصوص فی النحو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الاستفادة من اللغة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الاستفادة من الشعر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القیام باختیار قراءة خاصّة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آراء الفقهاء ونقدها و التحقیق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ومثلما قالوا إنّ أهمّ میزة تفسیریة عنده هی هذه الروایات الواصلة عن الرسول صلّی الله علیه و آله، والتی بها صار تفسیره تفسیراً روائیاً، ومن هنا عُدّ من محدّثیٍ عصره، و قد ذکر روایاته مسندة وثبّت أسماء الرواة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ابتدأ روایاته التی ینقلها بقول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أو حدّثنا، فإذا سمع الروایة لوحده،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و إذا سمعها مع آخرین، قال حدّثنا</w:t>
      </w:r>
      <w:r>
        <w:rPr>
          <w:rFonts w:eastAsia="IRNazanin" w:cs="IRNazanin"/>
          <w:color w:val="111111"/>
          <w:sz w:val="28"/>
          <w:szCs w:val="28"/>
          <w:rtl w:val="true"/>
          <w:lang w:bidi="fa-IR"/>
        </w:rPr>
        <w:t xml:space="preserve">. </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لقد استفاد الطبری من غیر المصدر الروائی من مصادر أخری کذلک، و هذا الأسلوب کان هو الباعث علی اتّساع حجم تفسیره عن النقل المحض، ثمّ هو مضافاً إلی ذلک یمارس التحلیل أحیاناً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نحاول ذکر نماذج من استفادة الطبری من المصادر غیر الروایة فی تفسیره</w:t>
      </w:r>
      <w:r>
        <w:rPr>
          <w:rFonts w:eastAsia="IRNazanin" w:cs="IRNazanin"/>
          <w:color w:val="111111"/>
          <w:sz w:val="28"/>
          <w:szCs w:val="28"/>
          <w:rtl w:val="true"/>
          <w:lang w:bidi="fa-IR"/>
        </w:rPr>
        <w:t>:</w:t>
      </w:r>
    </w:p>
    <w:p>
      <w:pPr>
        <w:pStyle w:val="Heading5"/>
        <w:numPr>
          <w:ilvl w:val="4"/>
          <w:numId w:val="1"/>
        </w:numPr>
        <w:rPr/>
      </w:pPr>
      <w:bookmarkStart w:id="626" w:name="__RefHeading___Toc634295_581953129"/>
      <w:bookmarkStart w:id="627" w:name="_Toc243"/>
      <w:bookmarkEnd w:id="626"/>
      <w:r>
        <w:rPr>
          <w:rtl w:val="true"/>
        </w:rPr>
        <w:t>الاستفادة من الأدب</w:t>
      </w:r>
      <w:bookmarkEnd w:id="627"/>
    </w:p>
    <w:p>
      <w:pPr>
        <w:pStyle w:val="BookText"/>
        <w:rPr/>
      </w:pPr>
      <w:r>
        <w:rPr>
          <w:rFonts w:ascii="IRNazanin" w:hAnsi="IRNazanin" w:eastAsia="IRNazanin"/>
          <w:color w:val="111111"/>
          <w:sz w:val="28"/>
          <w:sz w:val="28"/>
          <w:szCs w:val="28"/>
          <w:rtl w:val="true"/>
          <w:lang w:bidi="fa-IR"/>
        </w:rPr>
        <w:t>یقول الطبری فی ذیل الآیة المبارکة</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أَنْتُمْ هؤُلاءِ تَقْتُلُونَ أَنْفُسَکُمْ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83"/>
      </w:r>
      <w:r>
        <w:rPr>
          <w:rFonts w:ascii="IRNazanin" w:hAnsi="IRNazanin" w:eastAsia="IRNazanin"/>
          <w:color w:val="111111"/>
          <w:sz w:val="28"/>
          <w:sz w:val="28"/>
          <w:szCs w:val="28"/>
          <w:rtl w:val="true"/>
          <w:lang w:bidi="fa-IR"/>
        </w:rPr>
        <w:t>هناک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 یکون أرید به</w:t>
      </w:r>
      <w:r>
        <w:rPr>
          <w:rFonts w:eastAsia="IRNazanin" w:cs="IRNazanin"/>
          <w:color w:val="111111"/>
          <w:sz w:val="28"/>
          <w:szCs w:val="28"/>
          <w:rtl w:val="true"/>
          <w:lang w:bidi="fa-IR"/>
        </w:rPr>
        <w:t>:</w:t>
      </w:r>
      <w:bookmarkStart w:id="628" w:name="pg5285_67452"/>
    </w:p>
    <w:p>
      <w:pPr>
        <w:pStyle w:val="BookText"/>
        <w:rPr/>
      </w:pPr>
      <w:bookmarkEnd w:id="6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أَنْتُمْ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استغناء بدلالة الکلام علیه،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 أَعْرِضْ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،وتأویله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یوسف أعرض عن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الآخر أن یکون معناه، 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هؤُلاءِ تَقْتُلُونَ أَنْفُسَکُمْ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،فیرجع إلی الخبر عن أنتم واعترض بینهم وبین الخبر عنهم بهؤلاء، کما 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هذا أجلس</w:t>
      </w:r>
      <w:r>
        <w:rPr>
          <w:rFonts w:eastAsia="Amiri" w:cs="Amiri" w:ascii="Amiri" w:hAnsi="Amiri"/>
          <w:color w:val="111111"/>
          <w:sz w:val="28"/>
          <w:szCs w:val="28"/>
          <w:rtl w:val="true"/>
          <w:lang w:bidi="ar-SA"/>
        </w:rPr>
        <w:t xml:space="preserve">. </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 xml:space="preserve">فهو فی هذه الآیة یرید توجیه الوسط الواقع فی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،بوجهین أدبیین، وشواهد من کلام العرب</w:t>
      </w:r>
      <w:r>
        <w:rPr>
          <w:rFonts w:eastAsia="IRNazanin" w:cs="IRNazanin"/>
          <w:color w:val="111111"/>
          <w:sz w:val="28"/>
          <w:szCs w:val="28"/>
          <w:rtl w:val="true"/>
          <w:lang w:bidi="fa-IR"/>
        </w:rPr>
        <w:t>.</w:t>
      </w:r>
    </w:p>
    <w:p>
      <w:pPr>
        <w:pStyle w:val="Heading5"/>
        <w:numPr>
          <w:ilvl w:val="4"/>
          <w:numId w:val="1"/>
        </w:numPr>
        <w:rPr/>
      </w:pPr>
      <w:bookmarkStart w:id="629" w:name="__RefHeading___Toc634297_581953129"/>
      <w:bookmarkStart w:id="630" w:name="_Toc244"/>
      <w:bookmarkEnd w:id="629"/>
      <w:r>
        <w:rPr>
          <w:rtl w:val="true"/>
        </w:rPr>
        <w:t>الاستفادة من اللغة</w:t>
      </w:r>
      <w:bookmarkEnd w:id="630"/>
    </w:p>
    <w:p>
      <w:pPr>
        <w:pStyle w:val="BookText"/>
        <w:rPr/>
      </w:pPr>
      <w:r>
        <w:rPr>
          <w:rFonts w:ascii="Amiri" w:hAnsi="Amiri" w:eastAsia="Amiri" w:cs="Amiri"/>
          <w:color w:val="111111"/>
          <w:sz w:val="28"/>
          <w:sz w:val="28"/>
          <w:szCs w:val="28"/>
          <w:rtl w:val="true"/>
          <w:lang w:bidi="ar-SA"/>
        </w:rPr>
        <w:t>یقول فی ذیل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یُؤْخَذُ مِنْها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85"/>
      </w:r>
      <w:r>
        <w:rPr>
          <w:rFonts w:ascii="IRNazanin" w:hAnsi="IRNazanin" w:eastAsia="IRNazanin"/>
          <w:color w:val="111111"/>
          <w:sz w:val="28"/>
          <w:sz w:val="28"/>
          <w:szCs w:val="28"/>
          <w:rtl w:val="true"/>
          <w:lang w:bidi="fa-IR"/>
        </w:rPr>
        <w:t>العدل فی کلام العرب بفتح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الفدیة</w:t>
      </w:r>
      <w:r>
        <w:rPr>
          <w:rFonts w:eastAsia="IRNazanin" w:cs="IRNazanin"/>
          <w:color w:val="111111"/>
          <w:sz w:val="28"/>
          <w:szCs w:val="28"/>
          <w:rtl w:val="true"/>
          <w:lang w:bidi="fa-IR"/>
        </w:rPr>
        <w:t xml:space="preserve">. </w:t>
      </w:r>
      <w:r>
        <w:rPr>
          <w:rStyle w:val="FootnoteAnchor"/>
          <w:rtl w:val="true"/>
        </w:rPr>
        <w:footnoteReference w:id="686"/>
      </w:r>
      <w:r>
        <w:rPr>
          <w:rFonts w:ascii="IRNazanin" w:hAnsi="IRNazanin" w:eastAsia="IRNazanin"/>
          <w:color w:val="111111"/>
          <w:sz w:val="28"/>
          <w:sz w:val="28"/>
          <w:szCs w:val="28"/>
          <w:rtl w:val="true"/>
          <w:lang w:bidi="fa-IR"/>
        </w:rPr>
        <w:t>فمفردة العدل فی لغة العرب، تعنی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الفدیة و العوض، و قد استعان باللغة لبیان ذلک کما یلاحظ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کان الطبری صاحب رأی اجتهادی فی القراءات، و قد ألّف کتاباً فی اختلاف القراءات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القراءات وتنزیل القرآن، فی ثمانیة عشر مجلّداً، وذکر فیه مختلف القراءات، ثمّ هو بعد ذلک قام بطرح رأیه، ودعم ما اختاره من قراءة بالدلیل و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وکمثال علی ذلک إلیکم هذا النموذج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تُقرأ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ومالک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بعد بحثه المفصّل فی کلا القراءتین،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البحث الکامل أوردته فی کتاب القراءات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یقول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 القرائتین فی التلاوة عندی التأویل الأوّل، وهی قراءة من</w:t>
      </w:r>
      <w:bookmarkStart w:id="631" w:name="pg5285_67453"/>
    </w:p>
    <w:p>
      <w:pPr>
        <w:pStyle w:val="BookText"/>
        <w:rPr/>
      </w:pPr>
      <w:bookmarkEnd w:id="631"/>
      <w:r>
        <w:rPr>
          <w:rFonts w:ascii="IRNazanin" w:hAnsi="IRNazanin" w:eastAsia="IRNazanin"/>
          <w:color w:val="111111"/>
          <w:sz w:val="28"/>
          <w:sz w:val="28"/>
          <w:szCs w:val="28"/>
          <w:rtl w:val="true"/>
          <w:lang w:bidi="fa-IR"/>
        </w:rPr>
        <w:t>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 لأنّ فی الإقرار له بالانفراد بالملک إیجاباً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وفضیلة زیادة الملک علی المالک</w:t>
      </w:r>
      <w:r>
        <w:rPr>
          <w:rFonts w:eastAsia="IRNazanin" w:cs="IRNazanin"/>
          <w:color w:val="111111"/>
          <w:sz w:val="28"/>
          <w:szCs w:val="28"/>
          <w:rtl w:val="true"/>
          <w:lang w:bidi="fa-IR"/>
        </w:rPr>
        <w:t xml:space="preserve">...». </w:t>
      </w:r>
      <w:r>
        <w:rPr>
          <w:rStyle w:val="FootnoteAnchor"/>
          <w:rtl w:val="true"/>
        </w:rPr>
        <w:footnoteReference w:id="687"/>
      </w:r>
    </w:p>
    <w:p>
      <w:pPr>
        <w:pStyle w:val="Heading5"/>
        <w:numPr>
          <w:ilvl w:val="4"/>
          <w:numId w:val="1"/>
        </w:numPr>
        <w:rPr/>
      </w:pPr>
      <w:bookmarkStart w:id="632" w:name="__RefHeading___Toc634299_581953129"/>
      <w:bookmarkStart w:id="633" w:name="_Toc245"/>
      <w:bookmarkEnd w:id="632"/>
      <w:r>
        <w:rPr>
          <w:rtl w:val="true"/>
        </w:rPr>
        <w:t>الشعر</w:t>
      </w:r>
      <w:bookmarkEnd w:id="633"/>
    </w:p>
    <w:p>
      <w:pPr>
        <w:pStyle w:val="BookText"/>
        <w:rPr/>
      </w:pPr>
      <w:r>
        <w:rPr>
          <w:rFonts w:ascii="IRNazanin" w:hAnsi="IRNazanin" w:eastAsia="IRNazanin"/>
          <w:color w:val="111111"/>
          <w:sz w:val="28"/>
          <w:sz w:val="28"/>
          <w:szCs w:val="28"/>
          <w:rtl w:val="true"/>
          <w:lang w:bidi="fa-IR"/>
        </w:rPr>
        <w:t>لقد استفاد الطبری من الشعر العربی بشکل واسع جدّاً فی ذکر شواهده لتوضیح معانی المفردات القرآنیة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التشبیه و الکنایة و البحوث الأدبیة، وبیان المعانی المجازیة اعتمد علی الشعر العربی کثیراً لتفسیر معنی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فی ذیل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688"/>
      </w:r>
      <w:r>
        <w:rPr>
          <w:rFonts w:ascii="IRNazanin" w:hAnsi="IRNazanin" w:eastAsia="IRNazanin"/>
          <w:color w:val="111111"/>
          <w:sz w:val="28"/>
          <w:sz w:val="28"/>
          <w:szCs w:val="28"/>
          <w:rtl w:val="true"/>
          <w:lang w:bidi="fa-IR"/>
        </w:rPr>
        <w:t>یعطی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الرعایة فی السماع، ویستشهد بقول الأعشی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استفاد من أشعار الأعشی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المفردة و یذکر من شهره ما هو أدناه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یرعی إلی قول سادات الرجال إذا أبدوا له الحزم أو ما شاءه ابتدعا</w:t>
      </w:r>
    </w:p>
    <w:p>
      <w:pPr>
        <w:pStyle w:val="BookText"/>
        <w:rPr/>
      </w:pPr>
      <w:r>
        <w:rPr>
          <w:rFonts w:ascii="IRNazanin" w:hAnsi="IRNazanin" w:eastAsia="IRNazanin"/>
          <w:color w:val="111111"/>
          <w:sz w:val="28"/>
          <w:sz w:val="28"/>
          <w:szCs w:val="28"/>
          <w:rtl w:val="true"/>
          <w:lang w:bidi="fa-IR"/>
        </w:rPr>
        <w:t>یعنی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یرعی، یصغی بسمعه إلیه مُفرِغه لذلک</w:t>
      </w:r>
      <w:r>
        <w:rPr>
          <w:rFonts w:eastAsia="IRNazanin" w:cs="IRNazanin"/>
          <w:color w:val="111111"/>
          <w:sz w:val="28"/>
          <w:szCs w:val="28"/>
          <w:rtl w:val="true"/>
          <w:lang w:bidi="fa-IR"/>
        </w:rPr>
        <w:t xml:space="preserve">... </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وهناک مصدران آخران یمکن ذکرهما کتفریع علی مصادر الطبری، وهما</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ففی کثیر من الأمور کان الطبری یعتمد فی استدلاله علی الترجیح بین الأقول و الآراء علی الإجماع، ومن جملة ذلک ما جاء فی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قِیلَ لَهُمْ لا تُفْسِدُوا فِی الْأَرْضِ قالُوا إِنَّما نَحْنُ مُصْلِحُونَ</w:t>
      </w:r>
      <w:r>
        <w:rPr>
          <w:rFonts w:eastAsia="Amiri" w:cs="Amiri" w:ascii="Amiri" w:hAnsi="Amiri"/>
          <w:color w:val="111111"/>
          <w:sz w:val="28"/>
          <w:szCs w:val="28"/>
          <w:rtl w:val="true"/>
          <w:lang w:bidi="ar-SA"/>
        </w:rPr>
        <w:t xml:space="preserve">) </w:t>
      </w:r>
      <w:r>
        <w:rPr>
          <w:rStyle w:val="FootnoteAnchor"/>
          <w:rtl w:val="true"/>
        </w:rPr>
        <w:footnoteReference w:id="690"/>
      </w:r>
      <w:r>
        <w:rPr>
          <w:rFonts w:ascii="IRNazanin" w:hAnsi="IRNazanin" w:eastAsia="IRNazanin"/>
          <w:color w:val="111111"/>
          <w:sz w:val="28"/>
          <w:sz w:val="28"/>
          <w:szCs w:val="28"/>
          <w:rtl w:val="true"/>
          <w:lang w:bidi="fa-IR"/>
        </w:rPr>
        <w:t>ففی ذکر هذه المجموعة من تکون؟ فهو یأتی بعدّة أقوال،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الآیة تخصّ المنافقین فی عصر الرسالة، و هذا القول هو الأصحّ، لاجماع الحجّة من أهل التأویل، </w:t>
      </w:r>
      <w:r>
        <w:rPr>
          <w:rStyle w:val="FootnoteAnchor"/>
          <w:rtl w:val="true"/>
        </w:rPr>
        <w:footnoteReference w:id="691"/>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الدلیل علی ذلک هو إجماع أهل التفسیر</w:t>
      </w:r>
      <w:r>
        <w:rPr>
          <w:rFonts w:eastAsia="IRNazanin" w:cs="IRNazanin"/>
          <w:color w:val="111111"/>
          <w:sz w:val="28"/>
          <w:szCs w:val="28"/>
          <w:rtl w:val="true"/>
          <w:lang w:bidi="fa-IR"/>
        </w:rPr>
        <w:t>.</w:t>
      </w:r>
      <w:bookmarkStart w:id="634" w:name="pg5285_67454"/>
    </w:p>
    <w:p>
      <w:pPr>
        <w:pStyle w:val="BookText"/>
        <w:rPr/>
      </w:pPr>
      <w:bookmarkEnd w:id="63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القرآن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نشاهد فی تفسیر الطبری مورداً لتفسیره القرآن بالقرآن</w:t>
      </w:r>
      <w:r>
        <w:rPr>
          <w:rFonts w:eastAsia="IRNazanin" w:cs="IRNazanin"/>
          <w:color w:val="111111"/>
          <w:sz w:val="28"/>
          <w:szCs w:val="28"/>
          <w:rtl w:val="true"/>
          <w:lang w:bidi="fa-IR"/>
        </w:rPr>
        <w:t>.</w:t>
      </w:r>
    </w:p>
    <w:p>
      <w:pPr>
        <w:pStyle w:val="Heading5"/>
        <w:numPr>
          <w:ilvl w:val="4"/>
          <w:numId w:val="1"/>
        </w:numPr>
        <w:rPr/>
      </w:pPr>
      <w:bookmarkStart w:id="635" w:name="__RefHeading___Toc634301_581953129"/>
      <w:bookmarkStart w:id="636" w:name="_Toc246"/>
      <w:bookmarkEnd w:id="635"/>
      <w:r>
        <w:rPr>
          <w:rtl w:val="true"/>
        </w:rPr>
        <w:t>موقف الطبری من أهل‌البیت علیهم السّلام</w:t>
      </w:r>
      <w:bookmarkEnd w:id="636"/>
    </w:p>
    <w:p>
      <w:pPr>
        <w:pStyle w:val="BookText"/>
        <w:rPr/>
      </w:pPr>
      <w:r>
        <w:rPr>
          <w:rFonts w:ascii="IRNazanin" w:hAnsi="IRNazanin" w:eastAsia="IRNazanin"/>
          <w:color w:val="111111"/>
          <w:sz w:val="28"/>
          <w:sz w:val="28"/>
          <w:szCs w:val="28"/>
          <w:rtl w:val="true"/>
          <w:lang w:bidi="fa-IR"/>
        </w:rPr>
        <w:t>إنّ موقف التفاسیر و المفسّرون من أهل السنّة متفاوت من الآیات المتعلّقة بأهل‌البیت علیهم السّلام، فهی لیست علی حدًّ سواء، فبعضها معتدل یذکر فضائل أهل‌البیت علیهم السّلام، والبعض الآخر یعتمد فکرة طمس فضائلهم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التحقیق فی المواضع المختلفة من تفسیر الطبری یتبین بوضوح أنّه من الصنف 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ذیل الآیات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9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w:t>
      </w:r>
      <w:r>
        <w:rPr>
          <w:rFonts w:eastAsia="Amiri" w:cs="Amiri" w:ascii="Amiri" w:hAnsi="Amiri"/>
          <w:color w:val="111111"/>
          <w:sz w:val="28"/>
          <w:szCs w:val="28"/>
          <w:rtl w:val="true"/>
          <w:lang w:bidi="ar-SA"/>
        </w:rPr>
        <w:t xml:space="preserve">) </w:t>
      </w:r>
      <w:r>
        <w:rPr>
          <w:rStyle w:val="FootnoteAnchor"/>
          <w:rtl w:val="true"/>
        </w:rPr>
        <w:footnoteReference w:id="693"/>
      </w:r>
      <w:r>
        <w:rPr>
          <w:rFonts w:ascii="IRNazanin" w:hAnsi="IRNazanin" w:eastAsia="IRNazanin"/>
          <w:color w:val="111111"/>
          <w:sz w:val="28"/>
          <w:sz w:val="28"/>
          <w:szCs w:val="28"/>
          <w:rtl w:val="true"/>
          <w:lang w:bidi="fa-IR"/>
        </w:rPr>
        <w:t xml:space="preserve">وسورة الکوثر، وسورة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694"/>
      </w:r>
      <w:r>
        <w:rPr>
          <w:rFonts w:ascii="Amiri" w:hAnsi="Amiri" w:eastAsia="Amiri" w:cs="Amiri"/>
          <w:color w:val="111111"/>
          <w:sz w:val="28"/>
          <w:sz w:val="28"/>
          <w:szCs w:val="28"/>
          <w:rtl w:val="true"/>
          <w:lang w:bidi="ar-SA"/>
        </w:rPr>
        <w:t>وآیة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95"/>
      </w:r>
      <w:r>
        <w:rPr>
          <w:rFonts w:ascii="IRNazanin" w:hAnsi="IRNazanin" w:eastAsia="IRNazanin"/>
          <w:color w:val="111111"/>
          <w:sz w:val="28"/>
          <w:sz w:val="28"/>
          <w:szCs w:val="28"/>
          <w:rtl w:val="true"/>
          <w:lang w:bidi="fa-IR"/>
        </w:rPr>
        <w:t>بحث بحثاً مفصّلاً وطرح الآراء المختلفة، ولکنه لم یشر إلی أنّ هذه الآیات تخصّ أهل‌البیت علیهم السّلام، وارتضی لنفسه السکوت عن ذلک، بل نفاها بشدّة مع وجود وفرة الروایات التی یرویها أهل السنّة فی کتبهم</w:t>
      </w:r>
      <w:r>
        <w:rPr>
          <w:rFonts w:eastAsia="IRNazanin" w:cs="IRNazanin"/>
          <w:color w:val="111111"/>
          <w:sz w:val="28"/>
          <w:szCs w:val="28"/>
          <w:rtl w:val="true"/>
          <w:lang w:bidi="fa-IR"/>
        </w:rPr>
        <w:t xml:space="preserve">. </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 xml:space="preserve">ومضافاً إلی ذلک نراه فی ذیل الآیة الکریمة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 xml:space="preserve">) </w:t>
      </w:r>
      <w:r>
        <w:rPr>
          <w:rStyle w:val="FootnoteAnchor"/>
          <w:rtl w:val="true"/>
        </w:rPr>
        <w:footnoteReference w:id="697"/>
      </w:r>
      <w:r>
        <w:rPr>
          <w:rFonts w:ascii="IRNazanin" w:hAnsi="IRNazanin" w:eastAsia="IRNazanin"/>
          <w:color w:val="111111"/>
          <w:sz w:val="28"/>
          <w:sz w:val="28"/>
          <w:szCs w:val="28"/>
          <w:rtl w:val="true"/>
          <w:lang w:bidi="fa-IR"/>
        </w:rPr>
        <w:t>وفی شأن هذه الآیة نلاحظ أنّ الطبری بعد ذکر الآراء المختلفة، ینقل روایة تصدُّق الإمام علی علیهم السّلام بالخاتم، لا أکثر، ولکنه لم یبین أی شیء عن العلاقة بینها وبین الولی و الولایة و الإمامة</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ویقول حول سورة الکوثر، و هو ینقل نصوص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الخیر الکثیرهو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w:t>
      </w:r>
      <w:bookmarkStart w:id="637" w:name="pg5285_67455"/>
    </w:p>
    <w:p>
      <w:pPr>
        <w:pStyle w:val="BookText"/>
        <w:rPr/>
      </w:pPr>
      <w:bookmarkEnd w:id="637"/>
      <w:r>
        <w:rPr>
          <w:rFonts w:ascii="IRNazanin" w:hAnsi="IRNazanin" w:eastAsia="IRNazanin"/>
          <w:color w:val="111111"/>
          <w:sz w:val="28"/>
          <w:sz w:val="28"/>
          <w:szCs w:val="28"/>
          <w:rtl w:val="true"/>
          <w:lang w:bidi="fa-IR"/>
        </w:rPr>
        <w:t>والحکمة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وخیر الدنیا و الآخرة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النبوة و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النبوة و الإسلام، قال هو حوض أعطاه فی الجنة، و هذه کلّها فقرات الأحادیث التی نقلها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هو عند طرحه رأیه فی ذلک،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وأولی هذه الأقوال بالصواب عندی قول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اسم النهر الذی أعطاه فی الجنة ووصفه الله بالکوثر لعظم قدره، و إنّما قلنا ذلک أولی الأقوال لتتابع الأخبار عن رسول الله صلّی الله علیه و آله بأنّ ذلک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والحال عند ملاحظة سیاق ومضمون هذه السورة خصوصاً مفردة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أبتر التی نسبوها إلی النبی صلّی الله علیه و آله تجدها أنها تشیر إلی ارتباط السورة بذریة رسول الله صلّی الله علیه و آله،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السیدة فاطمة الزهراء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جاءت ردّاً علی الذین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مقطوع النسل، فلا ولد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التبریر الذی یمکن ملاحظته فی مثل هذه المواقف، فهو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ظرف الزمان الحاکم فی ذلک العصر ما کان یسمح بشکل، حیث یمکن أن یطرح مثل هذه الحقائق الواضحة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أنّه رجل یتعصّب و قد سار علی منهجیة طمس الحقائق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الاحتمال الأوّل، فهو ضعیف، وذلک لأنّ الشخص الذی یملک أدنی جنوح لأهل‌البیت علیهم السّلام فإنّه سیظهر فی مجال، وموضع من هذا الکتاب الواسع، وفی النتیجة یجب القول بأنّ الکثیر من علماء أهل السنة نقلوا مثل هذه الحقائق، ولکنّ الطبری لم ینقلها بناءً علی فکرة الطمس لفضائل أهل‌البیت علیهم السّلام الناشئة عن التعصب الشدید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فی ذلک مثل البخاری فی صحیحه، والذی روی فیه الروایات الضعیفة وما أکثرها، </w:t>
      </w:r>
      <w:r>
        <w:rPr>
          <w:rStyle w:val="FootnoteAnchor"/>
          <w:rtl w:val="true"/>
        </w:rPr>
        <w:footnoteReference w:id="698"/>
      </w:r>
      <w:r>
        <w:rPr>
          <w:rFonts w:ascii="IRNazanin" w:hAnsi="IRNazanin" w:eastAsia="IRNazanin"/>
          <w:color w:val="111111"/>
          <w:sz w:val="28"/>
          <w:sz w:val="28"/>
          <w:szCs w:val="28"/>
          <w:rtl w:val="true"/>
          <w:lang w:bidi="fa-IR"/>
        </w:rPr>
        <w:t>ولکنه لم یروی عن أهل‌البیت علیهم السّلام، ولم یطرح شیئاً من الدفاع عنهم</w:t>
      </w:r>
      <w:r>
        <w:rPr>
          <w:rFonts w:eastAsia="IRNazanin" w:cs="IRNazanin"/>
          <w:color w:val="111111"/>
          <w:sz w:val="28"/>
          <w:szCs w:val="28"/>
          <w:rtl w:val="true"/>
          <w:lang w:bidi="fa-IR"/>
        </w:rPr>
        <w:t>.</w:t>
      </w:r>
    </w:p>
    <w:p>
      <w:pPr>
        <w:pStyle w:val="Heading5"/>
        <w:numPr>
          <w:ilvl w:val="4"/>
          <w:numId w:val="1"/>
        </w:numPr>
        <w:rPr/>
      </w:pPr>
      <w:bookmarkStart w:id="638" w:name="__RefHeading___Toc634303_581953129"/>
      <w:bookmarkStart w:id="639" w:name="_Toc247"/>
      <w:bookmarkEnd w:id="638"/>
      <w:r>
        <w:rPr>
          <w:rtl w:val="true"/>
        </w:rPr>
        <w:t>الإسرائیلیات فی تفسیر الطبری</w:t>
      </w:r>
      <w:bookmarkEnd w:id="639"/>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جاءت فی مواضع مختلفة من تفسیر الطبری روایات إسرائیلیة، ومن جملة ذلک</w:t>
      </w:r>
    </w:p>
    <w:p>
      <w:pPr>
        <w:pStyle w:val="BookText"/>
        <w:rPr/>
      </w:pPr>
      <w:r>
        <w:rPr>
          <w:rFonts w:ascii="IRNazanin" w:hAnsi="IRNazanin" w:eastAsia="IRNazanin"/>
          <w:color w:val="111111"/>
          <w:sz w:val="28"/>
          <w:sz w:val="28"/>
          <w:szCs w:val="28"/>
          <w:rtl w:val="true"/>
          <w:lang w:bidi="fa-IR"/>
        </w:rPr>
        <w:t xml:space="preserve">الروایات المرتبطة بالقصص القرآنی و الروایات الإسرائیلیة فی هذا التفسیر کثیرة حتّی أنّه أخیراً قام أحد المحقّقین المصریین باستخراج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إسرائیلیة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 قد قام بالمقارنة بین روایة تفسیر الطبری و العبارات العبریة الموجودة فی التوراة</w:t>
      </w:r>
      <w:r>
        <w:rPr>
          <w:rFonts w:eastAsia="IRNazanin" w:cs="IRNazanin"/>
          <w:color w:val="111111"/>
          <w:sz w:val="28"/>
          <w:szCs w:val="28"/>
          <w:rtl w:val="true"/>
          <w:lang w:bidi="fa-IR"/>
        </w:rPr>
        <w:t xml:space="preserve">. </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 xml:space="preserve">أو عندما ینقل فی بعض الموارد روایات أهل الکتاب ینقلها بالمضمون، </w:t>
      </w:r>
      <w:r>
        <w:rPr>
          <w:rStyle w:val="FootnoteAnchor"/>
          <w:rtl w:val="true"/>
        </w:rPr>
        <w:footnoteReference w:id="700"/>
      </w:r>
      <w:r>
        <w:rPr>
          <w:rFonts w:ascii="IRNazanin" w:hAnsi="IRNazanin" w:eastAsia="IRNazanin"/>
          <w:color w:val="111111"/>
          <w:sz w:val="28"/>
          <w:sz w:val="28"/>
          <w:szCs w:val="28"/>
          <w:rtl w:val="true"/>
          <w:lang w:bidi="fa-IR"/>
        </w:rPr>
        <w:t>وفی أخری مع أنّ القصّة التی ینقلها قصّة خرافیة وتتنافی مع الأسس الدینیة فیلاحظ أنّه لا یحقّق فیما ورد فیها و فی أساسها</w:t>
      </w:r>
      <w:r>
        <w:rPr>
          <w:rFonts w:eastAsia="IRNazanin" w:cs="IRNazanin"/>
          <w:color w:val="111111"/>
          <w:sz w:val="28"/>
          <w:szCs w:val="28"/>
          <w:rtl w:val="true"/>
          <w:lang w:bidi="fa-IR"/>
        </w:rPr>
        <w:t xml:space="preserve">. </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ویقول الذهبی فی سیاق توجیهه لظاهرة نقل الطبری للروایات الإسرائیلیة، وبعد أن امتنع عن نقدها؛ لأنّه کان یری أنَّ من أسند لک، فقد حملک البحث عن رجال السند و معرفة مبلغه من العدالة أو الجرح، فهو بعلمه هذا قد خرج من العهده</w:t>
      </w:r>
      <w:r>
        <w:rPr>
          <w:rFonts w:eastAsia="IRNazanin" w:cs="IRNazanin"/>
          <w:color w:val="111111"/>
          <w:sz w:val="28"/>
          <w:szCs w:val="28"/>
          <w:rtl w:val="true"/>
          <w:lang w:bidi="fa-IR"/>
        </w:rPr>
        <w:t xml:space="preserve">. </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والدلیل الثانی تأثّره بالروایات التاریخیة التی طرحها بشکل واسع</w:t>
      </w:r>
      <w:r>
        <w:rPr>
          <w:rFonts w:eastAsia="IRNazanin" w:cs="IRNazanin"/>
          <w:color w:val="111111"/>
          <w:sz w:val="28"/>
          <w:szCs w:val="28"/>
          <w:rtl w:val="true"/>
          <w:lang w:bidi="fa-IR"/>
        </w:rPr>
        <w:t xml:space="preserve">. </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یقول آیة الله معرفة</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تفسیر ابن جریر بحاجة إلی نقد فاحص و تمحیص شامل، کاحتیاج کثیر من کتب التفسیر المشتملة علی الموضوع و القصص الإسرائیلی، و لیس ذکر السند بعاذر له، ولایجری هنا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أسند لک فقد حَمَّلَکَ البحث عن رجال السند، کما زعمه الأستاذ الذهبی؛ لأنّ تجویز نشر مثل هذا الخضم من الموضوعات و الإسرائیلیات، لعلّه ذنب لا یغفر کما نوّه عنه الإمام محمّد عبده </w:t>
      </w:r>
      <w:r>
        <w:rPr>
          <w:rStyle w:val="FootnoteAnchor"/>
          <w:rtl w:val="true"/>
        </w:rPr>
        <w:footnoteReference w:id="704"/>
      </w:r>
      <w:r>
        <w:rPr>
          <w:rFonts w:ascii="IRNazanin" w:hAnsi="IRNazanin" w:eastAsia="IRNazanin"/>
          <w:color w:val="111111"/>
          <w:sz w:val="28"/>
          <w:sz w:val="28"/>
          <w:szCs w:val="28"/>
          <w:rtl w:val="true"/>
          <w:lang w:bidi="fa-IR"/>
        </w:rPr>
        <w:t>فی المنار فی ذیل آیة البشارة من الله لزکریا بولده یحیی، فقد طلب العفو للطبری،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 الله عن أبی جریر، جعل هذه الروایة ممّا ینشر</w:t>
      </w:r>
      <w:r>
        <w:rPr>
          <w:rFonts w:eastAsia="IRNazanin" w:cs="IRNazanin"/>
          <w:color w:val="111111"/>
          <w:sz w:val="28"/>
          <w:szCs w:val="28"/>
          <w:rtl w:val="true"/>
          <w:lang w:bidi="fa-IR"/>
        </w:rPr>
        <w:t xml:space="preserve">. </w:t>
      </w:r>
      <w:r>
        <w:rPr>
          <w:rStyle w:val="FootnoteAnchor"/>
          <w:rtl w:val="true"/>
        </w:rPr>
        <w:footnoteReference w:id="705"/>
      </w:r>
      <w:bookmarkStart w:id="640" w:name="pg5285_67457"/>
    </w:p>
    <w:p>
      <w:pPr>
        <w:pStyle w:val="Heading5"/>
        <w:numPr>
          <w:ilvl w:val="4"/>
          <w:numId w:val="1"/>
        </w:numPr>
        <w:rPr/>
      </w:pPr>
      <w:bookmarkStart w:id="641" w:name="__RefHeading___Toc634305_581953129"/>
      <w:bookmarkStart w:id="642" w:name="_Toc248"/>
      <w:bookmarkEnd w:id="640"/>
      <w:bookmarkEnd w:id="641"/>
      <w:r>
        <w:rPr>
          <w:rtl w:val="true"/>
        </w:rPr>
        <w:t>ملاحظات مهمّة جدّاً</w:t>
      </w:r>
      <w:bookmarkEnd w:id="6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نذکّر أنّه استعمل مفردة التأویل فی تفسیره بشکل واسع جدّاً، بل وجاء بها حتّی فی عنوان الکتاب جامع البیان فی تأویل آی القرآن، وأن قصده منها هو نفس التفسیر، لا بیان المعنی الباطنی للقرآن أو معنیً 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الخطبة و المقدّمة التی کتبها لتفسیره هی مثل تفسیره مطوّلة نسبیاً، و قد أورد فیها مباحث علوم القرآن، مثل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الآیات و معانی لسان القوم، و الألفاظ العربیة وغیر العربیة، و السبعة أحرف، و وعلّة نزول القرآن باللغة العربیة و النهی عن التفسیر بالرأی، و و الحثّ علی تفسیر القرآن و أسماء القرآن، و معانی الآیة و السورة و التفسیر المذموم وغیر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إنّه أوّل تفسیر کتب فی القرن الرابع، وفی زمان منصور بن نوح السامانی قد تُرجم إلی اللغة الفارسیة وذلک علی ید وزیره العربی الأصل و المعروف بالوزیر البلعمی، </w:t>
      </w:r>
      <w:r>
        <w:rPr>
          <w:rStyle w:val="FootnoteAnchor"/>
          <w:rtl w:val="true"/>
        </w:rPr>
        <w:footnoteReference w:id="706"/>
      </w:r>
      <w:r>
        <w:rPr>
          <w:rFonts w:ascii="IRNazanin" w:hAnsi="IRNazanin" w:eastAsia="IRNazanin"/>
          <w:color w:val="111111"/>
          <w:sz w:val="28"/>
          <w:sz w:val="28"/>
          <w:szCs w:val="28"/>
          <w:rtl w:val="true"/>
          <w:lang w:bidi="fa-IR"/>
        </w:rPr>
        <w:t>قد طُبعت الترجمة فی سبعة 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یوجد ل‌تفسیر الطبری تلخیص کُتب علی ید أحد علماء القرن الرابع و الخامس، والذی طبع بمجلّدین فی مصر سنة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 عن الطبری أیضاً بأنّه متخصص بالتاریخ و تاریخ الطبری هو من مشاهیر المصادر التاریخیة فی هذا الجانب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تُرجم تفسیر الطبری وتاریخه فی القرن الرابع إلی اللغة 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یفتخر الأدباء الفرس ویقولون أنّ ذلک من مفاخر تراثنا الأدبیّ القدیم، وتعرف ترجمة تاریخ الطبری، بتاریخ البلعمی و قد تمّ طباعتها أیضاً، وأخیراً ترجم السید أبو القاسم باینده تاریخ الطبری و هو السید مترجم شهیر للقرآن، ویقال أنّه کذلک تُرجم إلی الإنکلیزیة و الفرنسیة</w:t>
      </w:r>
      <w:r>
        <w:rPr>
          <w:rFonts w:eastAsia="IRNazanin" w:cs="IRNazanin"/>
          <w:color w:val="111111"/>
          <w:sz w:val="28"/>
          <w:szCs w:val="28"/>
          <w:rtl w:val="true"/>
          <w:lang w:bidi="fa-IR"/>
        </w:rPr>
        <w:t xml:space="preserve">. </w:t>
      </w:r>
      <w:r>
        <w:rPr>
          <w:rStyle w:val="FootnoteAnchor"/>
          <w:rtl w:val="true"/>
        </w:rPr>
        <w:footnoteReference w:id="707"/>
      </w:r>
      <w:bookmarkStart w:id="643" w:name="pg5285_67458"/>
    </w:p>
    <w:p>
      <w:pPr>
        <w:pStyle w:val="Heading4"/>
        <w:numPr>
          <w:ilvl w:val="3"/>
          <w:numId w:val="1"/>
        </w:numPr>
        <w:rPr/>
      </w:pPr>
      <w:bookmarkStart w:id="644" w:name="__RefHeading___Toc634307_581953129"/>
      <w:bookmarkStart w:id="645" w:name="_Toc249"/>
      <w:bookmarkEnd w:id="643"/>
      <w:bookmarkEnd w:id="644"/>
      <w:r>
        <w:rPr/>
        <w:t>2</w:t>
      </w:r>
      <w:r>
        <w:rPr>
          <w:rtl w:val="true"/>
        </w:rPr>
        <w:t xml:space="preserve">. </w:t>
      </w:r>
      <w:r>
        <w:rPr>
          <w:rtl w:val="true"/>
        </w:rPr>
        <w:t>التفسیر المسند</w:t>
      </w:r>
      <w:bookmarkEnd w:id="645"/>
    </w:p>
    <w:p>
      <w:pPr>
        <w:pStyle w:val="BookText"/>
        <w:rPr/>
      </w:pPr>
      <w:r>
        <w:rPr>
          <w:rFonts w:ascii="IRNazanin" w:hAnsi="IRNazanin" w:eastAsia="IRNazanin"/>
          <w:color w:val="111111"/>
          <w:sz w:val="28"/>
          <w:sz w:val="28"/>
          <w:szCs w:val="28"/>
          <w:rtl w:val="true"/>
          <w:lang w:bidi="fa-IR"/>
        </w:rPr>
        <w:t>هذا التفسیر هو تألیف عبد الرحمان بن أبی حاتم، محمّد بن إدریس، المعروف بأبی حاتِم الرازی</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المحدّثین المعروفین فی زمانه بجمع الأحادیث النبویة، ومضافاً إلی کونه محدّثاً هو متخصّص فی علم الرجال و الفقه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وتفسیره هو تحت عنوان التفسیر المسند، ویشتمل علی اثنی عشر مجلّداً، و أنّ عدّة مجلّدات منها تخصّ سورة الفاتحة وآل‌عمران، و قد تمَّ تحقیقها فی جامعة أم القری فی مکّة المکرّمة، ولا یزالون منشغلون فی تحقیق کلّ المجلّدات الأخری</w:t>
      </w:r>
      <w:r>
        <w:rPr>
          <w:rFonts w:eastAsia="IRNazanin" w:cs="IRNazanin"/>
          <w:color w:val="111111"/>
          <w:sz w:val="28"/>
          <w:szCs w:val="28"/>
          <w:rtl w:val="true"/>
          <w:lang w:bidi="fa-IR"/>
        </w:rPr>
        <w:t xml:space="preserve">. </w:t>
      </w:r>
      <w:r>
        <w:rPr>
          <w:rStyle w:val="FootnoteAnchor"/>
          <w:rtl w:val="true"/>
        </w:rPr>
        <w:footnoteReference w:id="708"/>
      </w:r>
    </w:p>
    <w:p>
      <w:pPr>
        <w:pStyle w:val="Heading4"/>
        <w:numPr>
          <w:ilvl w:val="3"/>
          <w:numId w:val="1"/>
        </w:numPr>
        <w:rPr/>
      </w:pPr>
      <w:bookmarkStart w:id="646" w:name="__RefHeading___Toc634309_581953129"/>
      <w:bookmarkStart w:id="647" w:name="_Toc250"/>
      <w:bookmarkEnd w:id="646"/>
      <w:r>
        <w:rPr/>
        <w:t>3</w:t>
      </w:r>
      <w:r>
        <w:rPr>
          <w:rtl w:val="true"/>
        </w:rPr>
        <w:t xml:space="preserve">. </w:t>
      </w:r>
      <w:r>
        <w:rPr>
          <w:rtl w:val="true"/>
        </w:rPr>
        <w:t>السمرقندی، تفسیر بحر العلوم</w:t>
      </w:r>
      <w:bookmarkEnd w:id="647"/>
    </w:p>
    <w:p>
      <w:pPr>
        <w:pStyle w:val="BookText"/>
        <w:rPr/>
      </w:pPr>
      <w:r>
        <w:rPr>
          <w:rFonts w:ascii="IRNazanin" w:hAnsi="IRNazanin" w:eastAsia="IRNazanin"/>
          <w:color w:val="111111"/>
          <w:sz w:val="28"/>
          <w:sz w:val="28"/>
          <w:szCs w:val="28"/>
          <w:rtl w:val="true"/>
          <w:lang w:bidi="fa-IR"/>
        </w:rPr>
        <w:t>مؤلّف هذا الکتاب هو نصر بن محمّد، المعروف بأبی لیث السمرقندی</w:t>
      </w: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الحنفی المذهب، والمعروف بإمام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تلامذة أبی جعفر الهندوانی، ومضافاً إلی تألیفه فی مجال التفسیر فإنّ له مؤلّفات کثیرة أخری، ومن 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النوازل فی الفقه وخزانة الأکمل، وتنبیه الغافلین وبستان العارفین، وعیون المسائل وتأسیس النظائر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واحداً من أهمّ مؤلّفاته هو هذه التفسیر</w:t>
      </w:r>
      <w:r>
        <w:rPr>
          <w:rFonts w:eastAsia="IRNazanin" w:cs="IRNazanin"/>
          <w:color w:val="111111"/>
          <w:sz w:val="28"/>
          <w:szCs w:val="28"/>
          <w:rtl w:val="true"/>
          <w:lang w:bidi="fa-IR"/>
        </w:rPr>
        <w:t xml:space="preserve">. </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هذا التفسیر و فی نسخته الخطیة یشتمل علی ثلاثة مجلّدات ضخمة، و أنّ أهمّ میزة لهذا التفسیر هی استشهاده بالروایات التفسیریة المأثورة عن الصحابة و التابعین، مع أنّه استفاد من اللغة فی هذا المجال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بعض المواضع یستخدم أسلوب تفسیر القرآن بالقرآن</w:t>
      </w:r>
      <w:r>
        <w:rPr>
          <w:rFonts w:eastAsia="IRNazanin" w:cs="IRNazanin"/>
          <w:color w:val="111111"/>
          <w:sz w:val="28"/>
          <w:szCs w:val="28"/>
          <w:rtl w:val="true"/>
          <w:lang w:bidi="fa-IR"/>
        </w:rPr>
        <w:t xml:space="preserve">. </w:t>
      </w:r>
      <w:r>
        <w:rPr>
          <w:rStyle w:val="FootnoteAnchor"/>
          <w:rtl w:val="true"/>
        </w:rPr>
        <w:footnoteReference w:id="710"/>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ویؤکّد علی حرمة التفسیر بالرأی ویحذّر منه فی موارد حدیثه</w:t>
      </w:r>
      <w:r>
        <w:rPr>
          <w:rFonts w:eastAsia="IRNazanin" w:cs="IRNazanin"/>
          <w:color w:val="111111"/>
          <w:sz w:val="28"/>
          <w:szCs w:val="28"/>
          <w:rtl w:val="true"/>
          <w:lang w:bidi="fa-IR"/>
        </w:rPr>
        <w:t>.</w:t>
      </w:r>
      <w:bookmarkStart w:id="648" w:name="pg5285_67459"/>
    </w:p>
    <w:p>
      <w:pPr>
        <w:pStyle w:val="BookText"/>
        <w:rPr/>
      </w:pPr>
      <w:bookmarkEnd w:id="648"/>
      <w:r>
        <w:rPr>
          <w:rFonts w:ascii="IRNazanin" w:hAnsi="IRNazanin" w:eastAsia="IRNazanin"/>
          <w:color w:val="111111"/>
          <w:sz w:val="28"/>
          <w:sz w:val="28"/>
          <w:szCs w:val="28"/>
          <w:rtl w:val="true"/>
          <w:lang w:bidi="fa-IR"/>
        </w:rPr>
        <w:t>أمّا الملاحظات التی تسجل علیه، فهی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السند التاریخی الخاصّ بالتفسیر ناقص إلاّ فی بعض الموارد، وهی نادرة فی ذکر السند، وفی الغالب هی ضعیفة ولاتخلو من الإشکال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نقله للروایات الإسرائیلیة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نقله عن الضعفاء</w:t>
      </w:r>
      <w:r>
        <w:rPr>
          <w:rFonts w:eastAsia="IRNazanin" w:cs="IRNazanin"/>
          <w:color w:val="111111"/>
          <w:sz w:val="28"/>
          <w:szCs w:val="28"/>
          <w:rtl w:val="true"/>
          <w:lang w:bidi="fa-IR"/>
        </w:rPr>
        <w:t xml:space="preserve">. </w:t>
      </w:r>
      <w:r>
        <w:rPr>
          <w:rStyle w:val="FootnoteAnchor"/>
          <w:rtl w:val="true"/>
        </w:rPr>
        <w:footnoteReference w:id="71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 یبین الأقوال و الروایات المختلفة إلاّ أنّه لم یعقّب علیها بالمناقشة الکاملة، ولا یرجّح بین الأقوال</w:t>
      </w:r>
      <w:r>
        <w:rPr>
          <w:rFonts w:eastAsia="IRNazanin" w:cs="IRNazanin"/>
          <w:color w:val="111111"/>
          <w:sz w:val="28"/>
          <w:szCs w:val="28"/>
          <w:rtl w:val="true"/>
          <w:lang w:bidi="fa-IR"/>
        </w:rPr>
        <w:t xml:space="preserve">. </w:t>
      </w:r>
      <w:r>
        <w:rPr>
          <w:rStyle w:val="FootnoteAnchor"/>
          <w:rtl w:val="true"/>
        </w:rPr>
        <w:footnoteReference w:id="712"/>
      </w:r>
    </w:p>
    <w:p>
      <w:pPr>
        <w:pStyle w:val="Heading3"/>
        <w:numPr>
          <w:ilvl w:val="2"/>
          <w:numId w:val="1"/>
        </w:numPr>
        <w:rPr/>
      </w:pPr>
      <w:bookmarkStart w:id="649" w:name="__RefHeading___Toc634311_581953129"/>
      <w:bookmarkStart w:id="650" w:name="_Toc251"/>
      <w:bookmarkEnd w:id="649"/>
      <w:r>
        <w:rPr>
          <w:rtl w:val="true"/>
        </w:rPr>
        <w:t>الاتّجاهات التفسیریة فی القرن الرابع</w:t>
      </w:r>
      <w:bookmarkEnd w:id="650"/>
    </w:p>
    <w:p>
      <w:pPr>
        <w:pStyle w:val="BookText"/>
        <w:rPr/>
      </w:pPr>
      <w:r>
        <w:rPr>
          <w:rFonts w:ascii="IRNazanin" w:hAnsi="IRNazanin" w:eastAsia="IRNazanin"/>
          <w:color w:val="111111"/>
          <w:sz w:val="28"/>
          <w:sz w:val="28"/>
          <w:szCs w:val="28"/>
          <w:rtl w:val="true"/>
          <w:lang w:bidi="fa-IR"/>
        </w:rPr>
        <w:t xml:space="preserve">ما مرّ ذکره من التفاسیر هی أهمّ التفاسیر الروائیة فی القرن الرابع، ومضافاً علیها هناک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تفسیراً ألّف فی هذا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 محمّد الأدنوی فی طبقات المفسّرین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تفسیراً منها</w:t>
      </w:r>
      <w:r>
        <w:rPr>
          <w:rFonts w:eastAsia="IRNazanin" w:cs="IRNazanin"/>
          <w:color w:val="111111"/>
          <w:sz w:val="28"/>
          <w:szCs w:val="28"/>
          <w:rtl w:val="true"/>
          <w:lang w:bidi="fa-IR"/>
        </w:rPr>
        <w:t xml:space="preserve">. </w:t>
      </w:r>
      <w:r>
        <w:rPr>
          <w:rStyle w:val="FootnoteAnchor"/>
          <w:rtl w:val="true"/>
        </w:rPr>
        <w:footnoteReference w:id="713"/>
      </w:r>
      <w:r>
        <w:rPr>
          <w:rFonts w:ascii="IRNazanin" w:hAnsi="IRNazanin" w:eastAsia="IRNazanin"/>
          <w:color w:val="111111"/>
          <w:sz w:val="28"/>
          <w:sz w:val="28"/>
          <w:szCs w:val="28"/>
          <w:rtl w:val="true"/>
          <w:lang w:bidi="fa-IR"/>
        </w:rPr>
        <w:t>وسنذکر فی هذا القسم بعضاً منها بشکل مختصر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ونظراً لتوسع البحوث الأدبیة و الکلامیة، وتزایدها علی التفاسیر الروائیة فی هذا القرن فقد ألّفت تفاسیر کثیرة بالاتّجاه الأدبی و اللغوی و الکلامی و الفقهی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الاتّجاه الأدبی و اللغوی یمکننا الإشارة إلی تفسیر معانی القرآن لأبی إسحاق الزجاج</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هذا التفسیر مع کونه ینتهج البحوث الأدبیة و البیانیة نراه یمارس عملیة النقل، إلاّ أنّ أکثر تلک المطروحات مبتنیة علی اللغة و التفسیر اللغوی</w:t>
      </w:r>
      <w:r>
        <w:rPr>
          <w:rFonts w:eastAsia="IRNazanin" w:cs="IRNazanin"/>
          <w:color w:val="111111"/>
          <w:sz w:val="28"/>
          <w:szCs w:val="28"/>
          <w:rtl w:val="true"/>
          <w:lang w:bidi="fa-IR"/>
        </w:rPr>
        <w:t xml:space="preserve">. </w:t>
      </w:r>
      <w:r>
        <w:rPr>
          <w:rStyle w:val="FootnoteAnchor"/>
          <w:rtl w:val="true"/>
        </w:rPr>
        <w:footnoteReference w:id="714"/>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البحوث البیانیة، والتی هی نوع من الأنواع المرتبطة بعلوم الکلام یمکن ذکر</w:t>
      </w:r>
    </w:p>
    <w:p>
      <w:pPr>
        <w:pStyle w:val="BookText"/>
        <w:rPr/>
      </w:pPr>
      <w:r>
        <w:rPr>
          <w:rFonts w:ascii="IRNazanin" w:hAnsi="IRNazanin" w:eastAsia="IRNazanin"/>
          <w:color w:val="111111"/>
          <w:sz w:val="28"/>
          <w:sz w:val="28"/>
          <w:szCs w:val="28"/>
          <w:rtl w:val="true"/>
          <w:lang w:bidi="fa-IR"/>
        </w:rPr>
        <w:t>الکتب التی ألّفت فی إعجاز القرآن، ومن 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النکت فی إعجاز القرآن، تألیف أبی الحسن علی بن عیسی الرمّانی</w:t>
      </w: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من الأدباء البارزین و المتکلّمین الأقویاء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وبتعبیر الأدنوی جمع بین علم الکلام و الأدب العربی، و إنّه صاحب تفسیر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أنّ البیضاوی،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رأیتُ تفسیره المتفنّن فی العلوم المختلفة فی التفسیر و الفقه، والنحو و الکلام، و هو علی مذهب المعتزلة</w:t>
      </w:r>
      <w:r>
        <w:rPr>
          <w:rFonts w:eastAsia="IRNazanin" w:cs="IRNazanin"/>
          <w:color w:val="111111"/>
          <w:sz w:val="28"/>
          <w:szCs w:val="28"/>
          <w:rtl w:val="true"/>
          <w:lang w:bidi="fa-IR"/>
        </w:rPr>
        <w:t xml:space="preserve">. </w:t>
      </w:r>
      <w:r>
        <w:rPr>
          <w:rStyle w:val="FootnoteAnchor"/>
          <w:rtl w:val="true"/>
        </w:rPr>
        <w:footnoteReference w:id="715"/>
      </w:r>
      <w:r>
        <w:rPr>
          <w:rFonts w:ascii="IRNazanin" w:hAnsi="IRNazanin" w:eastAsia="IRNazanin"/>
          <w:color w:val="111111"/>
          <w:sz w:val="28"/>
          <w:sz w:val="28"/>
          <w:szCs w:val="28"/>
          <w:rtl w:val="true"/>
          <w:lang w:bidi="fa-IR"/>
        </w:rPr>
        <w:t>وهکذا یمکن ذکر بیان إعجاز القرآن، لأبی سلیمان أحمد بن محمّد الخطابی</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المغنی فی أبواب التوحید و العدل، والذی فیه قسم مستقلّ فی الإعجاز، و هو للقاضی عبد الجبّار المعتزلی</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ما یمکننا ذکره منها فی المستوی من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المفسّرین الذین کتبوا تفاسیرهم باتّجاه کلامی فی هذا العصر، فهو أبو علی الجُبائی</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التفسیر الکبیر، والذی یشار إلیه بشیخ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اختصاصی فی الفلسفة و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غایر أبا الحسن الأشعری فی مجال المعتقد واعتزل عنه، </w:t>
      </w:r>
      <w:r>
        <w:rPr>
          <w:rStyle w:val="FootnoteAnchor"/>
          <w:rtl w:val="true"/>
        </w:rPr>
        <w:footnoteReference w:id="716"/>
      </w:r>
      <w:r>
        <w:rPr>
          <w:rFonts w:ascii="IRNazanin" w:hAnsi="IRNazanin" w:eastAsia="IRNazanin"/>
          <w:color w:val="111111"/>
          <w:sz w:val="28"/>
          <w:sz w:val="28"/>
          <w:szCs w:val="28"/>
          <w:rtl w:val="true"/>
          <w:lang w:bidi="fa-IR"/>
        </w:rPr>
        <w:t>ومن تفاسیر القرن الرابع تأویلات القرآن لمؤلّفه أبی نصر محمّد بن محمّد الماتریدی</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المؤسّس لهذا المذهب الکلامی الشهیر بالماتریدی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فسَّر فی هذا الکتاب الآیات القرآنیة، وذکر آراءه الفقهیة و الأصولیة، واستفاد من آراء أبی حنیفة کذلک، و هذا الکتاب مشتمل علی تفسیر سورة المنافقون وإلی آخر القرآن، وأوّل جزء منه إلی آخر 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التفسیر طُبع بعد تحقیقه من قبل الدکتور إبراهیم عوضین وسید عوضین فی سنة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 xml:space="preserve">. </w:t>
      </w:r>
      <w:r>
        <w:rPr>
          <w:rStyle w:val="FootnoteAnchor"/>
          <w:rtl w:val="true"/>
        </w:rPr>
        <w:footnoteReference w:id="717"/>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الکتب یمکن ذکرها هو کتاب جامع التأویل لمحکم التنزیل علی مذهب المعتزلة لأبی مسلم محمّد بن بحر الأصفهانی</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مؤلّفات هذا القرن</w:t>
      </w:r>
    </w:p>
    <w:p>
      <w:pPr>
        <w:pStyle w:val="BookText"/>
        <w:rPr/>
      </w:pP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 xml:space="preserve">. </w:t>
      </w:r>
      <w:r>
        <w:rPr>
          <w:rStyle w:val="FootnoteAnchor"/>
          <w:rtl w:val="true"/>
        </w:rPr>
        <w:footnoteReference w:id="718"/>
      </w:r>
      <w:r>
        <w:rPr>
          <w:rFonts w:ascii="IRNazanin" w:hAnsi="IRNazanin" w:eastAsia="IRNazanin"/>
          <w:color w:val="111111"/>
          <w:sz w:val="28"/>
          <w:sz w:val="28"/>
          <w:szCs w:val="28"/>
          <w:rtl w:val="true"/>
          <w:lang w:bidi="fa-IR"/>
        </w:rPr>
        <w:t>و قد أثنی علیه الشیخ الطوسی قدّس سره فی تفسیره التبیان</w:t>
      </w:r>
      <w:r>
        <w:rPr>
          <w:rFonts w:eastAsia="IRNazanin" w:cs="IRNazanin"/>
          <w:color w:val="111111"/>
          <w:sz w:val="28"/>
          <w:szCs w:val="28"/>
          <w:rtl w:val="true"/>
          <w:lang w:bidi="fa-IR"/>
        </w:rPr>
        <w:t xml:space="preserve">. </w:t>
      </w:r>
      <w:r>
        <w:rPr>
          <w:rStyle w:val="FootnoteAnchor"/>
          <w:rtl w:val="true"/>
        </w:rPr>
        <w:footnoteReference w:id="719"/>
      </w:r>
      <w:r>
        <w:rPr>
          <w:rFonts w:ascii="IRNazanin" w:hAnsi="IRNazanin" w:eastAsia="IRNazanin"/>
          <w:color w:val="111111"/>
          <w:sz w:val="28"/>
          <w:sz w:val="28"/>
          <w:szCs w:val="28"/>
          <w:rtl w:val="true"/>
          <w:lang w:bidi="fa-IR"/>
        </w:rPr>
        <w:t>و قد کان أبومسلم أحد المفسّرین المرموقین فی القرن الرابع للهجرة، و یعدّ من یعدّ کُبّار مفسّری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جهة أخر کان الأصفهانی مضطلعاً فی علم الکلام و التفسیر و الحدیث، والأدب و هو شاعر مقتدر، و قد نُسب إلیه أیضاً کتاب الناسخ و المنسوخ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هو جدیر بالذکر أنّ المقتدر العباسی عینه علی رأس حکومة أصفهان وبلاد فارس، وظَلّ علیها إلی عام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و قد استفاد الفخر الرازی من هذا التفسیر فی تفسیره مفاتیح الغیب</w:t>
      </w:r>
      <w:r>
        <w:rPr>
          <w:rFonts w:eastAsia="IRNazanin" w:cs="IRNazanin"/>
          <w:color w:val="111111"/>
          <w:sz w:val="28"/>
          <w:szCs w:val="28"/>
          <w:rtl w:val="true"/>
          <w:lang w:bidi="fa-IR"/>
        </w:rPr>
        <w:t xml:space="preserve">. </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ومن الکتب التی ألّفت فی هذا العصر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البلخی، تألیف أبی القاسم عبد الله بن أحمد البلخی الکعبی</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فقیه حنفی المذهب، و متکلّم معتزلی المسلک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والتفسیر یشتمل علی اثنی عشر مجلّداً لم یبقَ منه شیء غیر ما ینقل عنه من أقوال فی التفاسیر التی ألّفت بعده، وعلی الخصوص فیما جاء فی تفسیر حقایق التأویل فی متشابه التنزیل، للشریف الرضّی</w:t>
      </w:r>
      <w:r>
        <w:rPr>
          <w:rFonts w:eastAsia="IRNazanin" w:cs="IRNazanin"/>
          <w:color w:val="111111"/>
          <w:sz w:val="28"/>
          <w:szCs w:val="28"/>
          <w:rtl w:val="true"/>
          <w:lang w:bidi="fa-IR"/>
        </w:rPr>
        <w:t>(</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والاتّجاه الآخر فی تفاسیر هذا القرن هو الاتّجاه التفسیری الفقهی، والذی غالباً یکتب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القرآن</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جملتها أحکام القرآن لموسی بن عبد الرحمان المعروف بقطّان</w:t>
      </w:r>
      <w:r>
        <w:rPr>
          <w:rFonts w:eastAsia="IRNazanin" w:cs="IRNazanin"/>
          <w:color w:val="111111"/>
          <w:sz w:val="28"/>
          <w:szCs w:val="28"/>
          <w:rtl w:val="true"/>
          <w:lang w:bidi="fa-IR"/>
        </w:rPr>
        <w:t>(</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وأحکام القرآن لمحمّد بن القاسم المعروف بابن القرطبی</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شرح أحکام القرآن لأحمد الرازی</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بالجصاص و أحکام القرآن، لعبّاد بن عبّاس الطالقانی</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651" w:name="pg5285_67462"/>
    </w:p>
    <w:p>
      <w:pPr>
        <w:pStyle w:val="Heading3"/>
        <w:numPr>
          <w:ilvl w:val="2"/>
          <w:numId w:val="1"/>
        </w:numPr>
        <w:rPr/>
      </w:pPr>
      <w:bookmarkStart w:id="652" w:name="__RefHeading___Toc634313_581953129"/>
      <w:bookmarkStart w:id="653" w:name="_Toc252"/>
      <w:bookmarkEnd w:id="651"/>
      <w:bookmarkEnd w:id="652"/>
      <w:r>
        <w:rPr>
          <w:rtl w:val="true"/>
        </w:rPr>
        <w:t>الخلاصة</w:t>
      </w:r>
      <w:bookmarkEnd w:id="653"/>
    </w:p>
    <w:p>
      <w:pPr>
        <w:pStyle w:val="BookText"/>
        <w:rPr/>
      </w:pPr>
      <w:r>
        <w:rPr>
          <w:rFonts w:ascii="IRNazanin" w:hAnsi="IRNazanin" w:eastAsia="IRNazanin"/>
          <w:color w:val="111111"/>
          <w:sz w:val="28"/>
          <w:sz w:val="28"/>
          <w:szCs w:val="28"/>
          <w:rtl w:val="true"/>
          <w:lang w:bidi="fa-IR"/>
        </w:rPr>
        <w:t>إنّ التفسیر المنسوب إلی الإمام الحسن العسکری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تفسیر محمّد بن القاسم الأسترأبادی، ینقله عن أبی یعقوب وأبی الحسن سیار، و هذان الاثنان ینقلان روایاته عن الإمام الحسن العسکری علیه السّلام، و هذا التفسیر یقع فی مجلّد واحد وإلی الآیة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من 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یخصّ مستوی اعتبار هذا التفسیر، فهناک اختلاف شدید بین المفسّرین، فقسم منهم،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الغضائری و العلاّمة الحلّی، والعلاّمة محمّد جواد البلاغی ومحمّد تقی التستری وآیة الله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ممّن یضعّفونه ویخالفونه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قبالهم یقف الشیخ الصدوق و الشیخ الحرّ العاملی، والعلاّمة السید محسن الأمین و العلاّمة أغا بزرک الطهرانی و العلامة المجلسی، والشهید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هم ممّن یوثّقونه ویوافقونه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المحصلّة فإنّ ما کان منه له سند صحیح ومحتوی معتبر، فنحن نقبله وفی خلاف ذلک نرفضه</w:t>
      </w:r>
      <w:r>
        <w:rPr>
          <w:rFonts w:eastAsia="IRNazanin" w:cs="IRNazanin"/>
          <w:color w:val="111111"/>
          <w:sz w:val="28"/>
          <w:szCs w:val="28"/>
          <w:rtl w:val="true"/>
          <w:lang w:bidi="fa-IR"/>
        </w:rPr>
        <w:t>.</w:t>
      </w:r>
    </w:p>
    <w:p>
      <w:pPr>
        <w:pStyle w:val="Heading3"/>
        <w:numPr>
          <w:ilvl w:val="2"/>
          <w:numId w:val="1"/>
        </w:numPr>
        <w:rPr/>
      </w:pPr>
      <w:bookmarkStart w:id="654" w:name="__RefHeading___Toc634315_581953129"/>
      <w:bookmarkStart w:id="655" w:name="_Toc253"/>
      <w:bookmarkEnd w:id="654"/>
      <w:r>
        <w:rPr>
          <w:rtl w:val="true"/>
        </w:rPr>
        <w:t>التفاسیر الروائیة عند أهل السنة</w:t>
      </w:r>
      <w:bookmarkEnd w:id="655"/>
    </w:p>
    <w:p>
      <w:pPr>
        <w:pStyle w:val="BookText"/>
        <w:rPr/>
      </w:pPr>
      <w:r>
        <w:rPr>
          <w:rFonts w:ascii="IRNazanin" w:hAnsi="IRNazanin" w:eastAsia="IRNazanin"/>
          <w:color w:val="111111"/>
          <w:sz w:val="28"/>
          <w:sz w:val="28"/>
          <w:szCs w:val="28"/>
          <w:rtl w:val="true"/>
          <w:lang w:bidi="fa-IR"/>
        </w:rPr>
        <w:t>یعدّ تفسیر الطبری جامع البیان عن تأویل آی القرآن، تفسیراً مطولاً، و أنّ أهمّ مصادره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التی رواها عن الصحابة و التابعین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واستفاد کثیراً من الأدب العربی و اللغة و الشعر، والقراءات وآراء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استفاد من الإجماع، ولم یستفد من تفسیر القرآن بالقرآن فی أسلوب هذا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یکن موقف الطبری من أهل‌البیت علیهم السّلام موقفاً إثباتیاً لمکانتهم وفضائلهم، بل هو فی کثیر من المواضع اعتمد فکرة طمسها</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یضّم هذا التفسیر روایات إسرائیلیةً کثیرةً جدّاً، و هذا ما یسجّل علیه نقطة ضعف مهمّةً جدّاً</w:t>
      </w:r>
      <w:r>
        <w:rPr>
          <w:rFonts w:eastAsia="Amiri" w:cs="Amiri" w:ascii="Amiri" w:hAnsi="Amiri"/>
          <w:color w:val="111111"/>
          <w:sz w:val="28"/>
          <w:szCs w:val="28"/>
          <w:rtl w:val="true"/>
          <w:lang w:bidi="ar-SA"/>
        </w:rPr>
        <w:t>.</w:t>
      </w:r>
      <w:bookmarkStart w:id="656" w:name="pg5285_67463"/>
    </w:p>
    <w:p>
      <w:pPr>
        <w:pStyle w:val="BookText"/>
        <w:rPr/>
      </w:pPr>
      <w:bookmarkEnd w:id="656"/>
      <w:r>
        <w:rPr>
          <w:rFonts w:ascii="IRNazanin" w:hAnsi="IRNazanin" w:eastAsia="IRNazanin"/>
          <w:color w:val="111111"/>
          <w:sz w:val="28"/>
          <w:sz w:val="28"/>
          <w:szCs w:val="28"/>
          <w:rtl w:val="true"/>
          <w:lang w:bidi="fa-IR"/>
        </w:rPr>
        <w:t>إنّ خطبة التفسیر ومقدّمته مفیدتان فی بحوث علوم القرآن، ومن جملة ما جاء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القوم و الألفاظ العربیة، وغیر العربیة و النزول علی سبعة أحرف، و النهی عن التفسیر بالرأی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ضمن تفاسیر أهل السنّة الأخری،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المسند لعبد الرحمان أبی حاتم الرازی، وتفسیر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العلوم للسمرقندی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تفاسیر أخری ألّفت فی هذا القرن بمیول واتّجاهات مختلفة، ففی الاتّجاه الأدبی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القرآن، للزجّاج، وفی الاتّجاه البیانی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عیسی الرمانی وفی الاتّجاه الکلامی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الکبیر لأبی علی الجُبائی، وجامع التأویل لأبی مسلم محمّد بن بحر الأصفهانی، وفی الاتّجاه الفقهی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القرآن للجصاص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ما یمکن ذکره هنا</w:t>
      </w:r>
      <w:r>
        <w:rPr>
          <w:rFonts w:eastAsia="IRNazanin" w:cs="IRNazanin"/>
          <w:color w:val="111111"/>
          <w:sz w:val="28"/>
          <w:szCs w:val="28"/>
          <w:rtl w:val="true"/>
          <w:lang w:bidi="fa-IR"/>
        </w:rPr>
        <w:t>.</w:t>
      </w:r>
    </w:p>
    <w:p>
      <w:pPr>
        <w:pStyle w:val="Heading3"/>
        <w:numPr>
          <w:ilvl w:val="2"/>
          <w:numId w:val="1"/>
        </w:numPr>
        <w:rPr/>
      </w:pPr>
      <w:bookmarkStart w:id="657" w:name="__RefHeading___Toc634317_581953129"/>
      <w:bookmarkStart w:id="658" w:name="_Toc254"/>
      <w:bookmarkEnd w:id="657"/>
      <w:r>
        <w:rPr>
          <w:rtl w:val="true"/>
        </w:rPr>
        <w:t>الأسئلة</w:t>
      </w:r>
      <w:bookmarkEnd w:id="6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خصائص القرن الرابع بشکل مختصر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هی موقعیة الشیعة فی القرن الرابع؟ اذکر بعضاً من تفاسیرهم الروائیة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 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المؤلّف و حجم التفسیر و أقساماً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عدّد أقسام روایات تفسیر القمّی، ووضّح قیمته الاعتباریة؟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 تفسیر فرات الکوفی، وبین اثنین من مشکلاته الأساسیة؟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وضّح لنا ما تعرفه عن مذهب فرات الکوفی؟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 تفسیر العیاشی؟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هو تفسیر النعمانی؟ وما هو متنه؟ ومنهم الذین نقلوه؟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وضّح جیدّاً حال رواة تفسیر الإمام الحسن العسکری علیه السّلام، وما هو حجمه؟ وکیف ألّف؟</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هی الآراء و الأدلّة حول اعتبار تفسیر الإمام العسکری علیه السّلام؟</w:t>
      </w:r>
      <w:bookmarkStart w:id="659" w:name="pg5285_67464"/>
    </w:p>
    <w:p>
      <w:pPr>
        <w:pStyle w:val="BookText"/>
        <w:rPr/>
      </w:pPr>
      <w:bookmarkEnd w:id="659"/>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وضّح مصادر ومنهج الطبری فی تفسیره؟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موقف الطبری من أهل‌البیت علیهم السّلام؟</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اشرح ما تعرفه عن الإسرائیلیات فی تفسیر الطبری؟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 تفسیر بحر العلوم للسمرقندی، واذکر بعض ما أشکلوا علیه؟</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الاتّجاهات التفسیریة فی القرن الرابع، واضرب لکلّ واحد منها مثالاً؟</w:t>
      </w:r>
    </w:p>
    <w:p>
      <w:pPr>
        <w:pStyle w:val="BookText"/>
        <w:rPr/>
      </w:pPr>
      <w:r>
        <w:rPr>
          <w:rFonts w:ascii="IRNazanin" w:hAnsi="IRNazanin" w:eastAsia="IRNazanin"/>
          <w:color w:val="111111"/>
          <w:sz w:val="28"/>
          <w:sz w:val="28"/>
          <w:szCs w:val="28"/>
          <w:rtl w:val="true"/>
          <w:lang w:bidi="fa-IR"/>
        </w:rPr>
        <w:t>للتحقیق فی الموضوع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حقّق حول مذهب فرات الکوفی، ومحتوی روایاته التفسیریة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حقّق حول الإسرائیلیات و الروایات الموضوعة فی تفسیر الطبری</w:t>
      </w:r>
      <w:r>
        <w:rPr>
          <w:rFonts w:eastAsia="IRNazanin" w:cs="IRNazanin"/>
          <w:color w:val="111111"/>
          <w:sz w:val="28"/>
          <w:szCs w:val="28"/>
          <w:rtl w:val="true"/>
          <w:lang w:bidi="fa-IR"/>
        </w:rPr>
        <w:t>.</w:t>
      </w:r>
    </w:p>
    <w:p>
      <w:pPr>
        <w:pStyle w:val="Heading3"/>
        <w:numPr>
          <w:ilvl w:val="2"/>
          <w:numId w:val="1"/>
        </w:numPr>
        <w:rPr/>
      </w:pPr>
      <w:bookmarkStart w:id="660" w:name="__RefHeading___Toc634319_581953129"/>
      <w:bookmarkStart w:id="661" w:name="_Toc255"/>
      <w:bookmarkEnd w:id="660"/>
      <w:r>
        <w:rPr>
          <w:rtl w:val="true"/>
        </w:rPr>
        <w:t>مصادر التحقیق</w:t>
      </w:r>
      <w:bookmarkEnd w:id="661"/>
    </w:p>
    <w:p>
      <w:pPr>
        <w:pStyle w:val="BookText"/>
        <w:rPr/>
      </w:pPr>
      <w:r>
        <w:rPr>
          <w:rFonts w:ascii="IRNazanin" w:hAnsi="IRNazanin" w:eastAsia="IRNazanin"/>
          <w:color w:val="111111"/>
          <w:sz w:val="28"/>
          <w:sz w:val="28"/>
          <w:szCs w:val="28"/>
          <w:rtl w:val="true"/>
          <w:lang w:bidi="fa-IR"/>
        </w:rPr>
        <w:t>التحقیق الأوّل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فرات الکوفی، تحقیق محمّد کاظم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مکاتب تفسیری لکاتبه علی اکبر بابائی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 الکتب الرجالیة،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الحدیث، لآیة الله الخوئی، وقاموس الرجال للمحقّق التستری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التحقیق الثانی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الإسرائیلیات فی تفسیر الطبری، لآمال محمّد عبد الرحمان ربیع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المنهج الأثری، لهدی جاسم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و المفسّرون فی ثوبه القشیب، لآیة الله 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و المفسّرون، للذهبی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مقالات کتبت فی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نامه طبری</w:t>
      </w:r>
      <w:r>
        <w:rPr>
          <w:rFonts w:eastAsia="IRNazanin" w:cs="IRNazanin"/>
          <w:color w:val="111111"/>
          <w:sz w:val="28"/>
          <w:szCs w:val="28"/>
          <w:rtl w:val="true"/>
          <w:lang w:bidi="fa-IR"/>
        </w:rPr>
        <w:t>.</w:t>
      </w:r>
      <w:bookmarkStart w:id="662" w:name="pg5285_67465"/>
    </w:p>
    <w:p>
      <w:pPr>
        <w:pStyle w:val="Heading2"/>
        <w:numPr>
          <w:ilvl w:val="1"/>
          <w:numId w:val="1"/>
        </w:numPr>
        <w:rPr/>
      </w:pPr>
      <w:bookmarkStart w:id="663" w:name="__RefHeading___Toc634321_581953129"/>
      <w:bookmarkStart w:id="664" w:name="_Toc256"/>
      <w:bookmarkEnd w:id="662"/>
      <w:bookmarkEnd w:id="663"/>
      <w:r>
        <w:rPr/>
        <w:t>9</w:t>
      </w:r>
      <w:r>
        <w:rPr>
          <w:rtl w:val="true"/>
        </w:rPr>
        <w:t xml:space="preserve">- </w:t>
      </w:r>
      <w:r>
        <w:rPr>
          <w:rtl w:val="true"/>
        </w:rPr>
        <w:t>التفسیر فی القرن الخامس</w:t>
      </w:r>
      <w:bookmarkEnd w:id="664"/>
    </w:p>
    <w:p>
      <w:pPr>
        <w:pStyle w:val="Heading3"/>
        <w:numPr>
          <w:ilvl w:val="2"/>
          <w:numId w:val="1"/>
        </w:numPr>
        <w:rPr/>
      </w:pPr>
      <w:bookmarkStart w:id="665" w:name="__RefHeading___Toc634323_581953129"/>
      <w:bookmarkStart w:id="666" w:name="_Toc257"/>
      <w:bookmarkEnd w:id="665"/>
      <w:r>
        <w:rPr>
          <w:rtl w:val="true"/>
        </w:rPr>
        <w:t>اشارة</w:t>
      </w:r>
      <w:bookmarkEnd w:id="666"/>
    </w:p>
    <w:p>
      <w:pPr>
        <w:pStyle w:val="BookText"/>
        <w:rPr/>
      </w:pPr>
      <w:r>
        <w:rPr>
          <w:rFonts w:ascii="IRNazanin" w:hAnsi="IRNazanin" w:eastAsia="IRNazanin"/>
          <w:color w:val="111111"/>
          <w:sz w:val="28"/>
          <w:sz w:val="28"/>
          <w:szCs w:val="28"/>
          <w:rtl w:val="true"/>
          <w:lang w:bidi="fa-IR"/>
        </w:rPr>
        <w:t>الموضوعات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فی القرن الخامس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الخصوصیات السیاسیة و الثقافیة فی القرن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تفاسیر الشیعة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حقائق التأویل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حقائق التفسیر، للسلمی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تفاسیر أهل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 و البیان، للثعلبی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الوسیط، للواحدی النیسابوری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النکت و العیون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الأهداف الکلیه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التعرّف علی الأوضاع السیاسیة و الثقافیة السائدة فی القرن الخامس</w:t>
      </w:r>
      <w:r>
        <w:rPr>
          <w:rFonts w:eastAsia="IRNazanin" w:cs="IRNazanin"/>
          <w:color w:val="111111"/>
          <w:sz w:val="28"/>
          <w:szCs w:val="28"/>
          <w:rtl w:val="true"/>
          <w:lang w:bidi="fa-IR"/>
        </w:rPr>
        <w:t>.</w:t>
      </w:r>
      <w:bookmarkStart w:id="667" w:name="pg5285_67466"/>
    </w:p>
    <w:p>
      <w:pPr>
        <w:pStyle w:val="BookText"/>
        <w:rPr/>
      </w:pPr>
      <w:bookmarkEnd w:id="66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التعرّف علی المذاهب الکلامیة و المتکلّمین الموجودین فی القرن الخامس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التعرّف علی تفاسیر الشیعة وأهل السنة الموجودة فی القرن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الجزئیه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التعرّف علی أهمّ تفاسیر الشیعة فی القرن الخامس، ومن 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التأویل للسید الرضی، و أمالی السید المرتضی، و تبیان الشیخ الطوسی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التعرّف علی التفاسیر الاجتهادیة و التحلیلیة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التعرّف علی التفاسیر العرفانیة الموجودة فی القرن الخامس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التعرّف علی تفاسیر أهل السنّة، والتی أکثرها روائیة، ومن 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الکشف و البیان للثعلبی و الوسیط للواحدی النیسابوری، و النکت و العیون للماوردی</w:t>
      </w:r>
      <w:r>
        <w:rPr>
          <w:rFonts w:eastAsia="IRNazanin" w:cs="IRNazanin"/>
          <w:color w:val="111111"/>
          <w:sz w:val="28"/>
          <w:szCs w:val="28"/>
          <w:rtl w:val="true"/>
          <w:lang w:bidi="fa-IR"/>
        </w:rPr>
        <w:t>....</w:t>
      </w:r>
    </w:p>
    <w:p>
      <w:pPr>
        <w:pStyle w:val="Heading3"/>
        <w:numPr>
          <w:ilvl w:val="2"/>
          <w:numId w:val="1"/>
        </w:numPr>
        <w:rPr/>
      </w:pPr>
      <w:bookmarkStart w:id="668" w:name="__RefHeading___Toc634325_581953129"/>
      <w:bookmarkStart w:id="669" w:name="_Toc258"/>
      <w:bookmarkEnd w:id="668"/>
      <w:r>
        <w:rPr>
          <w:rtl w:val="true"/>
        </w:rPr>
        <w:t>القرن الخامس</w:t>
      </w:r>
      <w:bookmarkEnd w:id="669"/>
    </w:p>
    <w:p>
      <w:pPr>
        <w:pStyle w:val="BookText"/>
        <w:rPr/>
      </w:pPr>
      <w:r>
        <w:rPr>
          <w:rFonts w:ascii="IRNazanin" w:hAnsi="IRNazanin" w:eastAsia="IRNazanin"/>
          <w:color w:val="111111"/>
          <w:sz w:val="28"/>
          <w:sz w:val="28"/>
          <w:szCs w:val="28"/>
          <w:rtl w:val="true"/>
          <w:lang w:bidi="fa-IR"/>
        </w:rPr>
        <w:t>یعدُّ القرن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بلحاظ تقدّم العلوم، وعلی الخصوص العلوم العقلیة و التحلیلیة والاستدلالیة علی الموضوعات الدینیة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القرون المزدهرة و المشعّة فی التاریخ الإسلامی؛ وذلک لوجود علماء کبار لا معین فی هذا المجال، من جملتهم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الطائفة الإمامیة الشیخ الطوسی وابن سینا، وأبو ریحان البیرونی وأمثالهم، و قد عدُّ القرن من جهة الأفق العلمی ذا عصر 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المورد کتب جرجی 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الزمان هو العصر الذهبی للإسلام، وحکومة المسلمین فی هذا الزمان بلغت قمّة عظمتها فی الثروة و التمدّن و السیادة، و قد نضجت فیه أکثر العلوم الإسلامیة، وترجمت فیه أهمّ علوم العصر إلی العربیة</w:t>
      </w:r>
      <w:r>
        <w:rPr>
          <w:rFonts w:eastAsia="IRNazanin" w:cs="IRNazanin"/>
          <w:color w:val="111111"/>
          <w:sz w:val="28"/>
          <w:szCs w:val="28"/>
          <w:rtl w:val="true"/>
          <w:lang w:bidi="fa-IR"/>
        </w:rPr>
        <w:t xml:space="preserve">. </w:t>
      </w:r>
      <w:r>
        <w:rPr>
          <w:rStyle w:val="FootnoteAnchor"/>
          <w:rtl w:val="true"/>
        </w:rPr>
        <w:footnoteReference w:id="722"/>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قد ذکر لهذا الزمن اسم أکثر من مائة تفسیر ومفسّر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 الأدنوی</w:t>
      </w:r>
      <w:bookmarkStart w:id="670" w:name="pg5285_67467"/>
    </w:p>
    <w:p>
      <w:pPr>
        <w:pStyle w:val="BookText"/>
        <w:rPr/>
      </w:pPr>
      <w:bookmarkEnd w:id="670"/>
      <w:r>
        <w:rPr>
          <w:rFonts w:ascii="IRNazanin" w:hAnsi="IRNazanin" w:eastAsia="IRNazanin"/>
          <w:color w:val="111111"/>
          <w:sz w:val="28"/>
          <w:sz w:val="28"/>
          <w:szCs w:val="28"/>
          <w:rtl w:val="true"/>
          <w:lang w:bidi="fa-IR"/>
        </w:rPr>
        <w:t xml:space="preserve">فی کتابه </w:t>
      </w:r>
      <w:r>
        <w:rPr>
          <w:rStyle w:val="FootnoteAnchor"/>
          <w:rtl w:val="true"/>
        </w:rPr>
        <w:footnoteReference w:id="723"/>
      </w:r>
      <w:r>
        <w:rPr>
          <w:rFonts w:ascii="Amiri" w:hAnsi="Amiri" w:eastAsia="Amiri" w:cs="Amiri"/>
          <w:color w:val="111111"/>
          <w:sz w:val="28"/>
          <w:sz w:val="28"/>
          <w:szCs w:val="28"/>
          <w:rtl w:val="true"/>
          <w:lang w:bidi="ar-SA"/>
        </w:rPr>
        <w:t xml:space="preserve">قُرابة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وذکر عقیقی بخشایشی فی مُؤَلَّفه </w:t>
      </w:r>
      <w:r>
        <w:rPr>
          <w:rStyle w:val="FootnoteAnchor"/>
          <w:rtl w:val="true"/>
        </w:rPr>
        <w:footnoteReference w:id="724"/>
      </w:r>
      <w:r>
        <w:rPr>
          <w:rFonts w:ascii="IRNazanin" w:hAnsi="IRNazanin" w:eastAsia="IRNazanin"/>
          <w:color w:val="111111"/>
          <w:sz w:val="28"/>
          <w:sz w:val="28"/>
          <w:szCs w:val="28"/>
          <w:rtl w:val="true"/>
          <w:lang w:bidi="fa-IR"/>
        </w:rPr>
        <w:t xml:space="preserve">أکثر من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 لمفسّری هذا العصر</w:t>
      </w:r>
      <w:r>
        <w:rPr>
          <w:rFonts w:eastAsia="IRNazanin" w:cs="IRNazanin"/>
          <w:color w:val="111111"/>
          <w:sz w:val="28"/>
          <w:szCs w:val="28"/>
          <w:rtl w:val="true"/>
          <w:lang w:bidi="fa-IR"/>
        </w:rPr>
        <w:t>.</w:t>
      </w:r>
    </w:p>
    <w:p>
      <w:pPr>
        <w:pStyle w:val="Heading3"/>
        <w:numPr>
          <w:ilvl w:val="2"/>
          <w:numId w:val="1"/>
        </w:numPr>
        <w:rPr/>
      </w:pPr>
      <w:bookmarkStart w:id="671" w:name="__RefHeading___Toc634327_581953129"/>
      <w:bookmarkStart w:id="672" w:name="_Toc259"/>
      <w:bookmarkEnd w:id="671"/>
      <w:r>
        <w:rPr>
          <w:rtl w:val="true"/>
        </w:rPr>
        <w:t>السمات السیاسیة و الثقافیة</w:t>
      </w:r>
      <w:bookmarkEnd w:id="672"/>
    </w:p>
    <w:p>
      <w:pPr>
        <w:pStyle w:val="Heading4"/>
        <w:numPr>
          <w:ilvl w:val="3"/>
          <w:numId w:val="1"/>
        </w:numPr>
        <w:rPr/>
      </w:pPr>
      <w:bookmarkStart w:id="673" w:name="__RefHeading___Toc634329_581953129"/>
      <w:bookmarkStart w:id="674" w:name="_Toc260"/>
      <w:bookmarkEnd w:id="673"/>
      <w:r>
        <w:rPr>
          <w:rtl w:val="true"/>
        </w:rPr>
        <w:t>اشارة</w:t>
      </w:r>
      <w:bookmarkEnd w:id="674"/>
    </w:p>
    <w:p>
      <w:pPr>
        <w:pStyle w:val="BookText"/>
        <w:rPr/>
      </w:pPr>
      <w:r>
        <w:rPr>
          <w:rFonts w:ascii="IRNazanin" w:hAnsi="IRNazanin" w:eastAsia="IRNazanin"/>
          <w:color w:val="111111"/>
          <w:sz w:val="28"/>
          <w:sz w:val="28"/>
          <w:szCs w:val="28"/>
          <w:rtl w:val="true"/>
          <w:lang w:bidi="fa-IR"/>
        </w:rPr>
        <w:t>لهذا العصر خصوصیتان متضادّتان ومتقابلتان 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المواجهات، واشتعال الحروب المدمّرة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التقدّم وتوسّع العلوم، وتألیف الآثار الإسلامیة</w:t>
      </w:r>
      <w:r>
        <w:rPr>
          <w:rFonts w:eastAsia="IRNazanin" w:cs="IRNazanin"/>
          <w:color w:val="111111"/>
          <w:sz w:val="28"/>
          <w:szCs w:val="28"/>
          <w:rtl w:val="true"/>
          <w:lang w:bidi="fa-IR"/>
        </w:rPr>
        <w:t>.</w:t>
      </w:r>
    </w:p>
    <w:p>
      <w:pPr>
        <w:pStyle w:val="Heading4"/>
        <w:numPr>
          <w:ilvl w:val="3"/>
          <w:numId w:val="1"/>
        </w:numPr>
        <w:rPr/>
      </w:pPr>
      <w:bookmarkStart w:id="675" w:name="__RefHeading___Toc634331_581953129"/>
      <w:bookmarkStart w:id="676" w:name="_Toc261"/>
      <w:bookmarkEnd w:id="675"/>
      <w:r>
        <w:rPr>
          <w:rtl w:val="true"/>
        </w:rPr>
        <w:t>السمة الأولی</w:t>
      </w:r>
      <w:bookmarkEnd w:id="676"/>
    </w:p>
    <w:p>
      <w:pPr>
        <w:pStyle w:val="BookText"/>
        <w:rPr/>
      </w:pPr>
      <w:r>
        <w:rPr>
          <w:rFonts w:ascii="IRNazanin" w:hAnsi="IRNazanin" w:eastAsia="IRNazanin"/>
          <w:color w:val="111111"/>
          <w:sz w:val="28"/>
          <w:sz w:val="28"/>
          <w:szCs w:val="28"/>
          <w:rtl w:val="true"/>
          <w:lang w:bidi="fa-IR"/>
        </w:rPr>
        <w:t>فی القرن الخامس وقعت مواجهات شدیدة بین أهل السنّة و الشیعة، وتطوّرت بشکل، حیث یلاحظ أنّ السلطان بهاء الدولة قد مارس الضغوط علی الشیخ المفید</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نفیه من بغداد</w:t>
      </w:r>
      <w:r>
        <w:rPr>
          <w:rFonts w:eastAsia="IRNazanin" w:cs="IRNazanin"/>
          <w:color w:val="111111"/>
          <w:sz w:val="28"/>
          <w:szCs w:val="28"/>
          <w:rtl w:val="true"/>
          <w:lang w:bidi="fa-IR"/>
        </w:rPr>
        <w:t xml:space="preserve">. </w:t>
      </w:r>
      <w:r>
        <w:rPr>
          <w:rStyle w:val="FootnoteAnchor"/>
          <w:rtl w:val="true"/>
        </w:rPr>
        <w:footnoteReference w:id="725"/>
      </w:r>
      <w:r>
        <w:rPr>
          <w:rFonts w:ascii="IRNazanin" w:hAnsi="IRNazanin" w:eastAsia="IRNazanin"/>
          <w:color w:val="111111"/>
          <w:sz w:val="28"/>
          <w:sz w:val="28"/>
          <w:szCs w:val="28"/>
          <w:rtl w:val="true"/>
          <w:lang w:bidi="fa-IR"/>
        </w:rPr>
        <w:t>وفی هذا القرن حکم الملوک السلاجقة، 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بشکل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یخالفون یذهب الشیعة، وکان أوّل ملوکهم طُغرل بیک، وعندما دخل بغداد أحرق مکتبتها، والتی هی أکبر مکتبة فی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کتب ابن الأثیر فی هذه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أحترقت بغداد وجانب الکَرْخ، والأطراف وخزینتها ومخازنها ومکتبتها التی کان أوقفها أردشیر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سابور بن أردشیر</w:t>
      </w:r>
      <w:r>
        <w:rPr>
          <w:rFonts w:eastAsia="IRNazanin" w:cs="IRNazanin"/>
          <w:color w:val="111111"/>
          <w:sz w:val="28"/>
          <w:szCs w:val="28"/>
          <w:rtl w:val="true"/>
          <w:lang w:bidi="fa-IR"/>
        </w:rPr>
        <w:t xml:space="preserve">) </w:t>
      </w:r>
      <w:r>
        <w:rPr>
          <w:rStyle w:val="FootnoteAnchor"/>
          <w:rtl w:val="true"/>
        </w:rPr>
        <w:footnoteReference w:id="726"/>
      </w:r>
      <w:r>
        <w:rPr>
          <w:rFonts w:ascii="IRNazanin" w:hAnsi="IRNazanin" w:eastAsia="IRNazanin"/>
          <w:color w:val="111111"/>
          <w:sz w:val="28"/>
          <w:sz w:val="28"/>
          <w:szCs w:val="28"/>
          <w:rtl w:val="true"/>
          <w:lang w:bidi="fa-IR"/>
        </w:rPr>
        <w:t xml:space="preserve">علی المکتبة، وتمّ إحراقها فی سنة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وتعرّض البعض منها إلی الغارات و السلب</w:t>
      </w:r>
      <w:r>
        <w:rPr>
          <w:rFonts w:eastAsia="IRNazanin" w:cs="IRNazanin"/>
          <w:color w:val="111111"/>
          <w:sz w:val="28"/>
          <w:szCs w:val="28"/>
          <w:rtl w:val="true"/>
          <w:lang w:bidi="fa-IR"/>
        </w:rPr>
        <w:t xml:space="preserve">. </w:t>
      </w:r>
      <w:r>
        <w:rPr>
          <w:rStyle w:val="FootnoteAnchor"/>
          <w:rtl w:val="true"/>
        </w:rPr>
        <w:footnoteReference w:id="727"/>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حسن الحظّ فی نفس هذا الوقت کان الکثیر من کتب الأصول الأربعمائة</w:t>
      </w:r>
      <w:bookmarkStart w:id="677" w:name="pg5285_67468"/>
    </w:p>
    <w:p>
      <w:pPr>
        <w:pStyle w:val="BookText"/>
        <w:rPr/>
      </w:pPr>
      <w:bookmarkEnd w:id="677"/>
      <w:r>
        <w:rPr>
          <w:rFonts w:ascii="IRNazanin" w:hAnsi="IRNazanin" w:eastAsia="IRNazanin"/>
          <w:color w:val="111111"/>
          <w:sz w:val="28"/>
          <w:sz w:val="28"/>
          <w:szCs w:val="28"/>
          <w:rtl w:val="true"/>
          <w:lang w:bidi="fa-IR"/>
        </w:rPr>
        <w:t>الشیعیة فی حیازة الشیخ الطوسی</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شکل 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الشیخ فی الوقت ذاته مشغولاً بتألیف 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التهذیب و الإستبصار</w:t>
      </w:r>
      <w:r>
        <w:rPr>
          <w:rFonts w:eastAsia="IRNazanin" w:cs="IRNazanin"/>
          <w:color w:val="111111"/>
          <w:sz w:val="28"/>
          <w:szCs w:val="28"/>
          <w:rtl w:val="true"/>
          <w:lang w:bidi="fa-IR"/>
        </w:rPr>
        <w:t xml:space="preserve">. </w:t>
      </w:r>
      <w:r>
        <w:rPr>
          <w:rStyle w:val="FootnoteAnchor"/>
          <w:rtl w:val="true"/>
        </w:rPr>
        <w:footnoteReference w:id="728"/>
      </w:r>
    </w:p>
    <w:p>
      <w:pPr>
        <w:pStyle w:val="Heading4"/>
        <w:numPr>
          <w:ilvl w:val="3"/>
          <w:numId w:val="1"/>
        </w:numPr>
        <w:rPr/>
      </w:pPr>
      <w:bookmarkStart w:id="678" w:name="__RefHeading___Toc634333_581953129"/>
      <w:bookmarkStart w:id="679" w:name="_Toc262"/>
      <w:bookmarkEnd w:id="678"/>
      <w:r>
        <w:rPr>
          <w:rtl w:val="true"/>
        </w:rPr>
        <w:t>السمة الثانیة</w:t>
      </w:r>
      <w:bookmarkEnd w:id="679"/>
    </w:p>
    <w:p>
      <w:pPr>
        <w:pStyle w:val="BookText"/>
        <w:rPr/>
      </w:pPr>
      <w:r>
        <w:rPr>
          <w:rFonts w:ascii="IRNazanin" w:hAnsi="IRNazanin" w:eastAsia="IRNazanin"/>
          <w:color w:val="111111"/>
          <w:sz w:val="28"/>
          <w:sz w:val="28"/>
          <w:szCs w:val="28"/>
          <w:rtl w:val="true"/>
          <w:lang w:bidi="fa-IR"/>
        </w:rPr>
        <w:t>وفی قبال السمة الأولی، نلاحظ فإنّ القرن الخامس فی لحاظ العلوم العقلیة یعدُّ من القرون المتألّقة فی التاریخ الإسلامی، فقد عاش فیه علماء بارزون،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و البیرونی، وعنصری بلخی، والذین نبغوا فی تخصّصات مختلفة من العلوم العقلیة، وقاموا بکتابة مؤلفات وترکوا آثاراً قیمة و ثمینة، حیث و عرفت مؤلّفاتهم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البعض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العصور الإسلامیة باعتبار أهمّ وأکمل الکتب</w:t>
      </w:r>
      <w:r>
        <w:rPr>
          <w:rFonts w:eastAsia="IRNazanin" w:cs="IRNazanin"/>
          <w:color w:val="111111"/>
          <w:sz w:val="28"/>
          <w:szCs w:val="28"/>
          <w:rtl w:val="true"/>
          <w:lang w:bidi="fa-IR"/>
        </w:rPr>
        <w:t xml:space="preserve">. </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وهکذا عاش کبار علماء الشیعة فی هذا القرن، ومن جملتهم الشیخ المفید</w:t>
      </w:r>
      <w:r>
        <w:rPr>
          <w:rFonts w:eastAsia="IRNazanin" w:cs="IRNazanin"/>
          <w:color w:val="111111"/>
          <w:sz w:val="28"/>
          <w:szCs w:val="28"/>
          <w:rtl w:val="true"/>
          <w:lang w:bidi="fa-IR"/>
        </w:rPr>
        <w:t>(</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أکبر المتکلّمین و المؤلّفین البارزین فی مذهب الشیعة الإمامیة، والذی خلّف بعده أکثر من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 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السید المرتضی</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والسید الرضی و الشیخ الطوسی</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أهل السنّة نجد الحاکم النیسابوری</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المستدرک و أبا بکر أحمد بن حسین البیهقی</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السنن الکبری المعروف، سنن البیهقی، وأبا إسحاق النیسابوری المعروف بالثعلبی</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والواحدی النیسابوری صاحب أسباب النزول</w:t>
      </w:r>
      <w:r>
        <w:rPr>
          <w:rFonts w:eastAsia="IRNazanin" w:cs="IRNazanin"/>
          <w:color w:val="111111"/>
          <w:sz w:val="28"/>
          <w:szCs w:val="28"/>
          <w:rtl w:val="true"/>
          <w:lang w:bidi="fa-IR"/>
        </w:rPr>
        <w:t>(</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وعبد القاهر الجرجانی</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ما یمکن ذکره بهذه الفقرات</w:t>
      </w:r>
      <w:r>
        <w:rPr>
          <w:rFonts w:eastAsia="IRNazanin" w:cs="IRNazanin"/>
          <w:color w:val="111111"/>
          <w:sz w:val="28"/>
          <w:szCs w:val="28"/>
          <w:rtl w:val="true"/>
          <w:lang w:bidi="fa-IR"/>
        </w:rPr>
        <w:t>.</w:t>
      </w:r>
    </w:p>
    <w:p>
      <w:pPr>
        <w:pStyle w:val="Heading3"/>
        <w:numPr>
          <w:ilvl w:val="2"/>
          <w:numId w:val="1"/>
        </w:numPr>
        <w:rPr/>
      </w:pPr>
      <w:bookmarkStart w:id="680" w:name="__RefHeading___Toc634335_581953129"/>
      <w:bookmarkStart w:id="681" w:name="_Toc263"/>
      <w:bookmarkEnd w:id="680"/>
      <w:r>
        <w:rPr>
          <w:rtl w:val="true"/>
        </w:rPr>
        <w:t>المذاهب الکلامیة فی القرن الخامس</w:t>
      </w:r>
      <w:bookmarkEnd w:id="681"/>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هذا القرن حصلت اختلافات مذهبیة واسعة بین مذاهب أهل السنة،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الأشعریة و المعتزلة، والماتریدیة، إثر وقوف کلّ واحد منها قبال الآخر، وذلک من سنة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وإلی سنة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أصدر 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أثر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حینها بیاناً جاء فیه منع آراء المعتزلة، وأنّها تعود علی صاحبها بالوبال</w:t>
      </w:r>
      <w:r>
        <w:rPr>
          <w:rFonts w:eastAsia="IRNazanin" w:cs="IRNazanin"/>
          <w:color w:val="111111"/>
          <w:sz w:val="28"/>
          <w:szCs w:val="28"/>
          <w:rtl w:val="true"/>
          <w:lang w:bidi="fa-IR"/>
        </w:rPr>
        <w:t xml:space="preserve">. </w:t>
      </w:r>
      <w:r>
        <w:rPr>
          <w:rStyle w:val="FootnoteAnchor"/>
          <w:rtl w:val="true"/>
        </w:rPr>
        <w:footnoteReference w:id="730"/>
      </w:r>
      <w:r>
        <w:rPr>
          <w:rFonts w:ascii="IRNazanin" w:hAnsi="IRNazanin" w:eastAsia="IRNazanin"/>
          <w:color w:val="111111"/>
          <w:sz w:val="28"/>
          <w:sz w:val="28"/>
          <w:szCs w:val="28"/>
          <w:rtl w:val="true"/>
          <w:lang w:bidi="fa-IR"/>
        </w:rPr>
        <w:t>ومع هذا فإنّ مدرسة الاعتزال وجدت نماءً خاصّاً أنّ علماءها کان لهم حضور فی القرون الماضیة بشکل أکثر وأوسع، ولهم شخصیاتهم المعروفة،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الجاحظ، وأبو علی الجُبّائی، وابنه ابو هاشم و البلخی فی القرن الثالث و الرابع، ولکنّ تفاسیرهم وکتبهم نشرت فی الأوساط الإسلامیة فی هذا القرن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ظهور القاضی عبد الجبّار الهَمَدانی</w:t>
      </w: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 القرآن عن المطاعن، والقاضی أبو بکر الباقلانی</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إعجاز القرآن فی هذا القرن، بدأت أفکار مذهب الاعتزال تزداد قوّة یوماً بعد 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ومضافاً علی ذکر هذه المجموعة من العلماء، فإنّ بحوثهم کتبت بأسلوب علمی یعتمد الاستدلال العقلی، مع الاستفادة من الآیات و الروایات، فطرحوا ما کتبوه بمنهج اجتهادی، و هذا یعود أجواء العصر الذی هو علی صورة من الصور، حیث اقسم بها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الاجتهاد والاستدلال، والذی أصبح مقدّمة لنماءِ تطور التفاسیر الاجتهادیة الأخری فی القرن السادس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القرن برز أکبر المفکّرین فی الکلام عند الشیعة الإمامیة،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المفید رحمه الله و السید الرضی و السید المرتضی</w:t>
      </w:r>
      <w:r>
        <w:rPr>
          <w:rFonts w:eastAsia="IRNazanin" w:cs="IRNazanin"/>
          <w:color w:val="111111"/>
          <w:sz w:val="28"/>
          <w:szCs w:val="28"/>
          <w:rtl w:val="true"/>
          <w:lang w:bidi="fa-IR"/>
        </w:rPr>
        <w:t>(</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والشیخ الطوسی</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لهم حضورهم العلمی القائم علی الاستدلال و البرهان العقلی و الکلامی، مع الاستفادة من الآیات و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فی التفسیر، و قد أسّسوا المنهج الاجتهادی فی جمیع علوم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أنّ أهل السنّة لهم محاولاتهم فی هذا</w:t>
      </w:r>
      <w:bookmarkStart w:id="682" w:name="pg5285_67470"/>
    </w:p>
    <w:p>
      <w:pPr>
        <w:pStyle w:val="BookText"/>
        <w:rPr/>
      </w:pPr>
      <w:bookmarkEnd w:id="682"/>
      <w:r>
        <w:rPr>
          <w:rFonts w:ascii="IRNazanin" w:hAnsi="IRNazanin" w:eastAsia="IRNazanin"/>
          <w:color w:val="111111"/>
          <w:sz w:val="28"/>
          <w:sz w:val="28"/>
          <w:szCs w:val="28"/>
          <w:rtl w:val="true"/>
          <w:lang w:bidi="fa-IR"/>
        </w:rPr>
        <w:t>المیدان، إلاّ أنّ تفاسیرهم المعروفة فی هذا القرن لها جنبتها التقلیدیة الروائیة، وهی الاعتماد علی أقوال الصحابة و التابعین</w:t>
      </w:r>
      <w:r>
        <w:rPr>
          <w:rFonts w:eastAsia="IRNazanin" w:cs="IRNazanin"/>
          <w:color w:val="111111"/>
          <w:sz w:val="28"/>
          <w:szCs w:val="28"/>
          <w:rtl w:val="true"/>
          <w:lang w:bidi="fa-IR"/>
        </w:rPr>
        <w:t>.</w:t>
      </w:r>
    </w:p>
    <w:p>
      <w:pPr>
        <w:pStyle w:val="Heading3"/>
        <w:numPr>
          <w:ilvl w:val="2"/>
          <w:numId w:val="1"/>
        </w:numPr>
        <w:rPr/>
      </w:pPr>
      <w:bookmarkStart w:id="683" w:name="__RefHeading___Toc634337_581953129"/>
      <w:bookmarkStart w:id="684" w:name="_Toc264"/>
      <w:bookmarkEnd w:id="683"/>
      <w:r>
        <w:rPr>
          <w:rtl w:val="true"/>
        </w:rPr>
        <w:t>تفاسیر الشیعة</w:t>
      </w:r>
      <w:bookmarkEnd w:id="684"/>
    </w:p>
    <w:p>
      <w:pPr>
        <w:pStyle w:val="Heading4"/>
        <w:numPr>
          <w:ilvl w:val="3"/>
          <w:numId w:val="1"/>
        </w:numPr>
        <w:rPr/>
      </w:pPr>
      <w:bookmarkStart w:id="685" w:name="__RefHeading___Toc634339_581953129"/>
      <w:bookmarkStart w:id="686" w:name="_Toc265"/>
      <w:bookmarkEnd w:id="685"/>
      <w:r>
        <w:rPr>
          <w:rtl w:val="true"/>
        </w:rPr>
        <w:t>اشارة</w:t>
      </w:r>
      <w:bookmarkEnd w:id="686"/>
    </w:p>
    <w:p>
      <w:pPr>
        <w:pStyle w:val="BookText"/>
        <w:rPr/>
      </w:pPr>
      <w:r>
        <w:rPr>
          <w:rFonts w:ascii="IRNazanin" w:hAnsi="IRNazanin" w:eastAsia="IRNazanin"/>
          <w:color w:val="111111"/>
          <w:sz w:val="28"/>
          <w:sz w:val="28"/>
          <w:szCs w:val="28"/>
          <w:rtl w:val="true"/>
          <w:lang w:bidi="fa-IR"/>
        </w:rPr>
        <w:t>ومن التفاسیر الشیعیة التی نشیر إلیها أدناه هو</w:t>
      </w:r>
      <w:r>
        <w:rPr>
          <w:rFonts w:eastAsia="IRNazanin" w:cs="IRNazanin"/>
          <w:color w:val="111111"/>
          <w:sz w:val="28"/>
          <w:szCs w:val="28"/>
          <w:rtl w:val="true"/>
          <w:lang w:bidi="fa-IR"/>
        </w:rPr>
        <w:t>:</w:t>
      </w:r>
    </w:p>
    <w:p>
      <w:pPr>
        <w:pStyle w:val="Heading4"/>
        <w:numPr>
          <w:ilvl w:val="3"/>
          <w:numId w:val="1"/>
        </w:numPr>
        <w:rPr/>
      </w:pPr>
      <w:bookmarkStart w:id="687" w:name="__RefHeading___Toc634341_581953129"/>
      <w:bookmarkStart w:id="688" w:name="_Toc266"/>
      <w:bookmarkEnd w:id="687"/>
      <w:r>
        <w:rPr/>
        <w:t>1</w:t>
      </w:r>
      <w:r>
        <w:rPr>
          <w:rtl w:val="true"/>
        </w:rPr>
        <w:t xml:space="preserve">. </w:t>
      </w:r>
      <w:r>
        <w:rPr>
          <w:rtl w:val="true"/>
        </w:rPr>
        <w:t>حقائق التأویل فی متشابه التنزیل</w:t>
      </w:r>
      <w:bookmarkEnd w:id="688"/>
    </w:p>
    <w:p>
      <w:pPr>
        <w:pStyle w:val="Heading5"/>
        <w:numPr>
          <w:ilvl w:val="4"/>
          <w:numId w:val="1"/>
        </w:numPr>
        <w:rPr/>
      </w:pPr>
      <w:bookmarkStart w:id="689" w:name="__RefHeading___Toc634343_581953129"/>
      <w:bookmarkStart w:id="690" w:name="_Toc267"/>
      <w:bookmarkEnd w:id="689"/>
      <w:r>
        <w:rPr>
          <w:rtl w:val="true"/>
        </w:rPr>
        <w:t>اشارة</w:t>
      </w:r>
      <w:bookmarkEnd w:id="690"/>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محمّد بن الحسین، المعروف بالسید الرضی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الاتّجاه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الکلامی و الأدبی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التفسیر هو السید الشریف الرضی، أخو السید المرتضی، ویتّصل نسبهم إلی الإمام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عن طریق أمّهم إلی الإمام السجاد علیه السّلام، إنّه من علماء الشیعة الکبار، و هو أدیب وشاعر، وفقیه ومفسّر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کتب الشعر، و هو فی العشرین من عمره، و جمع نهج‌البلاغة، و قد ذکروا له مؤلفّات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فنجد فی البحوث القرآنیة ذکروا له مضافاً إلی هذا التفسیر کتاب تلخیص البیان عن مجازات ومعانی القرآن، کما أنّه فی اللحاظ العلمی کان محبوب علماء عصره، وفی اللحاظ السیاسی والاجتماعی یتمتّع بمکانة رفیعة عند سیاسیوا وحکّام زمانه</w:t>
      </w:r>
      <w:r>
        <w:rPr>
          <w:rFonts w:eastAsia="IRNazanin" w:cs="IRNazanin"/>
          <w:color w:val="111111"/>
          <w:sz w:val="28"/>
          <w:szCs w:val="28"/>
          <w:rtl w:val="true"/>
          <w:lang w:bidi="fa-IR"/>
        </w:rPr>
        <w:t>.</w:t>
      </w:r>
    </w:p>
    <w:p>
      <w:pPr>
        <w:pStyle w:val="Heading5"/>
        <w:numPr>
          <w:ilvl w:val="4"/>
          <w:numId w:val="1"/>
        </w:numPr>
        <w:rPr/>
      </w:pPr>
      <w:bookmarkStart w:id="691" w:name="__RefHeading___Toc634345_581953129"/>
      <w:bookmarkStart w:id="692" w:name="_Toc268"/>
      <w:bookmarkEnd w:id="691"/>
      <w:r>
        <w:rPr>
          <w:rtl w:val="true"/>
        </w:rPr>
        <w:t>خصائص هذا التفسیر</w:t>
      </w:r>
      <w:bookmarkEnd w:id="692"/>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هو واضح، إنّ عنوان التفسیر یرشدنا إلی أنّه منصب علی التحقیق فی الآیات</w:t>
      </w:r>
      <w:bookmarkStart w:id="693" w:name="pg5285_67471"/>
    </w:p>
    <w:p>
      <w:pPr>
        <w:pStyle w:val="BookText"/>
        <w:rPr/>
      </w:pPr>
      <w:bookmarkEnd w:id="693"/>
      <w:r>
        <w:rPr>
          <w:rFonts w:ascii="IRNazanin" w:hAnsi="IRNazanin" w:eastAsia="IRNazanin"/>
          <w:color w:val="111111"/>
          <w:sz w:val="28"/>
          <w:sz w:val="28"/>
          <w:szCs w:val="28"/>
          <w:rtl w:val="true"/>
          <w:lang w:bidi="fa-IR"/>
        </w:rPr>
        <w:t>المشتملة علی الإبهام و الأسئلة العقائدیة، والتی فیما یصعب فهما من المتشابهات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یمارس فی بدایة التفسیر طرح الآیة وتفسیرها بأسلوب السؤال و الجواب، و إنّ الإجابة التی یبدیها هی إجابة علمیة ودقیقة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الکتاب فی الحقیقة هو الجزء الخامس من الأجزاء العشرة؛ و أمّا باقی الأجزاء التسعة، فهی مفقودة ولا توجد بأیدنا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الجزء یبتدئ من الآیة السابعة، من سورة آل‌عمران، ویقسّم الآیات إلی صنفین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المحکمة و المتشابهة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ألمحنا إنّه لم یتعرّض إلی ذکر جمیع الآیات، بل تناول بعض الموضوعات المهمّة من سورة آل‌عمران و النساء، و أنّ آخر آیة تعرّض لها من سورة النساء هی الآیة </w:t>
      </w:r>
      <w:r>
        <w:rPr>
          <w:rFonts w:eastAsia="IRNazanin" w:cs="IRNazanin"/>
          <w:color w:val="111111"/>
          <w:sz w:val="28"/>
          <w:szCs w:val="28"/>
          <w:lang w:bidi="fa-IR"/>
        </w:rPr>
        <w:t>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یَغْفِرُ أَنْ یُشْرَکَ 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کما إنّ هذا التفسیر باللحاظ العلمی یحتوی علی نِقاطٍ أدبیة وکلامیة وفقهیة، و قد استشهد بالشعر العربی، ثمّ یقوم بطرح آراءه المختارة بالأسلوب الاستدلالی والاجتهادی</w:t>
      </w:r>
      <w:r>
        <w:rPr>
          <w:rFonts w:eastAsia="IRNazanin" w:cs="IRNazanin"/>
          <w:color w:val="111111"/>
          <w:sz w:val="28"/>
          <w:szCs w:val="28"/>
          <w:rtl w:val="true"/>
          <w:lang w:bidi="fa-IR"/>
        </w:rPr>
        <w:t>.</w:t>
      </w:r>
    </w:p>
    <w:p>
      <w:pPr>
        <w:pStyle w:val="Heading5"/>
        <w:numPr>
          <w:ilvl w:val="4"/>
          <w:numId w:val="1"/>
        </w:numPr>
        <w:rPr/>
      </w:pPr>
      <w:bookmarkStart w:id="694" w:name="__RefHeading___Toc634347_581953129"/>
      <w:bookmarkStart w:id="695" w:name="_Toc269"/>
      <w:bookmarkEnd w:id="694"/>
      <w:r>
        <w:rPr>
          <w:rtl w:val="true"/>
        </w:rPr>
        <w:t>نماذج من التفسیر</w:t>
      </w:r>
      <w:bookmarkEnd w:id="695"/>
    </w:p>
    <w:p>
      <w:pPr>
        <w:pStyle w:val="BookText"/>
        <w:rPr/>
      </w:pPr>
      <w:r>
        <w:rPr>
          <w:rFonts w:ascii="Amiri" w:hAnsi="Amiri" w:eastAsia="Amiri" w:cs="Amiri"/>
          <w:color w:val="111111"/>
          <w:sz w:val="28"/>
          <w:sz w:val="28"/>
          <w:szCs w:val="28"/>
          <w:rtl w:val="true"/>
          <w:lang w:bidi="ar-SA"/>
        </w:rPr>
        <w:t>إنّ الشخص الذی یسأل عن معنی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یُرِدْ ثَوابَ الدُّنْیا نُؤْتِهِ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31"/>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أطلق تعالی هذا القول علی العموم، و نحن نری کثیراً ممّن یرید ثواب الدنیا و یتمناه، و یقرع الأبواب توصّلاً إلیه و حرصاً علیه، فلا ینال منه نصیباً و لا یبلغ منه مأمولاً؟</w:t>
      </w:r>
    </w:p>
    <w:p>
      <w:pPr>
        <w:pStyle w:val="BookText"/>
        <w:rPr/>
      </w:pPr>
      <w:r>
        <w:rPr>
          <w:rFonts w:ascii="IRNazanin" w:hAnsi="IRNazanin" w:eastAsia="IRNazanin"/>
          <w:color w:val="111111"/>
          <w:sz w:val="28"/>
          <w:sz w:val="28"/>
          <w:szCs w:val="28"/>
          <w:rtl w:val="true"/>
          <w:lang w:bidi="fa-IR"/>
        </w:rPr>
        <w:t>توجد هناک آراء مختلفة فی الإجابة علی هذا السؤاله تأتی علی النحو المقبل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المقصود هو إذا کان الشخص لوحده یرید الدنیا ولا یرید ثواب الآخرة، فإن الله سیأته الدنیا؛ أمّا الآخرة، فهی محرّمة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مفردة الثواب تکون مجازاً فی هذا الموضع وبمعنی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المنافع و اللذات الدنیویة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الرأی الثانی و هو لأبی علی الجُبّائی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المقصود هو الشخص الذی جاهد من</w:t>
      </w:r>
    </w:p>
    <w:p>
      <w:pPr>
        <w:pStyle w:val="BookText"/>
        <w:rPr/>
      </w:pPr>
      <w:r>
        <w:rPr>
          <w:rFonts w:ascii="IRNazanin" w:hAnsi="IRNazanin" w:eastAsia="IRNazanin"/>
          <w:color w:val="111111"/>
          <w:sz w:val="28"/>
          <w:sz w:val="28"/>
          <w:szCs w:val="28"/>
          <w:rtl w:val="true"/>
          <w:lang w:bidi="fa-IR"/>
        </w:rPr>
        <w:t>أجل الحصول علی الغنائم، فإنّ 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نُؤْتِهِ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الشخص یستهدف من جهاده ثواب الآخرة، و هو عن المطامع الدنیویة بعید، فإنّا سنعطیه هذا اللطف فی حفظ الجهاد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الرأی الثالث و هو لأبی القاسم البلخی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المقصود من ثواب الدنیا، هو استهداف الدنیا و الرغبة فیها، و هذا ما کان علیه المنافقون فی یوم غزوة أحد من حیث کانوا یبتغون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نلاحظ أنّه و قد یواصل عرضه لستّة آراء وبشکل مفصّل، </w:t>
      </w:r>
      <w:r>
        <w:rPr>
          <w:rStyle w:val="FootnoteAnchor"/>
          <w:rtl w:val="true"/>
        </w:rPr>
        <w:footnoteReference w:id="732"/>
      </w:r>
      <w:r>
        <w:rPr>
          <w:rFonts w:ascii="IRNazanin" w:hAnsi="IRNazanin" w:eastAsia="IRNazanin"/>
          <w:color w:val="111111"/>
          <w:sz w:val="28"/>
          <w:sz w:val="28"/>
          <w:szCs w:val="28"/>
          <w:rtl w:val="true"/>
          <w:lang w:bidi="fa-IR"/>
        </w:rPr>
        <w:t>ثمّ طرح رأیه بعد ذلک مستدّلاً علی إثباته بالبراهین الأدبیة و الکلامیة، وکذا بالآیات و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مصادره التی استفاد منها بصورة متفرّقة، 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أبی مسلم بحر الأصفهانی، تفسیر أبی علی الجُبّائی، و معانی القرآن للفرّاء و المبرّد و تفسیر الطبری، تفسیر أبی جعفر الإسکافی، وتفسیر أبی الحسن الأخفش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ولتفسیر حقائق التأویل أربعة خصوصیات یمتاز بها علی سائر تفاسیر عصره، و 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تعابیره الأدبیة الرفیعه المنطویة علی الدّقة البلاغیة و البیانیة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اختصاص التفسیر بالآیات المجملة و المتشابهة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مناقشة الآراء المختلفة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الاستفادة من الأدلّة المختلفة، الآیات و الروایات، والأدلّة العقلیة، وأسلوب البحث الاجتهادی مع استخدام الاستدلال و البرهان، لأجل التحقیق بالآراء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کتب أحد المحقّقین الذین قدّموا لهذا التفسیر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أعرف کتاباً مثل هذا التفسیر کتب قَبلَه إلّا کتاب أمالی السید المرتضی رحمه الله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یضیف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أحیاناً یتّهم أنّه زیدی، مع أنَّهُ اثنی عشری و إمامی المذهب، وفی</w:t>
      </w:r>
      <w:bookmarkStart w:id="696" w:name="pg5285_67473"/>
    </w:p>
    <w:p>
      <w:pPr>
        <w:pStyle w:val="BookText"/>
        <w:rPr/>
      </w:pPr>
      <w:bookmarkEnd w:id="696"/>
      <w:r>
        <w:rPr>
          <w:rFonts w:ascii="IRNazanin" w:hAnsi="IRNazanin" w:eastAsia="IRNazanin"/>
          <w:color w:val="111111"/>
          <w:sz w:val="28"/>
          <w:sz w:val="28"/>
          <w:szCs w:val="28"/>
          <w:rtl w:val="true"/>
          <w:lang w:bidi="fa-IR"/>
        </w:rPr>
        <w:t>الواقع أنّ هذا الاتّهام هو اتّهام سیاسی لیس إلاّ، وحال هذا الاتّهام کحال اتّهام أبی الفرج الأصفهانی و أبی حنیفة، وسفیان الثوری بالزیدیة، والمقصود من الزیدیة،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یری خلیفة زمانه جائراً وظالماً، وهکذا نسبة الاعتزال إلیه</w:t>
      </w:r>
      <w:r>
        <w:rPr>
          <w:rFonts w:eastAsia="IRNazanin" w:cs="IRNazanin"/>
          <w:color w:val="111111"/>
          <w:sz w:val="28"/>
          <w:szCs w:val="28"/>
          <w:rtl w:val="true"/>
          <w:lang w:bidi="fa-IR"/>
        </w:rPr>
        <w:t xml:space="preserve">. </w:t>
      </w:r>
      <w:r>
        <w:rPr>
          <w:rStyle w:val="FootnoteAnchor"/>
          <w:rtl w:val="true"/>
        </w:rPr>
        <w:footnoteReference w:id="733"/>
      </w:r>
    </w:p>
    <w:p>
      <w:pPr>
        <w:pStyle w:val="Heading4"/>
        <w:numPr>
          <w:ilvl w:val="3"/>
          <w:numId w:val="1"/>
        </w:numPr>
        <w:rPr/>
      </w:pPr>
      <w:bookmarkStart w:id="697" w:name="__RefHeading___Toc634349_581953129"/>
      <w:bookmarkStart w:id="698" w:name="_Toc270"/>
      <w:bookmarkEnd w:id="697"/>
      <w:r>
        <w:rPr/>
        <w:t>2</w:t>
      </w:r>
      <w:r>
        <w:rPr>
          <w:rtl w:val="true"/>
        </w:rPr>
        <w:t xml:space="preserve">. </w:t>
      </w:r>
      <w:r>
        <w:rPr>
          <w:rtl w:val="true"/>
        </w:rPr>
        <w:t>تفسیر الشیخ المفید</w:t>
      </w:r>
      <w:bookmarkEnd w:id="698"/>
    </w:p>
    <w:p>
      <w:pPr>
        <w:pStyle w:val="BookText"/>
        <w:rPr/>
      </w:pPr>
      <w:r>
        <w:rPr>
          <w:rFonts w:ascii="IRNazanin" w:hAnsi="IRNazanin" w:eastAsia="IRNazanin"/>
          <w:color w:val="111111"/>
          <w:sz w:val="28"/>
          <w:sz w:val="28"/>
          <w:szCs w:val="28"/>
          <w:rtl w:val="true"/>
          <w:lang w:bidi="fa-IR"/>
        </w:rPr>
        <w:t>هو محمّد بن محمّد بن النعمان العُکبُرّی البغدادی، المعروف بالشیخ المفید</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روّاد علم الفقه و الحدیث و الکلام، و سائر العلوم الدینیة و الأدبیة، ولقد شهد بقدرته العلمیة علماء أهل السنّة کما هو فی أقوالهم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الشیخ المفید رحمه الله و إن لم یکن له تفسیر مستقلّ، إلاّ أنّ کتبه القیمة ضمّت فی ثنایاها موضوعات تفسیریة کثیرة، ممّا حرّکت المحقّق القرآنی المعاصر لأستاد أیازی أن یجمعها فی مؤلّف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القرآن المجید المستخرج من تراث الشیخ المفید</w:t>
      </w:r>
      <w:r>
        <w:rPr>
          <w:rFonts w:eastAsia="IRNazanin" w:cs="IRNazanin"/>
          <w:color w:val="111111"/>
          <w:sz w:val="28"/>
          <w:szCs w:val="28"/>
          <w:rtl w:val="true"/>
          <w:lang w:bidi="fa-IR"/>
        </w:rPr>
        <w:t>.</w:t>
      </w:r>
    </w:p>
    <w:p>
      <w:pPr>
        <w:pStyle w:val="Heading4"/>
        <w:numPr>
          <w:ilvl w:val="3"/>
          <w:numId w:val="1"/>
        </w:numPr>
        <w:rPr/>
      </w:pPr>
      <w:bookmarkStart w:id="699" w:name="__RefHeading___Toc634351_581953129"/>
      <w:bookmarkStart w:id="700" w:name="_Toc271"/>
      <w:bookmarkEnd w:id="699"/>
      <w:r>
        <w:rPr/>
        <w:t>3</w:t>
      </w:r>
      <w:r>
        <w:rPr>
          <w:rtl w:val="true"/>
        </w:rPr>
        <w:t xml:space="preserve">. </w:t>
      </w:r>
      <w:r>
        <w:rPr>
          <w:rtl w:val="true"/>
        </w:rPr>
        <w:t>أمالی الشریف المرتضی</w:t>
      </w:r>
      <w:bookmarkEnd w:id="700"/>
    </w:p>
    <w:p>
      <w:pPr>
        <w:pStyle w:val="BookText"/>
        <w:rPr/>
      </w:pPr>
      <w:r>
        <w:rPr>
          <w:rFonts w:ascii="IRNazanin" w:hAnsi="IRNazanin" w:eastAsia="IRNazanin"/>
          <w:color w:val="111111"/>
          <w:sz w:val="28"/>
          <w:sz w:val="28"/>
          <w:szCs w:val="28"/>
          <w:rtl w:val="true"/>
          <w:lang w:bidi="fa-IR"/>
        </w:rPr>
        <w:t>هو السید المرتضی، أبو القاسم علی بن طاهر بن أحمد بن حسین المشهور بالشریف المرتضی، والملقّب بعلم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السید الجلیل من رواد الشیعة و المتقدّمین علیهم بعد الشیخ المفید، و هو فقیه و متکلّم، ومرجع للإمامیة</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شک فی عصره الذی قضاه، وکان من المفسّرین الکبار للقرآن الکریم، وهکذا یعترف له أهل السنّة فی الحدیث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کتابه المعروف فی هذا المجال هو الأمالی، غیر أنّ هذا الکتاب لا یملک خصوصیة التفسیر، بل هو محاورات علمیة ودینیة، وفی ضمنها یتعرّض لتفسیر الآیات القرآنیة</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یشتمل علی محاضرات أو أمالی، أملاها الشریف المرتضی فی</w:t>
      </w:r>
    </w:p>
    <w:p>
      <w:pPr>
        <w:pStyle w:val="BookText"/>
        <w:rPr/>
      </w:pPr>
      <w:r>
        <w:rPr>
          <w:rFonts w:ascii="IRNazanin" w:hAnsi="IRNazanin" w:eastAsia="IRNazanin"/>
          <w:color w:val="111111"/>
          <w:sz w:val="28"/>
          <w:sz w:val="28"/>
          <w:szCs w:val="28"/>
          <w:rtl w:val="true"/>
          <w:lang w:bidi="fa-IR"/>
        </w:rPr>
        <w:t>ثمانین مجلساً، یشتمل علی بحوث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و الحدیث والاوب، و هو کتاب ممتع یدلّ علی فضل کثیر، و توسع فی الاطلاع علی المعلوم</w:t>
      </w:r>
      <w:r>
        <w:rPr>
          <w:rFonts w:eastAsia="IRNazanin" w:cs="IRNazanin"/>
          <w:color w:val="111111"/>
          <w:sz w:val="28"/>
          <w:szCs w:val="28"/>
          <w:rtl w:val="true"/>
          <w:lang w:bidi="fa-IR"/>
        </w:rPr>
        <w:t xml:space="preserve">. </w:t>
      </w:r>
      <w:r>
        <w:rPr>
          <w:rStyle w:val="FootnoteAnchor"/>
          <w:rtl w:val="true"/>
        </w:rPr>
        <w:footnoteReference w:id="734"/>
      </w:r>
      <w:r>
        <w:rPr>
          <w:rFonts w:ascii="IRNazanin" w:hAnsi="IRNazanin" w:eastAsia="IRNazanin"/>
          <w:color w:val="111111"/>
          <w:sz w:val="28"/>
          <w:sz w:val="28"/>
          <w:szCs w:val="28"/>
          <w:rtl w:val="true"/>
          <w:lang w:bidi="fa-IR"/>
        </w:rPr>
        <w:t>و جدیر بالذکر أنّ الذهبی ضمن ثناءه العلمی الکثیر علی الشریف المرتضی رحمه الله إلاّ أنّه وصفه بالمعتزلی و المدافع عن عقائدهم</w:t>
      </w:r>
      <w:r>
        <w:rPr>
          <w:rFonts w:eastAsia="IRNazanin" w:cs="IRNazanin"/>
          <w:color w:val="111111"/>
          <w:sz w:val="28"/>
          <w:szCs w:val="28"/>
          <w:rtl w:val="true"/>
          <w:lang w:bidi="fa-IR"/>
        </w:rPr>
        <w:t xml:space="preserve">. </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و یری مؤلّف کتاب تاریخ الإسلام، و هو من کتّاب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السید المرتضی هو أشهر المفسّرین فی العصر العباسی الثانی، و هو معروف بعلم الهدی</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وکتاب الأمالی فی التفسیر هو من تفاسیر المعتزلة،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أبی علی الجُبّائی، و قد اقتبس من تفاسیر المذهب المتزلی غیره</w:t>
      </w:r>
      <w:r>
        <w:rPr>
          <w:rFonts w:eastAsia="IRNazanin" w:cs="IRNazanin"/>
          <w:color w:val="111111"/>
          <w:sz w:val="28"/>
          <w:szCs w:val="28"/>
          <w:rtl w:val="true"/>
          <w:lang w:bidi="fa-IR"/>
        </w:rPr>
        <w:t xml:space="preserve">. </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ومثلما قلنا سلفا أنّ تهمة الاعتزال تلصق بکرامة علماء الشیعة، و مضافاً إلی أنّها تهمة سیاسیة هی کذلک تحکی جهل المتّهِم وعدم المعرفة الدقیقة بالشیعة، والفارق بینها وبین المعتزلة</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کلّ حالٍ فی هذا الکتاب، والذی کتب علی صورة مجالس بلغ مجموعها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مجلساً، بحث فیها آیات مختلفة ومتفرّقة، طرح فیها آراء متنوعة کلامیة واعتقادیة ومع الإجایة علی الشبهات الموجودة حینها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آخر آیة کانت مورد بحثه هی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بِأَیِّ ذَنْبٍ قُتِلَتْ</w:t>
      </w:r>
      <w:r>
        <w:rPr>
          <w:rFonts w:eastAsia="IRNazanin" w:cs="IRNazanin"/>
          <w:color w:val="111111"/>
          <w:sz w:val="28"/>
          <w:szCs w:val="28"/>
          <w:rtl w:val="true"/>
          <w:lang w:bidi="fa-IR"/>
        </w:rPr>
        <w:t xml:space="preserve">) . </w:t>
      </w:r>
      <w:r>
        <w:rPr>
          <w:rStyle w:val="FootnoteAnchor"/>
          <w:rtl w:val="true"/>
        </w:rPr>
        <w:footnoteReference w:id="737"/>
      </w:r>
      <w:r>
        <w:rPr>
          <w:rFonts w:ascii="IRNazanin" w:hAnsi="IRNazanin" w:eastAsia="IRNazanin"/>
          <w:color w:val="111111"/>
          <w:sz w:val="28"/>
          <w:sz w:val="28"/>
          <w:szCs w:val="28"/>
          <w:rtl w:val="true"/>
          <w:lang w:bidi="fa-IR"/>
        </w:rPr>
        <w:t>إنّ هذه الحوارات اشتملت علی البحوث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الأدبیة و الکلامیة، والشعر العربی و الأحادیث و التفسیر، و قد طبع التفسیر فی النجف، وکذلک فی إیران سنة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فی مدینة قُم، ضمن منشورات مکتبة آیة الله المرعشی</w:t>
      </w:r>
      <w:r>
        <w:rPr>
          <w:rFonts w:eastAsia="IRNazanin" w:cs="IRNazanin"/>
          <w:color w:val="111111"/>
          <w:sz w:val="28"/>
          <w:szCs w:val="28"/>
          <w:rtl w:val="true"/>
          <w:lang w:bidi="fa-IR"/>
        </w:rPr>
        <w:t>.</w:t>
      </w:r>
      <w:bookmarkStart w:id="701" w:name="pg5285_67475"/>
    </w:p>
    <w:p>
      <w:pPr>
        <w:pStyle w:val="Heading4"/>
        <w:numPr>
          <w:ilvl w:val="3"/>
          <w:numId w:val="1"/>
        </w:numPr>
        <w:rPr/>
      </w:pPr>
      <w:bookmarkStart w:id="702" w:name="__RefHeading___Toc634353_581953129"/>
      <w:bookmarkStart w:id="703" w:name="_Toc272"/>
      <w:bookmarkEnd w:id="701"/>
      <w:bookmarkEnd w:id="702"/>
      <w:r>
        <w:rPr/>
        <w:t>4</w:t>
      </w:r>
      <w:r>
        <w:rPr>
          <w:rtl w:val="true"/>
        </w:rPr>
        <w:t xml:space="preserve">. </w:t>
      </w:r>
      <w:r>
        <w:rPr>
          <w:rtl w:val="true"/>
        </w:rPr>
        <w:t>تفسیر التبیان</w:t>
      </w:r>
      <w:bookmarkEnd w:id="703"/>
    </w:p>
    <w:p>
      <w:pPr>
        <w:pStyle w:val="Heading5"/>
        <w:numPr>
          <w:ilvl w:val="4"/>
          <w:numId w:val="1"/>
        </w:numPr>
        <w:rPr/>
      </w:pPr>
      <w:bookmarkStart w:id="704" w:name="__RefHeading___Toc634355_581953129"/>
      <w:bookmarkStart w:id="705" w:name="_Toc273"/>
      <w:bookmarkEnd w:id="704"/>
      <w:r>
        <w:rPr>
          <w:rtl w:val="true"/>
        </w:rPr>
        <w:t>اشارة</w:t>
      </w:r>
      <w:bookmarkEnd w:id="705"/>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محمّد بن حسن الطوسی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الاتّجاه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تفسیر التبیان للشیخ الطوسی، أحد التفاسیر المشهورة عند الشیعة، و هو التفسیر الأوّل و الکامل بین تفاسیر الشیعة وأهل السنّة لکل القرآن الکریم، والذی کانت بحوثه التفسیریة قائمةً علی الدّقة و العلم والاجتهاد، مع التحلیل و النقد و التحقیق، و قد ألّفه الشیخ الطوسی فی القرن الخامس للهجرة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الحدیث عن مؤلفه لابّد من إلماعة و هی أنّه من أکبر علماء الشیعة، من تلامذة الشیخ المفید، وفقیه عصره ذی المؤلّفات الکثیرة، صاحب السهم الأکبر فی الکتب البنّاءة للعلوم الإسلامیة الشیعیة التی صارت مرجعاً للکتب الأخری فی عدّة علوم إسلامیة معروفة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ألّف الشیخ فی الحدیث کتابین من الکتب الأربعة الشهیرة عند الشیعة، وهما کتابا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التهذیب و الاستبصار، وفی 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وفهرس الشیخ، وفی علم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التبیان، وفی علم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أحد العلماء المشارکین فی مؤتمر الشیخ الطوسی الذی عقد فی مشهد تحت عنوان ألفیة الشیخ الطوسی معرّفاً له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الکتب الرئیسة الموجودة عندنا فی الحدیث و الرجال و التفسیر هی عشرة کُتُب، ستة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تألیف الشیخ الطوسی رحمه الله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ویقول الشیخ الطبرسی صاحب تفسیر مجمع البیان فی تقییم تفسیر 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bookmarkStart w:id="706" w:name="pg5285_67476"/>
    </w:p>
    <w:p>
      <w:pPr>
        <w:pStyle w:val="BookText"/>
        <w:rPr/>
      </w:pPr>
      <w:bookmarkEnd w:id="706"/>
      <w:r>
        <w:rPr>
          <w:rFonts w:ascii="IRNazanin" w:hAnsi="IRNazanin" w:eastAsia="IRNazanin"/>
          <w:color w:val="111111"/>
          <w:sz w:val="28"/>
          <w:sz w:val="28"/>
          <w:szCs w:val="28"/>
          <w:rtl w:val="true"/>
          <w:lang w:bidi="fa-IR"/>
        </w:rPr>
        <w:t>تفسیر أبی جعفر محمّد بن الحسن الطوسی رحمه الله کتاب نقتبس منه ضیاء الحقّ ویلوح علیه رواح الصدق، هذا التفسیر یحتوی علی أسرار حیة فی معانی القرآن</w:t>
      </w:r>
      <w:r>
        <w:rPr>
          <w:rFonts w:eastAsia="IRNazanin" w:cs="IRNazanin"/>
          <w:color w:val="111111"/>
          <w:sz w:val="28"/>
          <w:szCs w:val="28"/>
          <w:rtl w:val="true"/>
          <w:lang w:bidi="fa-IR"/>
        </w:rPr>
        <w:t xml:space="preserve">. </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إنّ هذا التفسیر ألّف وِفق المنهج الاجتهادی الجامع، و قد شُرّب بالبحوث الکلامیة، فهو کلامی فی اتّجاهه لإثبات العقائد الشیعیة</w:t>
      </w:r>
      <w:r>
        <w:rPr>
          <w:rFonts w:eastAsia="IRNazanin" w:cs="IRNazanin"/>
          <w:color w:val="111111"/>
          <w:sz w:val="28"/>
          <w:szCs w:val="28"/>
          <w:rtl w:val="true"/>
          <w:lang w:bidi="fa-IR"/>
        </w:rPr>
        <w:t xml:space="preserve">. </w:t>
      </w:r>
      <w:r>
        <w:rPr>
          <w:rStyle w:val="FootnoteAnchor"/>
          <w:rtl w:val="true"/>
        </w:rPr>
        <w:footnoteReference w:id="739"/>
      </w:r>
    </w:p>
    <w:p>
      <w:pPr>
        <w:pStyle w:val="Heading5"/>
        <w:numPr>
          <w:ilvl w:val="4"/>
          <w:numId w:val="1"/>
        </w:numPr>
        <w:rPr/>
      </w:pPr>
      <w:bookmarkStart w:id="707" w:name="__RefHeading___Toc634357_581953129"/>
      <w:bookmarkStart w:id="708" w:name="_Toc274"/>
      <w:bookmarkEnd w:id="707"/>
      <w:r>
        <w:rPr>
          <w:rtl w:val="true"/>
        </w:rPr>
        <w:t>مقدِّمة التفسیر</w:t>
      </w:r>
      <w:bookmarkEnd w:id="708"/>
    </w:p>
    <w:p>
      <w:pPr>
        <w:pStyle w:val="BookText"/>
        <w:rPr/>
      </w:pPr>
      <w:r>
        <w:rPr>
          <w:rFonts w:ascii="Amiri" w:hAnsi="Amiri" w:eastAsia="Amiri" w:cs="Amiri"/>
          <w:color w:val="111111"/>
          <w:sz w:val="28"/>
          <w:sz w:val="28"/>
          <w:szCs w:val="28"/>
          <w:rtl w:val="true"/>
          <w:lang w:bidi="ar-SA"/>
        </w:rPr>
        <w:t>لهذا التفسیر مقدِّمة قصیرة تضمّ نقاطاً قیمةً ثمینةً، وهی عبارة عن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غایة التألیف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 الطوسی رحمه الله هدفین من تألیف تفسیره التبیان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وجود تفسیر جامع وکامل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وجود تفسیر یدافع عن عقائد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وفقد کتب فی هذا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الذی حملنی علی الشروع فی هذا الکتاب، إنّی لم أجد أحداً من أصحابنا قدیماً وحدیثاً من عمل کتاباً یحتوی علی تفسیر جمیع القرآن، ویشتمل علی جمیع فنونه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الإشارة إلی المناهج التفسیریة الموجودة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أشار إلی أهمّ المناهج التفسیریة المتداولة فی عصره،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المنهج الروائی و النقلی، المنهج الأدبی ذی ملاحظات الإعراب و التصریف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الزجاج و الفرّاء، ومنهج التفسیر اللغوی،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مفضّل بن سلمه، والمنهج الکلامی،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علی الجبّائی، والمنهج الفقهی،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البلخی</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أشخاص کتبوا تفاسیر مطوّلة،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الطبری غیر أنّهم من العامة، و قد نقلوا أقوالا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تفاسیر کتبت علی مستوی وسطی،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محمّد بن بحر أبو مسلم الأصفهانی، وعلی بن عیسی الرمانی وهما من المعتزلة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التمسک بالقرآن و العترة وفی کلّ عصر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تفسیر القرآن بالروایات الصحیحة عن الأئمّة علیهم السّلام؛ لأنّ قولهم کقول النبی صلّی الله علیه و آله حجّة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حرمة التفسیر بالرأی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حرمة تقلید المفسّر فی التفسیر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فلسفة تکرار القرآن لبعض الجمل و الألفاظ، وتکرار القصص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نزول القرآن علی سبعة أحرف قول باطل؛ لأنَّ القرآن نزل علی حرف واحد وعلی نبی واحد؛ أمّا الإجماع علی قراءة القرآن علی أساس القراءات المتداولة عن القرّاء، فهو جائز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القرآن قابل للفهم؛ لأنّ معانی القرآن علی أربعة أقسام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مختصّ بالله، وقسم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ظاهر عرفیّ ویستطیع الجمیع فهمها، وقسم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هو مجمل وببیان النبی صلّی الله علیه و آله و الأئمة علیهم السّلام یکون واضحاً، والقسم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الألفاظ المشترکة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کون القرآن قابلاً للفهم؛ ذلک لأنّهُ نزل بلغة القوم وعربی مبین، و أنّ القرآن بیان للناس، و هو یدعوا إلی التدبّر فیه کما أنّ النبی صلّی الله علیه و آله و الأئمة علیهم السّلام أمرونا أن نعرض الأخبار علی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لم یکن القرآن قابلا للفهم عند عرض الأخبار علیه، فلا معنی لهذه الأوامر، و هذا الدلیل لا یعنی استغناءنا عن الأخبار، بل هو یعنی التمسک بالروایات الصحیحة التی توافق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و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للقرآن طبقات مختلفة ظاهرة وباطنة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الناسخ و المنسوخ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المحکم و المتشابه</w:t>
      </w:r>
      <w:r>
        <w:rPr>
          <w:rFonts w:eastAsia="IRNazanin" w:cs="IRNazanin"/>
          <w:color w:val="111111"/>
          <w:sz w:val="28"/>
          <w:szCs w:val="28"/>
          <w:rtl w:val="true"/>
          <w:lang w:bidi="fa-IR"/>
        </w:rPr>
        <w:t xml:space="preserve">. </w:t>
      </w:r>
      <w:r>
        <w:rPr>
          <w:rStyle w:val="FootnoteAnchor"/>
          <w:rtl w:val="true"/>
        </w:rPr>
        <w:footnoteReference w:id="740"/>
      </w:r>
      <w:bookmarkStart w:id="709" w:name="pg5285_67478"/>
    </w:p>
    <w:p>
      <w:pPr>
        <w:pStyle w:val="BookText"/>
        <w:rPr/>
      </w:pPr>
      <w:bookmarkEnd w:id="709"/>
      <w:r>
        <w:rPr>
          <w:rFonts w:ascii="IRNazanin" w:hAnsi="IRNazanin" w:eastAsia="IRNazanin"/>
          <w:color w:val="111111"/>
          <w:sz w:val="28"/>
          <w:sz w:val="28"/>
          <w:szCs w:val="28"/>
          <w:rtl w:val="true"/>
          <w:lang w:bidi="fa-IR"/>
        </w:rPr>
        <w:t>إنّ المنهج التفسیر للشیخ الطوسی رحمه الله فی تبیانه کما أسلفنا القول هو المنهج الاجتهادی الجامع بین القرآن و الحدیث، واللغة و الأدب العربی، وحتی أقوال الصحابة و التابعین ینقلها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ومضافاً علی ذلک فإنّه یمارس الاستدلال و التحلیل ویعتمد الأدلة العقلیة الکثیرة، وکذلک هو یحقّق وینقد الآراء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ولکون الشیخ الطوسی رحمه الله عاصر وتتلمذ علی ید المتکلّمین العظام،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المفید و الشریف المرتضی رحمه الله، فإنّ اتّجاهه التفسیری أخذ طابعاً کلامیاً ووردت فیه آراء و نظریات المتکلّمین الشیعة، ولذلک تشرّب تفسیره بما أشرنا إلیه</w:t>
      </w:r>
      <w:r>
        <w:rPr>
          <w:rFonts w:eastAsia="IRNazanin" w:cs="IRNazanin"/>
          <w:color w:val="111111"/>
          <w:sz w:val="28"/>
          <w:szCs w:val="28"/>
          <w:rtl w:val="true"/>
          <w:lang w:bidi="fa-IR"/>
        </w:rPr>
        <w:t>.</w:t>
      </w:r>
    </w:p>
    <w:p>
      <w:pPr>
        <w:pStyle w:val="Heading5"/>
        <w:numPr>
          <w:ilvl w:val="4"/>
          <w:numId w:val="1"/>
        </w:numPr>
        <w:rPr/>
      </w:pPr>
      <w:bookmarkStart w:id="710" w:name="__RefHeading___Toc634359_581953129"/>
      <w:bookmarkStart w:id="711" w:name="_Toc275"/>
      <w:bookmarkEnd w:id="710"/>
      <w:r>
        <w:rPr>
          <w:rtl w:val="true"/>
        </w:rPr>
        <w:t>الأسلوب العملی</w:t>
      </w:r>
      <w:bookmarkEnd w:id="711"/>
    </w:p>
    <w:p>
      <w:pPr>
        <w:pStyle w:val="BookText"/>
        <w:rPr/>
      </w:pPr>
      <w:r>
        <w:rPr>
          <w:rFonts w:ascii="IRNazanin" w:hAnsi="IRNazanin" w:eastAsia="IRNazanin"/>
          <w:color w:val="111111"/>
          <w:sz w:val="28"/>
          <w:sz w:val="28"/>
          <w:szCs w:val="28"/>
          <w:rtl w:val="true"/>
          <w:lang w:bidi="fa-IR"/>
        </w:rPr>
        <w:t>إنّ أسلوب الشیخ الطوسی هو الاهتمام برقم الآیة، واختلاف القراءات ومعرفة اللّغة، والاستفادة من الأدب و الشعر العربی، وشأن النزول وآراء المفسّرین، والروایات و الآیات، وفی بعض المجالات یتّخذ أسلوب بالاستدلال العقلی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ففی ذیل الآیة الشریفه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تَقُولُوا راعِنا وَ قُولُوا انْظُرْنا وَ اسْمَعُوا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نراه یقول فی البدایة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یوجد أی اختلاف فی رقم الآیة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یفصّل الحدیث عن مفردة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راعنا، راعاة، المراعاة،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التفقّد للشیء فی نفسه أو أحواله، ولمراعاة التحفظ و المحافظة و المراقبة نظائر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ونقیض المراعاة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الإغفال،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رعی یرعی رعیاً، والرعی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تأکله الماشیة من نبات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یتابع معنی الراعی و الرعیة، و فعل الراعی، و المرعی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یواصل جمع المعانی اللاّزمة فی التحقیق اللغوی فی المفردة المطروحة للبحث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ومضافاً علی ذلک یستشهد بالشعر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بعض الآیات هناک ثلاثة أو أربعة من المفردات تحتاج إلی تحقیق، و هو یقوم ببحثها جمیعاً بحثاً دقیقاً، ویأتی بالشواهد و القرآن لتوضیحها</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ویکتب فی شأن نزول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المسلمون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راعناً، أی</w:t>
      </w:r>
      <w:r>
        <w:rPr>
          <w:rFonts w:eastAsia="IRNazanin" w:cs="IRNazanin"/>
          <w:color w:val="111111"/>
          <w:sz w:val="28"/>
          <w:szCs w:val="28"/>
          <w:rtl w:val="true"/>
          <w:lang w:bidi="fa-IR"/>
        </w:rPr>
        <w:t>:</w:t>
      </w:r>
      <w:bookmarkStart w:id="712" w:name="pg5285_67479"/>
    </w:p>
    <w:p>
      <w:pPr>
        <w:pStyle w:val="BookText"/>
        <w:rPr/>
      </w:pPr>
      <w:bookmarkEnd w:id="712"/>
      <w:r>
        <w:rPr>
          <w:rFonts w:ascii="IRNazanin" w:hAnsi="IRNazanin" w:eastAsia="IRNazanin"/>
          <w:color w:val="111111"/>
          <w:sz w:val="28"/>
          <w:sz w:val="28"/>
          <w:szCs w:val="28"/>
          <w:rtl w:val="true"/>
          <w:lang w:bidi="fa-IR"/>
        </w:rPr>
        <w:t>استمع منّا، فحرّفت الیهود</w:t>
      </w:r>
      <w:r>
        <w:rPr>
          <w:rFonts w:eastAsia="IRNazanin" w:cs="IRNazanin"/>
          <w:color w:val="111111"/>
          <w:sz w:val="28"/>
          <w:szCs w:val="28"/>
          <w:rtl w:val="true"/>
          <w:lang w:bidi="fa-IR"/>
        </w:rPr>
        <w:t xml:space="preserve">. </w:t>
      </w:r>
      <w:r>
        <w:rPr>
          <w:rStyle w:val="FootnoteAnchor"/>
          <w:rtl w:val="true"/>
        </w:rPr>
        <w:footnoteReference w:id="741"/>
      </w:r>
      <w:r>
        <w:rPr>
          <w:rFonts w:ascii="IRNazanin" w:hAnsi="IRNazanin" w:eastAsia="IRNazanin"/>
          <w:color w:val="111111"/>
          <w:sz w:val="28"/>
          <w:sz w:val="28"/>
          <w:szCs w:val="28"/>
          <w:rtl w:val="true"/>
          <w:lang w:bidi="fa-IR"/>
        </w:rPr>
        <w:t>وفی بعض الآیات ینقل عدّة روایات فی شأن النزول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وفیما یخصّ الآراء المطروحة فی الآیة المتقدّمة فإنّه یطرح ثلاثة آراء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کان الشیخ الطوسی رحمه الله فی عصره هو أکبر فقیه ومرجع شیعی؛ ولأجل هذه الحقیقة کان یتصدّی إلی البحوث الفقهیة للدفاع عن فقه الشیعة، ومن جملة ذلک ما أجراه فی آیة الوضوء وآیات أخر، فقد بحث فیها بحثاً دقیقاً استدلالیاً</w:t>
      </w:r>
      <w:r>
        <w:rPr>
          <w:rFonts w:eastAsia="IRNazanin" w:cs="IRNazanin"/>
          <w:color w:val="111111"/>
          <w:sz w:val="28"/>
          <w:szCs w:val="28"/>
          <w:rtl w:val="true"/>
          <w:lang w:bidi="fa-IR"/>
        </w:rPr>
        <w:t>.</w:t>
      </w:r>
    </w:p>
    <w:p>
      <w:pPr>
        <w:pStyle w:val="Heading5"/>
        <w:numPr>
          <w:ilvl w:val="4"/>
          <w:numId w:val="1"/>
        </w:numPr>
        <w:rPr/>
      </w:pPr>
      <w:bookmarkStart w:id="713" w:name="__RefHeading___Toc634361_581953129"/>
      <w:bookmarkStart w:id="714" w:name="_Toc276"/>
      <w:bookmarkEnd w:id="713"/>
      <w:r>
        <w:rPr>
          <w:rtl w:val="true"/>
        </w:rPr>
        <w:t>اتّجاهه الکلامی</w:t>
      </w:r>
      <w:bookmarkEnd w:id="714"/>
    </w:p>
    <w:p>
      <w:pPr>
        <w:pStyle w:val="BookText"/>
        <w:rPr/>
      </w:pPr>
      <w:r>
        <w:rPr>
          <w:rFonts w:ascii="IRNazanin" w:hAnsi="IRNazanin" w:eastAsia="IRNazanin"/>
          <w:color w:val="111111"/>
          <w:sz w:val="28"/>
          <w:sz w:val="28"/>
          <w:szCs w:val="28"/>
          <w:rtl w:val="true"/>
          <w:lang w:bidi="fa-IR"/>
        </w:rPr>
        <w:t>ففی بحث الجبر والاختیار المشتمل علی شبهة الجبر، انتقد فکرة الجبر بالاستدلال و البرهان، و هو بالأساس کان یستهدف إبطال شبهة المجبّرة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أجاب علی شبهاتهم فی مورد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عن مطاعِنِ الملحدین فیه وأنواع المبطلین کالمجبّرة و المشبّهة وغیرهم وذکر ما یختصّ أصحابنا من الاستدلال بمواضع کثیرة منه علی صحّة مذاهبهم</w:t>
      </w:r>
      <w:r>
        <w:rPr>
          <w:rFonts w:eastAsia="IRNazanin" w:cs="IRNazanin"/>
          <w:color w:val="111111"/>
          <w:sz w:val="28"/>
          <w:szCs w:val="28"/>
          <w:rtl w:val="true"/>
          <w:lang w:bidi="fa-IR"/>
        </w:rPr>
        <w:t xml:space="preserve">... </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وقال فی ذیل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خَتَمَ اللّهُ عَلی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43"/>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طَبَعَ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بمعنی أنّ الله یحول بینهم وبین الإیمان؛ لأنّ الصم و البکم و العمی هو مع فرض صحّة الحواس</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الله هنا یرید إخبارنا أنّ هؤلاء قد اختاروا الکفر، و أنّ قبول الحقّ و الإیمان من قبلهم صار أمر شدید الصعوبة</w:t>
      </w:r>
      <w:r>
        <w:rPr>
          <w:rFonts w:eastAsia="IRNazanin" w:cs="IRNazanin"/>
          <w:color w:val="111111"/>
          <w:sz w:val="28"/>
          <w:szCs w:val="28"/>
          <w:rtl w:val="true"/>
          <w:lang w:bidi="fa-IR"/>
        </w:rPr>
        <w:t xml:space="preserve">. </w:t>
      </w:r>
      <w:r>
        <w:rPr>
          <w:rStyle w:val="FootnoteAnchor"/>
          <w:rtl w:val="true"/>
        </w:rPr>
        <w:footnoteReference w:id="744"/>
      </w:r>
      <w:r>
        <w:rPr>
          <w:rFonts w:ascii="Amiri" w:hAnsi="Amiri" w:eastAsia="Amiri" w:cs="Amiri"/>
          <w:color w:val="111111"/>
          <w:sz w:val="28"/>
          <w:sz w:val="28"/>
          <w:szCs w:val="28"/>
          <w:rtl w:val="true"/>
          <w:lang w:bidi="ar-SA"/>
        </w:rPr>
        <w:t>وهکذا فی ذیل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 نَطْبَعُ عَلی قُلُوبِ الْمُعْتَدِینَ</w:t>
      </w:r>
      <w:r>
        <w:rPr>
          <w:rFonts w:eastAsia="Amiri" w:cs="Amiri" w:ascii="Amiri" w:hAnsi="Amiri"/>
          <w:color w:val="111111"/>
          <w:sz w:val="28"/>
          <w:szCs w:val="28"/>
          <w:rtl w:val="true"/>
          <w:lang w:bidi="ar-SA"/>
        </w:rPr>
        <w:t xml:space="preserve">) </w:t>
      </w:r>
      <w:r>
        <w:rPr>
          <w:rStyle w:val="FootnoteAnchor"/>
          <w:rtl w:val="true"/>
        </w:rPr>
        <w:footnoteReference w:id="745"/>
      </w:r>
      <w:r>
        <w:rPr>
          <w:rFonts w:ascii="IRNazanin" w:hAnsi="IRNazanin" w:eastAsia="IRNazanin"/>
          <w:color w:val="111111"/>
          <w:sz w:val="28"/>
          <w:sz w:val="28"/>
          <w:szCs w:val="28"/>
          <w:rtl w:val="true"/>
          <w:lang w:bidi="fa-IR"/>
        </w:rPr>
        <w:t>فإنّه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المراد بالطبع المنع من الإیمان؛ لأنّ مع المنع من الإیمان لا یحسن تکلیف الإیمان</w:t>
      </w:r>
      <w:r>
        <w:rPr>
          <w:rFonts w:eastAsia="IRNazanin" w:cs="IRNazanin"/>
          <w:color w:val="111111"/>
          <w:sz w:val="28"/>
          <w:szCs w:val="28"/>
          <w:rtl w:val="true"/>
          <w:lang w:bidi="fa-IR"/>
        </w:rPr>
        <w:t xml:space="preserve">. </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و قد دافع عن الإمامة بشکل جید، واستدلّ علی إمامة علی علیه السّلام بالأدلة القرآنیة الکثیرة لإثباتها، فنراه مثلاً یکتب فی ذیل الآیة الشریفة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الآیة من الأدلّة الواضحة علی إمامة أمیر المؤمنین بعد النبی صلّی الله علیه و آله بلافصل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واصل استدلاله بالأدلة المختلفة لإثبات هذا الأمر فی أنّ الولی،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وأنّه الأحقّ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هذا المتبادر اللفظی إضافة إلی إمکانیة کلام ملاحظته فی العرب و الشعر العربی فهناک آیات قرانیة تدلّ علیه أیضاً، ومنها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تدلّ بدلالات مختلفة أنّ المقصود فیها هو علی بن أبی طالب علیه السّلام، وبأثبات هذین الأصلین یکون من الواضح أنّ علیاً علیه السّلام هو الأفضل بعد رسول الله صلّی الله علیه و آله من سائر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یکون هو الأولی بالإمامة و الولایة</w:t>
      </w:r>
      <w:r>
        <w:rPr>
          <w:rFonts w:eastAsia="IRNazanin" w:cs="IRNazanin"/>
          <w:color w:val="111111"/>
          <w:sz w:val="28"/>
          <w:szCs w:val="28"/>
          <w:rtl w:val="true"/>
          <w:lang w:bidi="fa-IR"/>
        </w:rPr>
        <w:t xml:space="preserve">. </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وفی الختام یلزمنا التذکیر بعدة نِقَاط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الشیخ الطوسی رحمه الله فی الوقت الذی دافع فیه عن عقائد الشیعة فی هذا التفسیر حافظ علی جانب احترام کلّ الخلفاء و المذاهب عند أهل السنّة، ومضافاً علی ذلک مارس نقل الروایة عن الصحابة و التابعین،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أهل السنّة وبصورة واسعة، ولعلّ هذا هو السبب الذی جعل من تفسیره مورد قبول آرائه لما طرحه من أسلوب ثقافی معقول عن الشیعة لإیجاد الاتّحاد</w:t>
      </w:r>
      <w:r>
        <w:rPr>
          <w:rFonts w:eastAsia="IRNazanin" w:cs="IRNazanin"/>
          <w:color w:val="111111"/>
          <w:sz w:val="28"/>
          <w:szCs w:val="28"/>
          <w:rtl w:val="true"/>
          <w:lang w:bidi="fa-IR"/>
        </w:rPr>
        <w:t xml:space="preserve">. </w:t>
      </w:r>
      <w:r>
        <w:rPr>
          <w:rStyle w:val="FootnoteAnchor"/>
          <w:rtl w:val="true"/>
        </w:rPr>
        <w:footnoteReference w:id="74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کتب هذا التفسیر فی زمان شدّة النزاع بین الشیعة وأهل السنّة فی بغداد، عند تزایده وبلوغه إلی مستوی قتل بعضهم البعض الآخر وحرق البیوت وأمثالها،</w:t>
      </w:r>
      <w:bookmarkStart w:id="715" w:name="pg5285_67481"/>
    </w:p>
    <w:p>
      <w:pPr>
        <w:pStyle w:val="BookText"/>
        <w:rPr/>
      </w:pPr>
      <w:bookmarkEnd w:id="715"/>
      <w:r>
        <w:rPr>
          <w:rFonts w:ascii="IRNazanin" w:hAnsi="IRNazanin" w:eastAsia="IRNazanin"/>
          <w:color w:val="111111"/>
          <w:sz w:val="28"/>
          <w:sz w:val="28"/>
          <w:szCs w:val="28"/>
          <w:rtl w:val="true"/>
          <w:lang w:bidi="fa-IR"/>
        </w:rPr>
        <w:t>مقترناً هذا مع مجییء طُغرُل بیک أوّل ملوک السلجوقین</w:t>
      </w: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بغداد وإحراقه أهمّ وأفضل مکتبة إسلامیة وشیعیة فیه، حتّی إنّه مکتبة الشیخ الطوسی رحمه الله وکرسی درسه أیضاً لم یسلم من الحرق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فقد خرّبوا بیته ولأجل هذه الأحوال هاجر الشیخ الطوسی رحمه الله الی النجف الأشرف إلی جوار مرقد الإمام علی علیه السّلام وبذلک أسّست الحوزة العلمیة فی النجف</w:t>
      </w:r>
      <w:r>
        <w:rPr>
          <w:rFonts w:eastAsia="IRNazanin" w:cs="IRNazanin"/>
          <w:color w:val="111111"/>
          <w:sz w:val="28"/>
          <w:szCs w:val="28"/>
          <w:rtl w:val="true"/>
          <w:lang w:bidi="fa-IR"/>
        </w:rPr>
        <w:t xml:space="preserve">. </w:t>
      </w:r>
      <w:r>
        <w:rPr>
          <w:rStyle w:val="FootnoteAnchor"/>
          <w:rtl w:val="true"/>
        </w:rPr>
        <w:footnoteReference w:id="74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عند مقارنة تفسیر التبیان بالتفاسیر التی ألّفت فی عصره تتجلّی أهمیته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غیره بشکل واضح وبمیزات متعدّدة کثیرة، و هذا ما حمل الکثیر من علماء أهل السنّة إلی إجلاله و الثناء علیه، ومن جملتهم 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کتب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کبیراً وعالماً من علماء الشیعة له تفسیر فی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 وله مؤلّفات مشهوره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هذا ما کتبه الأدنوی فی طبقات المفسّرین</w:t>
      </w:r>
      <w:r>
        <w:rPr>
          <w:rFonts w:eastAsia="IRNazanin" w:cs="IRNazanin"/>
          <w:color w:val="111111"/>
          <w:sz w:val="28"/>
          <w:szCs w:val="28"/>
          <w:rtl w:val="true"/>
          <w:lang w:bidi="fa-IR"/>
        </w:rPr>
        <w:t xml:space="preserve">. </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قلیل من التفاسیر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کتبت فی ذلک الزمن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تجدها تطرح الأدلّة العقلیة، وتکون استدلالاتها رضیة و بشکل جامع، تشتمل علی البحوث المعاصرة الجدیده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أنّ المقادنة بالتفاسیر المعاصرة حالیاً،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المیزان نواجه نُدرة فی النظیر و المثلیة، فی تفسیر الشیخ الطوسی رحمه الله تشاهد سعة العمل فی مجال تفسیر القرآن بالقرآن</w:t>
      </w:r>
      <w:r>
        <w:rPr>
          <w:rFonts w:eastAsia="IRNazanin" w:cs="IRNazanin"/>
          <w:color w:val="111111"/>
          <w:sz w:val="28"/>
          <w:szCs w:val="28"/>
          <w:rtl w:val="true"/>
          <w:lang w:bidi="fa-IR"/>
        </w:rPr>
        <w:t>.</w:t>
      </w:r>
    </w:p>
    <w:p>
      <w:pPr>
        <w:pStyle w:val="Heading5"/>
        <w:numPr>
          <w:ilvl w:val="4"/>
          <w:numId w:val="1"/>
        </w:numPr>
        <w:rPr/>
      </w:pPr>
      <w:bookmarkStart w:id="716" w:name="__RefHeading___Toc634363_581953129"/>
      <w:bookmarkStart w:id="717" w:name="_Toc277"/>
      <w:bookmarkEnd w:id="716"/>
      <w:r>
        <w:rPr>
          <w:rtl w:val="true"/>
        </w:rPr>
        <w:t>التفاسیر الأخری</w:t>
      </w:r>
      <w:bookmarkEnd w:id="717"/>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التفاسیر التی ذکرت أسماءها فی القرن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البستان فی تفسیر القرآن لأبی سعید العمّانی</w:t>
      </w: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تفسیر فی التهذیب للجُمشَمی</w:t>
      </w:r>
      <w:r>
        <w:rPr>
          <w:rFonts w:eastAsia="IRNazanin" w:cs="IRNazanin"/>
          <w:color w:val="111111"/>
          <w:sz w:val="28"/>
          <w:szCs w:val="28"/>
          <w:rtl w:val="true"/>
          <w:lang w:bidi="fa-IR"/>
        </w:rPr>
        <w:t>(</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الزیدی المذهب، وأن تفسیره مکوّن من ثمانیة مجلّدات کما ذکروا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وتفسیر الحدائق</w:t>
      </w:r>
      <w:bookmarkStart w:id="718" w:name="pg5285_67482"/>
    </w:p>
    <w:p>
      <w:pPr>
        <w:pStyle w:val="BookText"/>
        <w:rPr/>
      </w:pPr>
      <w:bookmarkEnd w:id="718"/>
      <w:r>
        <w:rPr>
          <w:rFonts w:ascii="Amiri" w:hAnsi="Amiri" w:eastAsia="Amiri" w:cs="Amiri"/>
          <w:color w:val="111111"/>
          <w:sz w:val="28"/>
          <w:sz w:val="28"/>
          <w:szCs w:val="28"/>
          <w:rtl w:val="true"/>
          <w:lang w:bidi="ar-SA"/>
        </w:rPr>
        <w:t>لابن بندار القزوینی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تفسیر مطوّل وواسع جدّاً، وقیل حول هذا التفسیر أنّه أفرد مجلّداً کاملاً لتفسیر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اتَّبَعُوا ما تَتْلُوا الشَّیاطِینُ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 وکذلک أفرد سبعة مجلّدات لتفسیر سورة الفاتحة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مجموع مجلّدات تفسیره بلغت الثلاثمائة مجلّداً</w:t>
      </w:r>
      <w:r>
        <w:rPr>
          <w:rFonts w:eastAsia="IRNazanin" w:cs="IRNazanin"/>
          <w:color w:val="111111"/>
          <w:sz w:val="28"/>
          <w:szCs w:val="28"/>
          <w:rtl w:val="true"/>
          <w:lang w:bidi="fa-IR"/>
        </w:rPr>
        <w:t xml:space="preserve">. </w:t>
      </w:r>
      <w:r>
        <w:rPr>
          <w:rStyle w:val="FootnoteAnchor"/>
          <w:rtl w:val="true"/>
        </w:rPr>
        <w:footnoteReference w:id="751"/>
      </w:r>
    </w:p>
    <w:p>
      <w:pPr>
        <w:pStyle w:val="Heading3"/>
        <w:numPr>
          <w:ilvl w:val="2"/>
          <w:numId w:val="1"/>
        </w:numPr>
        <w:rPr/>
      </w:pPr>
      <w:bookmarkStart w:id="719" w:name="__RefHeading___Toc634365_581953129"/>
      <w:bookmarkStart w:id="720" w:name="_Toc278"/>
      <w:bookmarkEnd w:id="719"/>
      <w:r>
        <w:rPr>
          <w:rtl w:val="true"/>
        </w:rPr>
        <w:t>تفاسیر أهل السنّة</w:t>
      </w:r>
      <w:bookmarkEnd w:id="720"/>
    </w:p>
    <w:p>
      <w:pPr>
        <w:pStyle w:val="Heading4"/>
        <w:numPr>
          <w:ilvl w:val="3"/>
          <w:numId w:val="1"/>
        </w:numPr>
        <w:rPr/>
      </w:pPr>
      <w:bookmarkStart w:id="721" w:name="__RefHeading___Toc634367_581953129"/>
      <w:bookmarkStart w:id="722" w:name="_Toc279"/>
      <w:bookmarkEnd w:id="721"/>
      <w:r>
        <w:rPr/>
        <w:t>1</w:t>
      </w:r>
      <w:r>
        <w:rPr>
          <w:rtl w:val="true"/>
        </w:rPr>
        <w:t xml:space="preserve">. </w:t>
      </w:r>
      <w:r>
        <w:rPr>
          <w:rtl w:val="true"/>
        </w:rPr>
        <w:t>حقائق التفسیر</w:t>
      </w:r>
      <w:bookmarkEnd w:id="722"/>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الرحمان السُلَمی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الاتّجاه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عبد الرحمان السُلَمی من أهل نیسابور ومن مشایخ الصوفیة فی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الحاکم الخراسانی و القُشیری یأخذ عنه الکثیر من الأمور التفسیریة و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یعتمد فی تفسیره علی نقل الأقوال و الروایات العرفانیة، و قد نقل روایات کثیرة عن الأئمّة الأطهار علیهم السّلام، وعلی الخصوص عن الإمام الباقر و الإمام الصادق</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کتب فی ذیل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عاشِرُوهُنَّ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52"/>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علّموهنّ السنن و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عبد الله بن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العشرة الصحیحة ما لا تُورثک الندم عاجلاً وآجلاً</w:t>
      </w:r>
      <w:r>
        <w:rPr>
          <w:rFonts w:eastAsia="IRNazanin" w:cs="IRNazanin"/>
          <w:color w:val="111111"/>
          <w:sz w:val="28"/>
          <w:szCs w:val="28"/>
          <w:rtl w:val="true"/>
          <w:lang w:bidi="fa-IR"/>
        </w:rPr>
        <w:t>.</w:t>
      </w:r>
      <w:bookmarkStart w:id="723" w:name="pg5285_67483"/>
    </w:p>
    <w:p>
      <w:pPr>
        <w:pStyle w:val="BookText"/>
        <w:rPr/>
      </w:pPr>
      <w:bookmarkEnd w:id="723"/>
      <w:r>
        <w:rPr>
          <w:rFonts w:ascii="IRNazanin" w:hAnsi="IRNazanin" w:eastAsia="IRNazanin"/>
          <w:color w:val="111111"/>
          <w:sz w:val="28"/>
          <w:sz w:val="28"/>
          <w:szCs w:val="28"/>
          <w:rtl w:val="true"/>
          <w:lang w:bidi="fa-IR"/>
        </w:rPr>
        <w:t>وقال أبو جعفر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المعاشرة بالمعروف حسن الخلق مع العیال فیما سأل</w:t>
      </w:r>
      <w:r>
        <w:rPr>
          <w:rFonts w:eastAsia="IRNazanin" w:cs="IRNazanin"/>
          <w:color w:val="111111"/>
          <w:sz w:val="28"/>
          <w:szCs w:val="28"/>
          <w:rtl w:val="true"/>
          <w:lang w:bidi="fa-IR"/>
        </w:rPr>
        <w:t xml:space="preserve">». </w:t>
      </w:r>
      <w:r>
        <w:rPr>
          <w:rStyle w:val="FootnoteAnchor"/>
          <w:rtl w:val="true"/>
        </w:rPr>
        <w:footnoteReference w:id="753"/>
      </w:r>
      <w:r>
        <w:rPr>
          <w:rFonts w:ascii="Amiri" w:hAnsi="Amiri" w:eastAsia="Amiri" w:cs="Amiri"/>
          <w:color w:val="111111"/>
          <w:sz w:val="28"/>
          <w:sz w:val="28"/>
          <w:szCs w:val="28"/>
          <w:rtl w:val="true"/>
          <w:lang w:bidi="ar-SA"/>
        </w:rPr>
        <w:t xml:space="preserve">وکتب فی ذیل الآیة المبارکة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مَقالِیدُ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بیده مفاتیح القلوب یوفق من یشاء لطاعته وخدمته بالإخلاص ویصرف من یشاء عن بابه</w:t>
      </w:r>
      <w:r>
        <w:rPr>
          <w:rFonts w:eastAsia="IRNazanin" w:cs="IRNazanin"/>
          <w:color w:val="111111"/>
          <w:sz w:val="28"/>
          <w:szCs w:val="28"/>
          <w:rtl w:val="true"/>
          <w:lang w:bidi="fa-IR"/>
        </w:rPr>
        <w:t xml:space="preserve">. </w:t>
      </w:r>
      <w:r>
        <w:rPr>
          <w:rStyle w:val="FootnoteAnchor"/>
          <w:rtl w:val="true"/>
        </w:rPr>
        <w:footnoteReference w:id="755"/>
      </w:r>
      <w:r>
        <w:rPr>
          <w:rFonts w:ascii="IRNazanin" w:hAnsi="IRNazanin" w:eastAsia="IRNazanin"/>
          <w:color w:val="111111"/>
          <w:sz w:val="28"/>
          <w:sz w:val="28"/>
          <w:szCs w:val="28"/>
          <w:rtl w:val="true"/>
          <w:lang w:bidi="fa-IR"/>
        </w:rPr>
        <w:t>ومقصوده من مفاتیح القلوب أنّ الله یوفّق المخلصین له فی عبادتهم وخدمتهم، وکلّ من یرید الرجوع إلیه</w:t>
      </w:r>
      <w:r>
        <w:rPr>
          <w:rFonts w:eastAsia="IRNazanin" w:cs="IRNazanin"/>
          <w:color w:val="111111"/>
          <w:sz w:val="28"/>
          <w:szCs w:val="28"/>
          <w:rtl w:val="true"/>
          <w:lang w:bidi="fa-IR"/>
        </w:rPr>
        <w:t xml:space="preserve">. </w:t>
      </w:r>
      <w:r>
        <w:rPr>
          <w:rStyle w:val="FootnoteAnchor"/>
          <w:rtl w:val="true"/>
        </w:rPr>
        <w:footnoteReference w:id="756"/>
      </w:r>
    </w:p>
    <w:p>
      <w:pPr>
        <w:pStyle w:val="Heading4"/>
        <w:numPr>
          <w:ilvl w:val="3"/>
          <w:numId w:val="1"/>
        </w:numPr>
        <w:rPr/>
      </w:pPr>
      <w:bookmarkStart w:id="724" w:name="__RefHeading___Toc634369_581953129"/>
      <w:bookmarkStart w:id="725" w:name="_Toc280"/>
      <w:bookmarkEnd w:id="724"/>
      <w:r>
        <w:rPr/>
        <w:t>2</w:t>
      </w:r>
      <w:r>
        <w:rPr>
          <w:rtl w:val="true"/>
        </w:rPr>
        <w:t xml:space="preserve">. </w:t>
      </w:r>
      <w:r>
        <w:rPr>
          <w:rtl w:val="true"/>
        </w:rPr>
        <w:t>الکشف و البیان</w:t>
      </w:r>
      <w:bookmarkEnd w:id="725"/>
    </w:p>
    <w:p>
      <w:pPr>
        <w:pStyle w:val="Heading5"/>
        <w:numPr>
          <w:ilvl w:val="4"/>
          <w:numId w:val="1"/>
        </w:numPr>
        <w:rPr/>
      </w:pPr>
      <w:bookmarkStart w:id="726" w:name="__RefHeading___Toc634371_581953129"/>
      <w:bookmarkStart w:id="727" w:name="_Toc281"/>
      <w:bookmarkEnd w:id="726"/>
      <w:r>
        <w:rPr>
          <w:rtl w:val="true"/>
        </w:rPr>
        <w:t>اشارة</w:t>
      </w:r>
      <w:bookmarkEnd w:id="727"/>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إسحاق أحمد بن‌محمّد بن إبراهیم الثعلبی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الاتّجاه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عشرة مجلّدات، و قد طبع لأوّل مرّة فی سنة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أبو إسحاق أحمد بن محمّد بن إبراهیم الثعلبی فقیهاً و مفسّراً ومحدّثاً وأدیباً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أثنی علیه کثیر من کبّار العلماء و المفسّرین فیما یعود إلی علمه ومعرفته، بل ومدحه حتّی المتعصّبون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عنه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حافظاً واعظاً، رأساً فی التفسیر و العربیة، متین الدِیانة</w:t>
      </w:r>
      <w:r>
        <w:rPr>
          <w:rFonts w:eastAsia="IRNazanin" w:cs="IRNazanin"/>
          <w:color w:val="111111"/>
          <w:sz w:val="28"/>
          <w:szCs w:val="28"/>
          <w:rtl w:val="true"/>
          <w:lang w:bidi="fa-IR"/>
        </w:rPr>
        <w:t xml:space="preserve">. </w:t>
      </w:r>
      <w:r>
        <w:rPr>
          <w:rStyle w:val="FootnoteAnchor"/>
          <w:rtl w:val="true"/>
        </w:rPr>
        <w:footnoteReference w:id="757"/>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خِلَّکان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أوحد زمانه فی عِلمِ التفسیر، وصَنَّفَ التفسیر الکبیر الذی</w:t>
      </w:r>
    </w:p>
    <w:p>
      <w:pPr>
        <w:pStyle w:val="BookText"/>
        <w:rPr/>
      </w:pPr>
      <w:r>
        <w:rPr>
          <w:rFonts w:ascii="IRNazanin" w:hAnsi="IRNazanin" w:eastAsia="IRNazanin"/>
          <w:color w:val="111111"/>
          <w:sz w:val="28"/>
          <w:sz w:val="28"/>
          <w:szCs w:val="28"/>
          <w:rtl w:val="true"/>
          <w:lang w:bidi="fa-IR"/>
        </w:rPr>
        <w:t>فاق غیره من التفاسیر</w:t>
      </w:r>
      <w:r>
        <w:rPr>
          <w:rFonts w:eastAsia="IRNazanin" w:cs="IRNazanin"/>
          <w:color w:val="111111"/>
          <w:sz w:val="28"/>
          <w:szCs w:val="28"/>
          <w:rtl w:val="true"/>
          <w:lang w:bidi="fa-IR"/>
        </w:rPr>
        <w:t xml:space="preserve">. </w:t>
      </w:r>
      <w:r>
        <w:rPr>
          <w:rStyle w:val="FootnoteAnchor"/>
          <w:rtl w:val="true"/>
        </w:rPr>
        <w:footnoteReference w:id="758"/>
      </w:r>
      <w:r>
        <w:rPr>
          <w:rFonts w:ascii="IRNazanin" w:hAnsi="IRNazanin" w:eastAsia="IRNazanin"/>
          <w:color w:val="111111"/>
          <w:sz w:val="28"/>
          <w:sz w:val="28"/>
          <w:szCs w:val="28"/>
          <w:rtl w:val="true"/>
          <w:lang w:bidi="fa-IR"/>
        </w:rPr>
        <w:t>و قد لمّح مؤلّف تاریخ نیسابور ضمن ثنائه علی الثعلبی بأنّه صحیح النقل وموثق، و هو ینقل حدیثه عن أبی طاهر بن خزیمة و الإمام أبی‌بکر بن مَهران المقرئی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أخذ الواحدی النیسابوری تفسیره عنه ووصفه بالوثاقة وأنّه کان کثیر الحدیث وکثیر الشیوخ، وأنّه ختمت حیاته فی سنة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وسعه الله برحمته ورضی عنه</w:t>
      </w:r>
      <w:r>
        <w:rPr>
          <w:rFonts w:eastAsia="IRNazanin" w:cs="IRNazanin"/>
          <w:color w:val="111111"/>
          <w:sz w:val="28"/>
          <w:szCs w:val="28"/>
          <w:rtl w:val="true"/>
          <w:lang w:bidi="fa-IR"/>
        </w:rPr>
        <w:t xml:space="preserve">. </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ویقول الثعلبی عن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علی ما اعتمدته من کتب کثیرة وقیمة وما استفدته من الأساتذة العظام، فإنّی فی هذا التفسیر وضعت نُصب عینی أربعة عشر 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القراءات، واسباب النزول، والقصص و الأمثال، واللغة و الإعراب، والتفسیر و التأویل، والمعارف و الأحکام و الحکم و الإرشادات، والفضائل و الکرامات و</w:t>
      </w:r>
      <w:r>
        <w:rPr>
          <w:rFonts w:eastAsia="IRNazanin" w:cs="IRNazanin"/>
          <w:color w:val="111111"/>
          <w:sz w:val="28"/>
          <w:szCs w:val="28"/>
          <w:rtl w:val="true"/>
          <w:lang w:bidi="fa-IR"/>
        </w:rPr>
        <w:t xml:space="preserve">...». </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و أمّا النِقاط العلمیة فی هذا التفسیر، فهی تستحقّ التأمل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 اعتمد المنهج الروائی فی تفسیر 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 اهتمّ بالمسائل الأدبیة و اللغویة وتابع فی البحث عن أصلها، وتصدّی لمناقشتها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طرح بشکل موسّع البحث فی آیات الأحکام، والمسائل الفقهیة، ومن جملة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المتعة و التیمّم، والکبائر، ولمس النساء وغیر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نقل فضائل أهل‌البیت علیهم السّلام وفی مواضع الآیات المتعلّقة بهم علیهم السّلام یرجّح فی بعض المواقع الرأی الموافق لأهل‌البیت علیهم السّلام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ففی ذیل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الرَّسُولُ بَلِّغْ ما أُنْزِلَ إِلَیْکَ مِنْ رَبِّکَ</w:t>
      </w:r>
      <w:r>
        <w:rPr>
          <w:rFonts w:eastAsia="Amiri" w:cs="Amiri" w:ascii="Amiri" w:hAnsi="Amiri"/>
          <w:color w:val="111111"/>
          <w:sz w:val="28"/>
          <w:szCs w:val="28"/>
          <w:rtl w:val="true"/>
          <w:lang w:bidi="ar-SA"/>
        </w:rPr>
        <w:t xml:space="preserve">...) </w:t>
      </w:r>
      <w:r>
        <w:rPr>
          <w:rStyle w:val="FootnoteAnchor"/>
          <w:rtl w:val="true"/>
        </w:rPr>
        <w:footnoteReference w:id="761"/>
      </w:r>
      <w:r>
        <w:rPr>
          <w:rFonts w:ascii="IRNazanin" w:hAnsi="IRNazanin" w:eastAsia="IRNazanin"/>
          <w:color w:val="111111"/>
          <w:sz w:val="28"/>
          <w:sz w:val="28"/>
          <w:szCs w:val="28"/>
          <w:rtl w:val="true"/>
          <w:lang w:bidi="fa-IR"/>
        </w:rPr>
        <w:t>یقوم بنقل</w:t>
      </w:r>
      <w:bookmarkStart w:id="728" w:name="pg5285_67485"/>
    </w:p>
    <w:p>
      <w:pPr>
        <w:pStyle w:val="BookText"/>
        <w:rPr/>
      </w:pPr>
      <w:bookmarkEnd w:id="728"/>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 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وینقل تهنئة عمر للإمام علی علیه السّلام، وینقل کذلک عدّة روایات فی نفس هذا المورد</w:t>
      </w:r>
      <w:r>
        <w:rPr>
          <w:rFonts w:eastAsia="IRNazanin" w:cs="IRNazanin"/>
          <w:color w:val="111111"/>
          <w:sz w:val="28"/>
          <w:szCs w:val="28"/>
          <w:rtl w:val="true"/>
          <w:lang w:bidi="fa-IR"/>
        </w:rPr>
        <w:t xml:space="preserve">. </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وهکذا فی ذیل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کَفی بِاللّهِ شَهِیداً بَیْنِی وَ بَیْنَکُمْ وَ مَنْ عِنْدَهُ عِلْمُ الْکِتابِ</w:t>
      </w:r>
      <w:r>
        <w:rPr>
          <w:rFonts w:eastAsia="Amiri" w:cs="Amiri" w:ascii="Amiri" w:hAnsi="Amiri"/>
          <w:color w:val="111111"/>
          <w:sz w:val="28"/>
          <w:szCs w:val="28"/>
          <w:rtl w:val="true"/>
          <w:lang w:bidi="ar-SA"/>
        </w:rPr>
        <w:t xml:space="preserve">) </w:t>
      </w:r>
      <w:r>
        <w:rPr>
          <w:rStyle w:val="FootnoteAnchor"/>
          <w:rtl w:val="true"/>
        </w:rPr>
        <w:footnoteReference w:id="763"/>
      </w:r>
      <w:r>
        <w:rPr>
          <w:rFonts w:ascii="IRNazanin" w:hAnsi="IRNazanin" w:eastAsia="IRNazanin"/>
          <w:color w:val="111111"/>
          <w:sz w:val="28"/>
          <w:sz w:val="28"/>
          <w:szCs w:val="28"/>
          <w:rtl w:val="true"/>
          <w:lang w:bidi="fa-IR"/>
        </w:rPr>
        <w:t>وبعد نقله الآراء الکثیرة فی بیان مصداق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عبدالله بن سلام أم علی بن أبی‌طالب علیه السّلام أم غیره؟ و یری الثعلبی إنطلاقاً من الروایات أن مصداقه الحقیقی هو علی بن أبی‌طالب علیه السّلام</w:t>
      </w:r>
      <w:r>
        <w:rPr>
          <w:rFonts w:eastAsia="IRNazanin" w:cs="IRNazanin"/>
          <w:color w:val="111111"/>
          <w:sz w:val="28"/>
          <w:szCs w:val="28"/>
          <w:rtl w:val="true"/>
          <w:lang w:bidi="fa-IR"/>
        </w:rPr>
        <w:t xml:space="preserve">. </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وهکذا فی ذیل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یَشْرِی نَفْسَهُ ابْتِغاءَ مَرْضاتِ اللّهِ</w:t>
      </w:r>
      <w:r>
        <w:rPr>
          <w:rFonts w:eastAsia="Amiri" w:cs="Amiri" w:ascii="Amiri" w:hAnsi="Amiri"/>
          <w:color w:val="111111"/>
          <w:sz w:val="28"/>
          <w:szCs w:val="28"/>
          <w:rtl w:val="true"/>
          <w:lang w:bidi="ar-SA"/>
        </w:rPr>
        <w:t xml:space="preserve">) </w:t>
      </w:r>
      <w:r>
        <w:rPr>
          <w:rStyle w:val="FootnoteAnchor"/>
          <w:rtl w:val="true"/>
        </w:rPr>
        <w:footnoteReference w:id="765"/>
      </w:r>
      <w:r>
        <w:rPr>
          <w:rFonts w:ascii="IRNazanin" w:hAnsi="IRNazanin" w:eastAsia="IRNazanin"/>
          <w:color w:val="111111"/>
          <w:sz w:val="28"/>
          <w:sz w:val="28"/>
          <w:szCs w:val="28"/>
          <w:rtl w:val="true"/>
          <w:lang w:bidi="fa-IR"/>
        </w:rPr>
        <w:t>وبعد طرحه الآراء المختلفة و التی نقل أکثرها أهل السنّة یحدّد رأیه فی أنّ أفضلها الرأی المتعلّق بعلی بن أبی طالب علیه السّلام فی لیلة المَبیت علی فراش الرسول صلّی الله علیه و آله، لیکون فی مأمن فی طریق هجرته إلی المدینة</w:t>
      </w:r>
      <w:r>
        <w:rPr>
          <w:rFonts w:eastAsia="IRNazanin" w:cs="IRNazanin"/>
          <w:color w:val="111111"/>
          <w:sz w:val="28"/>
          <w:szCs w:val="28"/>
          <w:rtl w:val="true"/>
          <w:lang w:bidi="fa-IR"/>
        </w:rPr>
        <w:t xml:space="preserve">. </w:t>
      </w:r>
      <w:r>
        <w:rPr>
          <w:rStyle w:val="FootnoteAnchor"/>
          <w:rtl w:val="true"/>
        </w:rPr>
        <w:footnoteReference w:id="766"/>
      </w:r>
    </w:p>
    <w:p>
      <w:pPr>
        <w:pStyle w:val="Heading5"/>
        <w:numPr>
          <w:ilvl w:val="4"/>
          <w:numId w:val="1"/>
        </w:numPr>
        <w:rPr/>
      </w:pPr>
      <w:bookmarkStart w:id="729" w:name="__RefHeading___Toc634373_581953129"/>
      <w:bookmarkStart w:id="730" w:name="_Toc282"/>
      <w:bookmarkEnd w:id="729"/>
      <w:r>
        <w:rPr>
          <w:rtl w:val="true"/>
        </w:rPr>
        <w:t>الملاحظات علی تفسیر الثعلبی</w:t>
      </w:r>
      <w:bookmarkEnd w:id="7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 لم یتجنّب الروایات الإسرائیلیة و القصص و الحکایات التی لا تصدّق و الضعیفة ورواها فی تفسیره، فصار من هذه الجهة موضع ذمّ ملحوظ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البحوث الفقهیة لآیات الاحکام بشکل واسع جدّاً لا یتناسب مع الکتب التفسیریة، بل إنّ مثل هذه الموضوعات تبحث فی الکتب الفقهیة</w:t>
      </w:r>
      <w:r>
        <w:rPr>
          <w:rFonts w:eastAsia="IRNazanin" w:cs="IRNazanin"/>
          <w:color w:val="111111"/>
          <w:sz w:val="28"/>
          <w:szCs w:val="28"/>
          <w:rtl w:val="true"/>
          <w:lang w:bidi="fa-IR"/>
        </w:rPr>
        <w:t>.</w:t>
      </w:r>
    </w:p>
    <w:p>
      <w:pPr>
        <w:pStyle w:val="Heading5"/>
        <w:numPr>
          <w:ilvl w:val="4"/>
          <w:numId w:val="1"/>
        </w:numPr>
        <w:rPr/>
      </w:pPr>
      <w:bookmarkStart w:id="731" w:name="__RefHeading___Toc634375_581953129"/>
      <w:bookmarkStart w:id="732" w:name="_Toc283"/>
      <w:bookmarkEnd w:id="731"/>
      <w:r>
        <w:rPr>
          <w:rtl w:val="true"/>
        </w:rPr>
        <w:t>آراء الذهبی حول تفسیر الثعلبی</w:t>
      </w:r>
      <w:bookmarkEnd w:id="7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توثیق الثعلبی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الذهبی عن إسماعیل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عن فی ذکر الثعلبی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bookmarkStart w:id="733" w:name="pg5285_67486"/>
    </w:p>
    <w:p>
      <w:pPr>
        <w:pStyle w:val="BookText"/>
        <w:rPr/>
      </w:pPr>
      <w:bookmarkEnd w:id="733"/>
      <w:r>
        <w:rPr>
          <w:rFonts w:ascii="IRNazanin" w:hAnsi="IRNazanin" w:eastAsia="IRNazanin"/>
          <w:color w:val="111111"/>
          <w:sz w:val="28"/>
          <w:sz w:val="28"/>
          <w:szCs w:val="28"/>
          <w:rtl w:val="true"/>
          <w:lang w:bidi="fa-IR"/>
        </w:rPr>
        <w:t>صحیح النقل موثوق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ومضافاً إلی أنّ الثعلبی هو أستاذ الواحدی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أثنی علیه کما مرّ ذکره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الثعلبی لم یتحرَّ الصّحة فی کلّ ما ینقل من تفاسیر السلف، بل نجده یکثر من الروایة عن السدی الصغیر عن الکلبی عن أبی صالح عن ابن عبّاس</w:t>
      </w:r>
      <w:r>
        <w:rPr>
          <w:rFonts w:eastAsia="IRNazanin" w:cs="IRNazanin"/>
          <w:color w:val="111111"/>
          <w:sz w:val="28"/>
          <w:szCs w:val="28"/>
          <w:rtl w:val="true"/>
          <w:lang w:bidi="fa-IR"/>
        </w:rPr>
        <w:t xml:space="preserve">. </w:t>
      </w:r>
      <w:r>
        <w:rPr>
          <w:rStyle w:val="FootnoteAnchor"/>
          <w:rtl w:val="true"/>
        </w:rPr>
        <w:footnoteReference w:id="76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خصوص الآیات المتعلّقة بالأحکام،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الوصیة و الحلال و الحرام، والمتعة وأحکام الجنابة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بنقل الآراء المختلفة عند الفقهاء، ثمّ یختار واحداً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والخصوصیة الأخری هی أنّه ینقل الروایات الإسرائیلیة وبشکل کثیر ولایمارس التحقیق فی الصحیح و السقیم منها، بل تری بینها ما یثیر العجیب والاستغراب، ومن هنا تجد عنده کتاباً حول قصص الأنبیاء علیهم السّلام، و قد نقل فیه روایات القصص المتعلّقة بالإسرائیلیات وبصورة واسعة</w:t>
      </w:r>
      <w:r>
        <w:rPr>
          <w:rFonts w:eastAsia="IRNazanin" w:cs="IRNazanin"/>
          <w:color w:val="111111"/>
          <w:sz w:val="28"/>
          <w:szCs w:val="28"/>
          <w:rtl w:val="true"/>
          <w:lang w:bidi="fa-IR"/>
        </w:rPr>
        <w:t>.</w:t>
      </w:r>
    </w:p>
    <w:p>
      <w:pPr>
        <w:pStyle w:val="Heading5"/>
        <w:numPr>
          <w:ilvl w:val="4"/>
          <w:numId w:val="1"/>
        </w:numPr>
        <w:rPr/>
      </w:pPr>
      <w:bookmarkStart w:id="734" w:name="__RefHeading___Toc634377_581953129"/>
      <w:bookmarkStart w:id="735" w:name="_Toc284"/>
      <w:bookmarkEnd w:id="734"/>
      <w:r>
        <w:rPr>
          <w:rtl w:val="true"/>
        </w:rPr>
        <w:t>تحقیق ونقد</w:t>
      </w:r>
      <w:bookmarkEnd w:id="735"/>
    </w:p>
    <w:p>
      <w:pPr>
        <w:pStyle w:val="BookText"/>
        <w:rPr/>
      </w:pPr>
      <w:r>
        <w:rPr>
          <w:rFonts w:ascii="IRNazanin" w:hAnsi="IRNazanin" w:eastAsia="IRNazanin"/>
          <w:color w:val="111111"/>
          <w:sz w:val="28"/>
          <w:sz w:val="28"/>
          <w:szCs w:val="28"/>
          <w:rtl w:val="true"/>
          <w:lang w:bidi="fa-IR"/>
        </w:rPr>
        <w:t>بعد أن اتّهم الذهبیُّ الثعلبیَّ بالأحادیث الموضوعة الکثیرة، نقل عن ابن تیمیة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کتاب تفسیره یشتمل علی الصحیح و الضعیف وأحادیث موضوعة، و هو کذلک یری أنّ الواحدی النیسابوری تلمیذ الثعلبی، وضمن إقراره بوجود فوائد کثیرة فی تفسیر الواحدی هو یتّهمه بنقل الأباطیل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هذا هو یتهمّ الواحدی، ویتهم الثعلبی بقلّة البضاعة العلمیة فی الحدیث؛ ولذا فهما ینقلان المجعول و الباطل فی القصص</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أنَّ الثعلبی قلیل البضاعة فی الحدیث، بل ولا أکون قاسیاً علیه إذا قلت إنّه لا یستطیع أن یمیز بین الحدیث الموضوع من غیر الموضوع، و إلاّ</w:t>
      </w:r>
      <w:bookmarkStart w:id="736" w:name="pg5285_67487"/>
    </w:p>
    <w:p>
      <w:pPr>
        <w:pStyle w:val="BookText"/>
        <w:rPr/>
      </w:pPr>
      <w:bookmarkEnd w:id="736"/>
      <w:r>
        <w:rPr>
          <w:rFonts w:ascii="IRNazanin" w:hAnsi="IRNazanin" w:eastAsia="IRNazanin"/>
          <w:color w:val="111111"/>
          <w:sz w:val="28"/>
          <w:sz w:val="28"/>
          <w:szCs w:val="28"/>
          <w:rtl w:val="true"/>
          <w:lang w:bidi="fa-IR"/>
        </w:rPr>
        <w:t>لما، روی فی تفسیره أحادیث الشیعة الموضوعة، علی علی وأهل‌البیت علیهم السّلام وغیرها من الأحادیث التی اشتهر وضعها وحذر العلماء من روایتها</w:t>
      </w:r>
      <w:r>
        <w:rPr>
          <w:rFonts w:eastAsia="IRNazanin" w:cs="IRNazanin"/>
          <w:color w:val="111111"/>
          <w:sz w:val="28"/>
          <w:szCs w:val="28"/>
          <w:rtl w:val="true"/>
          <w:lang w:bidi="fa-IR"/>
        </w:rPr>
        <w:t xml:space="preserve">. </w:t>
      </w:r>
      <w:r>
        <w:rPr>
          <w:rStyle w:val="FootnoteAnchor"/>
          <w:rtl w:val="true"/>
        </w:rPr>
        <w:footnoteReference w:id="768"/>
      </w:r>
    </w:p>
    <w:p>
      <w:pPr>
        <w:pStyle w:val="Heading5"/>
        <w:numPr>
          <w:ilvl w:val="4"/>
          <w:numId w:val="1"/>
        </w:numPr>
        <w:rPr/>
      </w:pPr>
      <w:bookmarkStart w:id="737" w:name="__RefHeading___Toc634379_581953129"/>
      <w:bookmarkStart w:id="738" w:name="_Toc285"/>
      <w:bookmarkEnd w:id="737"/>
      <w:r>
        <w:rPr>
          <w:rtl w:val="true"/>
        </w:rPr>
        <w:t>محاکمة الذهبی</w:t>
      </w:r>
      <w:bookmarkEnd w:id="738"/>
    </w:p>
    <w:p>
      <w:pPr>
        <w:pStyle w:val="BookText"/>
        <w:rPr/>
      </w:pPr>
      <w:r>
        <w:rPr>
          <w:rFonts w:ascii="IRNazanin" w:hAnsi="IRNazanin" w:eastAsia="IRNazanin"/>
          <w:color w:val="111111"/>
          <w:sz w:val="28"/>
          <w:sz w:val="28"/>
          <w:szCs w:val="28"/>
          <w:rtl w:val="true"/>
          <w:lang w:bidi="fa-IR"/>
        </w:rPr>
        <w:t>العجیب أنّ الذهبی نفسه عند تعریفه تفسیر الطبری الملیء بالأحادیث الإسرائیلیة، کما یعرف ذلک رأیناه یحاول تنزیهه؛ بحجّة أنّ الطبری قد نقل السند وألقی عهدة التمییز بین الصحیح و الضعیف علی القرّاء؛ أمّا هنا، فمع أنّه لم یقل ذلک القول وحسب، بل هو لکون الأحادیث مرتبطة بنقل الشیعة یعبّر عنه بأنّه لیس من أهل التمییز، وأنّه لا یملک القدرة العلمیة علی فهم الأحادیث الصحیحة من غیر الصحیحة</w:t>
      </w:r>
      <w:r>
        <w:rPr>
          <w:rFonts w:eastAsia="IRNazanin" w:cs="IRNazanin"/>
          <w:color w:val="111111"/>
          <w:sz w:val="28"/>
          <w:szCs w:val="28"/>
          <w:rtl w:val="true"/>
          <w:lang w:bidi="fa-IR"/>
        </w:rPr>
        <w:t>.</w:t>
      </w:r>
    </w:p>
    <w:p>
      <w:pPr>
        <w:pStyle w:val="Heading4"/>
        <w:numPr>
          <w:ilvl w:val="3"/>
          <w:numId w:val="1"/>
        </w:numPr>
        <w:rPr/>
      </w:pPr>
      <w:bookmarkStart w:id="739" w:name="__RefHeading___Toc634381_581953129"/>
      <w:bookmarkStart w:id="740" w:name="_Toc286"/>
      <w:bookmarkEnd w:id="739"/>
      <w:r>
        <w:rPr/>
        <w:t>3</w:t>
      </w:r>
      <w:r>
        <w:rPr>
          <w:rtl w:val="true"/>
        </w:rPr>
        <w:t xml:space="preserve">. </w:t>
      </w:r>
      <w:r>
        <w:rPr>
          <w:rtl w:val="true"/>
        </w:rPr>
        <w:t>الوسیط فی تفسیر القرآن المجید</w:t>
      </w:r>
      <w:bookmarkEnd w:id="740"/>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علی‌بن أحمد الواحدی النیسابوری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أبو الحسن الواحدی النیسابوری من المفسّرین الکبار عند أهل السنّة فی عصره، و قد عاصر الثعلبی وعایشه وتتلمذ علی یدیه، و هو شاعر مقتدر، وعالم متمکن فی علوم الأدب ومتخصّص فی الحدیث، ویعدّ من محدّثی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والواحدی له ثلاثة تفاسیر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البسیط، و الوسیط، و الوجیز </w:t>
      </w:r>
      <w:r>
        <w:rPr>
          <w:rStyle w:val="FootnoteAnchor"/>
          <w:rtl w:val="true"/>
        </w:rPr>
        <w:footnoteReference w:id="769"/>
      </w:r>
      <w:r>
        <w:rPr>
          <w:rFonts w:ascii="IRNazanin" w:hAnsi="IRNazanin" w:eastAsia="IRNazanin"/>
          <w:color w:val="111111"/>
          <w:sz w:val="28"/>
          <w:sz w:val="28"/>
          <w:szCs w:val="28"/>
          <w:rtl w:val="true"/>
          <w:lang w:bidi="fa-IR"/>
        </w:rPr>
        <w:t>وأهمَّهن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الوسیط فی تفسیر القرآن المجید، و هذا التفسیر هو علی الصورة الترتیبیة</w:t>
      </w:r>
      <w:r>
        <w:rPr>
          <w:rFonts w:eastAsia="IRNazanin" w:cs="IRNazanin"/>
          <w:color w:val="111111"/>
          <w:sz w:val="28"/>
          <w:szCs w:val="28"/>
          <w:rtl w:val="true"/>
          <w:lang w:bidi="fa-IR"/>
        </w:rPr>
        <w:t>.</w:t>
      </w:r>
      <w:bookmarkStart w:id="741" w:name="pg5285_67488"/>
    </w:p>
    <w:p>
      <w:pPr>
        <w:pStyle w:val="BookText"/>
        <w:rPr/>
      </w:pPr>
      <w:bookmarkEnd w:id="741"/>
      <w:r>
        <w:rPr>
          <w:rFonts w:ascii="IRNazanin" w:hAnsi="IRNazanin" w:eastAsia="IRNazanin"/>
          <w:color w:val="111111"/>
          <w:sz w:val="28"/>
          <w:sz w:val="28"/>
          <w:szCs w:val="28"/>
          <w:rtl w:val="true"/>
          <w:lang w:bidi="fa-IR"/>
        </w:rPr>
        <w:t>و قد کتب لهذا التفسیر مقدّمة قصیرة جدّاً فی التفسیر، وکذلک فی التفسیر بالرأی؛ و أمّا منهجه التفسیری، فهو روائی بالکامل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بعض المواضع اعتمد اللغة و الأدب فی التفسیر، ولبحوثه اللغویة فی بعض الأحیان تذیل مع أنّه فی بعض المواقع یروی آراء المفسّرین المعروفین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المفسّرون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الصفة العامّة لتفسیره هی المنهج الروائی،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روایات الصحابة و التابعین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مثال ذلک ما کتبه فی ذیل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کَفَرُوا أَوْلِیاؤُهُمُ 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جمیع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الطاغوت کلّ ما عُبد من دون الله، ویکون واحداً وجمعاً، ومؤنثاً ومذکراً، و هو فی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الرغبوت و الرهبوت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عبّاس و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الطاغوت الشیطان، 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الأصنام</w:t>
      </w:r>
      <w:r>
        <w:rPr>
          <w:rFonts w:eastAsia="Amiri" w:cs="Amiri" w:ascii="Amiri" w:hAnsi="Amiri"/>
          <w:color w:val="111111"/>
          <w:sz w:val="28"/>
          <w:szCs w:val="28"/>
          <w:rtl w:val="true"/>
          <w:lang w:bidi="ar-SA"/>
        </w:rPr>
        <w:t xml:space="preserve">. </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والواحدی النیسابوری مضافاً إلی التفسیر أعلاه عنده کتاب فی تحقیق مباحث القرآن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التحریف عن القرآن الشریف، ومن أجل أن یرتّب روایات أسباب النزول کتب کتاب أسباب النزول، و هو أحد أهم المصادر عند أهل السنّة فی مجال أسباب النزول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مؤلّفاته الأخری، 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المغازی وشرح الأسماء الحسنی، وشرح دیوان المتنّبی وکتب أخری</w:t>
      </w:r>
      <w:r>
        <w:rPr>
          <w:rFonts w:eastAsia="IRNazanin" w:cs="IRNazanin"/>
          <w:color w:val="111111"/>
          <w:sz w:val="28"/>
          <w:szCs w:val="28"/>
          <w:rtl w:val="true"/>
          <w:lang w:bidi="fa-IR"/>
        </w:rPr>
        <w:t xml:space="preserve">. </w:t>
      </w:r>
      <w:r>
        <w:rPr>
          <w:rStyle w:val="FootnoteAnchor"/>
          <w:rtl w:val="true"/>
        </w:rPr>
        <w:footnoteReference w:id="771"/>
      </w:r>
    </w:p>
    <w:p>
      <w:pPr>
        <w:pStyle w:val="Heading4"/>
        <w:numPr>
          <w:ilvl w:val="3"/>
          <w:numId w:val="1"/>
        </w:numPr>
        <w:rPr/>
      </w:pPr>
      <w:bookmarkStart w:id="742" w:name="__RefHeading___Toc634383_581953129"/>
      <w:bookmarkStart w:id="743" w:name="_Toc287"/>
      <w:bookmarkEnd w:id="742"/>
      <w:r>
        <w:rPr/>
        <w:t>4</w:t>
      </w:r>
      <w:r>
        <w:rPr>
          <w:rtl w:val="true"/>
        </w:rPr>
        <w:t xml:space="preserve">. </w:t>
      </w:r>
      <w:r>
        <w:rPr>
          <w:rtl w:val="true"/>
        </w:rPr>
        <w:t>النکت و العیون</w:t>
      </w:r>
      <w:bookmarkEnd w:id="743"/>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علی بن محمّد حبیب الماوردی البصری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العربیة</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روائی، مع نقل للأقوال</w:t>
      </w:r>
      <w:r>
        <w:rPr>
          <w:rFonts w:eastAsia="IRNazanin" w:cs="IRNazanin"/>
          <w:color w:val="111111"/>
          <w:sz w:val="28"/>
          <w:szCs w:val="28"/>
          <w:rtl w:val="true"/>
          <w:lang w:bidi="fa-IR"/>
        </w:rPr>
        <w:t>.</w:t>
      </w:r>
      <w:bookmarkStart w:id="744" w:name="pg5285_67489"/>
    </w:p>
    <w:p>
      <w:pPr>
        <w:pStyle w:val="BookText"/>
        <w:rPr/>
      </w:pPr>
      <w:bookmarkEnd w:id="744"/>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الحسن الماوردی من فقهاء وعلماء أهل السنّة، و هو علی المذهب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وُلِد فی البصرة، وفیها واصل تحصیله العلمیه، وبعد ذلک هاجر إلی بغداد مارس التدریس و التألیف فی علوم مختلفة،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و الأدب، والفلسفة و السیاسة، و هو فیها متمکن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لقّب فی سنة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بقاضی القضاة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وللماوردی مقدّمات قصیرة تحتوی علی أسماء القرآن و أجزاء القرآن، والسور و الإعجاز القرآنی، والتدبّر ووجوه التفسیر والاستعاذه</w:t>
      </w:r>
      <w:r>
        <w:rPr>
          <w:rFonts w:eastAsia="IRNazanin" w:cs="IRNazanin"/>
          <w:color w:val="111111"/>
          <w:sz w:val="28"/>
          <w:szCs w:val="28"/>
          <w:rtl w:val="true"/>
          <w:lang w:bidi="fa-IR"/>
        </w:rPr>
        <w:t xml:space="preserve">. </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و أمّا منهجه التفسیری، فهو روائی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وینقل کثیراً عن الصحابة و التابعین، وفی الکثیر من الموارد یعتمد علی آراء المفسّرین ونقل أقوالهم، و هذه هی منهجیته فی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یقسم الآیات إلی عدّة جمل مستقلّة، ثمّ بعد الانتهاء من البحث الأدبی و اللفظی، والنقد وتحلیل الآراء یمارس فقط ذکر الآراء و الوجوه الواردة فی تفسیر کلّ جملة أو 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فمثلاً کتب حول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حافِظُوا عَلَی الصَّلَواتِ</w:t>
      </w:r>
      <w:r>
        <w:rPr>
          <w:rFonts w:eastAsia="Amiri" w:cs="Amiri" w:ascii="Amiri" w:hAnsi="Amiri"/>
          <w:color w:val="111111"/>
          <w:sz w:val="28"/>
          <w:szCs w:val="28"/>
          <w:rtl w:val="true"/>
          <w:lang w:bidi="ar-SA"/>
        </w:rPr>
        <w:t xml:space="preserve">) </w:t>
      </w:r>
      <w:r>
        <w:rPr>
          <w:rStyle w:val="FootnoteAnchor"/>
          <w:rtl w:val="true"/>
        </w:rPr>
        <w:footnoteReference w:id="7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المحافظة علیها قولان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و الثانی تعجیلها</w:t>
      </w:r>
      <w:r>
        <w:rPr>
          <w:rFonts w:eastAsia="IRNazanin" w:cs="IRNazanin"/>
          <w:color w:val="111111"/>
          <w:sz w:val="28"/>
          <w:szCs w:val="28"/>
          <w:rtl w:val="true"/>
          <w:lang w:bidi="fa-IR"/>
        </w:rPr>
        <w:t xml:space="preserve">. </w:t>
      </w:r>
      <w:r>
        <w:rPr>
          <w:rStyle w:val="FootnoteAnchor"/>
          <w:rtl w:val="true"/>
        </w:rPr>
        <w:footnoteReference w:id="774"/>
      </w:r>
    </w:p>
    <w:p>
      <w:pPr>
        <w:pStyle w:val="Heading4"/>
        <w:numPr>
          <w:ilvl w:val="3"/>
          <w:numId w:val="1"/>
        </w:numPr>
        <w:rPr/>
      </w:pPr>
      <w:bookmarkStart w:id="745" w:name="__RefHeading___Toc634385_581953129"/>
      <w:bookmarkStart w:id="746" w:name="_Toc288"/>
      <w:bookmarkEnd w:id="745"/>
      <w:r>
        <w:rPr/>
        <w:t>5</w:t>
      </w:r>
      <w:r>
        <w:rPr>
          <w:rtl w:val="true"/>
        </w:rPr>
        <w:t xml:space="preserve">. </w:t>
      </w:r>
      <w:r>
        <w:rPr>
          <w:rtl w:val="true"/>
        </w:rPr>
        <w:t>تفسیر القرآن</w:t>
      </w:r>
      <w:bookmarkEnd w:id="746"/>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المظفّر السمعانی، منصور بن محمّد بن عبد الجبّار التمیمی المروزی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حیاتُهُ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العربیة</w:t>
      </w:r>
      <w:r>
        <w:rPr>
          <w:rFonts w:eastAsia="IRNazanin" w:cs="IRNazanin"/>
          <w:color w:val="111111"/>
          <w:sz w:val="28"/>
          <w:szCs w:val="28"/>
          <w:rtl w:val="true"/>
          <w:lang w:bidi="fa-IR"/>
        </w:rPr>
        <w:t>.</w:t>
      </w:r>
      <w:bookmarkStart w:id="747" w:name="pg5285_67490"/>
    </w:p>
    <w:p>
      <w:pPr>
        <w:pStyle w:val="BookText"/>
        <w:rPr/>
      </w:pPr>
      <w:bookmarkEnd w:id="747"/>
      <w:r>
        <w:rPr>
          <w:rFonts w:ascii="IRNazanin" w:hAnsi="IRNazanin" w:eastAsia="IRNazanin"/>
          <w:color w:val="111111"/>
          <w:sz w:val="28"/>
          <w:sz w:val="28"/>
          <w:szCs w:val="28"/>
          <w:rtl w:val="true"/>
          <w:lang w:bidi="fa-IR"/>
        </w:rPr>
        <w:t>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بسیط باتّجاه 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السمعانی هو مؤلّف هذا التفسیر، و مفتی مذهب الشافعیة فی القرن الخامس، ویعدّ من متعصّبی أهل السنّة الموالین للسلفیة</w:t>
      </w:r>
      <w:r>
        <w:rPr>
          <w:rFonts w:eastAsia="IRNazanin" w:cs="IRNazanin"/>
          <w:color w:val="111111"/>
          <w:sz w:val="28"/>
          <w:szCs w:val="28"/>
          <w:rtl w:val="true"/>
          <w:lang w:bidi="fa-IR"/>
        </w:rPr>
        <w:t xml:space="preserve">. </w:t>
      </w:r>
      <w:r>
        <w:rPr>
          <w:rStyle w:val="FootnoteAnchor"/>
          <w:rtl w:val="true"/>
        </w:rPr>
        <w:footnoteReference w:id="775"/>
      </w:r>
      <w:r>
        <w:rPr>
          <w:rFonts w:ascii="IRNazanin" w:hAnsi="IRNazanin" w:eastAsia="IRNazanin"/>
          <w:color w:val="111111"/>
          <w:sz w:val="28"/>
          <w:sz w:val="28"/>
          <w:szCs w:val="28"/>
          <w:rtl w:val="true"/>
          <w:lang w:bidi="fa-IR"/>
        </w:rPr>
        <w:t>و فی هذا التفسیر الذی کُتب بالأسلوب الترتیبی قد طُرحت فیه بحوث بسیطة جدّاً، فأحیاناً یذکر قراءات مختلفة لآیة مع أنّ منهجه روائی ینطلق من روایات الصحابة و التابعین، وأحیاناً یبحث فی الآیات الجانب اللغوی ویتابعه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التفسیر مثلما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بسیط وخالٍ من النقد و التحلیل والاستدلالات العقلیة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وکنموذج للذکر من هذا التفسیر کتب المؤلّف فی ذیل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عَهِدْنا إِلی إِبْراهِیمَ وَ إِسْماعِیلَ أَنْ طَهِّرا بَیْتِیَ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776"/>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والعهد ها هنا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و أمّا إسماعیل، فأصله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 إیل؛ ذلک لأنّ ابراهیم علیه السّلام کان یدعو الله أن یرزقه ولداً،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 إیل، فلما رزقه الله الولد سمّاه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طَهِّرا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الشرک و الأوثان</w:t>
      </w:r>
      <w:r>
        <w:rPr>
          <w:rFonts w:eastAsia="IRNazanin" w:cs="IRNazanin"/>
          <w:color w:val="111111"/>
          <w:sz w:val="28"/>
          <w:szCs w:val="28"/>
          <w:rtl w:val="true"/>
          <w:lang w:bidi="fa-IR"/>
        </w:rPr>
        <w:t xml:space="preserve">. </w:t>
      </w:r>
      <w:r>
        <w:rPr>
          <w:rStyle w:val="FootnoteAnchor"/>
          <w:rtl w:val="true"/>
        </w:rPr>
        <w:footnoteReference w:id="777"/>
      </w:r>
    </w:p>
    <w:p>
      <w:pPr>
        <w:pStyle w:val="Heading4"/>
        <w:numPr>
          <w:ilvl w:val="3"/>
          <w:numId w:val="1"/>
        </w:numPr>
        <w:rPr/>
      </w:pPr>
      <w:bookmarkStart w:id="748" w:name="__RefHeading___Toc634387_581953129"/>
      <w:bookmarkStart w:id="749" w:name="_Toc289"/>
      <w:bookmarkEnd w:id="748"/>
      <w:r>
        <w:rPr/>
        <w:t>6</w:t>
      </w:r>
      <w:r>
        <w:rPr>
          <w:rtl w:val="true"/>
        </w:rPr>
        <w:t xml:space="preserve">. </w:t>
      </w:r>
      <w:r>
        <w:rPr>
          <w:rtl w:val="true"/>
        </w:rPr>
        <w:t>لطائف الإشارات</w:t>
      </w:r>
      <w:bookmarkEnd w:id="749"/>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بن عبد الکریم بن هوازن القُشیری النیسابوری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العربیة</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عرفانی</w:t>
      </w:r>
      <w:r>
        <w:rPr>
          <w:rFonts w:eastAsia="IRNazanin" w:cs="IRNazanin"/>
          <w:color w:val="111111"/>
          <w:sz w:val="28"/>
          <w:szCs w:val="28"/>
          <w:rtl w:val="true"/>
          <w:lang w:bidi="fa-IR"/>
        </w:rPr>
        <w:t>.</w:t>
      </w:r>
      <w:bookmarkStart w:id="750" w:name="pg5285_67491"/>
    </w:p>
    <w:p>
      <w:pPr>
        <w:pStyle w:val="BookText"/>
        <w:rPr/>
      </w:pPr>
      <w:bookmarkEnd w:id="750"/>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یعرف هذا التفسیر بتفسیر القشیری، ومؤلّفه من مشایخ الصوفیة فی خراسان فی العهد الذی عاشه، و هو محدّث وفقیه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شافعی المذهب وأشعری المسلک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التصوّف من تلامذة أبی علی الدّقاق واستفاد کثیراً من أبی عبد الرحمان السلمی</w:t>
      </w:r>
      <w:r>
        <w:rPr>
          <w:rFonts w:eastAsia="IRNazanin" w:cs="IRNazanin"/>
          <w:color w:val="111111"/>
          <w:sz w:val="28"/>
          <w:szCs w:val="28"/>
          <w:rtl w:val="true"/>
          <w:lang w:bidi="fa-IR"/>
        </w:rPr>
        <w:t xml:space="preserve">. </w:t>
      </w:r>
      <w:r>
        <w:rPr>
          <w:rStyle w:val="FootnoteAnchor"/>
          <w:rtl w:val="true"/>
        </w:rPr>
        <w:footnoteReference w:id="778"/>
      </w:r>
      <w:r>
        <w:rPr>
          <w:rFonts w:ascii="Amiri" w:hAnsi="Amiri" w:eastAsia="Amiri" w:cs="Amiri"/>
          <w:color w:val="111111"/>
          <w:sz w:val="28"/>
          <w:sz w:val="28"/>
          <w:szCs w:val="28"/>
          <w:rtl w:val="true"/>
          <w:lang w:bidi="ar-SA"/>
        </w:rPr>
        <w:t>و قد ألّف تفسیره وفِق المیول و البیانات العرفانیة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طَهِّرا بَیْتِیَ لِلطّائِفِینَ وَ الْعاکِفِینَ وَ الرُّکَّعِ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فی الظاهر بتطهیر البیت، والإشارة من الآیة إلی تطهیر البیت بصونه عن الأدناس و الأوضار، وتطهیر القلب بحفظه عن ملاحظة الأجناس الأغیار</w:t>
      </w:r>
      <w:r>
        <w:rPr>
          <w:rFonts w:eastAsia="Amiri" w:cs="Amiri" w:ascii="Amiri" w:hAnsi="Amiri"/>
          <w:color w:val="111111"/>
          <w:sz w:val="28"/>
          <w:szCs w:val="28"/>
          <w:rtl w:val="true"/>
          <w:lang w:bidi="ar-SA"/>
        </w:rPr>
        <w:t xml:space="preserve">. </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و قد حاول القُشیری بکلّ جهده أن یجعلَ القواعد و الأصول الصوفیة متوافقة مع القرآن، وکذلک لإثبات أنّ مقرّرات الصوفیة فی أصولها وفروعها هی مأخوذة من القرآن، وأنّها غیر متأثرة بما حولها من الفلسفة الیونانیة أو الهندیة</w:t>
      </w:r>
      <w:r>
        <w:rPr>
          <w:rFonts w:eastAsia="IRNazanin" w:cs="IRNazanin"/>
          <w:color w:val="111111"/>
          <w:sz w:val="28"/>
          <w:szCs w:val="28"/>
          <w:rtl w:val="true"/>
          <w:lang w:bidi="fa-IR"/>
        </w:rPr>
        <w:t xml:space="preserve">. </w:t>
      </w:r>
      <w:r>
        <w:rPr>
          <w:rStyle w:val="FootnoteAnchor"/>
          <w:rtl w:val="true"/>
        </w:rPr>
        <w:footnoteReference w:id="780"/>
      </w:r>
      <w:r>
        <w:rPr>
          <w:rFonts w:ascii="IRNazanin" w:hAnsi="IRNazanin" w:eastAsia="IRNazanin"/>
          <w:color w:val="111111"/>
          <w:sz w:val="28"/>
          <w:sz w:val="28"/>
          <w:szCs w:val="28"/>
          <w:rtl w:val="true"/>
          <w:lang w:bidi="fa-IR"/>
        </w:rPr>
        <w:t>وللقُشیری مضافاً إلی لطائف الإشارات، کتب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التیسیر فی علم التفسیر، و رجال الطریقة و نحو القلوب وغیر ذلک</w:t>
      </w:r>
      <w:r>
        <w:rPr>
          <w:rFonts w:eastAsia="IRNazanin" w:cs="IRNazanin"/>
          <w:color w:val="111111"/>
          <w:sz w:val="28"/>
          <w:szCs w:val="28"/>
          <w:rtl w:val="true"/>
          <w:lang w:bidi="fa-IR"/>
        </w:rPr>
        <w:t xml:space="preserve">. </w:t>
      </w:r>
      <w:r>
        <w:rPr>
          <w:rStyle w:val="FootnoteAnchor"/>
          <w:rtl w:val="true"/>
        </w:rPr>
        <w:footnoteReference w:id="781"/>
      </w:r>
    </w:p>
    <w:p>
      <w:pPr>
        <w:pStyle w:val="Heading4"/>
        <w:numPr>
          <w:ilvl w:val="3"/>
          <w:numId w:val="1"/>
        </w:numPr>
        <w:rPr/>
      </w:pPr>
      <w:bookmarkStart w:id="751" w:name="__RefHeading___Toc634389_581953129"/>
      <w:bookmarkStart w:id="752" w:name="_Toc290"/>
      <w:bookmarkEnd w:id="751"/>
      <w:r>
        <w:rPr/>
        <w:t>7</w:t>
      </w:r>
      <w:r>
        <w:rPr>
          <w:rtl w:val="true"/>
        </w:rPr>
        <w:t xml:space="preserve">. </w:t>
      </w:r>
      <w:r>
        <w:rPr>
          <w:rtl w:val="true"/>
        </w:rPr>
        <w:t>تفسیر ابن سینا</w:t>
      </w:r>
      <w:bookmarkEnd w:id="752"/>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عبد الله، حسین بن عبد الله بن سینا، المعروف عند الإیرانیین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 علی سینا وبالشیخ الرئیس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أکبر الفلاسفة المشّائین، وطبیب مشهور فی القرن الخامس</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وإنّه و إن لم یکن له تفسیر مستقلّ إلاّ أنّه فسّر بصورة متفرّقة 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الفاتحة و التوحید،</w:t>
      </w:r>
      <w:bookmarkStart w:id="753" w:name="pg5285_67492"/>
    </w:p>
    <w:p>
      <w:pPr>
        <w:pStyle w:val="BookText"/>
        <w:rPr/>
      </w:pPr>
      <w:bookmarkEnd w:id="753"/>
      <w:r>
        <w:rPr>
          <w:rFonts w:ascii="IRNazanin" w:hAnsi="IRNazanin" w:eastAsia="IRNazanin"/>
          <w:color w:val="111111"/>
          <w:sz w:val="28"/>
          <w:sz w:val="28"/>
          <w:szCs w:val="28"/>
          <w:rtl w:val="true"/>
          <w:lang w:bidi="fa-IR"/>
        </w:rPr>
        <w:t>والفلق و الناس وآیة النور و الأعلی، والدخان و الآیات الأولی، والآیة الحادیة عشر من سورة فصلت</w:t>
      </w:r>
      <w:r>
        <w:rPr>
          <w:rFonts w:eastAsia="IRNazanin" w:cs="IRNazanin"/>
          <w:color w:val="111111"/>
          <w:sz w:val="28"/>
          <w:szCs w:val="28"/>
          <w:rtl w:val="true"/>
          <w:lang w:bidi="fa-IR"/>
        </w:rPr>
        <w:t xml:space="preserve">. </w:t>
      </w:r>
      <w:r>
        <w:rPr>
          <w:rStyle w:val="FootnoteAnchor"/>
          <w:rtl w:val="true"/>
        </w:rPr>
        <w:footnoteReference w:id="782"/>
      </w:r>
      <w:r>
        <w:rPr>
          <w:rFonts w:ascii="IRNazanin" w:hAnsi="IRNazanin" w:eastAsia="IRNazanin"/>
          <w:color w:val="111111"/>
          <w:sz w:val="28"/>
          <w:sz w:val="28"/>
          <w:szCs w:val="28"/>
          <w:rtl w:val="true"/>
          <w:lang w:bidi="fa-IR"/>
        </w:rPr>
        <w:t>و قد مارس تفسیره بالاتّجاه العرفانی، وبعض أسالیبه الشخصیة</w:t>
      </w:r>
      <w:r>
        <w:rPr>
          <w:rFonts w:eastAsia="IRNazanin" w:cs="IRNazanin"/>
          <w:color w:val="111111"/>
          <w:sz w:val="28"/>
          <w:szCs w:val="28"/>
          <w:rtl w:val="true"/>
          <w:lang w:bidi="fa-IR"/>
        </w:rPr>
        <w:t>.</w:t>
      </w:r>
    </w:p>
    <w:p>
      <w:pPr>
        <w:pStyle w:val="Heading3"/>
        <w:numPr>
          <w:ilvl w:val="2"/>
          <w:numId w:val="1"/>
        </w:numPr>
        <w:rPr/>
      </w:pPr>
      <w:bookmarkStart w:id="754" w:name="__RefHeading___Toc634391_581953129"/>
      <w:bookmarkStart w:id="755" w:name="_Toc291"/>
      <w:bookmarkEnd w:id="754"/>
      <w:r>
        <w:rPr>
          <w:rtl w:val="true"/>
        </w:rPr>
        <w:t>تفاسیر أخری</w:t>
      </w:r>
      <w:bookmarkEnd w:id="755"/>
    </w:p>
    <w:p>
      <w:pPr>
        <w:pStyle w:val="BookText"/>
        <w:rPr/>
      </w:pPr>
      <w:r>
        <w:rPr>
          <w:rFonts w:ascii="IRNazanin" w:hAnsi="IRNazanin" w:eastAsia="IRNazanin"/>
          <w:color w:val="111111"/>
          <w:sz w:val="28"/>
          <w:sz w:val="28"/>
          <w:szCs w:val="28"/>
          <w:rtl w:val="true"/>
          <w:lang w:bidi="fa-IR"/>
        </w:rPr>
        <w:t xml:space="preserve">ذکر أحمد بن محمّد الأدنوی فی طبقات المفسّرین أسماء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 للقرن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التعریف بأهمّهم، وهنا نذکر قسماً آخر منهم علی النحو المقیل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هلال العسکری، </w:t>
      </w:r>
      <w:r>
        <w:rPr>
          <w:rStyle w:val="FootnoteAnchor"/>
          <w:rtl w:val="true"/>
        </w:rPr>
        <w:footnoteReference w:id="783"/>
      </w:r>
      <w:r>
        <w:rPr>
          <w:rFonts w:ascii="IRNazanin" w:hAnsi="IRNazanin" w:eastAsia="IRNazanin"/>
          <w:color w:val="111111"/>
          <w:sz w:val="28"/>
          <w:sz w:val="28"/>
          <w:szCs w:val="28"/>
          <w:rtl w:val="true"/>
          <w:lang w:bidi="fa-IR"/>
        </w:rPr>
        <w:t>حسن بن عبدالله أدیب و شاعر معروف، ونقل أنّ تفسیره یتّکون من خمسة مجلّدات و قد اشتُهر بتفسیر العسکری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هبة الله البغدادی له تفسیر وکتاب الناسخ و المنسوخ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الجبّار بن أحمد القاضی أبو الحسن الهمدانی الأسد أبادی من علماء المعتزلة، وصاحب التفسیر الذی یقول عنه البیضاوی إنّه شاهده، و إنّ تفسیره له حجم مناسب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بکر البلخی المعروف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رؤاس، والذی له تفسیر کبیر، أبوذر الهِرَوی الأنصاری له تفسیر، ومحمّد بن علی أبو مسلم الأصفهانی</w:t>
      </w:r>
      <w:r>
        <w:rPr>
          <w:rFonts w:eastAsia="IRNazanin" w:cs="IRNazanin"/>
          <w:color w:val="111111"/>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أدیب و متکلّم ومفسّر معتزلی المذهب، له تفسیر فی عشرین مجلّداً، وألّفه باتّجاه کلامی، و هذا التفسیر کان موضع اهتمامات الکثیر من المفسّرین ومن جملتهم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الطوسی</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عبد الکریم بن هَوازَن، و هو الابن الأکبر للقشیری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قد اشتُهر بعد أبیه بالزهد و التصوّف، وله مقام کبیر فی السلوک وله طریقة، و هو مفسّر متمکّن وأدیب مقتدر، کما وعرف فی الأصول و المناظرة و الوعظ</w:t>
      </w:r>
      <w:r>
        <w:rPr>
          <w:rFonts w:eastAsia="IRNazanin" w:cs="IRNazanin"/>
          <w:color w:val="111111"/>
          <w:sz w:val="28"/>
          <w:szCs w:val="28"/>
          <w:rtl w:val="true"/>
          <w:lang w:bidi="fa-IR"/>
        </w:rPr>
        <w:t xml:space="preserve">. </w:t>
      </w:r>
      <w:r>
        <w:rPr>
          <w:rStyle w:val="FootnoteAnchor"/>
          <w:rtl w:val="true"/>
        </w:rPr>
        <w:footnoteReference w:id="784"/>
      </w:r>
      <w:bookmarkStart w:id="756" w:name="pg5285_67493"/>
    </w:p>
    <w:p>
      <w:pPr>
        <w:pStyle w:val="Heading3"/>
        <w:numPr>
          <w:ilvl w:val="2"/>
          <w:numId w:val="1"/>
        </w:numPr>
        <w:rPr/>
      </w:pPr>
      <w:bookmarkStart w:id="757" w:name="__RefHeading___Toc634393_581953129"/>
      <w:bookmarkStart w:id="758" w:name="_Toc292"/>
      <w:bookmarkEnd w:id="756"/>
      <w:bookmarkEnd w:id="757"/>
      <w:r>
        <w:rPr>
          <w:rtl w:val="true"/>
        </w:rPr>
        <w:t>الخلاصة</w:t>
      </w:r>
      <w:bookmarkEnd w:id="7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ظهرت فی القرن الخامس خصوصیتان متضادّتان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الحروب و المجازر و الحرائق، کحرق المکتبات فی بغداد و القضاء علی الکثیر من التراث العلمی علی یدی طُغرل بیک أوّل الملوک السلجوقیین، وما قام به من غارات وحرائق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نفس الوقت برز فی هذا القرن علماء محقّقون کبار،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المفید و السید المرتضی، والسید الرضی و الشیخ الطوسی، وغیرهم فی الوسط الشیعی، والحاکم النیسابوری صاحب المستدرک و البیهقی صاحب السنن الکبری، والثعلبی و الواحدی النیسابوری وغیرهم فی الوسط السُنّی، و قدّموا عطاءاتهم العملاقة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 الخلافات المذهبیة بین المتکلّمین فی المذاهب السُنّیة،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الأشعریة و الماتریدیة، والمعتزلة واشتدت المواجهات الکلامیة فیما بینهم، وکان القاضی عبد الجبّار وأبو بکر الباقلانی من ضمن الذین عاشا فی هذا العصر کذلک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ذکروا لهذا القرن أکثر من مائة اسم تفسیری ومفسّر، فقد أورد الأدنوی فی طبقات المفسّرین أسماء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وأورد عقیقی بخشایشی فی طبقات مفسّران شیعه أکثر من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أهمّ تفاسیر الشیعة فی القرن الخامس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حقائق التأویل فی متشابه التنزیل للشریف الرضی</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هو تفسیر اجتهادی علمی أدبی مع ملاحظات فی النقد و التحلیل، و هو موضع إجلال و الشیعة وأهل السنّة، و هذا التفسیر ألّف علی المنهج الکلامی و الأدبی، ولکن وللأسف لم یصلنا من العشرة أجزاء منه إلاّ جزءً واحداً فقط، وممّا یذکر أیضاً من التفاسیر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الشریف المرتضی</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لا یتّصف بالخصوصیة التفسیریة إلاّ أنّه لتفسیره آیات من القرآن حاز علی موضع مدح وتقدیر الجمهور من المسلمین</w:t>
      </w:r>
      <w:r>
        <w:rPr>
          <w:rFonts w:eastAsia="IRNazanin" w:cs="IRNazanin"/>
          <w:color w:val="111111"/>
          <w:sz w:val="28"/>
          <w:szCs w:val="28"/>
          <w:rtl w:val="true"/>
          <w:lang w:bidi="fa-IR"/>
        </w:rPr>
        <w:t>.</w:t>
      </w:r>
      <w:bookmarkStart w:id="759" w:name="pg5285_67494"/>
    </w:p>
    <w:p>
      <w:pPr>
        <w:pStyle w:val="BookText"/>
        <w:rPr/>
      </w:pPr>
      <w:bookmarkEnd w:id="759"/>
      <w:r>
        <w:rPr>
          <w:rFonts w:ascii="IRNazanin" w:hAnsi="IRNazanin" w:eastAsia="IRNazanin"/>
          <w:color w:val="111111"/>
          <w:sz w:val="28"/>
          <w:sz w:val="28"/>
          <w:szCs w:val="28"/>
          <w:rtl w:val="true"/>
          <w:lang w:bidi="fa-IR"/>
        </w:rPr>
        <w:t>وفی هذا القرن کذلک ألّف أکبر تفاسیر الشیعة، و هو التبیان للشیخ الطوسی</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بالمنهج الاجتهادی والاتّجاه الکلامی، و قد استوعب عشرة 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التفسیر استهدف الدفاع عن عقائد الشیعة، وبشکل کامل و قد مارس التحلیل والاستدلال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کتب فیه ما هو مضمونه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التفسیر یتوافق البحوث المتعارفة،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اللغة و الأدب والاستشاهد بروایات أهل‌البیت علیهم السّلام وتبیین لآرائهم، وهکذا بنقل أقوال الصحابة و التابعین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طرح بحوث العقیدة و التفسیر بأسلوب جامع واجتهادی مع نقد الآراء المخالفة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تفاسیر أهل السنّة فی الأغلب هی روائیة، ومن 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الکشف و البیان للثعلبی، و هو فی عشرة مجلّدات و قد طُبع أخیراً، کما و أنّ الثعلبی یطرح آراء أهل‌البیت علیهم السّلام بشکل منصف ویدافع عنهم، هذا و أنّ الذهبی لتعصّبه قد شنّ هجمةً علیه، غیر أنّ هذا التفسیر فیه روایات إسرائیلیة التفسیر الوسیط لأبی الحسن النیسابوری، و هو تفسیر روائی مع أنّه فی بعض الأحیان یعتمد جانب اللغة و الأدب، و هو من تلامذة الثعلبی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النکت و العیون للماوردی، و هو کذلک تفسیر روائی، یطرح أکثر الوجوه و الأقوال فی الآیات، و هو بسیط المحتوی وفارغ من البحوث الأدبیة و النقد و التحلیل، 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القرآن للسمعانی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کتب بأسلوب فی هذا القرن 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تفاسیر أهل السنّة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لطائف الإشارات للقشیری</w:t>
      </w:r>
      <w:r>
        <w:rPr>
          <w:rFonts w:eastAsia="IRNazanin" w:cs="IRNazanin"/>
          <w:color w:val="111111"/>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أحد التفاسیر العرفانیة المعتمدة عند أهل السنّة کذلک</w:t>
      </w:r>
      <w:r>
        <w:rPr>
          <w:rFonts w:eastAsia="IRNazanin" w:cs="IRNazanin"/>
          <w:color w:val="111111"/>
          <w:sz w:val="28"/>
          <w:szCs w:val="28"/>
          <w:rtl w:val="true"/>
          <w:lang w:bidi="fa-IR"/>
        </w:rPr>
        <w:t>.</w:t>
      </w:r>
    </w:p>
    <w:p>
      <w:pPr>
        <w:pStyle w:val="Heading3"/>
        <w:numPr>
          <w:ilvl w:val="2"/>
          <w:numId w:val="1"/>
        </w:numPr>
        <w:rPr/>
      </w:pPr>
      <w:bookmarkStart w:id="760" w:name="__RefHeading___Toc634395_581953129"/>
      <w:bookmarkStart w:id="761" w:name="_Toc293"/>
      <w:bookmarkEnd w:id="760"/>
      <w:r>
        <w:rPr>
          <w:rtl w:val="true"/>
        </w:rPr>
        <w:t>الأسئلة</w:t>
      </w:r>
      <w:bookmarkEnd w:id="7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وضّح الخصیصتین المتضادّتین فی القرن الخامس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وضّح ما تعرفه عن المذاهب الکلامیة فی هذا القرن، وکذا عن مفسّریه</w:t>
      </w:r>
      <w:r>
        <w:rPr>
          <w:rFonts w:eastAsia="IRNazanin" w:cs="IRNazanin"/>
          <w:color w:val="111111"/>
          <w:sz w:val="28"/>
          <w:szCs w:val="28"/>
          <w:rtl w:val="true"/>
          <w:lang w:bidi="fa-IR"/>
        </w:rPr>
        <w:t>.</w:t>
      </w:r>
      <w:bookmarkStart w:id="762" w:name="pg5285_67495"/>
    </w:p>
    <w:p>
      <w:pPr>
        <w:pStyle w:val="BookText"/>
        <w:rPr/>
      </w:pPr>
      <w:bookmarkEnd w:id="762"/>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اسم تفسیر السید الرضی؟ وما هو موقعه بین التفاسیر؟ وضّح خصوصیاته؟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أسماء أهمّ التفاسیر الشیعیة، وأشهرها فی القرن الخامس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 جیداً وبشکل کامل تفسیر التبیان للشیخ الطوسی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أذکر تفسیرین من التفاسیر العرفانیة فی القرن الخامس وعرّفها جیداً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اسم تفسیر الثعلبی؟ وما هی خصوصیته و الإشکالات الواردة علیه؟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رأی الذهبی ونقده ل‌تفسیر الثعلبی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هو مؤلّف هذین التفسیرین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الوسیط؛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النکت و العیون؟ وما هو منهج السمعانی فی تفسیره؟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وضّح ما تعرفه عن تفسیر ابن عطیة، وما هی خصوصیته؟</w:t>
      </w:r>
    </w:p>
    <w:p>
      <w:pPr>
        <w:pStyle w:val="BookText"/>
        <w:rPr/>
      </w:pPr>
      <w:r>
        <w:rPr>
          <w:rFonts w:ascii="IRNazanin" w:hAnsi="IRNazanin" w:eastAsia="IRNazanin"/>
          <w:color w:val="111111"/>
          <w:sz w:val="28"/>
          <w:sz w:val="28"/>
          <w:szCs w:val="28"/>
          <w:rtl w:val="true"/>
          <w:lang w:bidi="fa-IR"/>
        </w:rPr>
        <w:t>للتحقیق فی الموضوع</w:t>
      </w:r>
    </w:p>
    <w:p>
      <w:pPr>
        <w:pStyle w:val="BookText"/>
        <w:rPr/>
      </w:pPr>
      <w:r>
        <w:rPr>
          <w:rFonts w:ascii="IRNazanin" w:hAnsi="IRNazanin" w:eastAsia="IRNazanin"/>
          <w:color w:val="111111"/>
          <w:sz w:val="28"/>
          <w:sz w:val="28"/>
          <w:szCs w:val="28"/>
          <w:rtl w:val="true"/>
          <w:lang w:bidi="fa-IR"/>
        </w:rPr>
        <w:t>حقّق فی مقدّمة تفسیر الشیخ الطوسی، ومقدّمة تفسیر المحرّر الوجیز لابن عطیة، واعمل مقارنة بینهما، واذکر التفاوتات الحاصلة بینهما فی الرؤی</w:t>
      </w:r>
      <w:r>
        <w:rPr>
          <w:rFonts w:eastAsia="IRNazanin" w:cs="IRNazanin"/>
          <w:color w:val="111111"/>
          <w:sz w:val="28"/>
          <w:szCs w:val="28"/>
          <w:rtl w:val="true"/>
          <w:lang w:bidi="fa-IR"/>
        </w:rPr>
        <w:t>.</w:t>
      </w:r>
    </w:p>
    <w:p>
      <w:pPr>
        <w:pStyle w:val="Heading3"/>
        <w:numPr>
          <w:ilvl w:val="2"/>
          <w:numId w:val="1"/>
        </w:numPr>
        <w:rPr/>
      </w:pPr>
      <w:bookmarkStart w:id="763" w:name="__RefHeading___Toc634397_581953129"/>
      <w:bookmarkStart w:id="764" w:name="_Toc294"/>
      <w:bookmarkEnd w:id="763"/>
      <w:r>
        <w:rPr>
          <w:rtl w:val="true"/>
        </w:rPr>
        <w:t>المصادر</w:t>
      </w:r>
      <w:bookmarkEnd w:id="7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التبیان للشیخ الطوسی، المجلّد الأوّل، فقرات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تفاسیر قرآن مجید، للشیخ رضا أستادی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المحرّر الوجیز، لابن عطیة المجلّد الأوّل، فقرات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و المفسّرون فی ثوبه القشیب، الشیخ معرفة، المجلّد الثانی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التفسیر و المفسّرون، للدّکتور الذهبی</w:t>
      </w:r>
      <w:r>
        <w:rPr>
          <w:rFonts w:eastAsia="IRNazanin" w:cs="IRNazanin"/>
          <w:color w:val="111111"/>
          <w:sz w:val="28"/>
          <w:szCs w:val="28"/>
          <w:rtl w:val="true"/>
          <w:lang w:bidi="fa-IR"/>
        </w:rPr>
        <w:t>.</w:t>
      </w:r>
      <w:bookmarkStart w:id="765" w:name="pg5285_67497"/>
    </w:p>
    <w:p>
      <w:pPr>
        <w:pStyle w:val="Heading2"/>
        <w:numPr>
          <w:ilvl w:val="1"/>
          <w:numId w:val="1"/>
        </w:numPr>
        <w:rPr/>
      </w:pPr>
      <w:bookmarkStart w:id="766" w:name="__RefHeading___Toc634399_581953129"/>
      <w:bookmarkStart w:id="767" w:name="_Toc295"/>
      <w:bookmarkEnd w:id="765"/>
      <w:bookmarkEnd w:id="766"/>
      <w:r>
        <w:rPr/>
        <w:t>10</w:t>
      </w:r>
      <w:r>
        <w:rPr>
          <w:rtl w:val="true"/>
        </w:rPr>
        <w:t xml:space="preserve">- </w:t>
      </w:r>
      <w:r>
        <w:rPr>
          <w:rtl w:val="true"/>
        </w:rPr>
        <w:t>التفسیر فی القرن السادس</w:t>
      </w:r>
      <w:bookmarkEnd w:id="767"/>
    </w:p>
    <w:p>
      <w:pPr>
        <w:pStyle w:val="Heading3"/>
        <w:numPr>
          <w:ilvl w:val="2"/>
          <w:numId w:val="1"/>
        </w:numPr>
        <w:rPr/>
      </w:pPr>
      <w:bookmarkStart w:id="768" w:name="__RefHeading___Toc634401_581953129"/>
      <w:bookmarkStart w:id="769" w:name="_Toc296"/>
      <w:bookmarkEnd w:id="768"/>
      <w:r>
        <w:rPr>
          <w:rtl w:val="true"/>
        </w:rPr>
        <w:t>اشارة</w:t>
      </w:r>
      <w:bookmarkEnd w:id="769"/>
    </w:p>
    <w:p>
      <w:pPr>
        <w:pStyle w:val="BookText"/>
        <w:rPr/>
      </w:pPr>
      <w:r>
        <w:rPr>
          <w:rFonts w:ascii="IRNazanin" w:hAnsi="IRNazanin" w:eastAsia="IRNazanin"/>
          <w:color w:val="111111"/>
          <w:sz w:val="28"/>
          <w:sz w:val="28"/>
          <w:szCs w:val="28"/>
          <w:rtl w:val="true"/>
          <w:lang w:bidi="fa-IR"/>
        </w:rPr>
        <w:t>الموضوعات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فی القرن السادس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الاجتهاد و التنوع فی التفاسیر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تنوع التفاسیر فی القرن السادس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تفاسیر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البیان للطبرسی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الجنان وروح الجنان، لأبی الفتوح الرازی الخزاعی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القرآن للراوندی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متشابه القرآن لابن شهر أشوب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تفاسیر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الکشّاف للزمخشری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معالم التنزیل للبغوی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 المسیر لابن الجوزی</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الأسرار للمیبدی</w:t>
      </w:r>
      <w:r>
        <w:rPr>
          <w:rFonts w:eastAsia="IRNazanin" w:cs="IRNazanin"/>
          <w:color w:val="111111"/>
          <w:sz w:val="28"/>
          <w:szCs w:val="28"/>
          <w:rtl w:val="true"/>
          <w:lang w:bidi="fa-IR"/>
        </w:rPr>
        <w:t>.</w:t>
      </w:r>
      <w:bookmarkStart w:id="770" w:name="pg5285_67498"/>
    </w:p>
    <w:p>
      <w:pPr>
        <w:pStyle w:val="BookText"/>
        <w:rPr/>
      </w:pPr>
      <w:bookmarkEnd w:id="770"/>
      <w:r>
        <w:rPr>
          <w:rFonts w:ascii="IRNazanin" w:hAnsi="IRNazanin" w:eastAsia="IRNazanin"/>
          <w:color w:val="111111"/>
          <w:sz w:val="28"/>
          <w:sz w:val="28"/>
          <w:szCs w:val="28"/>
          <w:rtl w:val="true"/>
          <w:lang w:bidi="fa-IR"/>
        </w:rPr>
        <w:t>الأهداف</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التعرّف علی تنوع الاتّجاهات فی القرن السادس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معرفة التفاسیر الاجتهادیة عند الشیعة وأهل السنّة</w:t>
      </w:r>
      <w:r>
        <w:rPr>
          <w:rFonts w:eastAsia="IRNazanin" w:cs="IRNazanin"/>
          <w:color w:val="111111"/>
          <w:sz w:val="28"/>
          <w:szCs w:val="28"/>
          <w:rtl w:val="true"/>
          <w:lang w:bidi="fa-IR"/>
        </w:rPr>
        <w:t>.</w:t>
      </w:r>
    </w:p>
    <w:p>
      <w:pPr>
        <w:pStyle w:val="Heading3"/>
        <w:numPr>
          <w:ilvl w:val="2"/>
          <w:numId w:val="1"/>
        </w:numPr>
        <w:rPr/>
      </w:pPr>
      <w:bookmarkStart w:id="771" w:name="__RefHeading___Toc634403_581953129"/>
      <w:bookmarkStart w:id="772" w:name="_Toc297"/>
      <w:bookmarkEnd w:id="771"/>
      <w:r>
        <w:rPr>
          <w:rtl w:val="true"/>
        </w:rPr>
        <w:t>تنوع التفسیر فی القرن السادس</w:t>
      </w:r>
      <w:bookmarkEnd w:id="772"/>
    </w:p>
    <w:p>
      <w:pPr>
        <w:pStyle w:val="Heading4"/>
        <w:numPr>
          <w:ilvl w:val="3"/>
          <w:numId w:val="1"/>
        </w:numPr>
        <w:rPr/>
      </w:pPr>
      <w:bookmarkStart w:id="773" w:name="__RefHeading___Toc634405_581953129"/>
      <w:bookmarkStart w:id="774" w:name="_Toc298"/>
      <w:bookmarkEnd w:id="773"/>
      <w:r>
        <w:rPr>
          <w:rtl w:val="true"/>
        </w:rPr>
        <w:t>اشارة</w:t>
      </w:r>
      <w:bookmarkEnd w:id="774"/>
    </w:p>
    <w:p>
      <w:pPr>
        <w:pStyle w:val="BookText"/>
        <w:rPr/>
      </w:pPr>
      <w:r>
        <w:rPr>
          <w:rFonts w:ascii="IRNazanin" w:hAnsi="IRNazanin" w:eastAsia="IRNazanin"/>
          <w:color w:val="111111"/>
          <w:sz w:val="28"/>
          <w:sz w:val="28"/>
          <w:szCs w:val="28"/>
          <w:rtl w:val="true"/>
          <w:lang w:bidi="fa-IR"/>
        </w:rPr>
        <w:t>لقد تقدّم، أنّ وجود ظاهرة الاستدلال وطرح البراهین العقلیة وبروز الاختلافات فی البحوث الکلامیة فی القرن الخامس کان هو البدایة لنشوء الروح الاجتهادیة فی أوساط علماء الإسلام، نلاحظ کذلک أن هذا المورد سبّب فی و هو العامل نشوء ظاهرة التفاسیر الاجتهادیة وتنوعها فی المناهج المختلفة فی القرن السادس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سنذکره من نقاط أدناه هو فی الحقیقة بیان لما حصل من التقدّم و التطوّر علی صعید التفاسیر فی القرن السادس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ذکروا لهذا القرن مایقرب من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و مفسّر حبسما ذکره الأدنوی فی طبقات المفسّرین </w:t>
      </w:r>
      <w:r>
        <w:rPr>
          <w:rStyle w:val="FootnoteAnchor"/>
          <w:rtl w:val="true"/>
        </w:rPr>
        <w:footnoteReference w:id="785"/>
      </w:r>
      <w:r>
        <w:rPr>
          <w:rFonts w:ascii="IRNazanin" w:hAnsi="IRNazanin" w:eastAsia="IRNazanin"/>
          <w:color w:val="111111"/>
          <w:sz w:val="28"/>
          <w:sz w:val="28"/>
          <w:szCs w:val="28"/>
          <w:rtl w:val="true"/>
          <w:lang w:bidi="fa-IR"/>
        </w:rPr>
        <w:t xml:space="preserve">و قد أشار إلی قرابة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تفسیراً فی الکتاب، و هکذا ذکر عقیقی بخشایشی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تفسیراً ومفسّراً</w:t>
      </w:r>
      <w:r>
        <w:rPr>
          <w:rFonts w:eastAsia="IRNazanin" w:cs="IRNazanin"/>
          <w:color w:val="111111"/>
          <w:sz w:val="28"/>
          <w:szCs w:val="28"/>
          <w:rtl w:val="true"/>
          <w:lang w:bidi="fa-IR"/>
        </w:rPr>
        <w:t xml:space="preserve">. </w:t>
      </w:r>
      <w:r>
        <w:rPr>
          <w:rStyle w:val="FootnoteAnchor"/>
          <w:rtl w:val="true"/>
        </w:rPr>
        <w:footnoteReference w:id="78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کتبت فی هذا القرن تفاسیر اجتهادیة جامعة وفریدة فی نوعها فی الماضی و الحاضر ومن 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ذکر تفسیر مجمع‌البیان للطبرسی و الکشّاف للزمخشری، وروح‌الجنان لأبی‌الفتوح الرازی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تنوع التفاسیر وبروز ظاهرة التفاسیر بمناهج واتّجاهات مختلفة، لهی ملفتة للانتباه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فتفسیر مجمع البیان للطبرسی ألّف وفقَ المنهج الاجتهادی والاتّجاه الکلامی، وتفسیر الکشّاف للزمخشری بالاتّجاه الأدبی و البیانی و الکلامی، وتفسیر کشف</w:t>
      </w:r>
      <w:bookmarkStart w:id="775" w:name="pg5285_67499"/>
    </w:p>
    <w:p>
      <w:pPr>
        <w:pStyle w:val="BookText"/>
        <w:rPr/>
      </w:pPr>
      <w:bookmarkEnd w:id="775"/>
      <w:r>
        <w:rPr>
          <w:rFonts w:ascii="IRNazanin" w:hAnsi="IRNazanin" w:eastAsia="IRNazanin"/>
          <w:color w:val="111111"/>
          <w:sz w:val="28"/>
          <w:sz w:val="28"/>
          <w:szCs w:val="28"/>
          <w:rtl w:val="true"/>
          <w:lang w:bidi="fa-IR"/>
        </w:rPr>
        <w:t>الأسرار للمیبدی بالاتّجاه العرفانی ومفردات الراغب الأصفهانی بالاتّجاه اللغوی، و هذه التفاسیر کلّها تعدّ من أهمّ تلک الأنواع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هذا القرن مع توسّع اللغة الفارسیة انطلق البعض بالکتابة بهذه اللغة بُغیة إرواء العطش الموجود عند الناطقین بالفارسیة کی یتعلّموا معارف الإسلام المعارف القرآنیة بلغتهم الأصلیة، وتفسیر روح الجنان لمؤلّفه أبی الفتوح الرازی الخزاعی العربی الأصل جاء نتیجه هذا التوّجه، وکذلک وکشف الأسرار لمؤلّفه المیبدی</w:t>
      </w: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 نموذجان من المحاولة</w:t>
      </w:r>
      <w:r>
        <w:rPr>
          <w:rFonts w:eastAsia="IRNazanin" w:cs="IRNazanin"/>
          <w:color w:val="111111"/>
          <w:sz w:val="28"/>
          <w:szCs w:val="28"/>
          <w:rtl w:val="true"/>
          <w:lang w:bidi="fa-IR"/>
        </w:rPr>
        <w:t>.</w:t>
      </w:r>
    </w:p>
    <w:p>
      <w:pPr>
        <w:pStyle w:val="Heading4"/>
        <w:numPr>
          <w:ilvl w:val="3"/>
          <w:numId w:val="1"/>
        </w:numPr>
        <w:rPr/>
      </w:pPr>
      <w:bookmarkStart w:id="776" w:name="__RefHeading___Toc634407_581953129"/>
      <w:bookmarkStart w:id="777" w:name="_Toc299"/>
      <w:bookmarkEnd w:id="776"/>
      <w:r>
        <w:rPr>
          <w:rtl w:val="true"/>
        </w:rPr>
        <w:t>التفاسیر الشیعیة</w:t>
      </w:r>
      <w:bookmarkEnd w:id="777"/>
    </w:p>
    <w:p>
      <w:pPr>
        <w:pStyle w:val="Heading5"/>
        <w:numPr>
          <w:ilvl w:val="4"/>
          <w:numId w:val="1"/>
        </w:numPr>
        <w:rPr/>
      </w:pPr>
      <w:bookmarkStart w:id="778" w:name="__RefHeading___Toc634409_581953129"/>
      <w:bookmarkStart w:id="779" w:name="_Toc300"/>
      <w:bookmarkEnd w:id="778"/>
      <w:r>
        <w:rPr/>
        <w:t>1</w:t>
      </w:r>
      <w:r>
        <w:rPr>
          <w:rtl w:val="true"/>
        </w:rPr>
        <w:t xml:space="preserve">. </w:t>
      </w:r>
      <w:r>
        <w:rPr>
          <w:rtl w:val="true"/>
        </w:rPr>
        <w:t>مجمع البیان</w:t>
      </w:r>
      <w:r>
        <w:rPr>
          <w:rtl w:val="true"/>
        </w:rPr>
        <w:t>:</w:t>
      </w:r>
      <w:bookmarkEnd w:id="779"/>
    </w:p>
    <w:p>
      <w:pPr>
        <w:pStyle w:val="Heading6"/>
        <w:numPr>
          <w:ilvl w:val="5"/>
          <w:numId w:val="1"/>
        </w:numPr>
        <w:rPr/>
      </w:pPr>
      <w:bookmarkStart w:id="780" w:name="__RefHeading___Toc634411_581953129"/>
      <w:bookmarkStart w:id="781" w:name="_Toc301"/>
      <w:bookmarkEnd w:id="780"/>
      <w:r>
        <w:rPr>
          <w:rtl w:val="true"/>
        </w:rPr>
        <w:t>اشارة</w:t>
      </w:r>
      <w:bookmarkEnd w:id="781"/>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الفضل بن الحسن الطبرسی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الاتّجاه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أدبی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العلاّمة الطبرسی المعروف بأمین الإسلام الطبرسی </w:t>
      </w:r>
      <w:r>
        <w:rPr>
          <w:rStyle w:val="FootnoteAnchor"/>
          <w:rtl w:val="true"/>
        </w:rPr>
        <w:footnoteReference w:id="787"/>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بدء فی</w:t>
      </w:r>
      <w:bookmarkStart w:id="782" w:name="pg5285_67500"/>
    </w:p>
    <w:p>
      <w:pPr>
        <w:pStyle w:val="BookText"/>
        <w:rPr/>
      </w:pPr>
      <w:bookmarkEnd w:id="782"/>
      <w:r>
        <w:rPr>
          <w:rFonts w:ascii="IRNazanin" w:hAnsi="IRNazanin" w:eastAsia="IRNazanin"/>
          <w:color w:val="111111"/>
          <w:sz w:val="28"/>
          <w:sz w:val="28"/>
          <w:szCs w:val="28"/>
          <w:rtl w:val="true"/>
          <w:lang w:bidi="fa-IR"/>
        </w:rPr>
        <w:t>تألیف تفسیر مجمع البیان فی سن الستین من عمره الشریف،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وذلک بطلب من محمّد بن یحیی رئیس سادات مدینة سبزوار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أنجزه خلال ستّ سنوات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أعلام القرن السادس الهجری وأحد أهمّ المفسّرین المشهورین فی الشیعة الإمامیة</w:t>
      </w:r>
      <w:r>
        <w:rPr>
          <w:rFonts w:eastAsia="IRNazanin" w:cs="IRNazanin"/>
          <w:color w:val="111111"/>
          <w:sz w:val="28"/>
          <w:szCs w:val="28"/>
          <w:rtl w:val="true"/>
          <w:lang w:bidi="fa-IR"/>
        </w:rPr>
        <w:t>.</w:t>
      </w:r>
    </w:p>
    <w:p>
      <w:pPr>
        <w:pStyle w:val="Heading6"/>
        <w:numPr>
          <w:ilvl w:val="5"/>
          <w:numId w:val="1"/>
        </w:numPr>
        <w:rPr/>
      </w:pPr>
      <w:bookmarkStart w:id="783" w:name="__RefHeading___Toc634413_581953129"/>
      <w:bookmarkStart w:id="784" w:name="_Toc302"/>
      <w:bookmarkEnd w:id="783"/>
      <w:r>
        <w:rPr>
          <w:rtl w:val="true"/>
        </w:rPr>
        <w:t>المقارَنَةُ بین مجمع البیان و التبیان</w:t>
      </w:r>
      <w:bookmarkEnd w:id="784"/>
    </w:p>
    <w:p>
      <w:pPr>
        <w:pStyle w:val="BookText"/>
        <w:rPr/>
      </w:pPr>
      <w:r>
        <w:rPr>
          <w:rFonts w:ascii="IRNazanin" w:hAnsi="IRNazanin" w:eastAsia="IRNazanin"/>
          <w:color w:val="111111"/>
          <w:sz w:val="28"/>
          <w:sz w:val="28"/>
          <w:szCs w:val="28"/>
          <w:rtl w:val="true"/>
          <w:lang w:bidi="fa-IR"/>
        </w:rPr>
        <w:t>إنّ تفسیر مجمع‌البیان أخذ من تفسیر التبیان؛ وذلک لأنَّ التفسیر الجامع الذی یمکن أن یعوّل علیه الطبرسی ویرتضیه فی ذلک العصر هو فقط تفسیر التبیان للشیخ الطوسی، إلاّ أنّه هناک اعتراض أُخذ فیه علی تفسیر التبیان، و هو أنّه لم یکن منظماً، وفیه خلل بخاصة فی البحوث الأدبیة، وکذلک فی القدرة علی إیصال المراد و المطلوب</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هذه الجهة یبقی هذا التفسیر علی مکانته فی القلوب لاتناله الأیدی؛ أمّا الطبرسی، فقد قام بإنجازه الفاخر من خلال کتابة تفسیره مجمع البیان الذی هو تطویر وتهذیب وإصلاح</w:t>
      </w:r>
      <w:r>
        <w:rPr>
          <w:rFonts w:eastAsia="IRNazanin" w:cs="IRNazanin"/>
          <w:color w:val="111111"/>
          <w:sz w:val="28"/>
          <w:szCs w:val="28"/>
          <w:rtl w:val="true"/>
          <w:lang w:bidi="fa-IR"/>
        </w:rPr>
        <w:t xml:space="preserve">. </w:t>
      </w:r>
      <w:r>
        <w:rPr>
          <w:rStyle w:val="FootnoteAnchor"/>
          <w:rtl w:val="true"/>
        </w:rPr>
        <w:footnoteReference w:id="788"/>
      </w:r>
      <w:r>
        <w:rPr>
          <w:rFonts w:ascii="IRNazanin" w:hAnsi="IRNazanin" w:eastAsia="IRNazanin"/>
          <w:color w:val="111111"/>
          <w:sz w:val="28"/>
          <w:sz w:val="28"/>
          <w:szCs w:val="28"/>
          <w:rtl w:val="true"/>
          <w:lang w:bidi="fa-IR"/>
        </w:rPr>
        <w:t>ولم یکتفِ فی ما طرحه التبیان، ولکنّه طرح بحوثاً جدیدةً ومن 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الموضوعات الأدبیة، وأحیاناً فی شأن النزول، وأضاف علیها بحوثاً أخری وأحیاناً یقوم بتصحیح ما أورده الشیخ؛ ولذی فإنّ مجمع البیان هو مثل تفسیر التبیان، مع هذه الفوارق التی هی المزید من البحوث اللغویة و الأدبیة، وبدقة أکثر وشواهد أوفر، ومن جملة ذلک المزید من الشعر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والنقطة الأهمّ هی أنّ تفسیر مجمع البیان کلّه وفی کلّ قسم منه یقوم علی النظم و الترتیب، والعناوین المبینة للفصول، والبحوث اللغویة، وشأن النزول و الحجّة، والقراءات و التفسیر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بالکامل محدّدة بالعناوین الخاصّة بها، و هذه الخصوصیة لا تُشاهد فی تفسیر التبیان</w:t>
      </w:r>
      <w:r>
        <w:rPr>
          <w:rFonts w:eastAsia="IRNazanin" w:cs="IRNazanin"/>
          <w:color w:val="111111"/>
          <w:sz w:val="28"/>
          <w:szCs w:val="28"/>
          <w:rtl w:val="true"/>
          <w:lang w:bidi="fa-IR"/>
        </w:rPr>
        <w:t>.</w:t>
      </w:r>
      <w:bookmarkStart w:id="785" w:name="pg5285_67501"/>
    </w:p>
    <w:p>
      <w:pPr>
        <w:pStyle w:val="BookText"/>
        <w:rPr/>
      </w:pPr>
      <w:bookmarkEnd w:id="785"/>
      <w:r>
        <w:rPr>
          <w:rFonts w:ascii="IRNazanin" w:hAnsi="IRNazanin" w:eastAsia="IRNazanin"/>
          <w:color w:val="111111"/>
          <w:sz w:val="28"/>
          <w:sz w:val="28"/>
          <w:szCs w:val="28"/>
          <w:rtl w:val="true"/>
          <w:lang w:bidi="fa-IR"/>
        </w:rPr>
        <w:t>هذا التفسیر طُبع عدّة طبعات؛ و له عند أهل السنّة مکانة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أشاد به و عرّفه علمائهم فی الصعید العلمی ومن جملتهم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فی التفسیر و المفسّرون، </w:t>
      </w:r>
      <w:r>
        <w:rPr>
          <w:rStyle w:val="FootnoteAnchor"/>
          <w:rtl w:val="true"/>
        </w:rPr>
        <w:footnoteReference w:id="789"/>
      </w:r>
      <w:r>
        <w:rPr>
          <w:rFonts w:ascii="IRNazanin" w:hAnsi="IRNazanin" w:eastAsia="IRNazanin"/>
          <w:color w:val="111111"/>
          <w:sz w:val="28"/>
          <w:sz w:val="28"/>
          <w:szCs w:val="28"/>
          <w:rtl w:val="true"/>
          <w:lang w:bidi="fa-IR"/>
        </w:rPr>
        <w:t>والشیخ محمود شلتوت المفتی الأسبق لمصر فی مقدّمته علی مجمع البیان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جملة القول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هذا الکتاب هو بلحاظ النظم و المحتوی من أفضل التفاسیر قدراً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وللمؤلّف رحمه الله من غیر هذا التفسیر، تفسیر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 الشاف، وجوامع الجامع، قد قام بکتابته بعد أن شاهد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الکشّاف للزمخشری، والذی ناقش فیه الزمخشری بعض المسائل الأدبیة، عَزَم علی إعادة کتابة تفسیر بنفسی الأسلوب بهدف الدفاع عن رؤی و معتقدات الشیعة</w:t>
      </w:r>
      <w:r>
        <w:rPr>
          <w:rFonts w:eastAsia="IRNazanin" w:cs="IRNazanin"/>
          <w:color w:val="111111"/>
          <w:sz w:val="28"/>
          <w:szCs w:val="28"/>
          <w:rtl w:val="true"/>
          <w:lang w:bidi="fa-IR"/>
        </w:rPr>
        <w:t>.</w:t>
      </w:r>
    </w:p>
    <w:p>
      <w:pPr>
        <w:pStyle w:val="Heading6"/>
        <w:numPr>
          <w:ilvl w:val="5"/>
          <w:numId w:val="1"/>
        </w:numPr>
        <w:rPr/>
      </w:pPr>
      <w:bookmarkStart w:id="786" w:name="__RefHeading___Toc634415_581953129"/>
      <w:bookmarkStart w:id="787" w:name="_Toc303"/>
      <w:bookmarkEnd w:id="786"/>
      <w:r>
        <w:rPr>
          <w:rtl w:val="true"/>
        </w:rPr>
        <w:t>مقدّمة مجمع‌البیان</w:t>
      </w:r>
      <w:bookmarkEnd w:id="787"/>
    </w:p>
    <w:p>
      <w:pPr>
        <w:pStyle w:val="BookText"/>
        <w:rPr/>
      </w:pPr>
      <w:r>
        <w:rPr>
          <w:rFonts w:ascii="IRNazanin" w:hAnsi="IRNazanin" w:eastAsia="IRNazanin"/>
          <w:color w:val="111111"/>
          <w:sz w:val="28"/>
          <w:sz w:val="28"/>
          <w:szCs w:val="28"/>
          <w:rtl w:val="true"/>
          <w:lang w:bidi="fa-IR"/>
        </w:rPr>
        <w:t>لقد بین العلاّمة الطبرسی فی مقدّمة تفسیره قسماً من البحوث الأساسیة فی علوم القرآن، فهو بعد أن وضّح قیمة العلم، وعلی الخصوص علم التفسیر وهدفیته من تألیف الکتاب، طرح سبعة فنون یمکن ملاحظتها علی النحو المقبل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عدد آیات القرآن الکریم من خلال ما عدّدها المفسّرون المعروفون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مکّة و المدینة و البصرة، والشام و الکوفة، و اعتبر عدّه أهل الکوفة هو الأصحّ منها؛ لکونه منسوباً إلی الإمام علی علیه السّلام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تعریف بالقرّاء المشهورین فی البلدان المعروفة، وفیه طرح بحثاً وتحقیقاً مهماً فی مسألة نزول القرآن علی سبعة أحرف، وثبّت أنّ نظریة الإمامیة هی نزول القرآن علی حرف واحد معتبراً أنّ روایات نزول القرآن علی سبعة أحرف هی من نقل العامّة، و قد ذکر سبعة توجیهات لذلک</w:t>
      </w:r>
      <w:r>
        <w:rPr>
          <w:rFonts w:eastAsia="IRNazanin" w:cs="IRNazanin"/>
          <w:color w:val="111111"/>
          <w:sz w:val="28"/>
          <w:szCs w:val="28"/>
          <w:rtl w:val="true"/>
          <w:lang w:bidi="fa-IR"/>
        </w:rPr>
        <w:t>.</w:t>
      </w:r>
      <w:bookmarkStart w:id="788" w:name="pg5285_67502"/>
    </w:p>
    <w:p>
      <w:pPr>
        <w:pStyle w:val="BookText"/>
        <w:rPr/>
      </w:pPr>
      <w:bookmarkEnd w:id="788"/>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مفهوم التفسیر و التأویل، والتدبر و المنهج الصحیح فی تفسیر القرآن والاستفادة من روایات أهل‌البیت علیهم السّلام، وحرمة التفسیر بالرأی، ومحوریة القرار المتّخذ و الحکم المشرّع هوالقرآن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أسماء القرآن، وأعطاء معانیها، وتقسیم مجامیع السور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إعجاز القرآن، وعدم تحریف القرآن، وجمع القرآن علی الترتیب الفعلی فی عصر النبی صلّی الله علیه و آله</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فضیلة القرآن وفضل حاملیه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القرآن بالصوت الحسن</w:t>
      </w:r>
      <w:r>
        <w:rPr>
          <w:rFonts w:eastAsia="Amiri" w:cs="Amiri" w:ascii="Amiri" w:hAnsi="Amiri"/>
          <w:color w:val="111111"/>
          <w:sz w:val="28"/>
          <w:szCs w:val="28"/>
          <w:rtl w:val="true"/>
          <w:lang w:bidi="ar-SA"/>
        </w:rPr>
        <w:t xml:space="preserve">. </w:t>
      </w:r>
      <w:r>
        <w:rPr>
          <w:rStyle w:val="FootnoteAnchor"/>
          <w:rtl w:val="true"/>
        </w:rPr>
        <w:footnoteReference w:id="790"/>
      </w:r>
    </w:p>
    <w:p>
      <w:pPr>
        <w:pStyle w:val="Heading6"/>
        <w:numPr>
          <w:ilvl w:val="5"/>
          <w:numId w:val="1"/>
        </w:numPr>
        <w:rPr/>
      </w:pPr>
      <w:bookmarkStart w:id="789" w:name="__RefHeading___Toc634417_581953129"/>
      <w:bookmarkStart w:id="790" w:name="_Toc304"/>
      <w:bookmarkEnd w:id="789"/>
      <w:r>
        <w:rPr>
          <w:rtl w:val="true"/>
        </w:rPr>
        <w:t>منهج الطبرسیّ فی التفسیر</w:t>
      </w:r>
      <w:bookmarkEnd w:id="790"/>
    </w:p>
    <w:p>
      <w:pPr>
        <w:pStyle w:val="BookText"/>
        <w:rPr/>
      </w:pPr>
      <w:r>
        <w:rPr>
          <w:rFonts w:ascii="IRNazanin" w:hAnsi="IRNazanin" w:eastAsia="IRNazanin"/>
          <w:color w:val="111111"/>
          <w:sz w:val="28"/>
          <w:sz w:val="28"/>
          <w:szCs w:val="28"/>
          <w:rtl w:val="true"/>
          <w:lang w:bidi="fa-IR"/>
        </w:rPr>
        <w:t xml:space="preserve">إنّه کذلک حذا حذو الشیخ الطوسی فی التبیان و هو المنهج الاجتهادی الجامع؛ </w:t>
      </w:r>
      <w:r>
        <w:rPr>
          <w:rStyle w:val="FootnoteAnchor"/>
          <w:rtl w:val="true"/>
        </w:rPr>
        <w:footnoteReference w:id="791"/>
      </w:r>
      <w:r>
        <w:rPr>
          <w:rFonts w:ascii="IRNazanin" w:hAnsi="IRNazanin" w:eastAsia="IRNazanin"/>
          <w:color w:val="111111"/>
          <w:sz w:val="28"/>
          <w:sz w:val="28"/>
          <w:szCs w:val="28"/>
          <w:rtl w:val="true"/>
          <w:lang w:bidi="fa-IR"/>
        </w:rPr>
        <w:t>و أمّا اتّجاهه، فهو أدبی وکلامی</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أسلوب الطبرسی العملی، فهو النظم فی رعایة المواضیع فی بدایة کلّ سورة مکّیة کانت أو مدنیة، ضبط تعداد آیات السور مع ذکر الأقول المختلفة، بیان فضیلة کلّ سورة و القراءات و الآراء المختلفة فی القراءات، الحجّة، والمراد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و الدلیل علی توجیه قراءة کلّ کلمة، اللغة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معانی ألفاظ المفردات فی القرآن، الإعراب، ویتناول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البحوث الأدبیة و النحویة لآیات القرآن، النزول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 الآیات وفی</w:t>
      </w:r>
      <w:bookmarkStart w:id="791" w:name="pg5285_67503"/>
    </w:p>
    <w:p>
      <w:pPr>
        <w:pStyle w:val="BookText"/>
        <w:rPr/>
      </w:pPr>
      <w:bookmarkEnd w:id="791"/>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بتفسیر الآیة مع استعراض المختلف الآراء التفسیریة التی ذکرت حولها، وفی المورد نفسه یقوم بتصنیف الآیة إلی عدّة جمل ویشرع فی إعطاء تفسیرها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القول أنّ هذا التفسیر من حیث الترتیب و دقّة النظم فلمّا یوجد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والملاحظ فی هذا الجانب أیضاً أنّ العلاّمة الطبرسی بعد بحوثه بالقراءات یقوم بمهمّة إعطاء معانی الآیات علی أساس کلّ قراءة، وکذلک البحوث الأدبیة و اللغویة التی مارسها کمتخصّص فی فنون القراءات و 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أتی بالحسن الجید، ثمّ هو فی بحوثه الفقهیة یطرح آراء الفقه الشیعی بشکل جید وبیان دقیق، وکذلک هو فی طرحه النظریات الکلامیة وإثبات العقائد الأمامیة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تفسیر مجمع البیان فی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بواسطة منشورات فرهانی، وترجم إلی الفارسیة بواسطة بعض المحققّین و من جملتهم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مفتّح و أحمد بهشتی، و حسین نوری، و محمّد رازی وضیاء الدین نجفی، وکذلک تُرجم أخیراً ترجمة ملخّصة علی ید السید علی کرمی، وقامت بطبعه وزارة الإرشاد فی الجمهوریة الإسلامیة</w:t>
      </w:r>
      <w:r>
        <w:rPr>
          <w:rFonts w:eastAsia="IRNazanin" w:cs="IRNazanin"/>
          <w:color w:val="111111"/>
          <w:sz w:val="28"/>
          <w:szCs w:val="28"/>
          <w:rtl w:val="true"/>
          <w:lang w:bidi="fa-IR"/>
        </w:rPr>
        <w:t>.</w:t>
      </w:r>
    </w:p>
    <w:p>
      <w:pPr>
        <w:pStyle w:val="Heading5"/>
        <w:numPr>
          <w:ilvl w:val="4"/>
          <w:numId w:val="1"/>
        </w:numPr>
        <w:rPr/>
      </w:pPr>
      <w:bookmarkStart w:id="792" w:name="__RefHeading___Toc634419_581953129"/>
      <w:bookmarkStart w:id="793" w:name="_Toc305"/>
      <w:bookmarkEnd w:id="792"/>
      <w:r>
        <w:rPr/>
        <w:t>2</w:t>
      </w:r>
      <w:r>
        <w:rPr>
          <w:rtl w:val="true"/>
        </w:rPr>
        <w:t xml:space="preserve">. </w:t>
      </w:r>
      <w:r>
        <w:rPr>
          <w:rtl w:val="true"/>
        </w:rPr>
        <w:t>روض الجنان وروح الجنان</w:t>
      </w:r>
      <w:bookmarkEnd w:id="793"/>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الفتوح الرازی الخزاعی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اجتهادی 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الاتّجاه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عرفانی أدبی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 و خمسة مجلّدات</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المؤلّف هو حسین بن علی بن أحمد الخزاعی النیسابوری المعروف بأبی الفتوح الرازی من أعلام القرن السادس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خصوص حیاته لم نعثر علی تاریخ</w:t>
      </w:r>
    </w:p>
    <w:p>
      <w:pPr>
        <w:pStyle w:val="BookText"/>
        <w:rPr/>
      </w:pPr>
      <w:r>
        <w:rPr>
          <w:rFonts w:ascii="IRNazanin" w:hAnsi="IRNazanin" w:eastAsia="IRNazanin"/>
          <w:color w:val="111111"/>
          <w:sz w:val="28"/>
          <w:sz w:val="28"/>
          <w:szCs w:val="28"/>
          <w:rtl w:val="true"/>
          <w:lang w:bidi="fa-IR"/>
        </w:rPr>
        <w:t xml:space="preserve">دقیق لوفاته، فهی کما یقال ما بین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والاسم الآخر للتفسیر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روضُ الجنان ورَوح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أشهر التفاسیر المعروفة باللغة الفارسیة و المصاغ بعبارات نثریة جمیلة جدّاً، ویعتبر فی الأدب الفارسی من المتون الأدبیة التی یرجع إلیها للملاحظة و الاستفادة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کتب فی مقدّمة التفسیر أنّ واحدة من غایات تألیف هذا التفسیر هو أداء الخدمة الدینیة للناطقین باللغة 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التفسیر بلحاظ المحتوی یوازی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التبیان للشیخ الطوسی ومجمع البیان للطبرسی، ولکن بلحاظ المنهج العملی، فهو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تبیان الشیخ الطوسی لم یفکِّکْ بین العناوین، فهو غیر مُنظّمْ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ویبدو أنّه استفاد بعض الشیء فی تفسیره من معاصره الزمخشری ومن جملة ذلک الحدیث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علی حُبّ آل محمّد مات شهیداً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منهجه، فهو مثل التبیان کذلک منهج اجتهادیّ مع أنّه یشتمل علی بحوث أدبیة وکلامیة، وفی بعض المواضع نکات عرفانیة ومباحث الصوفیة، </w:t>
      </w:r>
      <w:r>
        <w:rPr>
          <w:rStyle w:val="FootnoteAnchor"/>
          <w:rtl w:val="true"/>
        </w:rPr>
        <w:footnoteReference w:id="792"/>
      </w:r>
      <w:r>
        <w:rPr>
          <w:rFonts w:ascii="IRNazanin" w:hAnsi="IRNazanin" w:eastAsia="IRNazanin"/>
          <w:color w:val="111111"/>
          <w:sz w:val="28"/>
          <w:sz w:val="28"/>
          <w:szCs w:val="28"/>
          <w:rtl w:val="true"/>
          <w:lang w:bidi="fa-IR"/>
        </w:rPr>
        <w:t>ویقوم بنقل نکات تاریخیة، وفقهیة وتوصیات أخلاقیة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طریقته العملیة، 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فی البدایة بطرح الآیة، ثمّ یعطی ترجمتها وقراءتها، وتعداد الآیات المکیة و المدنیة لکلّ سورة، وتوضیحاً حول اللغات و المفردات، والبحث فی النکات الأدبیة و الإستفادة من الآیات وروایات أهل‌البیت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طرح أقوال الصحابة و التابعین، غیر أنّ هذه البحوث أتی بها بصورة مشتّته فی ذیل الآیات، وفی حالة المطابقة بین هذا التفسیر وبین التبیان نجده أخذ عن التبیان للشیخ الطوسی أموراً کثیرةً مع أنّ له بحوثاً جدیدةً مضافةً علی ذلک</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یقع هذا التفسیر المهمّ فی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و قد طُبع بجهود أوقاف الحضرة الرضویة الشهیرة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الآستانه</w:t>
      </w:r>
      <w:r>
        <w:rPr>
          <w:rFonts w:eastAsia="IRNazanin" w:cs="IRNazanin"/>
          <w:color w:val="111111"/>
          <w:sz w:val="28"/>
          <w:szCs w:val="28"/>
          <w:rtl w:val="true"/>
          <w:lang w:bidi="fa-IR"/>
        </w:rPr>
        <w:t>.</w:t>
      </w:r>
      <w:bookmarkStart w:id="794" w:name="pg5285_67505"/>
    </w:p>
    <w:p>
      <w:pPr>
        <w:pStyle w:val="Heading5"/>
        <w:numPr>
          <w:ilvl w:val="4"/>
          <w:numId w:val="1"/>
        </w:numPr>
        <w:rPr/>
      </w:pPr>
      <w:bookmarkStart w:id="795" w:name="__RefHeading___Toc634421_581953129"/>
      <w:bookmarkStart w:id="796" w:name="_Toc306"/>
      <w:bookmarkEnd w:id="794"/>
      <w:bookmarkEnd w:id="795"/>
      <w:r>
        <w:rPr/>
        <w:t>3</w:t>
      </w:r>
      <w:r>
        <w:rPr>
          <w:rtl w:val="true"/>
        </w:rPr>
        <w:t xml:space="preserve">. </w:t>
      </w:r>
      <w:r>
        <w:rPr>
          <w:rtl w:val="true"/>
        </w:rPr>
        <w:t>فقه القرآن</w:t>
      </w:r>
      <w:bookmarkEnd w:id="796"/>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قطب‌الدین، سعید بن عبدالله الراوندی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الکتاب هو سعید بن هبة‌الله الراوندی الشهیر بقطب الدین الراوندی، من منطقة راوند التابعة لمدینة 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عالم الشیعة الکبیر، و فقیه و أدیب، وشاعر مفسّر و فیلسوف 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عدّوا له مؤلّفاتٍ علمیةً کثیرةً، وهی تقریب من الستین مؤلّفاً کما و أنّ أکثر کتبه هی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و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أشهر آثاره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القرآن، مع أنّ له مؤلّفات قرآنیة أخری،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أسباب النزول، وخلاصة التفاسیر، وشرح آیات الأحکام</w:t>
      </w:r>
      <w:r>
        <w:rPr>
          <w:rFonts w:eastAsia="IRNazanin" w:cs="IRNazanin"/>
          <w:color w:val="111111"/>
          <w:sz w:val="28"/>
          <w:szCs w:val="28"/>
          <w:rtl w:val="true"/>
          <w:lang w:bidi="fa-IR"/>
        </w:rPr>
        <w:t xml:space="preserve">. </w:t>
      </w:r>
      <w:r>
        <w:rPr>
          <w:rStyle w:val="FootnoteAnchor"/>
          <w:rtl w:val="true"/>
        </w:rPr>
        <w:footnoteReference w:id="793"/>
      </w:r>
      <w:r>
        <w:rPr>
          <w:rFonts w:ascii="IRNazanin" w:hAnsi="IRNazanin" w:eastAsia="IRNazanin"/>
          <w:color w:val="111111"/>
          <w:sz w:val="28"/>
          <w:sz w:val="28"/>
          <w:szCs w:val="28"/>
          <w:rtl w:val="true"/>
          <w:lang w:bidi="fa-IR"/>
        </w:rPr>
        <w:t xml:space="preserve">و هذه کلها تُعدّ من مؤلّفانه القرآنیة، </w:t>
      </w:r>
      <w:r>
        <w:rPr>
          <w:rStyle w:val="FootnoteAnchor"/>
          <w:rtl w:val="true"/>
        </w:rPr>
        <w:footnoteReference w:id="794"/>
      </w:r>
      <w:r>
        <w:rPr>
          <w:rFonts w:ascii="IRNazanin" w:hAnsi="IRNazanin" w:eastAsia="IRNazanin"/>
          <w:color w:val="111111"/>
          <w:sz w:val="28"/>
          <w:sz w:val="28"/>
          <w:szCs w:val="28"/>
          <w:rtl w:val="true"/>
          <w:lang w:bidi="fa-IR"/>
        </w:rPr>
        <w:t>ثمّ إنّه بین هدفه من تألیفه بأنّها لعدم وجود کتاب مستقلّ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رُتّب هذا الکتاب علی أساس منهجیة أبواب الفقه ابتداءً من کتاب الطهارة، ثمّ الصلاة حتّی آخر أبواب الفقه، وقام بتفسیر الآیات وِفق ذلک المنهج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طریقته هی الاستفادة من نفس الآیات والاستعانة بالروایات الواردة عن أهل‌البیت علیهم السّلام مع نقله لبعض روایات الصحابة و التابعین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یمارس طرحه لآرائه التفسیریة، و هو لا یقوم بتحلیل الروایات و التحقیق فیها</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کتب فی مقدّمة قصیرة لکتابه أنّ أساس هذه الروایات هم السلف مع أنّ آراء المفسّرین هی التی تطرح تحدید القوی من الضعیف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هذه المقدّمة یعتبر القیاس باطلاً، والاجتهاد بالأدلّة الأربعة جائزاً، وبعدها یشرح حجیة الأدلّة الأربعة</w:t>
      </w:r>
      <w:bookmarkStart w:id="797" w:name="pg5285_67506"/>
    </w:p>
    <w:p>
      <w:pPr>
        <w:pStyle w:val="BookText"/>
        <w:rPr/>
      </w:pPr>
      <w:bookmarkEnd w:id="797"/>
      <w:r>
        <w:rPr>
          <w:rFonts w:ascii="IRNazanin" w:hAnsi="IRNazanin" w:eastAsia="IRNazanin"/>
          <w:color w:val="111111"/>
          <w:sz w:val="28"/>
          <w:sz w:val="28"/>
          <w:szCs w:val="28"/>
          <w:rtl w:val="true"/>
          <w:lang w:bidi="fa-IR"/>
        </w:rPr>
        <w:t>یوضّح خمسة وجوه من وجوه القرآن الکریم، والتی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 و الخاصّ، والمحکم و المتشابه، والمجمل و المفصّل، والمطلق و المقید، والناسخ و المنسوخ</w:t>
      </w:r>
      <w:r>
        <w:rPr>
          <w:rFonts w:eastAsia="IRNazanin" w:cs="IRNazanin"/>
          <w:color w:val="111111"/>
          <w:sz w:val="28"/>
          <w:szCs w:val="28"/>
          <w:rtl w:val="true"/>
          <w:lang w:bidi="fa-IR"/>
        </w:rPr>
        <w:t xml:space="preserve">. </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و قد طُبع هذا الکتاب بجهود مکتبة آیة الله المرعشی النجفی رحمه الله فی مجلّدین فام بتحقیقه مع کتابة مقدّمة له السید أحمد الحسینی</w:t>
      </w:r>
      <w:r>
        <w:rPr>
          <w:rFonts w:eastAsia="IRNazanin" w:cs="IRNazanin"/>
          <w:color w:val="111111"/>
          <w:sz w:val="28"/>
          <w:szCs w:val="28"/>
          <w:rtl w:val="true"/>
          <w:lang w:bidi="fa-IR"/>
        </w:rPr>
        <w:t>.</w:t>
      </w:r>
    </w:p>
    <w:p>
      <w:pPr>
        <w:pStyle w:val="Heading5"/>
        <w:numPr>
          <w:ilvl w:val="4"/>
          <w:numId w:val="1"/>
        </w:numPr>
        <w:rPr/>
      </w:pPr>
      <w:bookmarkStart w:id="798" w:name="__RefHeading___Toc634423_581953129"/>
      <w:bookmarkStart w:id="799" w:name="_Toc307"/>
      <w:bookmarkEnd w:id="798"/>
      <w:r>
        <w:rPr/>
        <w:t>4</w:t>
      </w:r>
      <w:r>
        <w:rPr>
          <w:rtl w:val="true"/>
        </w:rPr>
        <w:t xml:space="preserve">. </w:t>
      </w:r>
      <w:r>
        <w:rPr>
          <w:rtl w:val="true"/>
        </w:rPr>
        <w:t>متشابه القرآن</w:t>
      </w:r>
      <w:bookmarkEnd w:id="799"/>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الدین محمّد بن علی بن شهرأشوب المازندرانی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مجلّدان فی طبعة، ومجلّد واحد فی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یعدّ ابن شهر أشوب من أعلام العلم و الأدب، ومن روّاد التفسیر و العلوم القرآنیة فی القرن السادس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أثنی علیه السیوطی کثیراً فی طبقات المفسّرین وکتب عنه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شهر أشوب جمیل المُنظر، حسن الصوت، صادقاً فی القول، محبوباً فی الخطاب، له علم وافر، وکثیر الخشوع و العبادة، ودائم الطهارة</w:t>
      </w:r>
      <w:r>
        <w:rPr>
          <w:rFonts w:eastAsia="IRNazanin" w:cs="IRNazanin"/>
          <w:color w:val="111111"/>
          <w:sz w:val="28"/>
          <w:szCs w:val="28"/>
          <w:rtl w:val="true"/>
          <w:lang w:bidi="fa-IR"/>
        </w:rPr>
        <w:t xml:space="preserve">. </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وله تألیفات آخری ومن 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أبی طالب و معالم العلماء وکذلک الأسباب و النزول علی مذهب آل الرسول و</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سَلَکَ المؤلّف، فی متشابه القرآن ومختلفه منهج التفسیر الموضوعی، حیث جمع الآیات المتشابهة بصورة البحث الموضوعی وشرع من البدایة فی المعارف الإسلامیة،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وصفات البارئ،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 و الصفات الثبوتیة و السلبیة، و النبوّة و الإمامة</w:t>
      </w:r>
      <w:bookmarkStart w:id="800" w:name="pg5285_67507"/>
    </w:p>
    <w:p>
      <w:pPr>
        <w:pStyle w:val="BookText"/>
        <w:rPr/>
      </w:pPr>
      <w:bookmarkEnd w:id="800"/>
      <w:r>
        <w:rPr>
          <w:rFonts w:ascii="IRNazanin" w:hAnsi="IRNazanin" w:eastAsia="IRNazanin"/>
          <w:color w:val="111111"/>
          <w:sz w:val="28"/>
          <w:sz w:val="28"/>
          <w:szCs w:val="28"/>
          <w:rtl w:val="true"/>
          <w:lang w:bidi="fa-IR"/>
        </w:rPr>
        <w:t>والمعاد</w:t>
      </w:r>
      <w:r>
        <w:rPr>
          <w:rFonts w:eastAsia="IRNazanin" w:cs="IRNazanin"/>
          <w:color w:val="111111"/>
          <w:sz w:val="28"/>
          <w:szCs w:val="28"/>
          <w:rtl w:val="true"/>
          <w:lang w:bidi="fa-IR"/>
        </w:rPr>
        <w:t xml:space="preserve">. </w:t>
      </w:r>
      <w:r>
        <w:rPr>
          <w:rStyle w:val="FootnoteAnchor"/>
          <w:rtl w:val="true"/>
        </w:rPr>
        <w:footnoteReference w:id="797"/>
      </w:r>
      <w:r>
        <w:rPr>
          <w:rFonts w:ascii="IRNazanin" w:hAnsi="IRNazanin" w:eastAsia="IRNazanin"/>
          <w:color w:val="111111"/>
          <w:sz w:val="28"/>
          <w:sz w:val="28"/>
          <w:szCs w:val="28"/>
          <w:rtl w:val="true"/>
          <w:lang w:bidi="fa-IR"/>
        </w:rPr>
        <w:t>و قد طرح بحوثه علی شکل فصول وجمع لکلّ فصل آیاته المرتبطة به کموضوع واحد، ثمّ یقوم بتوضیح المراد بالتحلیل الاجتهادی، وذلک من خلال الاستفادة من آیات القرآن الکریم وروایات أهل‌البیت علیهم السّلام ورؤی الصحابة و التابعین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طرح فی آخر کتابه تحت عنوان باب النوادر بحوثاً أدبیة،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التغییر فی الجملات الاستعارة، و المجاز و معانی القرآن، ووجوه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ومضافاً إلی التفاسیر التی مرّ الحدیث عنها فی هذا القرن نشیر کذلک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المنتخب من تفسیر القرآن لابن إدریس الحلّی</w:t>
      </w: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صاحب الکتاب المعروف بالسرائر، هذا الکتاب التفسیر هو شامل لکلّ آیات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الواقع هو تعلیقاته علی تفسیر التبیان للشیخ الطوسی، و قد طبع فی مجلّدین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مختصر التبیان لابن الکیال</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تفسیر جامع العلوم للباقولی الأصفهانی، و التنویر فی معانی التفسیر للفتّال النیسابوری</w:t>
      </w:r>
      <w:r>
        <w:rPr>
          <w:rFonts w:eastAsia="IRNazanin" w:cs="IRNazanin"/>
          <w:color w:val="111111"/>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هی جملة التفاسیر التی ظهرت فی المجامع الثقافیة عند الشیعة، ولها بریقها الخاصّ فی المحافل العلمیة</w:t>
      </w:r>
      <w:r>
        <w:rPr>
          <w:rFonts w:eastAsia="IRNazanin" w:cs="IRNazanin"/>
          <w:color w:val="111111"/>
          <w:sz w:val="28"/>
          <w:szCs w:val="28"/>
          <w:rtl w:val="true"/>
          <w:lang w:bidi="fa-IR"/>
        </w:rPr>
        <w:t xml:space="preserve">. </w:t>
      </w:r>
      <w:r>
        <w:rPr>
          <w:rStyle w:val="FootnoteAnchor"/>
          <w:rtl w:val="true"/>
        </w:rPr>
        <w:footnoteReference w:id="798"/>
      </w:r>
    </w:p>
    <w:p>
      <w:pPr>
        <w:pStyle w:val="Heading4"/>
        <w:numPr>
          <w:ilvl w:val="3"/>
          <w:numId w:val="1"/>
        </w:numPr>
        <w:rPr/>
      </w:pPr>
      <w:bookmarkStart w:id="801" w:name="__RefHeading___Toc634425_581953129"/>
      <w:bookmarkStart w:id="802" w:name="_Toc308"/>
      <w:bookmarkEnd w:id="801"/>
      <w:r>
        <w:rPr>
          <w:rtl w:val="true"/>
        </w:rPr>
        <w:t>تفاسیر أهل السنّة</w:t>
      </w:r>
      <w:bookmarkEnd w:id="802"/>
    </w:p>
    <w:p>
      <w:pPr>
        <w:pStyle w:val="Heading5"/>
        <w:numPr>
          <w:ilvl w:val="4"/>
          <w:numId w:val="1"/>
        </w:numPr>
        <w:rPr/>
      </w:pPr>
      <w:bookmarkStart w:id="803" w:name="__RefHeading___Toc634427_581953129"/>
      <w:bookmarkStart w:id="804" w:name="_Toc309"/>
      <w:bookmarkEnd w:id="803"/>
      <w:r>
        <w:rPr/>
        <w:t>1</w:t>
      </w:r>
      <w:r>
        <w:rPr>
          <w:rtl w:val="true"/>
        </w:rPr>
        <w:t xml:space="preserve">. </w:t>
      </w:r>
      <w:r>
        <w:rPr>
          <w:rtl w:val="true"/>
        </w:rPr>
        <w:t>الکشّاف</w:t>
      </w:r>
      <w:bookmarkEnd w:id="804"/>
    </w:p>
    <w:p>
      <w:pPr>
        <w:pStyle w:val="Heading6"/>
        <w:numPr>
          <w:ilvl w:val="5"/>
          <w:numId w:val="1"/>
        </w:numPr>
        <w:rPr/>
      </w:pPr>
      <w:bookmarkStart w:id="805" w:name="__RefHeading___Toc634429_581953129"/>
      <w:bookmarkStart w:id="806" w:name="_Toc310"/>
      <w:bookmarkEnd w:id="805"/>
      <w:r>
        <w:rPr>
          <w:rtl w:val="true"/>
        </w:rPr>
        <w:t>اشارة</w:t>
      </w:r>
      <w:bookmarkEnd w:id="806"/>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الله، أبو القاسم محمود بن عمر الزمخشری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العربیة</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أجزاء فی طبعة، و فی أخری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وُلِدَ جار الله الزمخشری فی سنة</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فی آخر خلافة العباسیین فی مدینة خوارزم، والتی قامت فیها دولة الخوارزمیین من سنة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و قد توسّع الخوارزمیون فی نطاق الحکم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معروف فی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ظلّ هذا الحکم ترعرع الزمخشر و بلغ من العمر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خوارزم فی ذلک الزمان مدینة العلم و الأدب، وبعد أن نال من العلوم الإسلامیه شدّ الرحال إلی بغداد، ثمّ مکّة المکرّمة، ولهذه 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الله، وختم حیاته فی مدینة جرجانیة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کتب تفسیره الکشاف أواخر عمره فی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وللزمخشری مؤلّفات أخری کذلک، وأهمّها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الکشاف وأساس البلاغة فی علم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أساس الاتّجاه التفسیری عند الزمخشری فی تفسیر القرآن هو الاتّجاه البیانی و الأدبی و اللغوی إلاّ أنّه عبر هذا الاتّجاه نفسه یقوم بإبداء البحوث الکلامیة أیضاً، بل إنّه یدّعی أنّ الشخص الذی لم یطلع علی علم المعانی و البیان لیس من حقّه التصدّی لتفسیر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الزمشخری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فالفقیه و إن بزَّ الأقران فی علم الفتاوی و الأحکام، والمتکلّم و إن بَزَّ أهل الدنیا فی صناعة الکلام، و حافظ القصص و الأخبار و إنْ کان من ابن القریة أحفظ، والواعظ، و إنْ کان من الحسن البصری أوعظ، والنحوی و إنْ کان أنحی من سیبویهِ، والواعظ و إنْ کان عَلَک اللغات بقوّة لا یتعدّی منهم أحدٌ لسلوک تلک الطرائق، ولا یغوص علی شیء من تلک الحقائق إلا رجلٌ قد برع فی علمین مختصین بالقرآن،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المعانی و علم البیان</w:t>
      </w:r>
      <w:r>
        <w:rPr>
          <w:rFonts w:eastAsia="IRNazanin" w:cs="IRNazanin"/>
          <w:color w:val="111111"/>
          <w:sz w:val="28"/>
          <w:szCs w:val="28"/>
          <w:rtl w:val="true"/>
          <w:lang w:bidi="fa-IR"/>
        </w:rPr>
        <w:t xml:space="preserve">. </w:t>
      </w:r>
      <w:r>
        <w:rPr>
          <w:rStyle w:val="FootnoteAnchor"/>
          <w:rtl w:val="true"/>
        </w:rPr>
        <w:footnoteReference w:id="799"/>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إنّ تفسیر الکشاف هو موضع ثناء الکثیر من العلماء</w:t>
      </w:r>
      <w:r>
        <w:rPr>
          <w:rFonts w:eastAsia="IRNazanin" w:cs="IRNazanin"/>
          <w:color w:val="111111"/>
          <w:sz w:val="28"/>
          <w:szCs w:val="28"/>
          <w:rtl w:val="true"/>
          <w:lang w:bidi="fa-IR"/>
        </w:rPr>
        <w:t>.</w:t>
      </w:r>
      <w:bookmarkStart w:id="807" w:name="pg5285_67509"/>
    </w:p>
    <w:p>
      <w:pPr>
        <w:pStyle w:val="BookText"/>
        <w:rPr/>
      </w:pPr>
      <w:bookmarkEnd w:id="807"/>
      <w:r>
        <w:rPr>
          <w:rFonts w:ascii="IRNazanin" w:hAnsi="IRNazanin" w:eastAsia="IRNazanin"/>
          <w:color w:val="111111"/>
          <w:sz w:val="28"/>
          <w:sz w:val="28"/>
          <w:szCs w:val="28"/>
          <w:rtl w:val="true"/>
          <w:lang w:bidi="fa-IR"/>
        </w:rPr>
        <w:t>و یری السیوطی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جمعاً من أصحاب الدّقة فی علوم البلاغة أتوا لمعرفة وجوه الإعجاز البلاغی فی القرآن، فکان صاحب الکشاف ملیکهم فی هذا المنهج؛ ولهذا السبب تجد کتابه قد عمَّ المشرق و المغرب</w:t>
      </w:r>
      <w:r>
        <w:rPr>
          <w:rFonts w:eastAsia="IRNazanin" w:cs="IRNazanin"/>
          <w:color w:val="111111"/>
          <w:sz w:val="28"/>
          <w:szCs w:val="28"/>
          <w:rtl w:val="true"/>
          <w:lang w:bidi="fa-IR"/>
        </w:rPr>
        <w:t xml:space="preserve">. </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والعلامة الطبرسی مع أنّه قد عاصر الزمخشری إلاّ أنّه عند ما رأی الکشاف استحسنه وصمَّمَ علی أن یکتب علی غراره لبیان آراء الشیعة، ولهذا السبب ألّف جوامع 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استفاد الکثیر من العلماء من الکشاف حتّی أنّ بعضهم جعل منه متن تفسیره، ومن جملتهم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البیضاوی و الفخر الرازی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ومضافاً علی ذلک فقد کتب أربعون من الشیعة و السنّة حاشیةً علیه، و هذا یدلّل علی أهمیة هذا الکتاب</w:t>
      </w:r>
      <w:r>
        <w:rPr>
          <w:rFonts w:eastAsia="IRNazanin" w:cs="IRNazanin"/>
          <w:color w:val="111111"/>
          <w:sz w:val="28"/>
          <w:szCs w:val="28"/>
          <w:rtl w:val="true"/>
          <w:lang w:bidi="fa-IR"/>
        </w:rPr>
        <w:t>.</w:t>
      </w:r>
    </w:p>
    <w:p>
      <w:pPr>
        <w:pStyle w:val="Heading6"/>
        <w:numPr>
          <w:ilvl w:val="5"/>
          <w:numId w:val="1"/>
        </w:numPr>
        <w:rPr/>
      </w:pPr>
      <w:bookmarkStart w:id="808" w:name="__RefHeading___Toc634431_581953129"/>
      <w:bookmarkStart w:id="809" w:name="_Toc311"/>
      <w:bookmarkEnd w:id="808"/>
      <w:r>
        <w:rPr>
          <w:rtl w:val="true"/>
        </w:rPr>
        <w:t>الامتیازات</w:t>
      </w:r>
      <w:bookmarkEnd w:id="809"/>
    </w:p>
    <w:p>
      <w:pPr>
        <w:pStyle w:val="BookText"/>
        <w:rPr/>
      </w:pPr>
      <w:r>
        <w:rPr>
          <w:rFonts w:ascii="IRNazanin" w:hAnsi="IRNazanin" w:eastAsia="IRNazanin"/>
          <w:color w:val="111111"/>
          <w:sz w:val="28"/>
          <w:sz w:val="28"/>
          <w:szCs w:val="28"/>
          <w:rtl w:val="true"/>
          <w:lang w:bidi="fa-IR"/>
        </w:rPr>
        <w:t>إنّ هذا التفسیر نسبة إلی غیره یملک عدّة امتیازات منها ما نشیر إلیها علی الآتی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خلوه من الحشو و الزیادة و الإضافة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سلامته من القصص الإسرائیلیة إلاّ فی بعض المواضع،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داود وسلیمان التی أوردها، ولکنّه مارس تقویمها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له اهتماماته الفائقة باللغة العربیة الأصیلة فی مجال المعانی و البیان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جلّی حقیقة الإعجاز الأدبی فی القرآن بصورة رائعة فی المجال الفنیّ من خلال ما یتمتّع به من ذوق أدبیّ جمیل و رفیع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أکثر بحوثه بأسلوب المحاکاة وبصورة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 قلتُ</w:t>
      </w:r>
      <w:r>
        <w:rPr>
          <w:rFonts w:eastAsia="IRNazanin" w:cs="IRNazanin"/>
          <w:color w:val="111111"/>
          <w:sz w:val="28"/>
          <w:szCs w:val="28"/>
          <w:rtl w:val="true"/>
          <w:lang w:bidi="fa-IR"/>
        </w:rPr>
        <w:t xml:space="preserve">. </w:t>
      </w:r>
      <w:r>
        <w:rPr>
          <w:rStyle w:val="FootnoteAnchor"/>
          <w:rtl w:val="true"/>
        </w:rPr>
        <w:footnoteReference w:id="801"/>
      </w:r>
      <w:bookmarkStart w:id="810" w:name="pg5285_67510"/>
    </w:p>
    <w:p>
      <w:pPr>
        <w:pStyle w:val="Heading6"/>
        <w:numPr>
          <w:ilvl w:val="5"/>
          <w:numId w:val="1"/>
        </w:numPr>
        <w:rPr/>
      </w:pPr>
      <w:bookmarkStart w:id="811" w:name="__RefHeading___Toc634433_581953129"/>
      <w:bookmarkStart w:id="812" w:name="_Toc312"/>
      <w:bookmarkEnd w:id="810"/>
      <w:bookmarkEnd w:id="811"/>
      <w:r>
        <w:rPr>
          <w:rtl w:val="true"/>
        </w:rPr>
        <w:t>مصادر کتاب الکشّاف</w:t>
      </w:r>
      <w:bookmarkEnd w:id="812"/>
    </w:p>
    <w:p>
      <w:pPr>
        <w:pStyle w:val="Heading6"/>
        <w:numPr>
          <w:ilvl w:val="5"/>
          <w:numId w:val="1"/>
        </w:numPr>
        <w:rPr/>
      </w:pPr>
      <w:bookmarkStart w:id="813" w:name="__RefHeading___Toc634435_581953129"/>
      <w:bookmarkStart w:id="814" w:name="_Toc313"/>
      <w:bookmarkEnd w:id="813"/>
      <w:r>
        <w:rPr>
          <w:rtl w:val="true"/>
        </w:rPr>
        <w:t>اشارة</w:t>
      </w:r>
      <w:bookmarkEnd w:id="814"/>
    </w:p>
    <w:p>
      <w:pPr>
        <w:pStyle w:val="BookText"/>
        <w:rPr/>
      </w:pPr>
      <w:r>
        <w:rPr>
          <w:rFonts w:ascii="IRNazanin" w:hAnsi="IRNazanin" w:eastAsia="IRNazanin"/>
          <w:color w:val="111111"/>
          <w:sz w:val="28"/>
          <w:sz w:val="28"/>
          <w:szCs w:val="28"/>
          <w:rtl w:val="true"/>
          <w:lang w:bidi="fa-IR"/>
        </w:rPr>
        <w:t>لقد استفاد الزمخشری فی تفسیر الکشاف من مصادر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أهمّ مصادره الأدبیة تفسیر الزجّاج</w:t>
      </w:r>
      <w:r>
        <w:rPr>
          <w:rFonts w:eastAsia="IRNazanin" w:cs="IRNazanin"/>
          <w:color w:val="111111"/>
          <w:sz w:val="28"/>
          <w:szCs w:val="28"/>
          <w:rtl w:val="true"/>
          <w:lang w:bidi="fa-IR"/>
        </w:rPr>
        <w:t>(</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الرّمانی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استفاد فی الحدیث و الروایة من صحیح مسلم وسنن أبی داود؛ أمّا المصادر التفسیریة عنده، فکثیرة، و قد ورد اسماء الصحابة و التابعین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مجاهد و عمرو بن عبید المعتزلی، و قتاده، أبو بکر الأصم المعتزلی و الرّمانی و السدّی؛ أمّا موقف الزمخشریّ من أهل‌البیت علیهم السّلام، فهو موقف معتدل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نقل فی تفسیره روایات کثیرة جدّاً فی فضائلهم وبیان مکانتهم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نقل فی ذیل الآیة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الشوری و المعروفة بآیة المودّة 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علی حبّ آل محمّد مات شهیداً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صعید الآراء الکلامیة فقد قوّی المذهب المعتزلی وأورد آراءه المخالفة للمذهب الأشعری، و من هذا المنطلق اتّهم بالتشیع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عرّفه آیة الله معرفة بأنّه أوسع وجهاً فی طرح البحوث العلمیة من أن یکونَ علی مذهب خاصّ، بل إنّ رؤیته إلی القرآن رؤیة إنسان متحرّر عاقل ومفکّر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نظرة الزمخشری فی دلالات الآیات الکریمة نظرة أدیبة فاحصة، و کان فهمه لمعانی القرآن فهماً عمیقاً غیر متأثر بمذهب کلامی خاصّ، فهو لا ینظر فی الآیات من زاویة مذهبه الاعتزال کما رموه بذلک، و إنّما من زاویة فهم إنسان حرّ، عاقل أدیب، و یحلّل الآیات تحلیلاً أدیباً ینبع من ذوق عربی أصیل، الأمر الذی یتحاشاه أتباع المذهب الأشعری</w:t>
      </w:r>
      <w:r>
        <w:rPr>
          <w:rFonts w:eastAsia="IRNazanin" w:cs="IRNazanin"/>
          <w:color w:val="111111"/>
          <w:sz w:val="28"/>
          <w:szCs w:val="28"/>
          <w:rtl w:val="true"/>
          <w:lang w:bidi="fa-IR"/>
        </w:rPr>
        <w:t xml:space="preserve">. </w:t>
      </w:r>
      <w:r>
        <w:rPr>
          <w:rStyle w:val="FootnoteAnchor"/>
          <w:rtl w:val="true"/>
        </w:rPr>
        <w:footnoteReference w:id="802"/>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وکنموذج فی ذلک ما توصل إلیه حول رؤیة الله تعالی من الآیة الشریفة</w:t>
      </w:r>
      <w:r>
        <w:rPr>
          <w:rFonts w:eastAsia="IRNazanin" w:cs="IRNazanin"/>
          <w:color w:val="111111"/>
          <w:sz w:val="28"/>
          <w:szCs w:val="28"/>
          <w:rtl w:val="true"/>
          <w:lang w:bidi="fa-IR"/>
        </w:rPr>
        <w:t>:</w:t>
      </w:r>
      <w:bookmarkStart w:id="815" w:name="pg5285_67511"/>
    </w:p>
    <w:p>
      <w:pPr>
        <w:pStyle w:val="BookText"/>
        <w:rPr/>
      </w:pPr>
      <w:bookmarkEnd w:id="8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یَوْمَئِذٍ 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من خلال استشهاده بالآیات الکثیرة و الأدلّة الأدبیة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الآیة لا یمکن أن تشکلّ دلیلاً علی النظر الحسّی إلی ذات الحقّ تعالی، و أنّ هکذا رؤیا مستحیلة</w:t>
      </w:r>
      <w:r>
        <w:rPr>
          <w:rFonts w:eastAsia="Amiri" w:cs="Amiri" w:ascii="Amiri" w:hAnsi="Amiri"/>
          <w:color w:val="111111"/>
          <w:sz w:val="28"/>
          <w:szCs w:val="28"/>
          <w:rtl w:val="true"/>
          <w:lang w:bidi="ar-SA"/>
        </w:rPr>
        <w:t xml:space="preserve">. </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وهکذا فی البحوث البلاغیة فقد کسب قصب السبق علی من سواه وتوصل إلی إثبات إعجاز القرآن بلاغیاً فی آیات کثیرة، ومن جملتها ما کتبه فی ذیل الآیة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لَکُمْ فِی الْقِصاصِ 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804"/>
      </w:r>
      <w:r>
        <w:rPr>
          <w:rFonts w:ascii="IRNazanin" w:hAnsi="IRNazanin" w:eastAsia="IRNazanin"/>
          <w:color w:val="111111"/>
          <w:sz w:val="28"/>
          <w:sz w:val="28"/>
          <w:szCs w:val="28"/>
          <w:rtl w:val="true"/>
          <w:lang w:bidi="fa-IR"/>
        </w:rPr>
        <w:t>قال فی هذا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فصیح لما فیه من الغرابة، و هو أنّ القصاص قتلٌ و تفویت الحیاة، و قد جُعل مکاناً و ظرفاً للحیاة، و من إصابة محز البلاغة بتعریف القصاص و تنکیر الحیاة</w:t>
      </w:r>
      <w:r>
        <w:rPr>
          <w:rFonts w:eastAsia="IRNazanin" w:cs="IRNazanin"/>
          <w:color w:val="111111"/>
          <w:sz w:val="28"/>
          <w:szCs w:val="28"/>
          <w:rtl w:val="true"/>
          <w:lang w:bidi="fa-IR"/>
        </w:rPr>
        <w:t xml:space="preserve">. </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ثمّ یصبّ بحوثه البلاغیة بصورة جمیلة رائعة ملؤها ظرفة و دقّة</w:t>
      </w:r>
      <w:r>
        <w:rPr>
          <w:rFonts w:eastAsia="IRNazanin" w:cs="IRNazanin"/>
          <w:color w:val="111111"/>
          <w:sz w:val="28"/>
          <w:szCs w:val="28"/>
          <w:rtl w:val="true"/>
          <w:lang w:bidi="fa-IR"/>
        </w:rPr>
        <w:t>.</w:t>
      </w:r>
    </w:p>
    <w:p>
      <w:pPr>
        <w:pStyle w:val="Heading6"/>
        <w:numPr>
          <w:ilvl w:val="5"/>
          <w:numId w:val="1"/>
        </w:numPr>
        <w:rPr/>
      </w:pPr>
      <w:bookmarkStart w:id="816" w:name="__RefHeading___Toc634437_581953129"/>
      <w:bookmarkStart w:id="817" w:name="_Toc314"/>
      <w:bookmarkEnd w:id="816"/>
      <w:r>
        <w:rPr/>
        <w:t>1</w:t>
      </w:r>
      <w:r>
        <w:rPr>
          <w:rtl w:val="true"/>
        </w:rPr>
        <w:t xml:space="preserve">. </w:t>
      </w:r>
      <w:r>
        <w:rPr>
          <w:rtl w:val="true"/>
        </w:rPr>
        <w:t>الزمخشری وأهل‌البیت علیهم السّلام</w:t>
      </w:r>
      <w:bookmarkEnd w:id="817"/>
    </w:p>
    <w:p>
      <w:pPr>
        <w:pStyle w:val="BookText"/>
        <w:rPr/>
      </w:pPr>
      <w:r>
        <w:rPr>
          <w:rFonts w:ascii="IRNazanin" w:hAnsi="IRNazanin" w:eastAsia="IRNazanin"/>
          <w:color w:val="111111"/>
          <w:sz w:val="28"/>
          <w:sz w:val="28"/>
          <w:szCs w:val="28"/>
          <w:rtl w:val="true"/>
          <w:lang w:bidi="fa-IR"/>
        </w:rPr>
        <w:t>إنّ واحدة من العلل التی جعلت لهذا التفسیر المقبولیة فی الوسط الشیعی هو عثورهم فیه علی الزمخشری بنقل فضائل أهل‌البیت علیهم السّلام، ومن جملة تلک المنقولات ما أورده فی ذیل آیة المباهله من آل عمران ببیان قویّ جدّاً، مثل واحد من مفسّری الشیعة حال نقله فضیلة عن أهل‌البیت علیهم السّلام</w:t>
      </w:r>
      <w:r>
        <w:rPr>
          <w:rFonts w:eastAsia="IRNazanin" w:cs="IRNazanin"/>
          <w:color w:val="111111"/>
          <w:sz w:val="28"/>
          <w:szCs w:val="28"/>
          <w:rtl w:val="true"/>
          <w:lang w:bidi="fa-IR"/>
        </w:rPr>
        <w:t xml:space="preserve">. </w:t>
      </w:r>
      <w:r>
        <w:rPr>
          <w:rStyle w:val="FootnoteAnchor"/>
          <w:rtl w:val="true"/>
        </w:rPr>
        <w:footnoteReference w:id="806"/>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وکذلک فی سورة الإنسان فی ذیل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یُطْعِمُونَ الطَّعامَ</w:t>
      </w:r>
      <w:r>
        <w:rPr>
          <w:rFonts w:eastAsia="Amiri" w:cs="Amiri" w:ascii="Amiri" w:hAnsi="Amiri"/>
          <w:color w:val="111111"/>
          <w:sz w:val="28"/>
          <w:szCs w:val="28"/>
          <w:rtl w:val="true"/>
          <w:lang w:bidi="ar-SA"/>
        </w:rPr>
        <w:t xml:space="preserve">...) </w:t>
      </w:r>
      <w:r>
        <w:rPr>
          <w:rStyle w:val="FootnoteAnchor"/>
          <w:rtl w:val="true"/>
        </w:rPr>
        <w:footnoteReference w:id="807"/>
      </w:r>
      <w:r>
        <w:rPr>
          <w:rFonts w:ascii="IRNazanin" w:hAnsi="IRNazanin" w:eastAsia="IRNazanin"/>
          <w:color w:val="111111"/>
          <w:sz w:val="28"/>
          <w:sz w:val="28"/>
          <w:szCs w:val="28"/>
          <w:rtl w:val="true"/>
          <w:lang w:bidi="fa-IR"/>
        </w:rPr>
        <w:t>قام بنقل فضائلهم فی ذلک، و هذه واحدةٌ من مفاخر الزمخشری فی 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ذیل آیة</w:t>
      </w:r>
      <w:bookmarkStart w:id="818" w:name="pg5285_67512"/>
    </w:p>
    <w:p>
      <w:pPr>
        <w:pStyle w:val="BookText"/>
        <w:rPr/>
      </w:pPr>
      <w:bookmarkEnd w:id="818"/>
      <w:r>
        <w:rPr>
          <w:rFonts w:ascii="IRNazanin" w:hAnsi="IRNazanin" w:eastAsia="IRNazanin"/>
          <w:color w:val="111111"/>
          <w:sz w:val="28"/>
          <w:sz w:val="28"/>
          <w:szCs w:val="28"/>
          <w:rtl w:val="true"/>
          <w:lang w:bidi="fa-IR"/>
        </w:rPr>
        <w:t>المودّة من سورة الشوری الآیة الثالثة و العشرون، نقل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علی حب آل محمّد مات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الرسول صلّی الله علیه و آله، مع أنّه نقله عن الثعلبی کذلک</w:t>
      </w:r>
      <w:r>
        <w:rPr>
          <w:rFonts w:eastAsia="IRNazanin" w:cs="IRNazanin"/>
          <w:color w:val="111111"/>
          <w:sz w:val="28"/>
          <w:szCs w:val="28"/>
          <w:rtl w:val="true"/>
          <w:lang w:bidi="fa-IR"/>
        </w:rPr>
        <w:t xml:space="preserve">. </w:t>
      </w:r>
      <w:r>
        <w:rPr>
          <w:rStyle w:val="FootnoteAnchor"/>
          <w:rtl w:val="true"/>
        </w:rPr>
        <w:footnoteReference w:id="808"/>
      </w:r>
    </w:p>
    <w:p>
      <w:pPr>
        <w:pStyle w:val="Heading6"/>
        <w:numPr>
          <w:ilvl w:val="5"/>
          <w:numId w:val="1"/>
        </w:numPr>
        <w:rPr/>
      </w:pPr>
      <w:bookmarkStart w:id="819" w:name="__RefHeading___Toc634439_581953129"/>
      <w:bookmarkStart w:id="820" w:name="_Toc315"/>
      <w:bookmarkEnd w:id="819"/>
      <w:r>
        <w:rPr/>
        <w:t>2</w:t>
      </w:r>
      <w:r>
        <w:rPr>
          <w:rtl w:val="true"/>
        </w:rPr>
        <w:t xml:space="preserve">. </w:t>
      </w:r>
      <w:r>
        <w:rPr>
          <w:rtl w:val="true"/>
        </w:rPr>
        <w:t>تفسیر البغوی، معالم التنزیل</w:t>
      </w:r>
      <w:bookmarkEnd w:id="820"/>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حسین بن مسعود البغوی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روائی مع الشرح و التوضیح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أجزاء فی طبعة،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مجلّدان فی أخریین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المؤلّف هو من علماء المذهب الشافعی، فقیه و محدّث و مفسّر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لُقّب بمُحیی السنّة ورکن الدین، وأحیاناً یطلقون علیه أبا محمّد الفرّاء کذلک</w:t>
      </w:r>
      <w:r>
        <w:rPr>
          <w:rFonts w:eastAsia="IRNazanin" w:cs="IRNazanin"/>
          <w:color w:val="111111"/>
          <w:sz w:val="28"/>
          <w:szCs w:val="28"/>
          <w:rtl w:val="true"/>
          <w:lang w:bidi="fa-IR"/>
        </w:rPr>
        <w:t xml:space="preserve">. </w:t>
      </w:r>
      <w:r>
        <w:rPr>
          <w:rStyle w:val="FootnoteAnchor"/>
          <w:rtl w:val="true"/>
        </w:rPr>
        <w:footnoteReference w:id="809"/>
      </w:r>
      <w:r>
        <w:rPr>
          <w:rFonts w:ascii="IRNazanin" w:hAnsi="IRNazanin" w:eastAsia="IRNazanin"/>
          <w:color w:val="111111"/>
          <w:sz w:val="28"/>
          <w:sz w:val="28"/>
          <w:szCs w:val="28"/>
          <w:rtl w:val="true"/>
          <w:lang w:bidi="fa-IR"/>
        </w:rPr>
        <w:t>واسم تفسیره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التنزیل فی التفسیر و التأویل، والمشهور بتفسیر البغوی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أثنی علیه وعلی تفسیره، کما اعتبر ابن تیمیة هذا التفسیر مختصراً لتفسیر الثعلبی، مع هذا التفاوت و هو أنّه محفوظ من الأحادیث المجعولة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سألوه عن تفسیر الزمخشری و القرطبی و البغوی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التفاسیر الثلاثة هو أقرب إلی الکتاب و السنّة؟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تفسیر البغوی هو الأسلم من بین هذه التفاسیر الثلاثة من البدعة و الجعل</w:t>
      </w:r>
      <w:r>
        <w:rPr>
          <w:rFonts w:eastAsia="IRNazanin" w:cs="IRNazanin"/>
          <w:color w:val="111111"/>
          <w:sz w:val="28"/>
          <w:szCs w:val="28"/>
          <w:rtl w:val="true"/>
          <w:lang w:bidi="fa-IR"/>
        </w:rPr>
        <w:t xml:space="preserve">. </w:t>
      </w:r>
      <w:r>
        <w:rPr>
          <w:rStyle w:val="FootnoteAnchor"/>
          <w:rtl w:val="true"/>
        </w:rPr>
        <w:footnoteReference w:id="810"/>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لهذا التفسیر مقدّمة قصیرة جدّاً فی تاریخ تفسیر الصحابة و التابعین، وفضائل القرآن وتعلیمه وتعلّمه وفضیلت تلاوة القرآن، والنهی عن التفسیر بالرأی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w:t>
      </w:r>
    </w:p>
    <w:p>
      <w:pPr>
        <w:pStyle w:val="BookText"/>
        <w:rPr/>
      </w:pPr>
      <w:r>
        <w:rPr>
          <w:rFonts w:ascii="IRNazanin" w:hAnsi="IRNazanin" w:eastAsia="IRNazanin"/>
          <w:color w:val="111111"/>
          <w:sz w:val="28"/>
          <w:sz w:val="28"/>
          <w:szCs w:val="28"/>
          <w:rtl w:val="true"/>
          <w:lang w:bidi="fa-IR"/>
        </w:rPr>
        <w:t>الإشارة المختصرة و المجملة إلی مفاهیم التفسیر و التأویل، ونزول القرآن علی سبعة أحرف و الظاهر و الباطن و التدبر فی القرآن</w:t>
      </w:r>
      <w:r>
        <w:rPr>
          <w:rFonts w:eastAsia="IRNazanin" w:cs="IRNazanin"/>
          <w:color w:val="111111"/>
          <w:sz w:val="28"/>
          <w:szCs w:val="28"/>
          <w:rtl w:val="true"/>
          <w:lang w:bidi="fa-IR"/>
        </w:rPr>
        <w:t xml:space="preserve">. </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منهجه التفسیری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منهجه التفسیری هو المنهج الروائی؛ إذ هو یقوم بنقل الروایات من مختلف التفاسیر بإسنادها؛ و أمّا من أجل فهم عبارات کلّ آیة، فهو یعتمد التوضیح اللغوی لإعطاء المفهوم، وفی أکثر الآیات یشیر إلی آراء المفسّرین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ونادراً ما یستشهد لبیان آیة معینة بآیات أخری، ومن جملة ذلک النادر الآیة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الإسراء و التی جاء بالآیة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غافر کشاهد علی مرادها</w:t>
      </w:r>
      <w:r>
        <w:rPr>
          <w:rFonts w:eastAsia="IRNazanin" w:cs="IRNazanin"/>
          <w:color w:val="111111"/>
          <w:sz w:val="28"/>
          <w:szCs w:val="28"/>
          <w:rtl w:val="true"/>
          <w:lang w:bidi="fa-IR"/>
        </w:rPr>
        <w:t xml:space="preserve">. </w:t>
      </w:r>
      <w:r>
        <w:rPr>
          <w:rStyle w:val="FootnoteAnchor"/>
          <w:rtl w:val="true"/>
        </w:rPr>
        <w:footnoteReference w:id="812"/>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البغویُّ وأهل‌البیت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الآیات المرتبطة بالولایة ومن جملتها ما جاء فی سورة البقرة الآیة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Style w:val="FootnoteAnchor"/>
          <w:rtl w:val="true"/>
        </w:rPr>
        <w:footnoteReference w:id="813"/>
      </w:r>
      <w:r>
        <w:rPr>
          <w:rFonts w:ascii="IRNazanin" w:hAnsi="IRNazanin" w:eastAsia="IRNazanin"/>
          <w:color w:val="111111"/>
          <w:sz w:val="28"/>
          <w:sz w:val="28"/>
          <w:szCs w:val="28"/>
          <w:rtl w:val="true"/>
          <w:lang w:bidi="fa-IR"/>
        </w:rPr>
        <w:t>والمائدة الآیة، ال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اکمال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14"/>
      </w:r>
      <w:r>
        <w:rPr>
          <w:rFonts w:ascii="Amiri" w:hAnsi="Amiri" w:eastAsia="Amiri" w:cs="Amiri"/>
          <w:color w:val="111111"/>
          <w:sz w:val="28"/>
          <w:sz w:val="28"/>
          <w:szCs w:val="28"/>
          <w:rtl w:val="true"/>
          <w:lang w:bidi="ar-SA"/>
        </w:rPr>
        <w:t>لم یذکر أی شیء عن علی علیه السّلام مع أنّه فی ذیل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المائده فسّر 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،بعلی علیه السّلام، وهی أنّ سائلاً جاء إلی المسجد، وکان علی علیه السّلام فی حالة الرکوع وأعطاه خاتمه</w:t>
      </w:r>
      <w:r>
        <w:rPr>
          <w:rFonts w:eastAsia="Amiri" w:cs="Amiri" w:ascii="Amiri" w:hAnsi="Amiri"/>
          <w:color w:val="111111"/>
          <w:sz w:val="28"/>
          <w:szCs w:val="28"/>
          <w:rtl w:val="true"/>
          <w:lang w:bidi="ar-SA"/>
        </w:rPr>
        <w:t xml:space="preserve">. </w:t>
      </w:r>
      <w:r>
        <w:rPr>
          <w:rStyle w:val="FootnoteAnchor"/>
          <w:rtl w:val="true"/>
        </w:rPr>
        <w:footnoteReference w:id="815"/>
      </w:r>
      <w:r>
        <w:rPr>
          <w:rFonts w:ascii="IRNazanin" w:hAnsi="IRNazanin" w:eastAsia="IRNazanin"/>
          <w:color w:val="111111"/>
          <w:sz w:val="28"/>
          <w:sz w:val="28"/>
          <w:szCs w:val="28"/>
          <w:rtl w:val="true"/>
          <w:lang w:bidi="fa-IR"/>
        </w:rPr>
        <w:t>وکذلک فی سورة الإنسان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یُطْعِمُونَ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یشر إلی أهل‌البیت علیهم السّلام وأنّما فقط أورد روایة، وهی أنّ علیاً علیه السّلام فقط قَسَّمَ قرص رغیفه الذی کان قد اقترضه إلی ثلاثة أقسام، وأعطاها لمسکین ویتیم وأسیر من المشرکین</w:t>
      </w:r>
      <w:r>
        <w:rPr>
          <w:rFonts w:eastAsia="IRNazanin" w:cs="IRNazanin"/>
          <w:color w:val="111111"/>
          <w:sz w:val="28"/>
          <w:szCs w:val="28"/>
          <w:rtl w:val="true"/>
          <w:lang w:bidi="fa-IR"/>
        </w:rPr>
        <w:t xml:space="preserve">. </w:t>
      </w:r>
      <w:r>
        <w:rPr>
          <w:rStyle w:val="FootnoteAnchor"/>
          <w:rtl w:val="true"/>
        </w:rPr>
        <w:footnoteReference w:id="816"/>
      </w:r>
      <w:r>
        <w:rPr>
          <w:rFonts w:ascii="IRNazanin" w:hAnsi="IRNazanin" w:eastAsia="IRNazanin"/>
          <w:color w:val="111111"/>
          <w:sz w:val="28"/>
          <w:sz w:val="28"/>
          <w:szCs w:val="28"/>
          <w:rtl w:val="true"/>
          <w:lang w:bidi="fa-IR"/>
        </w:rPr>
        <w:t>وقیل آیة المباهلة اعتبر مرتبطة بأهل‌البیت الخمسة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أی حال فإنّ مثل هذا النقل یدَلِّل وقیل حدٍّ معین أنّه یرید توجیه الأنظار إلی مکانة علی علیه السّلام؛ أمّا بالنسبة إلی سائر أهل‌البیت علیهم السّلام فلم یلفت الاهتمام إلیهم کثیراً</w:t>
      </w:r>
      <w:r>
        <w:rPr>
          <w:rFonts w:eastAsia="IRNazanin" w:cs="IRNazanin"/>
          <w:color w:val="111111"/>
          <w:sz w:val="28"/>
          <w:szCs w:val="28"/>
          <w:rtl w:val="true"/>
          <w:lang w:bidi="fa-IR"/>
        </w:rPr>
        <w:t>.</w:t>
      </w:r>
      <w:bookmarkStart w:id="821" w:name="pg5285_67514"/>
    </w:p>
    <w:p>
      <w:pPr>
        <w:pStyle w:val="Heading6"/>
        <w:numPr>
          <w:ilvl w:val="5"/>
          <w:numId w:val="1"/>
        </w:numPr>
        <w:rPr/>
      </w:pPr>
      <w:bookmarkStart w:id="822" w:name="__RefHeading___Toc634441_581953129"/>
      <w:bookmarkStart w:id="823" w:name="_Toc316"/>
      <w:bookmarkEnd w:id="821"/>
      <w:bookmarkEnd w:id="822"/>
      <w:r>
        <w:rPr/>
        <w:t>3</w:t>
      </w:r>
      <w:r>
        <w:rPr>
          <w:rtl w:val="true"/>
        </w:rPr>
        <w:t xml:space="preserve">. </w:t>
      </w:r>
      <w:r>
        <w:rPr>
          <w:rtl w:val="true"/>
        </w:rPr>
        <w:t>تفسیر ابنُ عطیة المحرّر الوجیز</w:t>
      </w:r>
      <w:bookmarkEnd w:id="823"/>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عطیة الأندلسی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واحد وفی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أجزاء بطبعات متنوعة، وکذلک طبع فی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أبو محمّد عبد الحقّ بن غالب بن عطیة الأندلسی المغربی الغرناطی</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فی التفسیر و الحدیث، والفقه الآداب فی عصره، و قد اشتهر بقاضی القضاة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ویعدُّ هذا التفسیر هو من أهمّ التفاسیر التحقیقیة علی المنهج الروائی، إنّه لم یغفل عند نقله الروایات عن النقد و التحقیق، و قد جمع الروایة بالدرایة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منهج هذا التفسیر هو المنهج الروائی إلاّ أنّه اهتمّ بالقراءات و اللغة، والأدب وتشخیص المخاطب فی الآیات، ومضافاً إلی ذلک فقد نقاش ونقد وحلّل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ابن خلدون، و هو یتحدّث عن کتب التفسیر بالمأثور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الکثیر من ذلک و نقلة الآثار الواردة فیه عن الصحابة و التابعین، وانتهی ذلک إلی الطبری و الواقدی و الثعلبی و أمثال ذلک من المفسّرین، فکتبوا فیه ما شاء الله أن یکتبوه من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منقولاتهم و کتبهم تشتمل علی الغثّ و السمین و المقبول و المردود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رجع الناس إلی التحقیق و التمحیص وجاء أبو محمّد ابن عطیة من المتأخرین فلخّص تلک التفاسیر،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ما هو أقرب إلی الصحّة منها</w:t>
      </w:r>
      <w:r>
        <w:rPr>
          <w:rFonts w:eastAsia="IRNazanin" w:cs="IRNazanin"/>
          <w:color w:val="111111"/>
          <w:sz w:val="28"/>
          <w:szCs w:val="28"/>
          <w:rtl w:val="true"/>
          <w:lang w:bidi="fa-IR"/>
        </w:rPr>
        <w:t xml:space="preserve">. </w:t>
      </w:r>
      <w:r>
        <w:rPr>
          <w:rStyle w:val="FootnoteAnchor"/>
          <w:rtl w:val="true"/>
        </w:rPr>
        <w:footnoteReference w:id="817"/>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واحدةً من الآفات الکبیرة هی القصص التی ربطت بتفسیر القرآن، فهناک الروایات الکثیرة الواسعة من الإسرائیلیات و الخرافات التی تضمّنتها الروایات حتّی</w:t>
      </w:r>
    </w:p>
    <w:p>
      <w:pPr>
        <w:pStyle w:val="BookText"/>
        <w:rPr/>
      </w:pPr>
      <w:r>
        <w:rPr>
          <w:rFonts w:ascii="IRNazanin" w:hAnsi="IRNazanin" w:eastAsia="IRNazanin"/>
          <w:color w:val="111111"/>
          <w:sz w:val="28"/>
          <w:sz w:val="28"/>
          <w:szCs w:val="28"/>
          <w:rtl w:val="true"/>
          <w:lang w:bidi="fa-IR"/>
        </w:rPr>
        <w:t>صار حال واقع کلّ المتون التفسیریة فی تلک العصور مبتلی تحت طائلتها، ولکن مع صبغة النقد و التحلیل التی اصطبغ بها هذا التفسیر یمکن القول أنّ هذا التفسیر هو من الخطوات المتقدّمة علی طریق الانعتاق و التحرّر من الخرافات و الأوهام الإسرائیلیة</w:t>
      </w:r>
      <w:r>
        <w:rPr>
          <w:rFonts w:eastAsia="IRNazanin" w:cs="IRNazanin"/>
          <w:color w:val="111111"/>
          <w:sz w:val="28"/>
          <w:szCs w:val="28"/>
          <w:rtl w:val="true"/>
          <w:lang w:bidi="fa-IR"/>
        </w:rPr>
        <w:t xml:space="preserve">. </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و نجد أبا حیان التوحیدی یعقد مقارنةً بین تفسیر ابن عطیة و تفسیر الزمخشری،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وکتاب ابن عطیة أنقل وأجمع و أخلص، وکتاب الزمخشری ألخص و أعور</w:t>
      </w:r>
      <w:r>
        <w:rPr>
          <w:rFonts w:eastAsia="IRNazanin" w:cs="IRNazanin"/>
          <w:color w:val="111111"/>
          <w:sz w:val="28"/>
          <w:szCs w:val="28"/>
          <w:rtl w:val="true"/>
          <w:lang w:bidi="fa-IR"/>
        </w:rPr>
        <w:t xml:space="preserve">. </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هذا و قد تناولت مقدّمة هذا التفسیر عشرة أبواب من بحوث علوم القرآن، وهی عبارة عن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القرآن؛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أهمیة تفسیر القرآن؛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الاحتیاط فی تفسیر ومراتب المفسّرین، والذی علی رأسهم علی بن أبی طالب علیه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الأحرف السبعة؛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الجمع وتاریخ جمع القرآن؛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الألفاظ الدخیلة فی القرآن و الإعجاز؛</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إیجاز وإیفاء القرآن؛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أسماء القرآن، وسوره وآیاته؛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الاستعاذة؛</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البسملة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کتب هذا التفسیر بالمنهج الروائی وقرنه بالتحلیل و المناقشة، ومضافاً علی ذلک فقد هتمّ بشکل خاصّ بالقراءات و اللغة و الأدب، وفی الکثیر من المواضع یذکّر بخطاب القرآن، ویقول فی کثیر من الموارد التفسیریة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القاضی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bookmarkStart w:id="824" w:name="pg5285_67516"/>
    </w:p>
    <w:p>
      <w:pPr>
        <w:pStyle w:val="BookText"/>
        <w:rPr/>
      </w:pPr>
      <w:bookmarkEnd w:id="824"/>
      <w:r>
        <w:rPr>
          <w:rFonts w:ascii="IRNazanin" w:hAnsi="IRNazanin" w:eastAsia="IRNazanin"/>
          <w:color w:val="111111"/>
          <w:sz w:val="28"/>
          <w:sz w:val="28"/>
          <w:szCs w:val="28"/>
          <w:rtl w:val="true"/>
          <w:lang w:bidi="fa-IR"/>
        </w:rPr>
        <w:t>یذکر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استفاد کثیراً فی تفسیره من الأئمّة الأطهار علیهم السّلام، ونقل أحادیث عن الإمام علی علیه السّلام، والإمام السجاد علیه السّلام، والإمام الباقر علیه السّلام، والإمام الصادق علیه السّلام، والإمام موسی بن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وإنّه مع نقله الروایات عن الأئمّة علیهم السّلام، و هو فی بعض الأحیان وبشکل خاصّ یؤید ویقوّی الإمام علیاً علیه السّلام ولکنّه یتحفّظ عن ذکر الآیات المرتبطة بفضائل أهل‌البیت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أنّه یقوم بنقل فضائل أهل‌البیت علیهم السّلام، ولکنّه عند الترجیح بین هذه النظریة و النظریات الأخری یختار جانب السکوت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جملة ذلک یمکن الإشارة إلی الموارد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أورد أنّ شأن النزول فی آیة التطهیر مرتبط بأهل‌البیت الخمسة علیهم السّلام، و قد اعتبر الروایات فی ذلک تشکّل الرأی المشهور، ولکنّه یعطی احتمال شمولها لأزواج النبی صلّی الله علیه و آله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ینقل روایة أم سلمة التی قال فیها الرسول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لستِ من أهل‌البیت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ویترک المسألة فی إبهام</w:t>
      </w:r>
      <w:r>
        <w:rPr>
          <w:rFonts w:eastAsia="IRNazanin" w:cs="IRNazanin"/>
          <w:color w:val="111111"/>
          <w:sz w:val="28"/>
          <w:szCs w:val="28"/>
          <w:rtl w:val="true"/>
          <w:lang w:bidi="fa-IR"/>
        </w:rPr>
        <w:t xml:space="preserve">. </w:t>
      </w:r>
      <w:r>
        <w:rPr>
          <w:rStyle w:val="FootnoteAnchor"/>
          <w:rtl w:val="true"/>
        </w:rPr>
        <w:footnoteReference w:id="82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آیة الولایة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،نراه ینقل الروایات المرتبطة بتصدّق الإمام علی علیه السّلام بخاتمه، و هو فی حالة الرکوع، ویقول إنّ النبی صلّی الله علیه و آله کذلک أخبر أنّ الآیة نزلت فی شأن علی بن‌أبی‌طالب علیه السّلام و قد قرأها علی الناس، ولکنه یمرّ من جانب هذه الآیة بالسکوت وبدون ترجیح هذا الرأی</w:t>
      </w:r>
      <w:r>
        <w:rPr>
          <w:rFonts w:eastAsia="IRNazanin" w:cs="IRNazanin"/>
          <w:color w:val="111111"/>
          <w:sz w:val="28"/>
          <w:szCs w:val="28"/>
          <w:rtl w:val="true"/>
          <w:lang w:bidi="fa-IR"/>
        </w:rPr>
        <w:t xml:space="preserve">. </w:t>
      </w:r>
      <w:r>
        <w:rPr>
          <w:rStyle w:val="FootnoteAnchor"/>
          <w:rtl w:val="true"/>
        </w:rPr>
        <w:footnoteReference w:id="821"/>
      </w:r>
    </w:p>
    <w:p>
      <w:pPr>
        <w:pStyle w:val="Heading6"/>
        <w:numPr>
          <w:ilvl w:val="5"/>
          <w:numId w:val="1"/>
        </w:numPr>
        <w:rPr/>
      </w:pPr>
      <w:bookmarkStart w:id="825" w:name="__RefHeading___Toc634443_581953129"/>
      <w:bookmarkStart w:id="826" w:name="_Toc317"/>
      <w:bookmarkEnd w:id="825"/>
      <w:r>
        <w:rPr/>
        <w:t>4</w:t>
      </w:r>
      <w:r>
        <w:rPr>
          <w:rtl w:val="true"/>
        </w:rPr>
        <w:t xml:space="preserve">. </w:t>
      </w:r>
      <w:r>
        <w:rPr>
          <w:rtl w:val="true"/>
        </w:rPr>
        <w:t>زاد المسیر فی علم التفسیر</w:t>
      </w:r>
      <w:bookmarkEnd w:id="826"/>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الفرج عبد الرحمن بن علی بن محمّد الجوزی</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 المؤلّف بابن الجوزی </w:t>
      </w:r>
      <w:r>
        <w:rPr>
          <w:rFonts w:eastAsia="IRNazanin" w:cs="IRNazanin"/>
          <w:color w:val="111111"/>
          <w:sz w:val="28"/>
          <w:szCs w:val="28"/>
          <w:lang w:bidi="fa-IR"/>
        </w:rPr>
        <w:t>508</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إنّه من علماء أهل السنّة فی القرن السادس، و هو حنبلی المذهب، فقیه أدیب مفسّر، تتلمذ فی الأدب العربی علی منصور الجوالیقی، وله مؤلّفات کثیرة، تقارب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نسب إلیه فی البحوث القرآنیة کتاب المغنی و فی التفسیر تفسیر البیان فی تفسیر القرآن، و تذکرة الأریب فی تفسیر الغریب، و فنون الأفنان فی عیون علوم القرآن، و عمدة الراسخ فی معرفة المنسوخ و الناسخ وبعض الکتب الأخری</w:t>
      </w:r>
      <w:r>
        <w:rPr>
          <w:rFonts w:eastAsia="IRNazanin" w:cs="IRNazanin"/>
          <w:color w:val="111111"/>
          <w:sz w:val="28"/>
          <w:szCs w:val="28"/>
          <w:rtl w:val="true"/>
          <w:lang w:bidi="fa-IR"/>
        </w:rPr>
        <w:t xml:space="preserve">. </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ولهذا التفسیر مقدّمة قصیرة فی البحوث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التفسیر التفاوت بین التفسیر و التأویل، و الفترة التی استغرقها نزول القرآن و أوّل وآخر ما نزل، والاستعاذة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منهجه الأصلی، فهو المنهج الروائی، و قد اعتمد علی روایات الرسول صلّی الله علیه و آله و الصحابة و التابعین، ولکونه أدیباً ولغویاً خبیراً ومقتدراً أولی اهتماماً خاصّاً بالبحوث الأدبیة و اللغویة؛ ولأجل هذا فإنّ مصادره من غیر الروایات المأثورة تیک التی کانت من الکتب التالیة بشکل خاصّ،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القرآن للفرّاء و الزجّاج و غریب القرآن، و مشکل القرآن لابن قتیبة و إعجاز القرآن لأبی عُبیدة و الأسماء الحسنی للخطابی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اعتمد فی النقل فی ما یخصّ شأن نزول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وأحیاناً یتعرّض إلی البحوث الفقهیة بشکل مبسوط ویقوم بنقل آراء المذاهب</w:t>
      </w:r>
      <w:r>
        <w:rPr>
          <w:rFonts w:eastAsia="IRNazanin" w:cs="IRNazanin"/>
          <w:color w:val="111111"/>
          <w:sz w:val="28"/>
          <w:szCs w:val="28"/>
          <w:rtl w:val="true"/>
          <w:lang w:bidi="fa-IR"/>
        </w:rPr>
        <w:t xml:space="preserve">. </w:t>
      </w:r>
      <w:r>
        <w:rPr>
          <w:rStyle w:val="FootnoteAnchor"/>
          <w:rtl w:val="true"/>
        </w:rPr>
        <w:footnoteReference w:id="824"/>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یمکن الاستشکال علی هذا التفسیر هو نقله الروایات الإسرائیلیة، والمشکلة</w:t>
      </w:r>
      <w:bookmarkStart w:id="827" w:name="pg5285_67518"/>
    </w:p>
    <w:p>
      <w:pPr>
        <w:pStyle w:val="BookText"/>
        <w:rPr/>
      </w:pPr>
      <w:bookmarkEnd w:id="827"/>
      <w:r>
        <w:rPr>
          <w:rFonts w:ascii="IRNazanin" w:hAnsi="IRNazanin" w:eastAsia="IRNazanin"/>
          <w:color w:val="111111"/>
          <w:sz w:val="28"/>
          <w:sz w:val="28"/>
          <w:szCs w:val="28"/>
          <w:rtl w:val="true"/>
          <w:lang w:bidi="fa-IR"/>
        </w:rPr>
        <w:t>الأخری هی عدم الترجیح بین الروایات و الآراء و الأقوال التی ینقلها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إنّ ابن الجوزی ممتدح فی الأوساط الشیعیة؛ وذلک لأشعاره التی قالها حول اتّباع مذهب الإمام علی علیه السّلام و التی نقلت عنه ومن جملتها قصیدة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بنته فی بیته</w:t>
      </w:r>
      <w:r>
        <w:rPr>
          <w:rFonts w:eastAsia="IRNazanin" w:cs="IRNazanin"/>
          <w:color w:val="111111"/>
          <w:sz w:val="28"/>
          <w:szCs w:val="28"/>
          <w:rtl w:val="true"/>
          <w:lang w:bidi="fa-IR"/>
        </w:rPr>
        <w:t xml:space="preserve">. </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و قد کتب فی ذیل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یُنْفِقُونَ فِی السَّرّاءِ وَ الضَّرّاءِ وَ الْکاظِمِینَ الْغَیْظَ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26"/>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من السرّاء و الضرّاء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العسر و الیسر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کتب، و هو یعطی معنی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رَغبوا فی معاملة الله، فلم یبطرهم الرخاء فینسیهم، و لم تمنعهم الضرّاء فیبخلوا</w:t>
      </w:r>
      <w:r>
        <w:rPr>
          <w:rFonts w:eastAsia="IRNazanin" w:cs="IRNazanin"/>
          <w:color w:val="111111"/>
          <w:sz w:val="28"/>
          <w:szCs w:val="28"/>
          <w:rtl w:val="true"/>
          <w:lang w:bidi="fa-IR"/>
        </w:rPr>
        <w:t xml:space="preserve">. </w:t>
      </w:r>
      <w:r>
        <w:rPr>
          <w:rStyle w:val="FootnoteAnchor"/>
          <w:rtl w:val="true"/>
        </w:rPr>
        <w:footnoteReference w:id="827"/>
      </w:r>
    </w:p>
    <w:p>
      <w:pPr>
        <w:pStyle w:val="Heading6"/>
        <w:numPr>
          <w:ilvl w:val="5"/>
          <w:numId w:val="1"/>
        </w:numPr>
        <w:rPr/>
      </w:pPr>
      <w:bookmarkStart w:id="828" w:name="__RefHeading___Toc634445_581953129"/>
      <w:bookmarkStart w:id="829" w:name="_Toc318"/>
      <w:bookmarkEnd w:id="828"/>
      <w:r>
        <w:rPr/>
        <w:t>5</w:t>
      </w:r>
      <w:r>
        <w:rPr>
          <w:rtl w:val="true"/>
        </w:rPr>
        <w:t xml:space="preserve">. </w:t>
      </w:r>
      <w:r>
        <w:rPr>
          <w:rtl w:val="true"/>
        </w:rPr>
        <w:t xml:space="preserve">کشف الأسرار وعدّة الأبرار </w:t>
      </w:r>
      <w:r>
        <w:rPr>
          <w:rtl w:val="true"/>
        </w:rPr>
        <w:t>(</w:t>
      </w:r>
      <w:r>
        <w:rPr>
          <w:rtl w:val="true"/>
        </w:rPr>
        <w:t>تفسیر المیبدی</w:t>
      </w:r>
      <w:r>
        <w:rPr>
          <w:rtl w:val="true"/>
        </w:rPr>
        <w:t>)</w:t>
      </w:r>
      <w:bookmarkEnd w:id="829"/>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الفضل رشیدالدین المیبدی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سنة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الاتّجاه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أصل هذا التفسیر هو للخواجة عبد الله الخزرجی الأنصاری و هو من أصل عربی</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مشهوری العرفاء فی فترة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التفسیر شرح قام بکتابته وتبسیطه أبو الفضل المیبدی، ورشید الدین المیبدی شافعی المذهب، و هو فی البحوث الکلامیة علی مذهب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وأهمّ نتاجه العلمی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الأربعین و الفصول فی أحوال الأمراء و الوزراء و السادة، وکشف الأسرار، و هو أشهر مؤلّفاته علی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بین فی مقدّمة تفسیره الغایة من تألیفه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طالعت تفسیر الخواجة عبد الله فوجدتّه علی حدّ الإعجاز فی صیاغة العبارات و المحتوی، والتحقیق و الترصیع، و هو فی نهایة الإیجاز والاختصار فی خطاباته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تبنّی الطریق الأقصر فی کتابته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شمّرتُ عن جناحی‌الخطاب لینتشر، وأطلقت عنان اللسان لیفصّل الحقائق التفسیریة و اللطائف التذکیریة لیتّحداً فی هذا الممرّ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وبعون الله شرعتُ فی أوائل سنة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بتألیف ما کنت قصدتُ وجعلت له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الأسرار وعدّة الأبرار</w:t>
      </w:r>
      <w:r>
        <w:rPr>
          <w:rFonts w:eastAsia="IRNazanin" w:cs="IRNazanin"/>
          <w:color w:val="111111"/>
          <w:sz w:val="28"/>
          <w:szCs w:val="28"/>
          <w:rtl w:val="true"/>
          <w:lang w:bidi="fa-IR"/>
        </w:rPr>
        <w:t xml:space="preserve">. </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یعدّ هذا التفسیر من أفضل التفاسیر العرفانیة التی کتبت بالفارسیة، ولمحتواه قیمة أدبیة راقیة جدّاً و یحلّ مکانةً مرفوعةً فی الأدب، النشر الفارسی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الإسلوب العلمی للمفسّر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المفسّر أن یفسّر کلّ آیة فی ثلاثة مستویات،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الترجمة التفسیریة، وبیان المعانی الظاهریة للآیة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وجوه المعانی و القراءة، و أسباب النزول و بیان الحکم، و الروایات وأقوال الصحابة و التابعین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الرموز و الإشارات العرفانیة، والنکات اللطیفة و الظریفة التی یستشفها من روح العبارات</w:t>
      </w:r>
      <w:r>
        <w:rPr>
          <w:rFonts w:eastAsia="IRNazanin" w:cs="IRNazanin"/>
          <w:color w:val="111111"/>
          <w:sz w:val="28"/>
          <w:szCs w:val="28"/>
          <w:rtl w:val="true"/>
          <w:lang w:bidi="fa-IR"/>
        </w:rPr>
        <w:t xml:space="preserve">. </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والملاحظة الأخری هی استفادته من الآیات و الروایات فی تفسیر بعض من الآیات المجتمعة من أربعة أو خمسة آیات، فهو یأتی بالشاهد لأجل إعطاء المفهوم، وفی جانب الروایات یعتمد علی أقوال الصحابة و التابعین</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مصادره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التفاسیر العرفانیة وآراء العرفاء، أمثال أبو عبد الله سهل</w:t>
      </w:r>
    </w:p>
    <w:p>
      <w:pPr>
        <w:pStyle w:val="BookText"/>
        <w:rPr/>
      </w:pPr>
      <w:r>
        <w:rPr>
          <w:rFonts w:ascii="IRNazanin" w:hAnsi="IRNazanin" w:eastAsia="IRNazanin"/>
          <w:color w:val="111111"/>
          <w:sz w:val="28"/>
          <w:sz w:val="28"/>
          <w:szCs w:val="28"/>
          <w:rtl w:val="true"/>
          <w:lang w:bidi="fa-IR"/>
        </w:rPr>
        <w:t>التستری وذو النون المصری، وبایزید بسطامی</w:t>
      </w:r>
      <w:r>
        <w:rPr>
          <w:rFonts w:eastAsia="IRNazanin" w:cs="IRNazanin"/>
          <w:color w:val="111111"/>
          <w:sz w:val="28"/>
          <w:szCs w:val="28"/>
          <w:rtl w:val="true"/>
          <w:lang w:bidi="fa-IR"/>
        </w:rPr>
        <w:t xml:space="preserve">.... </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موقف المفسّر من أهل‌البیت علیهم السّلام علی الخصوص حول آیة المودّة الواردة فی سورة الشوری و المرقمّة ب</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وآیات أخُر، هو إظهار المحبّة لهم، وحاله کحال سائر العرفاء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مع کونه من أهل السنّة، إلاّ أنّه یبرِّز مقام أهل‌البیت علیهم السّلام ویجلّه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مغایر لبعض من مفسّری أهل السنّة الذین حاولوا طمس وإخفاء مناقبهم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کون المیبدی من العرفاء وأهل الباطن إلاّ أنّه فی میدان البحوث الکلامیة، مثل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الجبر والاختیار، وکلام الله وصفاته الخبریة یقوم بدعم الاتّجاه الأشعری، وکذلک المذهب السلفی وأهل الحدیث من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مجال بحث القصص الإسرائیلیة و الروایات التی هی من أهل الکتاب،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کعب الأحبار ووهب بن منبّه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ینقلها من دون نقد وتحقیق فی ملاحظة سندها مع وجود الضعف و التناقض الحاصل بینها وبین العقل و النقل القطعی، ومن جملتها یمکن الإشارة إلی قصّة هاروت وماروت وتنافیها مع عصمة الملائکة</w:t>
      </w:r>
      <w:r>
        <w:rPr>
          <w:rFonts w:eastAsia="IRNazanin" w:cs="IRNazanin"/>
          <w:color w:val="111111"/>
          <w:sz w:val="28"/>
          <w:szCs w:val="28"/>
          <w:rtl w:val="true"/>
          <w:lang w:bidi="fa-IR"/>
        </w:rPr>
        <w:t xml:space="preserve">. </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إنّ هذا التفسیر هو موضع اهتمام الأدباء الفرس ومن له علاقة بالتفاسیر المدّونة باللغة 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والبعض منهم لخّصه، ومن جملة من لخّصه یمکن ذکر تلخیصة تفسیر کشف الأسرار وعدّة الأبرار للدکتور رضا أنزافی نژاد، وتفسیر أدبی وعرفانی قرآن مجید حبیب الله آموزگار، والذی هو فی الحقیقة تلخیص کشف الأسرار فی قسمین وضمن مجلّد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وضع السید محمّد جواد شریعة لتفسیر کشف الأسرار فهرسة کاملة هی محلّ تقدیر جدّاً</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نماذج من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یعتمد المؤلّف فی التفسیر علی الأسلوب الذی نُورده کشاهد</w:t>
      </w:r>
      <w:bookmarkStart w:id="830" w:name="pg5285_67521"/>
    </w:p>
    <w:p>
      <w:pPr>
        <w:pStyle w:val="BookText"/>
        <w:rPr/>
      </w:pPr>
      <w:bookmarkEnd w:id="830"/>
      <w:r>
        <w:rPr>
          <w:rFonts w:ascii="IRNazanin" w:hAnsi="IRNazanin" w:eastAsia="IRNazanin"/>
          <w:color w:val="111111"/>
          <w:sz w:val="28"/>
          <w:sz w:val="28"/>
          <w:szCs w:val="28"/>
          <w:rtl w:val="true"/>
          <w:lang w:bidi="fa-IR"/>
        </w:rPr>
        <w:t xml:space="preserve">ضمن ثلاثة مستویات فی تفسیر الخواجه عبد الله الأنصاری فی تفسیر الآیة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الحجر وهی علی الآنی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آتَیْناکَ سَبْعاً مِنَ الْمَثانِی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یقوم بترجمتها إلی الفارسیة دونما یهتَم بغیر الترجمة</w:t>
      </w:r>
      <w:r>
        <w:rPr>
          <w:rFonts w:eastAsia="Amiri" w:cs="Amiri" w:ascii="Amiri" w:hAnsi="Amiri"/>
          <w:color w:val="111111"/>
          <w:sz w:val="28"/>
          <w:szCs w:val="28"/>
          <w:rtl w:val="true"/>
          <w:lang w:bidi="ar-SA"/>
        </w:rPr>
        <w:t xml:space="preserve">. </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آتَیْناکَ سَبْعاً مِنَ الْمَثانِی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،هناک خمسة أقوال فی معنی السبع المثانی، وأشهرها،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فاتحة 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أکثر علماء التفسیر وأئمّة السلف اعتمدوا هذا الدلیل الوارد عن المصطفی صلّی الله علیه و آله، 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سبع آیات إحداهنّ بسم الله الرحمن الرحیم، وهی السبع المثانی، وهی فاتحة الکتاب وهی أمّ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وواصل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سورة الفاتحة و التی هی السبع المثانی التی تقرأ فی کلّ صلاة، وفی کلّ رکعة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وواصل أیضاً فی ذکر أربعة أقوال مفصّلة أخری</w:t>
      </w:r>
      <w:r>
        <w:rPr>
          <w:rFonts w:eastAsia="IRNazanin" w:cs="IRNazanin"/>
          <w:color w:val="111111"/>
          <w:sz w:val="28"/>
          <w:szCs w:val="28"/>
          <w:rtl w:val="true"/>
          <w:lang w:bidi="fa-IR"/>
        </w:rPr>
        <w:t xml:space="preserve">. </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آتَیْناکَ سَبْعاً مِنَ الْمَثانِی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سبعاً من الکرامات التی یثنی بها علیک یا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الهدایة و النصرة، 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النبوّة و الرساله، 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الرأفة و الرحمة، والرابعة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البصیرة، والخامسة، السکینة، والسادسة المحبّة، والسابعة القرب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أتی بشواهد قرآنیة علی کلّ واحدة من هذه السبع المثانی</w:t>
      </w:r>
      <w:r>
        <w:rPr>
          <w:rFonts w:eastAsia="IRNazanin" w:cs="IRNazanin"/>
          <w:color w:val="111111"/>
          <w:sz w:val="28"/>
          <w:szCs w:val="28"/>
          <w:rtl w:val="true"/>
          <w:lang w:bidi="fa-IR"/>
        </w:rPr>
        <w:t xml:space="preserve">. </w:t>
      </w:r>
      <w:r>
        <w:rPr>
          <w:rStyle w:val="FootnoteAnchor"/>
          <w:rtl w:val="true"/>
        </w:rPr>
        <w:footnoteReference w:id="834"/>
      </w:r>
    </w:p>
    <w:p>
      <w:pPr>
        <w:pStyle w:val="Heading6"/>
        <w:numPr>
          <w:ilvl w:val="5"/>
          <w:numId w:val="1"/>
        </w:numPr>
        <w:rPr/>
      </w:pPr>
      <w:bookmarkStart w:id="831" w:name="__RefHeading___Toc634447_581953129"/>
      <w:bookmarkStart w:id="832" w:name="_Toc319"/>
      <w:bookmarkEnd w:id="831"/>
      <w:r>
        <w:rPr/>
        <w:t>6</w:t>
      </w:r>
      <w:r>
        <w:rPr>
          <w:rtl w:val="true"/>
        </w:rPr>
        <w:t xml:space="preserve">. </w:t>
      </w:r>
      <w:r>
        <w:rPr>
          <w:rtl w:val="true"/>
        </w:rPr>
        <w:t>التفاسیر الأخری</w:t>
      </w:r>
      <w:bookmarkEnd w:id="832"/>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ذکر محمّد الأدنوی للقرن السادس قرابة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تفسیراً ومفسّراً، </w:t>
      </w:r>
      <w:r>
        <w:rPr>
          <w:rStyle w:val="FootnoteAnchor"/>
          <w:rtl w:val="true"/>
        </w:rPr>
        <w:footnoteReference w:id="835"/>
      </w:r>
      <w:r>
        <w:rPr>
          <w:rFonts w:ascii="IRNazanin" w:hAnsi="IRNazanin" w:eastAsia="IRNazanin"/>
          <w:color w:val="111111"/>
          <w:sz w:val="28"/>
          <w:sz w:val="28"/>
          <w:szCs w:val="28"/>
          <w:rtl w:val="true"/>
          <w:lang w:bidi="fa-IR"/>
        </w:rPr>
        <w:t>وعرفنا أهمّها، وهنا نشیر إلی أسماء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الشاطبی</w:t>
      </w:r>
      <w:r>
        <w:rPr>
          <w:rFonts w:eastAsia="IRNazanin" w:cs="IRNazanin"/>
          <w:color w:val="111111"/>
          <w:sz w:val="28"/>
          <w:szCs w:val="28"/>
          <w:rtl w:val="true"/>
          <w:lang w:bidi="fa-IR"/>
        </w:rPr>
        <w:t>(</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القرّاء و الأدباء</w:t>
      </w:r>
      <w:bookmarkStart w:id="833" w:name="pg5285_67522"/>
    </w:p>
    <w:p>
      <w:pPr>
        <w:pStyle w:val="BookText"/>
        <w:rPr/>
      </w:pPr>
      <w:bookmarkEnd w:id="833"/>
      <w:r>
        <w:rPr>
          <w:rFonts w:ascii="IRNazanin" w:hAnsi="IRNazanin" w:eastAsia="IRNazanin"/>
          <w:color w:val="111111"/>
          <w:sz w:val="28"/>
          <w:sz w:val="28"/>
          <w:szCs w:val="28"/>
          <w:rtl w:val="true"/>
          <w:lang w:bidi="fa-IR"/>
        </w:rPr>
        <w:t>المعروفین فی البلاغة صاحب تألیف فی التفسیر، الجواهر للإمام الغزالی، جامعة التفاسیر للراغب الأصفهانی، والذی بین فی مقدّمته أصول وقواعد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الراغب</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متخصّص فی أنواع علوم القرآن خاصة فی لغة القرآن وتفسیره، ومفرداته هی من أهمّ کتب اللغة فی معرفة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ومضافاً إلی ذلک فله اجتهاده فی المفاهیم اللغویة و المفردات، ویعدّ الکتاب أهمّ تفسیر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ومارس الراغب فی مفرداته عملاً فنیاً مبتکراً مطابقاً لترتیب حروف الهجائیة فی تبیین لغات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کتب فی مقدّمة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أدرکتُ فی نفسی أنّ أوّل شیء یحتاجُ إلیه طلاّب علوم القرآن هو التعرّف علی الألفاظ ومعانیها، والبحث و التحقیق فی معانی الألفاظ فی مفردات القرآن</w:t>
      </w:r>
      <w:r>
        <w:rPr>
          <w:rFonts w:eastAsia="IRNazanin" w:cs="IRNazanin"/>
          <w:color w:val="111111"/>
          <w:sz w:val="28"/>
          <w:szCs w:val="28"/>
          <w:rtl w:val="true"/>
          <w:lang w:bidi="fa-IR"/>
        </w:rPr>
        <w:t xml:space="preserve">. </w:t>
      </w:r>
      <w:r>
        <w:rPr>
          <w:rStyle w:val="FootnoteAnchor"/>
          <w:rtl w:val="true"/>
        </w:rPr>
        <w:footnoteReference w:id="836"/>
      </w:r>
    </w:p>
    <w:p>
      <w:pPr>
        <w:pStyle w:val="Heading3"/>
        <w:numPr>
          <w:ilvl w:val="2"/>
          <w:numId w:val="1"/>
        </w:numPr>
        <w:rPr/>
      </w:pPr>
      <w:bookmarkStart w:id="834" w:name="__RefHeading___Toc634449_581953129"/>
      <w:bookmarkStart w:id="835" w:name="_Toc320"/>
      <w:bookmarkEnd w:id="834"/>
      <w:r>
        <w:rPr>
          <w:rtl w:val="true"/>
        </w:rPr>
        <w:t>المحصّلة</w:t>
      </w:r>
      <w:bookmarkEnd w:id="8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النقاط الملفتة للانتباه فی توسّع ورقّی التفسیر فی القرن السادس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ما یقرب من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تفسیراً، وفی هذا القرن کتبت التفاسیر الاجتهادیة الجامعة التی قلّ نظیرها،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 و الکشاف، و روح الجنان تنوع التفاسیر فی مناهجها المختلفة،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المنهج الاجتهادی و الاتّجاه الکلامی، و الاتّجاه الأدبی و البیانی، و الاتّجاه العرفانی و اللغوی، وتألیف التفاسیر باللغة الفارسیة،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الأسرار للمیبدی، وروح الجنان لأبی الفتوح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قبیلة خزاعة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مجمع البیان للطبرسی</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والذی أخذ من تفسیر التبیان مع فارق الزیادة فی البحوث الأدبیة و النظم للموضوعات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التفسیر سبعة فنون، أهمّها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الفنّ الخامس فی الإعجاز، وعدم تحریف القرآن والاعتقاد بجمع القرآن فی عهد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والطبرسی هو کذلک مؤلّف تفسیر جوامع الجامع و الکاف الشاف</w:t>
      </w:r>
      <w:r>
        <w:rPr>
          <w:rFonts w:eastAsia="IRNazanin" w:cs="IRNazanin"/>
          <w:color w:val="111111"/>
          <w:sz w:val="28"/>
          <w:szCs w:val="28"/>
          <w:rtl w:val="true"/>
          <w:lang w:bidi="fa-IR"/>
        </w:rPr>
        <w:t>.</w:t>
      </w:r>
      <w:bookmarkStart w:id="836" w:name="pg5285_67523"/>
    </w:p>
    <w:p>
      <w:pPr>
        <w:pStyle w:val="BookText"/>
        <w:rPr/>
      </w:pPr>
      <w:bookmarkEnd w:id="836"/>
      <w:r>
        <w:rPr>
          <w:rFonts w:ascii="IRNazanin" w:hAnsi="IRNazanin" w:eastAsia="IRNazanin"/>
          <w:color w:val="111111"/>
          <w:sz w:val="28"/>
          <w:sz w:val="28"/>
          <w:szCs w:val="28"/>
          <w:rtl w:val="true"/>
          <w:lang w:bidi="fa-IR"/>
        </w:rPr>
        <w:t>و تفسیر روض الجَنان و روح الجِنان لأبی الفتوح الرازی</w:t>
      </w:r>
      <w:r>
        <w:rPr>
          <w:rFonts w:eastAsia="IRNazanin" w:cs="IRNazanin"/>
          <w:color w:val="111111"/>
          <w:sz w:val="28"/>
          <w:szCs w:val="28"/>
          <w:rtl w:val="true"/>
          <w:lang w:bidi="fa-IR"/>
        </w:rPr>
        <w:t>(</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باللغة الفارسیة یشبه لتفسیر التبیان، و هذا التفسیر کُتب أیضاً بالمنهج الاجتهادی والاتجاه الکلامی، والأدبی و العرفانی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بین التفاسیر التی کتبت فی هذا القرن فقه القرآن هو تفسیر لآیات الأحکام لکتابه قطب الدین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تمّ ترتیبه علی أساس الأبواب الفقهیة من الطهارة إلی الدیات، ومنهجه روائی، أخذت روایاته عن أهل‌البیت علیهم السّلام مع التحلیل ونقد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متشابه القرآن ومختلفه لابن شهر آشوب</w:t>
      </w: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التفاسیر التحلیلیة و الکلامیة، والذی اقتصر فیه علی الآیات المتشابه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ضمن تفاسیر أهل السنّة، تفسیر الکشاف للزمخشری</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والذی هو فی الاتّجاه الأدبی و البیان، و هو یطرح الفکر المعتزلی وآرائه الکلامیة جید جدّاً فی بیان الإعجاز الأدبی فی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معالم التنزیل للبغوی</w:t>
      </w:r>
      <w:r>
        <w:rPr>
          <w:rFonts w:eastAsia="IRNazanin" w:cs="IRNazanin"/>
          <w:color w:val="111111"/>
          <w:sz w:val="28"/>
          <w:szCs w:val="28"/>
          <w:rtl w:val="true"/>
          <w:lang w:bidi="fa-IR"/>
        </w:rPr>
        <w:t>(</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منهجٌ روائی بمعیة التوضیح اللغوی ومفهوم الآیاته وکذلک تفسیر زاد المسیر فی علم التفسیر لابن الجوزی</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العلماء و الأدباء و المفسّرین، و له مؤلّفات کثیرة فی بحوث علوم القرآن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المغنی و تفسیر البیان، وفنون الأفنان فی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التفسیر روائی فی منهجه ولکونه متخصّصاً فی البحوث الأدبیة، فله اتّجاهه الأدبی کذلک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وأخیراً تفسیر کشف الأسرار وعدّة الأبرار لرشید الدین المیبدی فی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 قد کتبه بالاتّجاه العرفانی، و قد ألّفه باللغة 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التفسیر هو شرح علی تفسیر الخواجه عبد الله الأنصاری أحد العرفاء الإسلامیین ذات الشهرة الواسعة، کما مرّ ذکره</w:t>
      </w:r>
      <w:r>
        <w:rPr>
          <w:rFonts w:eastAsia="IRNazanin" w:cs="IRNazanin"/>
          <w:color w:val="111111"/>
          <w:sz w:val="28"/>
          <w:szCs w:val="28"/>
          <w:rtl w:val="true"/>
          <w:lang w:bidi="fa-IR"/>
        </w:rPr>
        <w:t>.</w:t>
      </w:r>
    </w:p>
    <w:p>
      <w:pPr>
        <w:pStyle w:val="Heading3"/>
        <w:numPr>
          <w:ilvl w:val="2"/>
          <w:numId w:val="1"/>
        </w:numPr>
        <w:rPr/>
      </w:pPr>
      <w:bookmarkStart w:id="837" w:name="__RefHeading___Toc634451_581953129"/>
      <w:bookmarkStart w:id="838" w:name="_Toc321"/>
      <w:bookmarkEnd w:id="837"/>
      <w:r>
        <w:rPr>
          <w:rtl w:val="true"/>
        </w:rPr>
        <w:t>الأسئلة</w:t>
      </w:r>
      <w:bookmarkEnd w:id="8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وضّح أربع خصوصّیات ثقافیة للقرن السادس</w:t>
      </w:r>
      <w:r>
        <w:rPr>
          <w:rFonts w:eastAsia="IRNazanin" w:cs="IRNazanin"/>
          <w:color w:val="111111"/>
          <w:sz w:val="28"/>
          <w:szCs w:val="28"/>
          <w:rtl w:val="true"/>
          <w:lang w:bidi="fa-IR"/>
        </w:rPr>
        <w:t>.</w:t>
      </w:r>
      <w:bookmarkStart w:id="839" w:name="pg5285_67524"/>
    </w:p>
    <w:p>
      <w:pPr>
        <w:pStyle w:val="BookText"/>
        <w:rPr/>
      </w:pPr>
      <w:bookmarkEnd w:id="83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هی خصوصیة التفسیر فی القرن السادس؟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 تفسیرین من التفاسیر الفارسیة فی القرن السادس مع ذکر أسماء مؤلّفیها وإعطاء خلاصة عنهما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أجرِ مقارنة بین تفسیری مجمع البیان و التبیان وشخّص المنهج العملی لمجمع البیان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هو صاحب تفسیر الکشاف؟ وما هی خصوصیته واتّجاهه التفسیری؟ وضح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 تفسیری معالم التنزیل وزاد المسیر بثلاثة سطور لکلّ واحد منهما مع بیان خصوصیتهما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للبحث و التحقیق فی الموضوع</w:t>
      </w:r>
    </w:p>
    <w:p>
      <w:pPr>
        <w:pStyle w:val="BookText"/>
        <w:rPr/>
      </w:pPr>
      <w:r>
        <w:rPr>
          <w:rFonts w:ascii="IRNazanin" w:hAnsi="IRNazanin" w:eastAsia="IRNazanin"/>
          <w:color w:val="111111"/>
          <w:sz w:val="28"/>
          <w:sz w:val="28"/>
          <w:szCs w:val="28"/>
          <w:rtl w:val="true"/>
          <w:lang w:bidi="fa-IR"/>
        </w:rPr>
        <w:t xml:space="preserve">مع مراجعه تفسیر کشف الأسرار و البحث بالآیات المرتبطة بأهل البیت علیهم السّلام و التی من جملتها آیة التطهیر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آیة المباهلة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حقّق حول رؤیة میبدی فی أهل‌البیت علیهم السّلام وشخّص محصّلتک</w:t>
      </w:r>
      <w:r>
        <w:rPr>
          <w:rFonts w:eastAsia="IRNazanin" w:cs="IRNazanin"/>
          <w:color w:val="111111"/>
          <w:sz w:val="28"/>
          <w:szCs w:val="28"/>
          <w:rtl w:val="true"/>
          <w:lang w:bidi="fa-IR"/>
        </w:rPr>
        <w:t>.</w:t>
      </w:r>
    </w:p>
    <w:p>
      <w:pPr>
        <w:pStyle w:val="Heading3"/>
        <w:numPr>
          <w:ilvl w:val="2"/>
          <w:numId w:val="1"/>
        </w:numPr>
        <w:rPr/>
      </w:pPr>
      <w:bookmarkStart w:id="840" w:name="__RefHeading___Toc634453_581953129"/>
      <w:bookmarkStart w:id="841" w:name="_Toc322"/>
      <w:bookmarkEnd w:id="840"/>
      <w:r>
        <w:rPr>
          <w:rtl w:val="true"/>
        </w:rPr>
        <w:t>المصادر</w:t>
      </w:r>
      <w:bookmarkEnd w:id="8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کشف الأسرار وعدّة الأبرار لرشید الدین المیبدی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المفسّرون حیاتهم ومنهجهم، أیازی</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أدبی وعرفانی قرآن مجید، حبیب الله آموزکار</w:t>
      </w:r>
      <w:r>
        <w:rPr>
          <w:rFonts w:eastAsia="IRNazanin" w:cs="IRNazanin"/>
          <w:color w:val="111111"/>
          <w:sz w:val="28"/>
          <w:szCs w:val="28"/>
          <w:rtl w:val="true"/>
          <w:lang w:bidi="fa-IR"/>
        </w:rPr>
        <w:t>.</w:t>
      </w:r>
      <w:bookmarkStart w:id="842" w:name="pg5285_67525"/>
    </w:p>
    <w:p>
      <w:pPr>
        <w:pStyle w:val="Heading2"/>
        <w:numPr>
          <w:ilvl w:val="1"/>
          <w:numId w:val="1"/>
        </w:numPr>
        <w:rPr/>
      </w:pPr>
      <w:bookmarkStart w:id="843" w:name="__RefHeading___Toc634455_581953129"/>
      <w:bookmarkStart w:id="844" w:name="_Toc323"/>
      <w:bookmarkEnd w:id="842"/>
      <w:bookmarkEnd w:id="843"/>
      <w:r>
        <w:rPr/>
        <w:t>11</w:t>
      </w:r>
      <w:r>
        <w:rPr>
          <w:rtl w:val="true"/>
        </w:rPr>
        <w:t xml:space="preserve">- </w:t>
      </w:r>
      <w:r>
        <w:rPr>
          <w:rtl w:val="true"/>
        </w:rPr>
        <w:t>التفسیر فی القرون السابع و الثامن و التاسع</w:t>
      </w:r>
      <w:bookmarkEnd w:id="844"/>
    </w:p>
    <w:p>
      <w:pPr>
        <w:pStyle w:val="Heading3"/>
        <w:numPr>
          <w:ilvl w:val="2"/>
          <w:numId w:val="1"/>
        </w:numPr>
        <w:rPr/>
      </w:pPr>
      <w:bookmarkStart w:id="845" w:name="__RefHeading___Toc634457_581953129"/>
      <w:bookmarkStart w:id="846" w:name="_Toc324"/>
      <w:bookmarkEnd w:id="845"/>
      <w:r>
        <w:rPr>
          <w:rtl w:val="true"/>
        </w:rPr>
        <w:t>الموضوعات</w:t>
      </w:r>
      <w:bookmarkEnd w:id="846"/>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فی القرون السابع و الثامن و التاسع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التفسیر فی القرون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التفاسیر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الشیعة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البیان عن کشف معانی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المحیط الأعظم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جلاء الأذهان وجلاء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گازر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w:t>
      </w:r>
      <w:bookmarkStart w:id="847" w:name="pg5285_67526"/>
    </w:p>
    <w:p>
      <w:pPr>
        <w:pStyle w:val="BookText"/>
        <w:rPr/>
      </w:pPr>
      <w:bookmarkEnd w:id="847"/>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أهل السنة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الجامع لأحکام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أنوار التنزیل وأسرار التأویل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البیضاوی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غرائب القرآن ورغائب الفرقان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للنیسابوری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القرآن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کثیر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البحر المحیط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الخازن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الدرر فی تناسب الآیات و السور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سائر التفاسیر و المفسّرین فی القرون الثلاثة</w:t>
      </w:r>
      <w:r>
        <w:rPr>
          <w:rFonts w:eastAsia="IRNazanin" w:cs="IRNazanin"/>
          <w:color w:val="111111"/>
          <w:sz w:val="28"/>
          <w:szCs w:val="28"/>
          <w:rtl w:val="true"/>
          <w:lang w:bidi="fa-IR"/>
        </w:rPr>
        <w:t>.</w:t>
      </w:r>
    </w:p>
    <w:p>
      <w:pPr>
        <w:pStyle w:val="Heading3"/>
        <w:numPr>
          <w:ilvl w:val="2"/>
          <w:numId w:val="1"/>
        </w:numPr>
        <w:rPr/>
      </w:pPr>
      <w:bookmarkStart w:id="848" w:name="__RefHeading___Toc634459_581953129"/>
      <w:bookmarkStart w:id="849" w:name="_Toc325"/>
      <w:bookmarkEnd w:id="848"/>
      <w:r>
        <w:rPr>
          <w:rtl w:val="true"/>
        </w:rPr>
        <w:t>الأهداف</w:t>
      </w:r>
      <w:bookmarkEnd w:id="8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التعرّف علی التفاسیر و المفسّرین فی القرون الثلاثة</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الالتفات إلی تنوع التفاسیر فی هذه القرون الثلاثة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التعرّف علی التفاسیر الروائیة عند أهل السنّة</w:t>
      </w:r>
      <w:r>
        <w:rPr>
          <w:rFonts w:eastAsia="IRNazanin" w:cs="IRNazanin"/>
          <w:color w:val="111111"/>
          <w:sz w:val="28"/>
          <w:szCs w:val="28"/>
          <w:rtl w:val="true"/>
          <w:lang w:bidi="fa-IR"/>
        </w:rPr>
        <w:t>.</w:t>
      </w:r>
    </w:p>
    <w:p>
      <w:pPr>
        <w:pStyle w:val="Heading3"/>
        <w:numPr>
          <w:ilvl w:val="2"/>
          <w:numId w:val="1"/>
        </w:numPr>
        <w:rPr/>
      </w:pPr>
      <w:bookmarkStart w:id="850" w:name="__RefHeading___Toc634461_581953129"/>
      <w:bookmarkStart w:id="851" w:name="_Toc326"/>
      <w:bookmarkEnd w:id="850"/>
      <w:r>
        <w:rPr>
          <w:rtl w:val="true"/>
        </w:rPr>
        <w:t>الخصوصیات التفسیریة و الثقافیة فی القرون</w:t>
      </w:r>
      <w:r>
        <w:rPr>
          <w:rtl w:val="true"/>
        </w:rPr>
        <w:t>:</w:t>
      </w:r>
      <w:r>
        <w:rPr/>
        <w:t>9</w:t>
      </w:r>
      <w:r>
        <w:rPr/>
        <w:t>،</w:t>
      </w:r>
      <w:r>
        <w:rPr/>
        <w:t>8</w:t>
      </w:r>
      <w:r>
        <w:rPr/>
        <w:t>،</w:t>
      </w:r>
      <w:r>
        <w:rPr/>
        <w:t>7</w:t>
      </w:r>
      <w:r>
        <w:rPr>
          <w:rtl w:val="true"/>
        </w:rPr>
        <w:t>ق</w:t>
      </w:r>
      <w:r>
        <w:rPr>
          <w:rtl w:val="true"/>
        </w:rPr>
        <w:t>.</w:t>
      </w:r>
      <w:bookmarkEnd w:id="8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مداومة التحلیل والاجتهاد فی التفاسیر ونُشیر هنا إلی التفسیر الکبیر للفخر الرازی وتفسیر القرطبی الجامع لأحکام القرآن و تفسیر البیضاوی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مداومة تألیف التفاسیر المتنوعة فی الاتّجاهات المختلفة کالتفسیر الکبیر بالاتجاه الکلامی، و تفسیر القرطبی بالاتّجاه الأدبی و المنهج الفقهی، و تفسیر البیضاوی بالمنهج الاجتهادی، و البحر المحیط لأبی حیان الأندلسی بالاتّجاه الأدبی و البیانی، والکثیر من التفاسیر کتبت بالمنهج الروائی والاتّجاه العرفانی کتفسیر</w:t>
      </w:r>
    </w:p>
    <w:p>
      <w:pPr>
        <w:pStyle w:val="BookText"/>
        <w:rPr/>
      </w:pPr>
      <w:r>
        <w:rPr>
          <w:rFonts w:ascii="IRNazanin" w:hAnsi="IRNazanin" w:eastAsia="IRNazanin"/>
          <w:color w:val="111111"/>
          <w:sz w:val="28"/>
          <w:sz w:val="28"/>
          <w:szCs w:val="28"/>
          <w:rtl w:val="true"/>
          <w:lang w:bidi="fa-IR"/>
        </w:rPr>
        <w:t>محیی‌الدین بن عربی الملقّب بأبی علم العرفان</w:t>
      </w:r>
      <w:r>
        <w:rPr>
          <w:rFonts w:eastAsia="IRNazanin" w:cs="IRNazanin"/>
          <w:color w:val="111111"/>
          <w:sz w:val="28"/>
          <w:szCs w:val="28"/>
          <w:rtl w:val="true"/>
          <w:lang w:bidi="fa-IR"/>
        </w:rPr>
        <w:t>(</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أیضاً عدّة تفاسیر أخری، وکذلک ما هو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الإعجاز و البیان فی کشف أسرار القرآن لصدر الدین قونوی</w:t>
      </w:r>
      <w:r>
        <w:rPr>
          <w:rFonts w:eastAsia="IRNazanin" w:cs="IRNazanin"/>
          <w:color w:val="111111"/>
          <w:sz w:val="28"/>
          <w:szCs w:val="28"/>
          <w:rtl w:val="true"/>
          <w:lang w:bidi="fa-IR"/>
        </w:rPr>
        <w:t>(</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العرائس فی التأویل لروزبهان بقلی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ما یمکن ذکره هنا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القرن السابع و الثامن عادت فی وسط مفسّری أهل السنّة الحالة السلفیة فی التفسیر بالمنهج الروائی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تُؤلَّف للشیعة فی هذه القرون الثلاثة إلاّ تفاسیر قلیلة حتّی أطلق علیها بنوعٍ ما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أفول التفسیر عند الشیعة، ولعلّ أهمّ علّة تقف وراء ذلک هی الأوضاع السیاسیة المضطربة، خاصّة ما سبّبته غزوات المغول علی البلدان الإسلامیة، وجرّاء ذلک توجّه علماء المذهب للدفاع عن الإسلام و المسلمین، مع عامل انشغال البعض بالفقه و الفقاهة وتدوین الکتب الفقهیة القیمة، والتی هی إلی الآن تُعدّ أهمّ الکتب فی الفقه علی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نُشیر من جملتها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الفقهاء و القواعد ومختلف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الحُلّی</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الشرایع و المعتبر، و المختصر النافع للمحقّق الحُلّی</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وإیضاح الفوائد فی شرح مشکلات القواعد لفخر المحقّقین ابن العلاّمة الحُلّی</w:t>
      </w:r>
      <w:r>
        <w:rPr>
          <w:rFonts w:eastAsia="IRNazanin" w:cs="IRNazanin"/>
          <w:color w:val="111111"/>
          <w:sz w:val="28"/>
          <w:szCs w:val="28"/>
          <w:rtl w:val="true"/>
          <w:lang w:bidi="fa-IR"/>
        </w:rPr>
        <w:t>(</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الدروس و الذکری، و البیان و اللمعة لمحمّد بن مکّی المعروف بالشهید الأوّل</w:t>
      </w:r>
      <w:r>
        <w:rPr>
          <w:rFonts w:eastAsia="IRNazanin" w:cs="IRNazanin"/>
          <w:color w:val="111111"/>
          <w:sz w:val="28"/>
          <w:szCs w:val="28"/>
          <w:rtl w:val="true"/>
          <w:lang w:bidi="fa-IR"/>
        </w:rPr>
        <w:t>(</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83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کُتب فی هذه القرون الثلاثة ما یقارب ثلاثمائة تفسیر، ویمکن تقسیمها إلی أربعة أصناف وهی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المداومه علی التفسیر الاجتهادی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الاعتماد علی التفاسیر الروائیة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 التفاسیر المرتبطة بآیات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والتی یشاهد أکثرها فی القرن التاسع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التفاسیر العرفانیة</w:t>
      </w:r>
      <w:r>
        <w:rPr>
          <w:rFonts w:eastAsia="IRNazanin" w:cs="IRNazanin"/>
          <w:color w:val="111111"/>
          <w:sz w:val="28"/>
          <w:szCs w:val="28"/>
          <w:rtl w:val="true"/>
          <w:lang w:bidi="fa-IR"/>
        </w:rPr>
        <w:t>.</w:t>
      </w:r>
      <w:bookmarkStart w:id="852" w:name="pg5285_67528"/>
    </w:p>
    <w:p>
      <w:pPr>
        <w:pStyle w:val="BookText"/>
        <w:rPr/>
      </w:pPr>
      <w:bookmarkEnd w:id="852"/>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الأوضاع السیاسیة المضطربة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الفترة بدأ الغزو المغولی فی المائة السابعة للهجرة، وأورد أفدح الضّرر بالثقافة الإسلامیة و التمدن الإسلامی، فقد بدأ المغول هجومهم الغادر و المدمّر سنة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واستمر الی سنة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وشمل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 النهر وخوارزم، وخراسان وشمال إیران حتّی وصل إلی أوربا، وکان یبید المغولُ الجماعةَ تلو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کانت بغداد أهمّ المدن الإسلامیة؛ إذ کانت هی مرکز العالم الإسلامی، وبسبب سقوطها بأیدی المغول تعرّض المسلمون لأکبر نکبة فادحة ومؤلمة من ضمن ما مرّ بهم من النکبات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الصعید، فقد کتب رسول جعفریان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حادثة سقوط بغداد وانحلال الخلافة العباسیة، لهی أکبر حادثة تاریخیة یتعرّض لها الإسلام فی القرون الوسطی</w:t>
      </w:r>
      <w:r>
        <w:rPr>
          <w:rFonts w:eastAsia="IRNazanin" w:cs="IRNazanin"/>
          <w:color w:val="111111"/>
          <w:sz w:val="28"/>
          <w:szCs w:val="28"/>
          <w:rtl w:val="true"/>
          <w:lang w:bidi="fa-IR"/>
        </w:rPr>
        <w:t xml:space="preserve">. </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ولا یخفی أنّ هذه الأحداث لها مردوداتها السلبیة التی لا حصر لها،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بوجه نشر الثقافة القرآنیة، ولکن مع هذا نجد أنّ تفاسیراً کثیرة کتبت فی تلک المراحل الصعبة نعرض لها</w:t>
      </w:r>
      <w:r>
        <w:rPr>
          <w:rFonts w:eastAsia="IRNazanin" w:cs="IRNazanin"/>
          <w:color w:val="111111"/>
          <w:sz w:val="28"/>
          <w:szCs w:val="28"/>
          <w:rtl w:val="true"/>
          <w:lang w:bidi="fa-IR"/>
        </w:rPr>
        <w:t>:</w:t>
      </w:r>
    </w:p>
    <w:p>
      <w:pPr>
        <w:pStyle w:val="Heading3"/>
        <w:numPr>
          <w:ilvl w:val="2"/>
          <w:numId w:val="1"/>
        </w:numPr>
        <w:rPr/>
      </w:pPr>
      <w:bookmarkStart w:id="853" w:name="__RefHeading___Toc634463_581953129"/>
      <w:bookmarkStart w:id="854" w:name="_Toc327"/>
      <w:bookmarkEnd w:id="853"/>
      <w:r>
        <w:rPr>
          <w:rtl w:val="true"/>
        </w:rPr>
        <w:t>تفاسیر الشیعة</w:t>
      </w:r>
      <w:bookmarkEnd w:id="854"/>
    </w:p>
    <w:p>
      <w:pPr>
        <w:pStyle w:val="Heading4"/>
        <w:numPr>
          <w:ilvl w:val="3"/>
          <w:numId w:val="1"/>
        </w:numPr>
        <w:rPr/>
      </w:pPr>
      <w:bookmarkStart w:id="855" w:name="__RefHeading___Toc634465_581953129"/>
      <w:bookmarkStart w:id="856" w:name="_Toc328"/>
      <w:bookmarkEnd w:id="855"/>
      <w:r>
        <w:rPr/>
        <w:t>1</w:t>
      </w:r>
      <w:r>
        <w:rPr>
          <w:rtl w:val="true"/>
        </w:rPr>
        <w:t xml:space="preserve">. </w:t>
      </w:r>
      <w:r>
        <w:rPr>
          <w:rtl w:val="true"/>
        </w:rPr>
        <w:t>نهج البیان عن کشف معانی القرآن</w:t>
      </w:r>
      <w:r>
        <w:rPr>
          <w:rtl w:val="true"/>
        </w:rPr>
        <w:t>:</w:t>
      </w:r>
      <w:bookmarkEnd w:id="856"/>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الشیبانی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حیاً إلی سنة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روائی مبسّط</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المفسّر صاحب هذا الکتاب هو من علماء الشیعة الکبار فی القرن السابع</w:t>
      </w:r>
    </w:p>
    <w:p>
      <w:pPr>
        <w:pStyle w:val="BookText"/>
        <w:rPr/>
      </w:pPr>
      <w:r>
        <w:rPr>
          <w:rFonts w:ascii="IRNazanin" w:hAnsi="IRNazanin" w:eastAsia="IRNazanin"/>
          <w:color w:val="111111"/>
          <w:sz w:val="28"/>
          <w:sz w:val="28"/>
          <w:szCs w:val="28"/>
          <w:rtl w:val="true"/>
          <w:lang w:bidi="fa-IR"/>
        </w:rPr>
        <w:t>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کتب هذا التفسیر فی عصر خلافة المستنصر بالله العباسی؛ لأجل إهدائه إلی مکتبة المستنصریة فی بغداد، وتحت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الخزانة المستنصریة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یتولّی إدارتها محمِّد بن العلقمی الأسدی الشیعی البغدادی و هذا التفسیر یمتاز بإسلوبه البسیط، فهو یوضّح الآیات بما یستفیده من الروایات، وفی بعض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المجلّد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یکتفی بالمعنی اللغوی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وحینما یتمکن من الاستدلال بالروایات الواردة عن رسول‌الله صلّی الله علیه و آله و الأئمّة الأطهار علیهم السّلام أو أقوال الصحابة و التابعین فهو یذکرها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التفسیر خالٍ من البحوث النحویة و الإعراب، و التصریف الاشتقاق و القراءات إلاّ ما ندر فی بعض المواقع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یعظّم المفسّر ضمن نقله أحادیث النبی صلّی الله علیه و آله و الأئمّة المعصومین علیهم السّلام، الأئمّة الأطهار علیهم السّلام ویثنی کثیراً علی ابن عبّاس، ویقول عنه أنّه العالم الحبر، وفی موارد کثیرة ینقل عن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ویعوّل فی تفسیره التبیان للشیخ الطوسی ویعبّر عنه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استفاد من الشیخ المفید و الطبری، والزجّاج و الفرّاء، وأبی عبید فی البحوث الکلامیة، والروائیة و اللغویة</w:t>
      </w:r>
      <w:r>
        <w:rPr>
          <w:rFonts w:eastAsia="IRNazanin" w:cs="IRNazanin"/>
          <w:color w:val="111111"/>
          <w:sz w:val="28"/>
          <w:szCs w:val="28"/>
          <w:rtl w:val="true"/>
          <w:lang w:bidi="fa-IR"/>
        </w:rPr>
        <w:t xml:space="preserve">. </w:t>
      </w:r>
      <w:r>
        <w:rPr>
          <w:rStyle w:val="FootnoteAnchor"/>
          <w:rtl w:val="true"/>
        </w:rPr>
        <w:footnoteReference w:id="839"/>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التفسیر هو من التفاسیر التی نقل عنها المحدّث البحرانی کثیراً فی تفسیره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کتبه وفق الأسلوب الترتیبی، وترکت الکثیر من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ینصّ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واضحة و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وضع مقدّمة علی تفسیره یری فیها أنّ المفسّرین الحقیقیون هم النبی صلّی الله علیه و آله و الأئمة علیهم السّلام ثمّ بحث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نزول القرآن موضوع الدفعی و التدریجی، و عدد السور المکیة و المدنیة، وعدد الآیات وکلمات القرآن، و نزول القرآن علی سبعة أحرف، و مفهوم مفردات القرآن واشتقاقاتها، و موضوع الألفاظ ومن جملتها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الحقیقة و المجاز، و مفهوم فعل الأمر و النهی، و المحکم</w:t>
      </w:r>
      <w:bookmarkStart w:id="857" w:name="pg5285_67530"/>
    </w:p>
    <w:p>
      <w:pPr>
        <w:pStyle w:val="BookText"/>
        <w:rPr/>
      </w:pPr>
      <w:bookmarkEnd w:id="857"/>
      <w:r>
        <w:rPr>
          <w:rFonts w:ascii="IRNazanin" w:hAnsi="IRNazanin" w:eastAsia="IRNazanin"/>
          <w:color w:val="111111"/>
          <w:sz w:val="28"/>
          <w:sz w:val="28"/>
          <w:szCs w:val="28"/>
          <w:rtl w:val="true"/>
          <w:lang w:bidi="fa-IR"/>
        </w:rPr>
        <w:t>والمتشابه، و المبین و المجمل، و الناسخ و المنسوخ، و العامّ و الخاصّ، و أمثال ومخاطبات القرآن، ونزول القرآن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عنی واسمعی یا 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والتکرار فی القصص القرآنیة الکلمات و الجمل القرآنیة، وفلسفة الاستعاذة و البسملة</w:t>
      </w:r>
      <w:r>
        <w:rPr>
          <w:rFonts w:eastAsia="IRNazanin" w:cs="IRNazanin"/>
          <w:color w:val="111111"/>
          <w:sz w:val="28"/>
          <w:szCs w:val="28"/>
          <w:rtl w:val="true"/>
          <w:lang w:bidi="fa-IR"/>
        </w:rPr>
        <w:t xml:space="preserve">. </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ونُذکّر أنّ هذا التفسیر طُبع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تحقیق السید حسین درکاهی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مقدّمة قیمة جدّاً فی خمسة مجلّدات ثمّ لُخّصّ فی مجلّدین ضمن طبعة 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نُشیر إلی نموذج من التفسیر، کما کتب فی ذیل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الصَّفا وَ الْمَرْوَةَ مِنْ شَعائِرِ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فی هذا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الصّخرة الملساء التی صلّی علیها أبونا آدم علیه السّلام، والمروة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الصخرة الخشنة التی صلّت علیها أمنّا حوّاء؛ ولهذا السبب سُمّی الجبلان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بالصفا و المروة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هو یسنده إلی ابن عبّاس، والإمام الباقر و الصادق</w:t>
      </w:r>
      <w:r>
        <w:rPr>
          <w:rFonts w:eastAsia="IRNazanin" w:cs="IRNazanin"/>
          <w:color w:val="111111"/>
          <w:sz w:val="28"/>
          <w:szCs w:val="28"/>
          <w:rtl w:val="true"/>
          <w:lang w:bidi="fa-IR"/>
        </w:rPr>
        <w:t xml:space="preserve">. </w:t>
      </w:r>
      <w:r>
        <w:rPr>
          <w:rStyle w:val="FootnoteAnchor"/>
          <w:rtl w:val="true"/>
        </w:rPr>
        <w:footnoteReference w:id="841"/>
      </w:r>
    </w:p>
    <w:p>
      <w:pPr>
        <w:pStyle w:val="Heading4"/>
        <w:numPr>
          <w:ilvl w:val="3"/>
          <w:numId w:val="1"/>
        </w:numPr>
        <w:rPr/>
      </w:pPr>
      <w:bookmarkStart w:id="858" w:name="__RefHeading___Toc634467_581953129"/>
      <w:bookmarkStart w:id="859" w:name="_Toc329"/>
      <w:bookmarkEnd w:id="858"/>
      <w:r>
        <w:rPr/>
        <w:t>2</w:t>
      </w:r>
      <w:r>
        <w:rPr>
          <w:rtl w:val="true"/>
        </w:rPr>
        <w:t xml:space="preserve">. </w:t>
      </w:r>
      <w:r>
        <w:rPr>
          <w:rtl w:val="true"/>
        </w:rPr>
        <w:t>البلابل القلاقل</w:t>
      </w:r>
      <w:bookmarkEnd w:id="859"/>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المکارم، محمود بن محمّد الحسنی الواعظ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الإتّجاه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المکارم الحسنی الواعظ هو من مفسّری القرن السابع، وله مؤلّفات أخری من جملتها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هدایة العوام فی عقائد الأنام کتبه فی علم العقیدة، و هو من رسائله</w:t>
      </w:r>
    </w:p>
    <w:p>
      <w:pPr>
        <w:pStyle w:val="BookText"/>
        <w:rPr/>
      </w:pPr>
      <w:r>
        <w:rPr>
          <w:rFonts w:ascii="IRNazanin" w:hAnsi="IRNazanin" w:eastAsia="IRNazanin"/>
          <w:color w:val="111111"/>
          <w:sz w:val="28"/>
          <w:sz w:val="28"/>
          <w:szCs w:val="28"/>
          <w:rtl w:val="true"/>
          <w:lang w:bidi="fa-IR"/>
        </w:rPr>
        <w:t xml:space="preserve">الکلامیة التی ألّفها فی سنة </w:t>
      </w:r>
      <w:r>
        <w:rPr>
          <w:rFonts w:eastAsia="IRNazanin" w:cs="IRNazanin"/>
          <w:color w:val="111111"/>
          <w:sz w:val="28"/>
          <w:szCs w:val="28"/>
          <w:lang w:bidi="fa-IR"/>
        </w:rPr>
        <w:t>659</w:t>
      </w:r>
      <w:r>
        <w:rPr>
          <w:rFonts w:eastAsia="IRNazanin" w:cs="IRNazanin"/>
          <w:color w:val="111111"/>
          <w:sz w:val="28"/>
          <w:szCs w:val="28"/>
          <w:rtl w:val="true"/>
          <w:lang w:bidi="fa-IR"/>
        </w:rPr>
        <w:t>-</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یفهم علی أنّه من علماء القرن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علّة تسمیة هذا التفسیر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القلاقل، فهو تفسیره الآیات التی تبدأ بقلّ أو تتضمّنها، وهناک موارد مستثناة</w:t>
      </w:r>
      <w:r>
        <w:rPr>
          <w:rFonts w:eastAsia="IRNazanin" w:cs="IRNazanin"/>
          <w:color w:val="111111"/>
          <w:sz w:val="28"/>
          <w:szCs w:val="28"/>
          <w:rtl w:val="true"/>
          <w:lang w:bidi="fa-IR"/>
        </w:rPr>
        <w:t xml:space="preserve">. </w:t>
      </w:r>
      <w:r>
        <w:rPr>
          <w:rStyle w:val="FootnoteAnchor"/>
          <w:rtl w:val="true"/>
        </w:rPr>
        <w:footnoteReference w:id="842"/>
      </w:r>
      <w:r>
        <w:rPr>
          <w:rFonts w:ascii="IRNazanin" w:hAnsi="IRNazanin" w:eastAsia="IRNazanin"/>
          <w:color w:val="111111"/>
          <w:sz w:val="28"/>
          <w:sz w:val="28"/>
          <w:szCs w:val="28"/>
          <w:rtl w:val="true"/>
          <w:lang w:bidi="fa-IR"/>
        </w:rPr>
        <w:t>و هذا المنهج له سابقة، فقد کتب ابن زُهرة</w:t>
      </w:r>
      <w:r>
        <w:rPr>
          <w:rFonts w:eastAsia="IRNazanin" w:cs="IRNazanin"/>
          <w:color w:val="111111"/>
          <w:sz w:val="28"/>
          <w:szCs w:val="28"/>
          <w:rtl w:val="true"/>
          <w:lang w:bidi="fa-IR"/>
        </w:rPr>
        <w:t>(</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وبعده جلال الدین محمّد بن أسعد الدوانی</w:t>
      </w:r>
      <w:r>
        <w:rPr>
          <w:rFonts w:eastAsia="IRNazanin" w:cs="IRNazanin"/>
          <w:color w:val="111111"/>
          <w:sz w:val="28"/>
          <w:szCs w:val="28"/>
          <w:rtl w:val="true"/>
          <w:lang w:bidi="fa-IR"/>
        </w:rPr>
        <w:t>(</w:t>
      </w:r>
      <w:r>
        <w:rPr>
          <w:rFonts w:eastAsia="IRNazanin" w:cs="IRNazanin"/>
          <w:color w:val="111111"/>
          <w:sz w:val="28"/>
          <w:szCs w:val="28"/>
          <w:lang w:bidi="fa-IR"/>
        </w:rPr>
        <w:t>908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الأسلوب نفسه</w:t>
      </w:r>
      <w:r>
        <w:rPr>
          <w:rFonts w:eastAsia="IRNazanin" w:cs="IRNazanin"/>
          <w:color w:val="111111"/>
          <w:sz w:val="28"/>
          <w:szCs w:val="28"/>
          <w:rtl w:val="true"/>
          <w:lang w:bidi="fa-IR"/>
        </w:rPr>
        <w:t xml:space="preserve">. </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و میزة هذا التفسیر هی الاهتمام بالجانب الروائی والاختصار و السیر علی تقدّم السور، و قد اکتفی فی کثیر من الموارد بالترجمة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یخصّ الآیات المرتبطة بأهل‌البیت علیهم السّلام فإنّه یبین فضائلهم من خلالها، و هو یستفید من روایات الصحابة و التابعین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روایات أهل السنّة ینقل عن تفسیر الطبری و المصابیح، وصحیح مسلم و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التفسیر هو من مصادر اللغة الفارسیة المهمّة فی النثر الفارسی و الذی کتبه مؤلّفه بنثر جمیل، و قد ضمّنه شعراً، منها ما کتبت فی ذیل آیة المودّة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حبّ علی وآل بتولت نبود امید شفاعت رسولت نبود</w:t>
      </w:r>
    </w:p>
    <w:p>
      <w:pPr>
        <w:pStyle w:val="BookText"/>
        <w:rPr/>
      </w:pPr>
      <w:r>
        <w:rPr>
          <w:rFonts w:ascii="IRNazanin" w:hAnsi="IRNazanin" w:eastAsia="IRNazanin"/>
          <w:color w:val="111111"/>
          <w:sz w:val="28"/>
          <w:sz w:val="28"/>
          <w:szCs w:val="28"/>
          <w:rtl w:val="true"/>
          <w:lang w:bidi="fa-IR"/>
        </w:rPr>
        <w:t>إذا لم یکن حبّ علی وتلک بتولک لم یکن أمل بشفاعة رسولک</w:t>
      </w:r>
    </w:p>
    <w:p>
      <w:pPr>
        <w:pStyle w:val="BookText"/>
        <w:rPr/>
      </w:pPr>
      <w:r>
        <w:rPr>
          <w:rFonts w:ascii="IRNazanin" w:hAnsi="IRNazanin" w:eastAsia="IRNazanin"/>
          <w:color w:val="111111"/>
          <w:sz w:val="28"/>
          <w:sz w:val="28"/>
          <w:szCs w:val="28"/>
          <w:rtl w:val="true"/>
          <w:lang w:bidi="fa-IR"/>
        </w:rPr>
        <w:t>گر تو ز همه گناه‌ها توبه کنی بی حبّ علی توبه قبولت نبود</w:t>
      </w:r>
    </w:p>
    <w:p>
      <w:pPr>
        <w:pStyle w:val="BookText"/>
        <w:rPr/>
      </w:pPr>
      <w:r>
        <w:rPr>
          <w:rFonts w:ascii="IRNazanin" w:hAnsi="IRNazanin" w:eastAsia="IRNazanin"/>
          <w:color w:val="111111"/>
          <w:sz w:val="28"/>
          <w:sz w:val="28"/>
          <w:szCs w:val="28"/>
          <w:rtl w:val="true"/>
          <w:lang w:bidi="fa-IR"/>
        </w:rPr>
        <w:t xml:space="preserve">حتی و إن أنت تبت عن کلّ الذنوب فإنّ توبتک لا تقبل من غیر حبّ علی </w:t>
      </w:r>
      <w:r>
        <w:rPr>
          <w:rStyle w:val="FootnoteAnchor"/>
          <w:rtl w:val="true"/>
        </w:rPr>
        <w:footnoteReference w:id="844"/>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طُبع هذا التفسیر بجهود منشورات إحیاء الکتب فی سنة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تحقیقه علی ید السید محمّد حسین صفاخواه، و قد کُتبت مقدّمة علی هذا التفسیر؛ ولأجل فهم نفس التفسیر خصوصاً النکات المرتبطة بالنثر الفارسی هی ضروریة ومفیدة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وللمؤلّف تفسیر آخر و هو باللغة الفارسیة أیضاً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دقائق التأویل وحقائق التنزیل، و قد طُبع فی مجلّدین بتحقیق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جویا جهانبخش ضمن منشورات مرکز نشر</w:t>
      </w:r>
      <w:bookmarkStart w:id="860" w:name="pg5285_67532"/>
    </w:p>
    <w:p>
      <w:pPr>
        <w:pStyle w:val="BookText"/>
        <w:rPr/>
      </w:pPr>
      <w:bookmarkEnd w:id="860"/>
      <w:r>
        <w:rPr>
          <w:rFonts w:ascii="IRNazanin" w:hAnsi="IRNazanin" w:eastAsia="IRNazanin"/>
          <w:color w:val="111111"/>
          <w:sz w:val="28"/>
          <w:sz w:val="28"/>
          <w:szCs w:val="28"/>
          <w:rtl w:val="true"/>
          <w:lang w:bidi="fa-IR"/>
        </w:rPr>
        <w:t>میراث مکتوب، و قد أشبع الحدیث فیه عن ولایة علی وخلافته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لغة هذا التفسیر من حیث التغییم مثل لغة تفسیر القلاقل تحتاج إلی تغییرات تنسجم مع الجیل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التفسیر مع کونه ترتیبیاً إلاّ أنّه لم یفسّر کلّ الآیات، بل هو مارس عملیة انتقاء الآیات التی یفسّرها،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لم یفسّر سورة الحمد وشرع من الآیة الرابعة، من سورة البقرة و إنّ أکثر الآیات التی تعرّض لتفسیرها هی المتضمّنة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w:t>
      </w:r>
      <w:r>
        <w:rPr>
          <w:rFonts w:eastAsia="IRNazanin" w:cs="IRNazanin"/>
          <w:color w:val="111111"/>
          <w:sz w:val="28"/>
          <w:szCs w:val="28"/>
          <w:rtl w:val="true"/>
          <w:lang w:bidi="fa-IR"/>
        </w:rPr>
        <w:t>) .</w:t>
      </w:r>
    </w:p>
    <w:p>
      <w:pPr>
        <w:pStyle w:val="Heading4"/>
        <w:numPr>
          <w:ilvl w:val="3"/>
          <w:numId w:val="1"/>
        </w:numPr>
        <w:rPr/>
      </w:pPr>
      <w:bookmarkStart w:id="861" w:name="__RefHeading___Toc634469_581953129"/>
      <w:bookmarkStart w:id="862" w:name="_Toc330"/>
      <w:bookmarkEnd w:id="861"/>
      <w:r>
        <w:rPr/>
        <w:t>3</w:t>
      </w:r>
      <w:r>
        <w:rPr>
          <w:rtl w:val="true"/>
        </w:rPr>
        <w:t xml:space="preserve">. </w:t>
      </w:r>
      <w:r>
        <w:rPr>
          <w:rtl w:val="true"/>
        </w:rPr>
        <w:t>المحیط الأعظم</w:t>
      </w:r>
      <w:bookmarkEnd w:id="862"/>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حیدر علوی الآملی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موضوعی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الإتّجاه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عرفانی صوفی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حیدر علوی الحسینی الآملی المازندرانی عالم فاضل فقیه مفسّر محدّث، و هو من علماء الشیعة الإمامیة الکبار، ومن أکابر الصوفیه، إنّه صاحب تألیفات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الأسرار ومنبع الأنوار، و شرح علی کتاب فصوص الحکم لمحیی الدین بن عربی، ویشتمل التفسیر الموجود علی مجلّدین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اقتصر المجلّد الأوّل علی المقدّمات التفسیریة و الغایة التی ابتغاها من تألیف هکذا تفسیر، و قد أوردها قبل دخوله ببحوث مقدّماته السبعة، والتی هی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التأویل و التفسیر، و حقیقة التأویل، و تأویل المتشابهات الراسخون فی العلم، و أنّ ذلک مقتصر علی أهل‌البیت علیهم السّلام، فقط و قد بین فی هذه المقدّمة خصوصیة، طهارة وعصمة أهل‌البیت علیهم السّلام و الإمام المهدی عجّل الله تعالی فرجه الشریف</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الواقع أنّ المجلّد الأوّل یمثّل المقدّمة الأولی من المقدّمات السبعة التی بینها، والمجلّد الثانی بحث فیه إلی المقدّمة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العالم</w:t>
      </w:r>
      <w:bookmarkStart w:id="863" w:name="pg5285_67533"/>
    </w:p>
    <w:p>
      <w:pPr>
        <w:pStyle w:val="BookText"/>
        <w:rPr/>
      </w:pPr>
      <w:bookmarkEnd w:id="863"/>
      <w:r>
        <w:rPr>
          <w:rFonts w:ascii="IRNazanin" w:hAnsi="IRNazanin" w:eastAsia="IRNazanin"/>
          <w:color w:val="111111"/>
          <w:sz w:val="28"/>
          <w:sz w:val="28"/>
          <w:szCs w:val="28"/>
          <w:rtl w:val="true"/>
          <w:lang w:bidi="fa-IR"/>
        </w:rPr>
        <w:t>والإنسان و القرآن، و فی المقدّمة الثالثة یکتب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الحروف الآفاقیة الإلهیة وتطبیقها علی الحروف القرآنیة و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والمقدمة الرابعة جاء فیها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الکلمات الآفاقیة وتطبیقها علی الکلمات القرآنیة، والمقدّمة الخامسة تقع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الآفاقیة وتطابقها بالآیات القرآنیة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التفسیر هو تفسیر سورة الحمد وقسم من سورة البقرة، إلاّ أنّه فی الحقیقة تفسیر موضوعی بالکامل وبالاتّجاه العرفانی، قد تشرّب بآراء العرفاء و الصوفیة بشکل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یقع فی مجلّدین، قام بتحقیقه السید محسن الموسوی التبریزی، و قد طَبِعَتهُ وزارة الإرشاد فی الجمهوریة الإسلامیة فی إیران</w:t>
      </w:r>
      <w:r>
        <w:rPr>
          <w:rFonts w:eastAsia="IRNazanin" w:cs="IRNazanin"/>
          <w:color w:val="111111"/>
          <w:sz w:val="28"/>
          <w:szCs w:val="28"/>
          <w:rtl w:val="true"/>
          <w:lang w:bidi="fa-IR"/>
        </w:rPr>
        <w:t>.</w:t>
      </w:r>
    </w:p>
    <w:p>
      <w:pPr>
        <w:pStyle w:val="Heading4"/>
        <w:numPr>
          <w:ilvl w:val="3"/>
          <w:numId w:val="1"/>
        </w:numPr>
        <w:rPr/>
      </w:pPr>
      <w:bookmarkStart w:id="864" w:name="__RefHeading___Toc634471_581953129"/>
      <w:bookmarkStart w:id="865" w:name="_Toc331"/>
      <w:bookmarkEnd w:id="864"/>
      <w:r>
        <w:rPr/>
        <w:t>4</w:t>
      </w:r>
      <w:r>
        <w:rPr>
          <w:rtl w:val="true"/>
        </w:rPr>
        <w:t xml:space="preserve">. </w:t>
      </w:r>
      <w:r>
        <w:rPr>
          <w:rtl w:val="true"/>
        </w:rPr>
        <w:t xml:space="preserve">تفسیر گازر </w:t>
      </w:r>
      <w:r>
        <w:rPr>
          <w:rtl w:val="true"/>
        </w:rPr>
        <w:t>(</w:t>
      </w:r>
      <w:r>
        <w:rPr>
          <w:rtl w:val="true"/>
        </w:rPr>
        <w:t>جلاء الأذهان وجلاء الأحزان</w:t>
      </w:r>
      <w:r>
        <w:rPr>
          <w:rtl w:val="true"/>
        </w:rPr>
        <w:t>)</w:t>
      </w:r>
      <w:bookmarkEnd w:id="865"/>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المحاسن، حسین بن حسن الجرجانی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حیاً إلی سنة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اجتهادی، مع اعتماده الأکثر علی أخبار وفضائل أهل‌البیت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الاتّجاه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وأدبی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المؤلّف هو أبو المحاسن الجرجانی من علماء الشیعة فی القرن الثامن، صاحب ریحانة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وصُف بالعالم الفاضل، والمحدّث المفسّر؛ و أمّا الاسم الأصلی للتفسیر کما جاء فی مقدمته التی کتبها هو جلاء الأذهان وجلاء الأحزان فی تفسیر القرآن، ویعرف بالفارسیة بتفسیر گازر</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بین المؤلّف الهدف من وضع هذا،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تقدیم خدمة للناطقین بالفارسیة، ولأجل أن یکونَ التفسیر منسجماً مع أفهام وإدراک الشیعة ذلک الزمن، وکذلک فی سبیل بیان الأحادیث و الأخبار ومناقب وفضائل أهل‌البیت علیهم السّلام، ولتتنوّر وتُسَرُّ قلوب عُشّاقهم</w:t>
      </w:r>
      <w:r>
        <w:rPr>
          <w:rFonts w:eastAsia="IRNazanin" w:cs="IRNazanin"/>
          <w:color w:val="111111"/>
          <w:sz w:val="28"/>
          <w:szCs w:val="28"/>
          <w:rtl w:val="true"/>
          <w:lang w:bidi="fa-IR"/>
        </w:rPr>
        <w:t xml:space="preserve">. </w:t>
      </w:r>
      <w:r>
        <w:rPr>
          <w:rStyle w:val="FootnoteAnchor"/>
          <w:rtl w:val="true"/>
        </w:rPr>
        <w:footnoteReference w:id="845"/>
      </w:r>
      <w:bookmarkStart w:id="866" w:name="pg5285_67534"/>
    </w:p>
    <w:p>
      <w:pPr>
        <w:pStyle w:val="BookText"/>
        <w:rPr/>
      </w:pPr>
      <w:bookmarkEnd w:id="866"/>
      <w:r>
        <w:rPr>
          <w:rFonts w:ascii="IRNazanin" w:hAnsi="IRNazanin" w:eastAsia="IRNazanin"/>
          <w:color w:val="111111"/>
          <w:sz w:val="28"/>
          <w:sz w:val="28"/>
          <w:szCs w:val="28"/>
          <w:rtl w:val="true"/>
          <w:lang w:bidi="fa-IR"/>
        </w:rPr>
        <w:t>و هذا التفسیر صار فیما بعد مصدراً لاستفادة الملا فتح الله الکاشانی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الصادقین و لوامع التنزیل</w:t>
      </w:r>
      <w:r>
        <w:rPr>
          <w:rFonts w:eastAsia="IRNazanin" w:cs="IRNazanin"/>
          <w:color w:val="111111"/>
          <w:sz w:val="28"/>
          <w:szCs w:val="28"/>
          <w:rtl w:val="true"/>
          <w:lang w:bidi="fa-IR"/>
        </w:rPr>
        <w:t xml:space="preserve">. </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أمّا المصدر الأساس لتفسیر گازر، فهو وفقا للجهود التحقیقیة التی بذلت، وما هو علیه من أسلوبیة تفسیریة فی کتاب تفسیر أبی الفتوح الرازی الخزاعی، روض‌الجنان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الحقیقة إنّ التفسیر هو تلخیص مع تغییر واضافات من تفسیر أبی الفتوح الرازی الخُزاعی، مع أنّ المؤلّف لم یذکر اسم تفسیر أبی الفتوح ومنهجه التفسیری، إلاّ أنّ المنهج هو نفسه الموجود فی التفسیر لأبی الفتوح الرازی الخزاعی،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الاجتهادی الذی اعتمد الأخبار و الروایات خصوصاً فیما اهتمّ بما هو مرتبط بفضائل أهل‌البیت علیهم السّلام، و إنّ اتّجاهه التفسیری هو کذلک کلامیٌّ أدبیٌّ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التفسیر طُبع فی عشر مجلّدات و بتحقیق السید جلال الدین الحسینی الأرموی من أهل أرومیة، ومضافاً إلی هذا قد طُبع له مجلّد واحد خاصّ الفهارس، و هو یشمل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السور و القصص، والموضوعات، والأعلام، واللغات والاصطلاحات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بإنجازه عزیز الله عطاردی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تفسیر گارز</w:t>
      </w:r>
      <w:r>
        <w:rPr>
          <w:rFonts w:eastAsia="IRNazanin" w:cs="IRNazanin"/>
          <w:color w:val="111111"/>
          <w:sz w:val="28"/>
          <w:szCs w:val="28"/>
          <w:rtl w:val="true"/>
          <w:lang w:bidi="fa-IR"/>
        </w:rPr>
        <w:t>.</w:t>
      </w:r>
    </w:p>
    <w:p>
      <w:pPr>
        <w:pStyle w:val="Heading4"/>
        <w:numPr>
          <w:ilvl w:val="3"/>
          <w:numId w:val="1"/>
        </w:numPr>
        <w:rPr/>
      </w:pPr>
      <w:bookmarkStart w:id="867" w:name="__RefHeading___Toc634473_581953129"/>
      <w:bookmarkStart w:id="868" w:name="_Toc332"/>
      <w:bookmarkEnd w:id="867"/>
      <w:r>
        <w:rPr/>
        <w:t>5</w:t>
      </w:r>
      <w:r>
        <w:rPr>
          <w:rtl w:val="true"/>
        </w:rPr>
        <w:t xml:space="preserve">. </w:t>
      </w:r>
      <w:r>
        <w:rPr>
          <w:rtl w:val="true"/>
        </w:rPr>
        <w:t>سعد السعود</w:t>
      </w:r>
      <w:bookmarkEnd w:id="868"/>
    </w:p>
    <w:p>
      <w:pPr>
        <w:pStyle w:val="Heading5"/>
        <w:numPr>
          <w:ilvl w:val="4"/>
          <w:numId w:val="1"/>
        </w:numPr>
        <w:rPr/>
      </w:pPr>
      <w:bookmarkStart w:id="869" w:name="__RefHeading___Toc634475_581953129"/>
      <w:bookmarkStart w:id="870" w:name="_Toc333"/>
      <w:bookmarkEnd w:id="869"/>
      <w:r>
        <w:rPr>
          <w:rtl w:val="true"/>
        </w:rPr>
        <w:t>اشارة</w:t>
      </w:r>
      <w:bookmarkEnd w:id="870"/>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المؤلّف هو السید رضی الدین علی بن محمّد بن طاووس الحسنی الحلّی المعروف بالسید ابن طاووس</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علماء الشیعة الکبار فی القرن السابع، وصاحب الکرامات المشهودة و المؤلّفات الکثیرة</w:t>
      </w:r>
      <w:r>
        <w:rPr>
          <w:rFonts w:eastAsia="IRNazanin" w:cs="IRNazanin"/>
          <w:color w:val="111111"/>
          <w:sz w:val="28"/>
          <w:szCs w:val="28"/>
          <w:rtl w:val="true"/>
          <w:lang w:bidi="fa-IR"/>
        </w:rPr>
        <w:t xml:space="preserve">. </w:t>
      </w:r>
      <w:r>
        <w:rPr>
          <w:rStyle w:val="FootnoteAnchor"/>
          <w:rtl w:val="true"/>
        </w:rPr>
        <w:footnoteReference w:id="847"/>
      </w:r>
      <w:r>
        <w:rPr>
          <w:rFonts w:ascii="IRNazanin" w:hAnsi="IRNazanin" w:eastAsia="IRNazanin"/>
          <w:color w:val="111111"/>
          <w:sz w:val="28"/>
          <w:sz w:val="28"/>
          <w:szCs w:val="28"/>
          <w:rtl w:val="true"/>
          <w:lang w:bidi="fa-IR"/>
        </w:rPr>
        <w:t>و هو الذی بجهوده حُفِظَ المأثور من الأدعیة الشیعیة وأبقائها حیةً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المؤلّف أکثر من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أثراً معروفاً، أهمّها من کتب الأدعیة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الإقبال لصالح الأعمال، مصباح الزائر، و أسرار الدعوات و اللهوف</w:t>
      </w:r>
      <w:bookmarkStart w:id="871" w:name="pg5285_67535"/>
    </w:p>
    <w:p>
      <w:pPr>
        <w:pStyle w:val="BookText"/>
        <w:rPr/>
      </w:pPr>
      <w:bookmarkEnd w:id="871"/>
      <w:r>
        <w:rPr>
          <w:rFonts w:ascii="IRNazanin" w:hAnsi="IRNazanin" w:eastAsia="IRNazanin"/>
          <w:color w:val="111111"/>
          <w:sz w:val="28"/>
          <w:sz w:val="28"/>
          <w:szCs w:val="28"/>
          <w:rtl w:val="true"/>
          <w:lang w:bidi="fa-IR"/>
        </w:rPr>
        <w:t>علی قتلی الطفوف فی تاریخ حیاة الإمام الحسین علیه السّلام، و الطرائف فی الفقه، و سعد السعود فی التفسیر، وآثار کثیرة أخری</w:t>
      </w:r>
      <w:r>
        <w:rPr>
          <w:rFonts w:eastAsia="IRNazanin" w:cs="IRNazanin"/>
          <w:color w:val="111111"/>
          <w:sz w:val="28"/>
          <w:szCs w:val="28"/>
          <w:rtl w:val="true"/>
          <w:lang w:bidi="fa-IR"/>
        </w:rPr>
        <w:t xml:space="preserve">. </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و هو أخو السید بن طاووس،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أحمد بن طاووس</w:t>
      </w:r>
      <w:r>
        <w:rPr>
          <w:rFonts w:eastAsia="IRNazanin" w:cs="IRNazanin"/>
          <w:color w:val="111111"/>
          <w:sz w:val="28"/>
          <w:szCs w:val="28"/>
          <w:rtl w:val="true"/>
          <w:lang w:bidi="fa-IR"/>
        </w:rPr>
        <w:t>(</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فقهاء مذهب أهل‌البیت علیهم السّلام، وله مؤلّفات متعدّدة کذلک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شواهد القرآن، و هو فی عدّة مجلّدات</w:t>
      </w:r>
      <w:r>
        <w:rPr>
          <w:rFonts w:eastAsia="IRNazanin" w:cs="IRNazanin"/>
          <w:color w:val="111111"/>
          <w:sz w:val="28"/>
          <w:szCs w:val="28"/>
          <w:rtl w:val="true"/>
          <w:lang w:bidi="fa-IR"/>
        </w:rPr>
        <w:t xml:space="preserve">. </w:t>
      </w:r>
      <w:r>
        <w:rPr>
          <w:rStyle w:val="FootnoteAnchor"/>
          <w:rtl w:val="true"/>
        </w:rPr>
        <w:footnoteReference w:id="849"/>
      </w:r>
    </w:p>
    <w:p>
      <w:pPr>
        <w:pStyle w:val="Heading5"/>
        <w:numPr>
          <w:ilvl w:val="4"/>
          <w:numId w:val="1"/>
        </w:numPr>
        <w:rPr/>
      </w:pPr>
      <w:bookmarkStart w:id="872" w:name="__RefHeading___Toc634477_581953129"/>
      <w:bookmarkStart w:id="873" w:name="_Toc334"/>
      <w:bookmarkEnd w:id="872"/>
      <w:r>
        <w:rPr>
          <w:rtl w:val="true"/>
        </w:rPr>
        <w:t>تقریر عن تفاسیر الشیعة فی القرن التاسع</w:t>
      </w:r>
      <w:bookmarkEnd w:id="873"/>
    </w:p>
    <w:p>
      <w:pPr>
        <w:pStyle w:val="BookText"/>
        <w:rPr/>
      </w:pPr>
      <w:r>
        <w:rPr>
          <w:rFonts w:ascii="IRNazanin" w:hAnsi="IRNazanin" w:eastAsia="IRNazanin"/>
          <w:color w:val="111111"/>
          <w:sz w:val="28"/>
          <w:sz w:val="28"/>
          <w:szCs w:val="28"/>
          <w:rtl w:val="true"/>
          <w:lang w:bidi="fa-IR"/>
        </w:rPr>
        <w:t>فی هذا القرن کتبت مؤلّفات عرفانیة من 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شاه نعمت الله ولی کرمانی</w:t>
      </w:r>
      <w:r>
        <w:rPr>
          <w:rFonts w:eastAsia="IRNazanin" w:cs="IRNazanin"/>
          <w:color w:val="111111"/>
          <w:sz w:val="28"/>
          <w:szCs w:val="28"/>
          <w:rtl w:val="true"/>
          <w:lang w:bidi="fa-IR"/>
        </w:rPr>
        <w:t>(</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فی هذا القرن ألّفت تفاسیر فقهیة واسعة نُشیر إلی بعض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العرفان للفاضل مقداد السیوری</w:t>
      </w:r>
      <w:r>
        <w:rPr>
          <w:rFonts w:eastAsia="IRNazanin" w:cs="IRNazanin"/>
          <w:color w:val="111111"/>
          <w:sz w:val="28"/>
          <w:szCs w:val="28"/>
          <w:rtl w:val="true"/>
          <w:lang w:bidi="fa-IR"/>
        </w:rPr>
        <w:t>(</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النهایة فی تفسیر خمسمائة آیة لأحمد بن عبد الله بن سعید المتوّج، والمعروف بابن المتوّج</w:t>
      </w:r>
      <w:r>
        <w:rPr>
          <w:rFonts w:eastAsia="IRNazanin" w:cs="IRNazanin"/>
          <w:color w:val="111111"/>
          <w:sz w:val="28"/>
          <w:szCs w:val="28"/>
          <w:rtl w:val="true"/>
          <w:lang w:bidi="fa-IR"/>
        </w:rPr>
        <w:t>(</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المتوّج له أثران آخران کذلک، فالأوّل رسالة فی الناسخ و المنسوخ و الثانی هو تفسیر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التفاسیر لکمال الدین حسن بن المولی شمس الدین محمّد بن حسن الأستر أبادی</w:t>
      </w:r>
      <w:r>
        <w:rPr>
          <w:rFonts w:eastAsia="IRNazanin" w:cs="IRNazanin"/>
          <w:color w:val="111111"/>
          <w:sz w:val="28"/>
          <w:szCs w:val="28"/>
          <w:rtl w:val="true"/>
          <w:lang w:bidi="fa-IR"/>
        </w:rPr>
        <w:t>(</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مضافاً إلی عیون التفاسیر، شرح الفصول النصیریة وفی تفسیر آیات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معارج السؤول ومدارج المأمول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آیات الأحکام لأبی ناصر الشیخ أحمد بن عبد الله بن حسن المتوّج البحرانی </w:t>
      </w:r>
      <w:r>
        <w:rPr>
          <w:rFonts w:eastAsia="IRNazanin" w:cs="IRNazanin"/>
          <w:color w:val="111111"/>
          <w:sz w:val="28"/>
          <w:szCs w:val="28"/>
          <w:lang w:bidi="fa-IR"/>
        </w:rPr>
        <w:t>820</w:t>
      </w:r>
      <w:r>
        <w:rPr>
          <w:rFonts w:ascii="IRNazanin" w:hAnsi="IRNazanin" w:eastAsia="IRNazanin"/>
          <w:color w:val="111111"/>
          <w:sz w:val="28"/>
          <w:sz w:val="28"/>
          <w:szCs w:val="28"/>
          <w:rtl w:val="true"/>
          <w:lang w:bidi="fa-IR"/>
        </w:rPr>
        <w:t>ه، و هو عالم فاضل أدیب، و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نُقل أنّ کتاب الناسخ و المنسوخ من القرآن هو له کذلک</w:t>
      </w:r>
      <w:r>
        <w:rPr>
          <w:rFonts w:eastAsia="IRNazanin" w:cs="IRNazanin"/>
          <w:color w:val="111111"/>
          <w:sz w:val="28"/>
          <w:szCs w:val="28"/>
          <w:rtl w:val="true"/>
          <w:lang w:bidi="fa-IR"/>
        </w:rPr>
        <w:t xml:space="preserve">. </w:t>
      </w:r>
      <w:r>
        <w:rPr>
          <w:rStyle w:val="FootnoteAnchor"/>
          <w:rtl w:val="true"/>
        </w:rPr>
        <w:footnoteReference w:id="850"/>
      </w:r>
      <w:bookmarkStart w:id="874" w:name="pg5285_67536"/>
    </w:p>
    <w:p>
      <w:pPr>
        <w:pStyle w:val="BookText"/>
        <w:rPr/>
      </w:pPr>
      <w:bookmarkEnd w:id="874"/>
      <w:r>
        <w:rPr>
          <w:rFonts w:ascii="IRNazanin" w:hAnsi="IRNazanin" w:eastAsia="IRNazanin"/>
          <w:color w:val="111111"/>
          <w:sz w:val="28"/>
          <w:sz w:val="28"/>
          <w:szCs w:val="28"/>
          <w:rtl w:val="true"/>
          <w:lang w:bidi="fa-IR"/>
        </w:rPr>
        <w:t>ومضافاً علی ما تقدّم فی هذا القرن من تفاسیر فقد ألّفت تفاسیر أخری، ومن جملتها تفسیر الدیلمی لأبی الفضل الدیلمی و هو ابن بهاء الدین یوسف الدیلمی</w:t>
      </w:r>
      <w:r>
        <w:rPr>
          <w:rFonts w:eastAsia="IRNazanin" w:cs="IRNazanin"/>
          <w:color w:val="111111"/>
          <w:sz w:val="28"/>
          <w:szCs w:val="28"/>
          <w:rtl w:val="true"/>
          <w:lang w:bidi="fa-IR"/>
        </w:rPr>
        <w:t>(</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بعد ذکر بعض الآیات فی التفسیر و التأویل راح یدافع عن أهل‌البیت علیهم السّلام، وصار یبین وبشکل واسع البحوث الکلامیة فی الدفاع عن التشیع</w:t>
      </w:r>
      <w:r>
        <w:rPr>
          <w:rFonts w:eastAsia="IRNazanin" w:cs="IRNazanin"/>
          <w:color w:val="111111"/>
          <w:sz w:val="28"/>
          <w:szCs w:val="28"/>
          <w:rtl w:val="true"/>
          <w:lang w:bidi="fa-IR"/>
        </w:rPr>
        <w:t>.</w:t>
      </w:r>
    </w:p>
    <w:p>
      <w:pPr>
        <w:pStyle w:val="Heading3"/>
        <w:numPr>
          <w:ilvl w:val="2"/>
          <w:numId w:val="1"/>
        </w:numPr>
        <w:rPr/>
      </w:pPr>
      <w:bookmarkStart w:id="875" w:name="__RefHeading___Toc634479_581953129"/>
      <w:bookmarkStart w:id="876" w:name="_Toc335"/>
      <w:bookmarkEnd w:id="875"/>
      <w:r>
        <w:rPr>
          <w:rtl w:val="true"/>
        </w:rPr>
        <w:t>تفاسیر أهل السنّة</w:t>
      </w:r>
      <w:bookmarkEnd w:id="876"/>
    </w:p>
    <w:p>
      <w:pPr>
        <w:pStyle w:val="Heading4"/>
        <w:numPr>
          <w:ilvl w:val="3"/>
          <w:numId w:val="1"/>
        </w:numPr>
        <w:rPr/>
      </w:pPr>
      <w:bookmarkStart w:id="877" w:name="__RefHeading___Toc634481_581953129"/>
      <w:bookmarkStart w:id="878" w:name="_Toc336"/>
      <w:bookmarkEnd w:id="877"/>
      <w:r>
        <w:rPr/>
        <w:t>1</w:t>
      </w:r>
      <w:r>
        <w:rPr>
          <w:rtl w:val="true"/>
        </w:rPr>
        <w:t xml:space="preserve">. </w:t>
      </w:r>
      <w:r>
        <w:rPr>
          <w:rtl w:val="true"/>
        </w:rPr>
        <w:t xml:space="preserve">التفسیر الکبیر </w:t>
      </w:r>
      <w:r>
        <w:rPr>
          <w:rtl w:val="true"/>
        </w:rPr>
        <w:t>(</w:t>
      </w:r>
      <w:r>
        <w:rPr>
          <w:rtl w:val="true"/>
        </w:rPr>
        <w:t>مفاتیح الغیب</w:t>
      </w:r>
      <w:r>
        <w:rPr>
          <w:rtl w:val="true"/>
        </w:rPr>
        <w:t>)</w:t>
      </w:r>
      <w:bookmarkEnd w:id="878"/>
    </w:p>
    <w:p>
      <w:pPr>
        <w:pStyle w:val="Heading5"/>
        <w:numPr>
          <w:ilvl w:val="4"/>
          <w:numId w:val="1"/>
        </w:numPr>
        <w:rPr/>
      </w:pPr>
      <w:bookmarkStart w:id="879" w:name="__RefHeading___Toc634483_581953129"/>
      <w:bookmarkStart w:id="880" w:name="_Toc337"/>
      <w:bookmarkEnd w:id="879"/>
      <w:r>
        <w:rPr>
          <w:rtl w:val="true"/>
        </w:rPr>
        <w:t>اشارة</w:t>
      </w:r>
      <w:bookmarkEnd w:id="880"/>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أبوعبد الله، محمّد بن عمر التمیمی‌البکری الرازی، الملقّب بالفخر الرازی</w:t>
      </w:r>
    </w:p>
    <w:p>
      <w:pPr>
        <w:pStyle w:val="BookText"/>
        <w:rPr/>
      </w:pPr>
      <w:r>
        <w:rPr>
          <w:rFonts w:ascii="IRNazanin" w:hAnsi="IRNazanin" w:eastAsia="IRNazanin"/>
          <w:color w:val="111111"/>
          <w:sz w:val="28"/>
          <w:sz w:val="28"/>
          <w:szCs w:val="28"/>
          <w:rtl w:val="true"/>
          <w:lang w:bidi="fa-IR"/>
        </w:rPr>
        <w:t>حیاتة</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اجتهادی و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الإتجاه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وفلسفی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المؤلّف هو أبوعبد الله، محمّد بن عمر بن الحسین بن الحسن بن علی، التمیمی البکری الطبرستانی الرازی، الملقّب بفخر الدین، والمعروف بابن الخطیب الشافعی، المولود سنة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فرید عصره و من أبرز أهل زمانه، جمع کثیراً من العلوم و تعمّق فیها، فکان إماماً فی التفسیر و الکلام، والعلوم العقلیة وعلوم اللغة</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أکسبه نبوغه العلمی شهرةً عظیمةً، فکان العلماء یقصدونه من البلاد، و یشدّون إلیه الرحال من مختلف الأقطار</w:t>
      </w:r>
      <w:r>
        <w:rPr>
          <w:rFonts w:eastAsia="IRNazanin" w:cs="IRNazanin"/>
          <w:color w:val="111111"/>
          <w:sz w:val="28"/>
          <w:szCs w:val="28"/>
          <w:rtl w:val="true"/>
          <w:lang w:bidi="fa-IR"/>
        </w:rPr>
        <w:t xml:space="preserve">. </w:t>
      </w:r>
      <w:r>
        <w:rPr>
          <w:rStyle w:val="FootnoteAnchor"/>
          <w:rtl w:val="true"/>
        </w:rPr>
        <w:footnoteReference w:id="851"/>
      </w:r>
      <w:r>
        <w:rPr>
          <w:rFonts w:ascii="IRNazanin" w:hAnsi="IRNazanin" w:eastAsia="IRNazanin"/>
          <w:color w:val="111111"/>
          <w:sz w:val="28"/>
          <w:sz w:val="28"/>
          <w:szCs w:val="28"/>
          <w:rtl w:val="true"/>
          <w:lang w:bidi="fa-IR"/>
        </w:rPr>
        <w:t>و هو صاب خمسین ومائة کتاب ورساله باللغة الفارسیة و العربیة، وأهمّها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الکبیر، والذی طبع فی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ولهذا التفسیر طبعة فی بولاق 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 ثمّ طبعة فی مصر بجهود محمّد محیی الدین</w:t>
      </w:r>
    </w:p>
    <w:p>
      <w:pPr>
        <w:pStyle w:val="BookText"/>
        <w:rPr/>
      </w:pP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1933</w:t>
      </w:r>
      <w:r>
        <w:rPr>
          <w:rFonts w:ascii="IRNazanin" w:hAnsi="IRNazanin" w:eastAsia="IRNazanin"/>
          <w:color w:val="111111"/>
          <w:sz w:val="28"/>
          <w:sz w:val="28"/>
          <w:szCs w:val="28"/>
          <w:rtl w:val="true"/>
          <w:lang w:bidi="fa-IR"/>
        </w:rPr>
        <w:t xml:space="preserve">م فی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أمّا منهجه فی التفسیر، فهو المنهج الاجتهادی مع أنّ له اهتمام خاصّ بالبحوث العقلیة؛ ولذا فهو یعدّ فی زمرة التفاسیر العقلیة أیضاً</w:t>
      </w:r>
      <w:r>
        <w:rPr>
          <w:rFonts w:eastAsia="IRNazanin" w:cs="IRNazanin"/>
          <w:color w:val="111111"/>
          <w:sz w:val="28"/>
          <w:szCs w:val="28"/>
          <w:rtl w:val="true"/>
          <w:lang w:bidi="fa-IR"/>
        </w:rPr>
        <w:t xml:space="preserve">. </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وبهذا المعنی، فهو مشحون بالبحوث الکلامیة و الفلسفیة، ولکّنه فی منهجه یستدلّ بالآیات و الروایات، والأدلّة العقلیة و اللغة و الأدب، ویتعرّض لنقد الأقوال و الرؤی، ویبحث ویحقّق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أسلوبه العملی هو بشکل لا یتوقّف عند حدّ فی بحوثه ما دام یجد هناک مُبرّرّاً له، فهو یقول ما یرید قوله من خلال طرح الأسئلة و الشبهات، ثمّ یجیب علیها واحدة تلو الأخری، فهو الذی یشکل و هو الذی یحلّ الإشکال، بل و هو الذی یشکل علی جوابه ویردَّ علی ذلک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اشتهرت فیه مقولة 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یورد الشبهة نقداً ویحلّها نسیئةً</w:t>
      </w:r>
      <w:r>
        <w:rPr>
          <w:rFonts w:eastAsia="IRNazanin" w:cs="IRNazanin"/>
          <w:color w:val="111111"/>
          <w:sz w:val="28"/>
          <w:szCs w:val="28"/>
          <w:rtl w:val="true"/>
          <w:lang w:bidi="fa-IR"/>
        </w:rPr>
        <w:t xml:space="preserve">. </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و هو حاذق فی طرح الشبهات ولأجل ذلک سُمّی بإمام المشکّکین؛ وعلّة ذلک هو غوره فی البحوث العقلیة، ومن 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الفلسفة و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مؤلّفاته القیمة شرح علی کتاب الإشارات لابن سینا، والذی غالباً ما نقده، غیر أنّ الخواجه نصیر الدین الطوسی</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شرحه الإشارات کثیراً ما أجاب علی إشکالات الفخر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فإنّ الفخر الرازی له کتاب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المحصّل، والخواجة الطوسی ردّ علیه أیضاً وسمّی کتابه نقد المحصّل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نُقل عن الفخر الرازی فی أواخر عمره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لیتنی، لم اشتغل بعلم الکلام</w:t>
      </w:r>
      <w:r>
        <w:rPr>
          <w:rFonts w:eastAsia="IRNazanin" w:cs="IRNazanin"/>
          <w:color w:val="111111"/>
          <w:sz w:val="28"/>
          <w:szCs w:val="28"/>
          <w:rtl w:val="true"/>
          <w:lang w:bidi="fa-IR"/>
        </w:rPr>
        <w:t xml:space="preserve">. </w:t>
      </w:r>
      <w:r>
        <w:rPr>
          <w:rStyle w:val="FootnoteAnchor"/>
          <w:rtl w:val="true"/>
        </w:rPr>
        <w:footnoteReference w:id="854"/>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مکان آخر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الغور فی المباحث الفلسفیة و العقلیة المحضة لا فائدة منه، و إنّ أفضل الطُرُق هی الاستفادة من القرآن</w:t>
      </w:r>
      <w:r>
        <w:rPr>
          <w:rFonts w:eastAsia="IRNazanin" w:cs="IRNazanin"/>
          <w:color w:val="111111"/>
          <w:sz w:val="28"/>
          <w:szCs w:val="28"/>
          <w:rtl w:val="true"/>
          <w:lang w:bidi="fa-IR"/>
        </w:rPr>
        <w:t xml:space="preserve">. </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و قد اختلفوا فی تقییم هذا التفسیر، فبعض المعارضین للفلسفة و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ابن تیمیة</w:t>
      </w:r>
      <w:r>
        <w:rPr>
          <w:rFonts w:eastAsia="IRNazanin" w:cs="IRNazanin"/>
          <w:color w:val="111111"/>
          <w:sz w:val="28"/>
          <w:szCs w:val="28"/>
          <w:rtl w:val="true"/>
          <w:lang w:bidi="fa-IR"/>
        </w:rPr>
        <w:t>(</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هذا التفسیر کلّ شیء الاّ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قبالهم بعض المادحین للفخر الرازی مثل صلاح الدین الصفدی</w:t>
      </w:r>
      <w:r>
        <w:rPr>
          <w:rFonts w:eastAsia="IRNazanin" w:cs="IRNazanin"/>
          <w:color w:val="111111"/>
          <w:sz w:val="28"/>
          <w:szCs w:val="28"/>
          <w:rtl w:val="true"/>
          <w:lang w:bidi="fa-IR"/>
        </w:rPr>
        <w:t>(</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کلّ شیء حتّی التفسیر</w:t>
      </w:r>
      <w:r>
        <w:rPr>
          <w:rFonts w:eastAsia="IRNazanin" w:cs="IRNazanin"/>
          <w:color w:val="111111"/>
          <w:sz w:val="28"/>
          <w:szCs w:val="28"/>
          <w:rtl w:val="true"/>
          <w:lang w:bidi="fa-IR"/>
        </w:rPr>
        <w:t xml:space="preserve">. </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و أمّا علّة ذمّ التفسیر من قبل البعض، فهی زیادته فی التفصیل وتطویل الموضوع، بحیث یختلط فیه الحقّ و الباطل، وماله علاقة بالتفسیر وما لیس له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کتب فی مقدّمة تفسیره وفی وصیته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اعلموا أنّی کنتُ مجذوباً نحو العلم، وکتبتُ فی کلّ البحوث و الموضوعات سواء الحقّ منها أو الباطل البسیطة و القلیلة أو العلمیة و الکثیرة، ولکنّی اخترت الأسالیب الکلامیة و الفلسفیة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هدفی من إطالة البحث لیس إلاّ توسعة البحث لقوّة استیعاب الأذهان</w:t>
      </w:r>
      <w:r>
        <w:rPr>
          <w:rFonts w:eastAsia="IRNazanin" w:cs="IRNazanin"/>
          <w:color w:val="111111"/>
          <w:sz w:val="28"/>
          <w:szCs w:val="28"/>
          <w:rtl w:val="true"/>
          <w:lang w:bidi="fa-IR"/>
        </w:rPr>
        <w:t xml:space="preserve">. </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وکذلک بین علّة کتابته المفصلّة فی أوّل تفسیره ببیان صریح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إعلم أنّه مَرَّ علی لسانی فی بعض الأوقات أنَّ هذه السورة الکریمة یمکن أن یستنبط من فوائدها و نفائسها عشرة آلاف مسئلة، فاستبعد هذا بعض الحساد و قومٌ من أهل الجهل و الغی و العناد، و حملوا ذلک علی ما ألقوه من أنفسهم من التعلقات الفارغة عن المعانی و الکلمات الخالیة عن تحقیق المعاقد و المبانی، فلّما شرعتُ فی تصنیف هذا الکتاب، قدمت هذه المقدمة کالتنبیه علی أنَّ ماذکرناه أمر ممکن الحصول</w:t>
      </w:r>
      <w:r>
        <w:rPr>
          <w:rFonts w:eastAsia="IRNazanin" w:cs="IRNazanin"/>
          <w:color w:val="111111"/>
          <w:sz w:val="28"/>
          <w:szCs w:val="28"/>
          <w:rtl w:val="true"/>
          <w:lang w:bidi="fa-IR"/>
        </w:rPr>
        <w:t xml:space="preserve">. </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والتفسیر فی بدایته کثیر التفصیل وکان الجزء الأوّل هو حصة تفسیر سورة الحمد فقط، وحصّة سورة البقرة إلی الجزء السابع، و هو ما یقارب ربع التفسیر، غیر أنّه کلّما اقترب من نهایة التفسیر قلّل من تفصیله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والفخر الرازی أشعری فی عقائده، و قد دافع کثیراً فی تفسیره عن جبریة</w:t>
      </w:r>
      <w:bookmarkStart w:id="881" w:name="pg5285_67539"/>
    </w:p>
    <w:p>
      <w:pPr>
        <w:pStyle w:val="BookText"/>
        <w:rPr/>
      </w:pPr>
      <w:bookmarkEnd w:id="881"/>
      <w:r>
        <w:rPr>
          <w:rFonts w:ascii="IRNazanin" w:hAnsi="IRNazanin" w:eastAsia="IRNazanin"/>
          <w:color w:val="111111"/>
          <w:sz w:val="28"/>
          <w:sz w:val="28"/>
          <w:szCs w:val="28"/>
          <w:rtl w:val="true"/>
          <w:lang w:bidi="fa-IR"/>
        </w:rPr>
        <w:t xml:space="preserve">الأشعری </w:t>
      </w:r>
      <w:r>
        <w:rPr>
          <w:rStyle w:val="FootnoteAnchor"/>
          <w:rtl w:val="true"/>
        </w:rPr>
        <w:footnoteReference w:id="859"/>
      </w:r>
      <w:r>
        <w:rPr>
          <w:rFonts w:ascii="IRNazanin" w:hAnsi="IRNazanin" w:eastAsia="IRNazanin"/>
          <w:color w:val="111111"/>
          <w:sz w:val="28"/>
          <w:sz w:val="28"/>
          <w:szCs w:val="28"/>
          <w:rtl w:val="true"/>
          <w:lang w:bidi="fa-IR"/>
        </w:rPr>
        <w:t>حتّی أنّه فی بعض الأمور التی هی فی نظر العقلاء تصلح للنقد، وکذلک المفکّرون الإسلامیون لا یقبلونها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التکلیف بالمُحال، مع أنّه هو یراها جائزةً</w:t>
      </w:r>
      <w:r>
        <w:rPr>
          <w:rFonts w:eastAsia="IRNazanin" w:cs="IRNazanin"/>
          <w:color w:val="111111"/>
          <w:sz w:val="28"/>
          <w:szCs w:val="28"/>
          <w:rtl w:val="true"/>
          <w:lang w:bidi="fa-IR"/>
        </w:rPr>
        <w:t xml:space="preserve">. </w:t>
      </w:r>
      <w:r>
        <w:rPr>
          <w:rStyle w:val="FootnoteAnchor"/>
          <w:rtl w:val="true"/>
        </w:rPr>
        <w:footnoteReference w:id="860"/>
      </w:r>
      <w:r>
        <w:rPr>
          <w:rFonts w:ascii="IRNazanin" w:hAnsi="IRNazanin" w:eastAsia="IRNazanin"/>
          <w:color w:val="111111"/>
          <w:sz w:val="28"/>
          <w:sz w:val="28"/>
          <w:szCs w:val="28"/>
          <w:rtl w:val="true"/>
          <w:lang w:bidi="fa-IR"/>
        </w:rPr>
        <w:t>وفی نفس الحال کذلک نجده یدافع عن المعتزلة أحیاناً</w:t>
      </w:r>
      <w:r>
        <w:rPr>
          <w:rFonts w:eastAsia="IRNazanin" w:cs="IRNazanin"/>
          <w:color w:val="111111"/>
          <w:sz w:val="28"/>
          <w:szCs w:val="28"/>
          <w:rtl w:val="true"/>
          <w:lang w:bidi="fa-IR"/>
        </w:rPr>
        <w:t xml:space="preserve">. </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ویعتقد المستشرق جلدزیهر أنّ الفخر الرازی مع کونه مخالفاً للمعتزلة فی البحوث الکثیرة إلاّ أنّه یقبل بعض آرائهم</w:t>
      </w:r>
      <w:r>
        <w:rPr>
          <w:rFonts w:eastAsia="IRNazanin" w:cs="IRNazanin"/>
          <w:color w:val="111111"/>
          <w:sz w:val="28"/>
          <w:szCs w:val="28"/>
          <w:rtl w:val="true"/>
          <w:lang w:bidi="fa-IR"/>
        </w:rPr>
        <w:t xml:space="preserve">. </w:t>
      </w:r>
      <w:r>
        <w:rPr>
          <w:rStyle w:val="FootnoteAnchor"/>
          <w:rtl w:val="true"/>
        </w:rPr>
        <w:footnoteReference w:id="862"/>
      </w:r>
    </w:p>
    <w:p>
      <w:pPr>
        <w:pStyle w:val="Heading5"/>
        <w:numPr>
          <w:ilvl w:val="4"/>
          <w:numId w:val="1"/>
        </w:numPr>
        <w:rPr/>
      </w:pPr>
      <w:bookmarkStart w:id="882" w:name="__RefHeading___Toc634485_581953129"/>
      <w:bookmarkStart w:id="883" w:name="_Toc338"/>
      <w:bookmarkEnd w:id="882"/>
      <w:r>
        <w:rPr>
          <w:rtl w:val="true"/>
        </w:rPr>
        <w:t>الفخر الرازی وتمام التفسیر</w:t>
      </w:r>
      <w:bookmarkEnd w:id="883"/>
    </w:p>
    <w:p>
      <w:pPr>
        <w:pStyle w:val="BookText"/>
        <w:rPr/>
      </w:pPr>
      <w:r>
        <w:rPr>
          <w:rFonts w:ascii="IRNazanin" w:hAnsi="IRNazanin" w:eastAsia="IRNazanin"/>
          <w:color w:val="111111"/>
          <w:sz w:val="28"/>
          <w:sz w:val="28"/>
          <w:szCs w:val="28"/>
          <w:rtl w:val="true"/>
          <w:lang w:bidi="fa-IR"/>
        </w:rPr>
        <w:t>وفیما یخصّ تمام التفسیر أهو تمَّ علی ید الفخر الرازی نفسه أو علی تلامذته؟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فهناک رأیان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لمثل ابن خلّکان </w:t>
      </w:r>
      <w:r>
        <w:rPr>
          <w:rStyle w:val="FootnoteAnchor"/>
          <w:rtl w:val="true"/>
        </w:rPr>
        <w:footnoteReference w:id="863"/>
      </w:r>
      <w:r>
        <w:rPr>
          <w:rFonts w:ascii="IRNazanin" w:hAnsi="IRNazanin" w:eastAsia="IRNazanin"/>
          <w:color w:val="111111"/>
          <w:sz w:val="28"/>
          <w:sz w:val="28"/>
          <w:szCs w:val="28"/>
          <w:rtl w:val="true"/>
          <w:lang w:bidi="fa-IR"/>
        </w:rPr>
        <w:t xml:space="preserve">والحاج خلیفة، </w:t>
      </w:r>
      <w:r>
        <w:rPr>
          <w:rStyle w:val="FootnoteAnchor"/>
          <w:rtl w:val="true"/>
        </w:rPr>
        <w:footnoteReference w:id="864"/>
      </w:r>
      <w:r>
        <w:rPr>
          <w:rFonts w:ascii="IRNazanin" w:hAnsi="IRNazanin" w:eastAsia="IRNazanin"/>
          <w:color w:val="111111"/>
          <w:sz w:val="28"/>
          <w:sz w:val="28"/>
          <w:szCs w:val="28"/>
          <w:rtl w:val="true"/>
          <w:lang w:bidi="fa-IR"/>
        </w:rPr>
        <w:t xml:space="preserve">وابن حجر العسقلانی </w:t>
      </w:r>
      <w:r>
        <w:rPr>
          <w:rStyle w:val="FootnoteAnchor"/>
          <w:rtl w:val="true"/>
        </w:rPr>
        <w:footnoteReference w:id="865"/>
      </w:r>
      <w:r>
        <w:rPr>
          <w:rFonts w:ascii="IRNazanin" w:hAnsi="IRNazanin" w:eastAsia="IRNazanin"/>
          <w:color w:val="111111"/>
          <w:sz w:val="28"/>
          <w:sz w:val="28"/>
          <w:szCs w:val="28"/>
          <w:rtl w:val="true"/>
          <w:lang w:bidi="fa-IR"/>
        </w:rPr>
        <w:t xml:space="preserve">والذهبی، </w:t>
      </w:r>
      <w:r>
        <w:rPr>
          <w:rStyle w:val="FootnoteAnchor"/>
          <w:rtl w:val="true"/>
        </w:rPr>
        <w:footnoteReference w:id="866"/>
      </w:r>
      <w:r>
        <w:rPr>
          <w:rFonts w:ascii="IRNazanin" w:hAnsi="IRNazanin" w:eastAsia="IRNazanin"/>
          <w:color w:val="111111"/>
          <w:sz w:val="28"/>
          <w:sz w:val="28"/>
          <w:szCs w:val="28"/>
          <w:rtl w:val="true"/>
          <w:lang w:bidi="fa-IR"/>
        </w:rPr>
        <w:t xml:space="preserve">وصاحب شذرات الذهب </w:t>
      </w:r>
      <w:r>
        <w:rPr>
          <w:rStyle w:val="FootnoteAnchor"/>
          <w:rtl w:val="true"/>
        </w:rPr>
        <w:footnoteReference w:id="86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یرون أنّ التفسیر لم یکمل علی ید الرازی، و إنّما أکمله وأتّمه تلامذته، ومن جملتهم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الخوئی أو نجم الدین أحمد بن محمّد بن أبی الحزم المصری</w:t>
      </w:r>
      <w:r>
        <w:rPr>
          <w:rFonts w:eastAsia="IRNazanin" w:cs="IRNazanin"/>
          <w:color w:val="111111"/>
          <w:sz w:val="28"/>
          <w:szCs w:val="28"/>
          <w:rtl w:val="true"/>
          <w:lang w:bidi="fa-IR"/>
        </w:rPr>
        <w:t>(</w:t>
      </w:r>
      <w:r>
        <w:rPr>
          <w:rFonts w:eastAsia="IRNazanin" w:cs="IRNazanin"/>
          <w:color w:val="111111"/>
          <w:sz w:val="28"/>
          <w:szCs w:val="28"/>
          <w:lang w:bidi="fa-IR"/>
        </w:rPr>
        <w:t>727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البعض إنّ الرازی وصل بتفسیره إلی سورة الأنبیاء، وأدام إتمامه شخص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وواحدة من تلک العلل هی وجود التاریخ المتفاوت فی آخر تفسیر بعض السور</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للمحققّین المعاصرین،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محسن عبد الحمید و الشیخ</w:t>
      </w:r>
      <w:bookmarkStart w:id="884" w:name="pg5285_67540"/>
    </w:p>
    <w:p>
      <w:pPr>
        <w:pStyle w:val="BookText"/>
        <w:rPr/>
      </w:pPr>
      <w:bookmarkEnd w:id="884"/>
      <w:r>
        <w:rPr>
          <w:rFonts w:ascii="IRNazanin" w:hAnsi="IRNazanin" w:eastAsia="IRNazanin"/>
          <w:color w:val="111111"/>
          <w:sz w:val="28"/>
          <w:sz w:val="28"/>
          <w:szCs w:val="28"/>
          <w:rtl w:val="true"/>
          <w:lang w:bidi="fa-IR"/>
        </w:rPr>
        <w:t xml:space="preserve">خلیل میس </w:t>
      </w:r>
      <w:r>
        <w:rPr>
          <w:rStyle w:val="FootnoteAnchor"/>
          <w:rtl w:val="true"/>
        </w:rPr>
        <w:footnoteReference w:id="8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أزهر 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وآیة الله معرفة </w:t>
      </w:r>
      <w:r>
        <w:rPr>
          <w:rStyle w:val="FootnoteAnchor"/>
          <w:rtl w:val="true"/>
        </w:rPr>
        <w:footnoteReference w:id="869"/>
      </w:r>
      <w:r>
        <w:rPr>
          <w:rFonts w:ascii="IRNazanin" w:hAnsi="IRNazanin" w:eastAsia="IRNazanin"/>
          <w:color w:val="111111"/>
          <w:sz w:val="28"/>
          <w:sz w:val="28"/>
          <w:szCs w:val="28"/>
          <w:rtl w:val="true"/>
          <w:lang w:bidi="fa-IR"/>
        </w:rPr>
        <w:t>وحسین برکة الشامی الذی لخّص وحقّق التفسیر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وهؤلآء یعتقدون أنّ تمام التفسیر هو للفخر الرازی و دلیلهم علی ذلک الإرجاعات الموجودة فیه، ففی أی مکان أرجع فیه إلی السور الأخری أدام بحثه فی المکان الذی أوکل إلیه ووفی بوعده، أو فیما حصل أواخر السور التفسیریة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 الملک و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أرجع فیهما إلی تفسیر السور الأوائل، وعند المراجعة یمکن التوصل إلی أنّه معلوم الکاتب نفسه قام بهذا</w:t>
      </w:r>
      <w:r>
        <w:rPr>
          <w:rFonts w:eastAsia="IRNazanin" w:cs="IRNazanin"/>
          <w:color w:val="111111"/>
          <w:sz w:val="28"/>
          <w:szCs w:val="28"/>
          <w:rtl w:val="true"/>
          <w:lang w:bidi="fa-IR"/>
        </w:rPr>
        <w:t xml:space="preserve">. </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والدلیل الآخر هو نسق القلم حال جریه فی الموضوع الواحد، والذی لو کتبه شخص آخر یلزم أن یحصل التفاوت فیما بین الإسلوبین و القلمین فی التعبیر، بینما نلاحظ التناسق ووحدة الأسلوب</w:t>
      </w:r>
      <w:r>
        <w:rPr>
          <w:rFonts w:eastAsia="IRNazanin" w:cs="IRNazanin"/>
          <w:color w:val="111111"/>
          <w:sz w:val="28"/>
          <w:szCs w:val="28"/>
          <w:rtl w:val="true"/>
          <w:lang w:bidi="fa-IR"/>
        </w:rPr>
        <w:t>.</w:t>
      </w:r>
    </w:p>
    <w:p>
      <w:pPr>
        <w:pStyle w:val="Heading5"/>
        <w:numPr>
          <w:ilvl w:val="4"/>
          <w:numId w:val="1"/>
        </w:numPr>
        <w:rPr/>
      </w:pPr>
      <w:bookmarkStart w:id="885" w:name="__RefHeading___Toc634487_581953129"/>
      <w:bookmarkStart w:id="886" w:name="_Toc339"/>
      <w:bookmarkEnd w:id="885"/>
      <w:r>
        <w:rPr>
          <w:rtl w:val="true"/>
        </w:rPr>
        <w:t>مصادر التفسیر الکبیر</w:t>
      </w:r>
      <w:bookmarkEnd w:id="886"/>
    </w:p>
    <w:p>
      <w:pPr>
        <w:pStyle w:val="BookText"/>
        <w:rPr/>
      </w:pPr>
      <w:r>
        <w:rPr>
          <w:rFonts w:ascii="IRNazanin" w:hAnsi="IRNazanin" w:eastAsia="IRNazanin"/>
          <w:color w:val="111111"/>
          <w:sz w:val="28"/>
          <w:sz w:val="28"/>
          <w:szCs w:val="28"/>
          <w:rtl w:val="true"/>
          <w:lang w:bidi="fa-IR"/>
        </w:rPr>
        <w:t>إنّ الفخر الرازی ینقل روایاته عن الرسول الأکرم صلّی الله علیه و آله وأقوال الصحابة و التابعین، وفی اللغة یروی عن کبار أرباب اللغة،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الأصمعی أبی عبیدة، والفرّاء و الزجاج و المبرّد، ومن تفاسیر وکتب المعتزلة ینقل عن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مسلم الأصفهانی و القاضی عبد الجبّار و الزمخشری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هو یعطی أهمیة لأقول المفسّرین من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الثعلبی و الواحدی النیسابوری، والطبری و الباقلانی، وینقل آراءهم ویبینها</w:t>
      </w:r>
      <w:r>
        <w:rPr>
          <w:rFonts w:eastAsia="IRNazanin" w:cs="IRNazanin"/>
          <w:color w:val="111111"/>
          <w:sz w:val="28"/>
          <w:szCs w:val="28"/>
          <w:rtl w:val="true"/>
          <w:lang w:bidi="fa-IR"/>
        </w:rPr>
        <w:t>.</w:t>
      </w:r>
    </w:p>
    <w:p>
      <w:pPr>
        <w:pStyle w:val="Heading5"/>
        <w:numPr>
          <w:ilvl w:val="4"/>
          <w:numId w:val="1"/>
        </w:numPr>
        <w:rPr/>
      </w:pPr>
      <w:bookmarkStart w:id="887" w:name="__RefHeading___Toc634489_581953129"/>
      <w:bookmarkStart w:id="888" w:name="_Toc340"/>
      <w:bookmarkEnd w:id="887"/>
      <w:r>
        <w:rPr>
          <w:rtl w:val="true"/>
        </w:rPr>
        <w:t>خصائص التفسیر الکبیر</w:t>
      </w:r>
      <w:bookmarkEnd w:id="8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هذا التفسیر استطراد ونقل أقوال، ونقد وتشکیک</w:t>
      </w:r>
      <w:r>
        <w:rPr>
          <w:rFonts w:eastAsia="IRNazanin" w:cs="IRNazanin"/>
          <w:color w:val="111111"/>
          <w:sz w:val="28"/>
          <w:szCs w:val="28"/>
          <w:rtl w:val="true"/>
          <w:lang w:bidi="fa-IR"/>
        </w:rPr>
        <w:t>.</w:t>
      </w:r>
      <w:bookmarkStart w:id="889" w:name="pg5285_67541"/>
    </w:p>
    <w:p>
      <w:pPr>
        <w:pStyle w:val="BookText"/>
        <w:rPr/>
      </w:pPr>
      <w:bookmarkEnd w:id="88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مناقشة آراء ونظریات الحکماء، والفلاسفة و المتکلّمین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التحقیق فی القراءات وحجّتها، وإعراب الآیات وِفق القراءات المختلفة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أنّه ینقل فی هذا التفسیر أحادیث کثیرة وأقوالاً وافرة إلاّ أنّ مناقشاته ونقده واستدلالاته العقلیة هی أوسع من المنقولات و المأثورات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أسباب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ینقل فی الموارد المختلفة بسند وبدون 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أسباب نزول الآیات عن الصحابة و التابعین</w:t>
      </w:r>
      <w:r>
        <w:rPr>
          <w:rFonts w:eastAsia="IRNazanin" w:cs="IRNazanin"/>
          <w:color w:val="111111"/>
          <w:sz w:val="28"/>
          <w:szCs w:val="28"/>
          <w:rtl w:val="true"/>
          <w:lang w:bidi="fa-IR"/>
        </w:rPr>
        <w:t xml:space="preserve">. </w:t>
      </w:r>
      <w:r>
        <w:rPr>
          <w:rStyle w:val="FootnoteAnchor"/>
          <w:rtl w:val="true"/>
        </w:rPr>
        <w:footnoteReference w:id="87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الاستشهاد بالشعر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یستشهد فی مجال البحوث اللغویة و الأدبیة، والبلاغیة وحتّی الأخلاقیة بالشعر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الارتباط المنطقی بین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عمله فی التفسیر هو أنّه بعد تفسیره کلّ آیة یقوم ببیان العلاقة القائمة بین الآیة وما قبلها وما بعدها</w:t>
      </w:r>
      <w:r>
        <w:rPr>
          <w:rFonts w:eastAsia="IRNazanin" w:cs="IRNazanin"/>
          <w:color w:val="111111"/>
          <w:sz w:val="28"/>
          <w:szCs w:val="28"/>
          <w:rtl w:val="true"/>
          <w:lang w:bidi="fa-IR"/>
        </w:rPr>
        <w:t>.</w:t>
      </w:r>
    </w:p>
    <w:p>
      <w:pPr>
        <w:pStyle w:val="Heading5"/>
        <w:numPr>
          <w:ilvl w:val="4"/>
          <w:numId w:val="1"/>
        </w:numPr>
        <w:rPr/>
      </w:pPr>
      <w:bookmarkStart w:id="890" w:name="__RefHeading___Toc634491_581953129"/>
      <w:bookmarkStart w:id="891" w:name="_Toc341"/>
      <w:bookmarkEnd w:id="890"/>
      <w:r>
        <w:rPr>
          <w:rtl w:val="true"/>
        </w:rPr>
        <w:t>الفخر الرازی وأهل‌البیت علیهم السّلام</w:t>
      </w:r>
      <w:bookmarkEnd w:id="891"/>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 المراجعة إلی المواضع المختلفة من کتاب التفسیر الکبیر و الآیات المرتبطة بأهل‌البیت علیهم السّلام یتّضح بجلاء أنّ مؤلّفه کسب قصب السبق من کثیر من مفسّری أهل السنّة فی قضیة بیان فضائل أهل‌البیت علیهم السّلام، فهو فی الموارد التی یذکر فیها اسم علی‌بن‌أبی‌طالب علیه السّلام أو سائر أهل‌البیت علیهم السّلام یذکرهم باحترام، </w:t>
      </w:r>
      <w:r>
        <w:rPr>
          <w:rStyle w:val="FootnoteAnchor"/>
          <w:rtl w:val="true"/>
        </w:rPr>
        <w:footnoteReference w:id="872"/>
      </w:r>
      <w:r>
        <w:rPr>
          <w:rFonts w:ascii="IRNazanin" w:hAnsi="IRNazanin" w:eastAsia="IRNazanin"/>
          <w:color w:val="111111"/>
          <w:sz w:val="28"/>
          <w:sz w:val="28"/>
          <w:szCs w:val="28"/>
          <w:rtl w:val="true"/>
          <w:lang w:bidi="fa-IR"/>
        </w:rPr>
        <w:t>ویعتبر الصلاة علیهم من الأدعیة، ففی ذیل الآیة الواردة فی سورة البقرة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یَشْرِی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شأن النزول الثالث أنّها مرتبطة بعلی علیه السّلام لیلة الهجرة ومبیته علی فراش النبی صلّی الله علیه و آله</w:t>
      </w:r>
      <w:r>
        <w:rPr>
          <w:rFonts w:eastAsia="IRNazanin" w:cs="IRNazanin"/>
          <w:color w:val="111111"/>
          <w:sz w:val="28"/>
          <w:szCs w:val="28"/>
          <w:rtl w:val="true"/>
          <w:lang w:bidi="fa-IR"/>
        </w:rPr>
        <w:t xml:space="preserve">. </w:t>
      </w:r>
      <w:r>
        <w:rPr>
          <w:rStyle w:val="FootnoteAnchor"/>
          <w:rtl w:val="true"/>
        </w:rPr>
        <w:footnoteReference w:id="873"/>
      </w:r>
      <w:r>
        <w:rPr>
          <w:rFonts w:ascii="Amiri" w:hAnsi="Amiri" w:eastAsia="Amiri" w:cs="Amiri"/>
          <w:color w:val="111111"/>
          <w:sz w:val="28"/>
          <w:sz w:val="28"/>
          <w:szCs w:val="28"/>
          <w:rtl w:val="true"/>
          <w:lang w:bidi="ar-SA"/>
        </w:rPr>
        <w:t>وکتب فی ذیل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شانِئَکَ هُوَ الْأَبْتَرُ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الکوثر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فالمعنی أنّه</w:t>
      </w:r>
    </w:p>
    <w:p>
      <w:pPr>
        <w:pStyle w:val="BookText"/>
        <w:rPr/>
      </w:pPr>
      <w:r>
        <w:rPr>
          <w:rFonts w:ascii="IRNazanin" w:hAnsi="IRNazanin" w:eastAsia="IRNazanin"/>
          <w:color w:val="111111"/>
          <w:sz w:val="28"/>
          <w:sz w:val="28"/>
          <w:szCs w:val="28"/>
          <w:rtl w:val="true"/>
          <w:lang w:bidi="fa-IR"/>
        </w:rPr>
        <w:t>یعطیه نسلاً یبقون علی مرّ الزمان، فانظر کم قتل من أهل‌البیت علیهم السّلام ثمَّ العالم ممتلیء منهم، و لم یبقَ من بنی أهل أمیة فی الدنیا أحدٌ یعبأ به، ثمَّ انظر کم کان فیهم من الأکابر العلماء کالباقر و الصادق و الکاظم علیهم السّلام و النفس الزکیة وأمثالهم</w:t>
      </w:r>
      <w:r>
        <w:rPr>
          <w:rFonts w:eastAsia="IRNazanin" w:cs="IRNazanin"/>
          <w:color w:val="111111"/>
          <w:sz w:val="28"/>
          <w:szCs w:val="28"/>
          <w:rtl w:val="true"/>
          <w:lang w:bidi="fa-IR"/>
        </w:rPr>
        <w:t xml:space="preserve">. </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وفی تفسیر آیات سورة الإنسان أورد روایات متعلّقة بمرض الحسن و الحسین وإطعام علی علیه السّلام المسکین و الیتیم و الأسیر</w:t>
      </w:r>
      <w:r>
        <w:rPr>
          <w:rFonts w:eastAsia="IRNazanin" w:cs="IRNazanin"/>
          <w:color w:val="111111"/>
          <w:sz w:val="28"/>
          <w:szCs w:val="28"/>
          <w:rtl w:val="true"/>
          <w:lang w:bidi="fa-IR"/>
        </w:rPr>
        <w:t xml:space="preserve">. </w:t>
      </w:r>
      <w:r>
        <w:rPr>
          <w:rStyle w:val="FootnoteAnchor"/>
          <w:rtl w:val="true"/>
        </w:rPr>
        <w:footnoteReference w:id="875"/>
      </w:r>
      <w:r>
        <w:rPr>
          <w:rFonts w:ascii="IRNazanin" w:hAnsi="IRNazanin" w:eastAsia="IRNazanin"/>
          <w:color w:val="111111"/>
          <w:sz w:val="28"/>
          <w:sz w:val="28"/>
          <w:szCs w:val="28"/>
          <w:rtl w:val="true"/>
          <w:lang w:bidi="fa-IR"/>
        </w:rPr>
        <w:t>وکذلک فی ذیل آیة المباهلة یقبل أن علیاً علیه السّلام هو نفس النبی صلّی الله علیه و آله من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الآیة نزلت فی شأن أهل‌البیت علیهم السّلام</w:t>
      </w:r>
      <w:r>
        <w:rPr>
          <w:rFonts w:eastAsia="IRNazanin" w:cs="IRNazanin"/>
          <w:color w:val="111111"/>
          <w:sz w:val="28"/>
          <w:szCs w:val="28"/>
          <w:rtl w:val="true"/>
          <w:lang w:bidi="fa-IR"/>
        </w:rPr>
        <w:t xml:space="preserve">. </w:t>
      </w:r>
      <w:r>
        <w:rPr>
          <w:rStyle w:val="FootnoteAnchor"/>
          <w:rtl w:val="true"/>
        </w:rPr>
        <w:footnoteReference w:id="876"/>
      </w:r>
      <w:r>
        <w:rPr>
          <w:rFonts w:ascii="Amiri" w:hAnsi="Amiri" w:eastAsia="Amiri" w:cs="Amiri"/>
          <w:color w:val="111111"/>
          <w:sz w:val="28"/>
          <w:sz w:val="28"/>
          <w:szCs w:val="28"/>
          <w:rtl w:val="true"/>
          <w:lang w:bidi="ar-SA"/>
        </w:rPr>
        <w:t>وکذا فی ذیل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الرَّسُولُ بَلِّغْ ما أُنْزِلَ إِلَیْکَ مِنْ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 الآیة السابعة و الستون فی شأن النزول العاشر و الأخیر اعتبر أنّهامتعلّقة بإعلام الرسول صلّی الله علیه و آله عن فضل علی علیه السّلام، وأنّه آخذ بیده،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کنت مولاه فعلی مولاه، اللّهم والِ من والاه، وعادِ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أنّ عمراً بارک لعلی علیه السّلام ذلک</w:t>
      </w:r>
      <w:r>
        <w:rPr>
          <w:rFonts w:eastAsia="Amiri" w:cs="Amiri" w:ascii="Amiri" w:hAnsi="Amiri"/>
          <w:color w:val="111111"/>
          <w:sz w:val="28"/>
          <w:szCs w:val="28"/>
          <w:rtl w:val="true"/>
          <w:lang w:bidi="ar-SA"/>
        </w:rPr>
        <w:t xml:space="preserve">. </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 xml:space="preserve">و یطرح قضیة محبّة أهل‌البیت علیهم السّلام جیداً فی ذیل آیة المودّة، </w:t>
      </w:r>
      <w:r>
        <w:rPr>
          <w:rStyle w:val="FootnoteAnchor"/>
          <w:rtl w:val="true"/>
        </w:rPr>
        <w:footnoteReference w:id="878"/>
      </w:r>
      <w:r>
        <w:rPr>
          <w:rFonts w:ascii="IRNazanin" w:hAnsi="IRNazanin" w:eastAsia="IRNazanin"/>
          <w:color w:val="111111"/>
          <w:sz w:val="28"/>
          <w:sz w:val="28"/>
          <w:szCs w:val="28"/>
          <w:rtl w:val="true"/>
          <w:lang w:bidi="fa-IR"/>
        </w:rPr>
        <w:t>ویبین أنّ القربی بناءً علی کلّ الأقوال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وفاطمة، والحسن و الحسین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نقل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علی حبّ آل محمّد، مات شهیداً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إلی آخره عن الکشاف، وفی آخره أورد شعراً للإمام الشافعی الذی قال فیه</w:t>
      </w:r>
      <w:r>
        <w:rPr>
          <w:rFonts w:eastAsia="IRNazanin" w:cs="IRNazanin"/>
          <w:color w:val="111111"/>
          <w:sz w:val="28"/>
          <w:szCs w:val="28"/>
          <w:rtl w:val="true"/>
          <w:lang w:bidi="fa-IR"/>
        </w:rPr>
        <w:t xml:space="preserve">: </w:t>
      </w:r>
      <w:r>
        <w:rPr>
          <w:rStyle w:val="FootnoteAnchor"/>
          <w:rtl w:val="true"/>
        </w:rPr>
        <w:footnoteReference w:id="879"/>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کان رفضاً حبّ آل محمّد فلیشهد الثَقلان أنّی رافضی </w:t>
      </w:r>
      <w:r>
        <w:rPr>
          <w:rFonts w:eastAsia="Amiri" w:cs="Amiri" w:ascii="Amiri" w:hAnsi="Amiri"/>
          <w:color w:val="111111"/>
          <w:sz w:val="28"/>
          <w:szCs w:val="28"/>
          <w:lang w:bidi="ar-SA"/>
        </w:rPr>
        <w:t>6</w:t>
      </w:r>
      <w:bookmarkStart w:id="892" w:name="pg5285_67543"/>
    </w:p>
    <w:p>
      <w:pPr>
        <w:pStyle w:val="Heading4"/>
        <w:numPr>
          <w:ilvl w:val="3"/>
          <w:numId w:val="1"/>
        </w:numPr>
        <w:rPr/>
      </w:pPr>
      <w:bookmarkStart w:id="893" w:name="__RefHeading___Toc634493_581953129"/>
      <w:bookmarkStart w:id="894" w:name="_Toc342"/>
      <w:bookmarkEnd w:id="892"/>
      <w:bookmarkEnd w:id="893"/>
      <w:r>
        <w:rPr/>
        <w:t>2</w:t>
      </w:r>
      <w:r>
        <w:rPr>
          <w:rtl w:val="true"/>
        </w:rPr>
        <w:t xml:space="preserve">. </w:t>
      </w:r>
      <w:r>
        <w:rPr>
          <w:rtl w:val="true"/>
        </w:rPr>
        <w:t>الجامع لأحکام القرآن</w:t>
      </w:r>
      <w:bookmarkEnd w:id="894"/>
    </w:p>
    <w:p>
      <w:pPr>
        <w:pStyle w:val="Heading5"/>
        <w:numPr>
          <w:ilvl w:val="4"/>
          <w:numId w:val="1"/>
        </w:numPr>
        <w:rPr/>
      </w:pPr>
      <w:bookmarkStart w:id="895" w:name="__RefHeading___Toc634495_581953129"/>
      <w:bookmarkStart w:id="896" w:name="_Toc343"/>
      <w:bookmarkEnd w:id="895"/>
      <w:r>
        <w:rPr>
          <w:rtl w:val="true"/>
        </w:rPr>
        <w:t>اشارة</w:t>
      </w:r>
      <w:bookmarkEnd w:id="896"/>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محمّد بن حمد الأنصاری القرطبی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الاتّجاه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أدبی وفقهی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و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والجزءان هما فهارس للتفسیر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فی طبعة‌أخری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والقرطبی هو أحد أشهر المفسّرین عند أهل السنّة، و هو فی الفقه مالکیّ المذهب وأشعری العقیدة وکان من العلماء الزاهدین فی الدنیا، المشغولین بما یعنیهم من أمور الآخرة</w:t>
      </w:r>
      <w:r>
        <w:rPr>
          <w:rFonts w:eastAsia="IRNazanin" w:cs="IRNazanin"/>
          <w:color w:val="111111"/>
          <w:sz w:val="28"/>
          <w:szCs w:val="28"/>
          <w:rtl w:val="true"/>
          <w:lang w:bidi="fa-IR"/>
        </w:rPr>
        <w:t xml:space="preserve">. </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وله عدّة مؤلّفات من 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الأسنی فی شرح أسماء الله الحسنی و التذکار فی أفضل الأذکار، و التذکرة بأمور الآخرة، و شرح التفصّی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 أهمّ آثاره هو هذا التفسیر</w:t>
      </w:r>
      <w:r>
        <w:rPr>
          <w:rFonts w:eastAsia="IRNazanin" w:cs="IRNazanin"/>
          <w:color w:val="111111"/>
          <w:sz w:val="28"/>
          <w:szCs w:val="28"/>
          <w:rtl w:val="true"/>
          <w:lang w:bidi="fa-IR"/>
        </w:rPr>
        <w:t xml:space="preserve">. </w:t>
      </w:r>
      <w:r>
        <w:rPr>
          <w:rStyle w:val="FootnoteAnchor"/>
          <w:rtl w:val="true"/>
        </w:rPr>
        <w:footnoteReference w:id="881"/>
      </w:r>
      <w:r>
        <w:rPr>
          <w:rFonts w:ascii="IRNazanin" w:hAnsi="IRNazanin" w:eastAsia="IRNazanin"/>
          <w:color w:val="111111"/>
          <w:sz w:val="28"/>
          <w:sz w:val="28"/>
          <w:szCs w:val="28"/>
          <w:rtl w:val="true"/>
          <w:lang w:bidi="fa-IR"/>
        </w:rPr>
        <w:t>و قد اعتمد فی تفسیره بشکل رئیس علی تفسیر المحرّر الوجیز لابن عطیة</w:t>
      </w:r>
      <w:r>
        <w:rPr>
          <w:rFonts w:eastAsia="IRNazanin" w:cs="IRNazanin"/>
          <w:color w:val="111111"/>
          <w:sz w:val="28"/>
          <w:szCs w:val="28"/>
          <w:rtl w:val="true"/>
          <w:lang w:bidi="fa-IR"/>
        </w:rPr>
        <w:t xml:space="preserve">. </w:t>
      </w:r>
      <w:r>
        <w:rPr>
          <w:rStyle w:val="FootnoteAnchor"/>
          <w:rtl w:val="true"/>
        </w:rPr>
        <w:footnoteReference w:id="882"/>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الأسلوب العلمی للمؤلّف، فهو علی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طرحه الآیة یمارس البحث التفصیلی فی المسائل المختلفة، فمثلاً، عند شرحه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یتناول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ذیل 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رَبُّکَ لِلْمَلائِکَةِ إِنِّی جاعِلٌ فِی الْأَرْضِ خَلِیفَةً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هو فی کلّ مسألة یمارس البحث المفصل،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اللغة یبحث وبشکل کامل المفاهیم اللغویة ویبحث فی القراءات،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من المتخصّصین فی ذلک، وهکذا بحثه الواسع فی الأدب و الإعراب، مثل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الأدباء، وفی التاریخ وقصص القرآن کالمؤرّخ،</w:t>
      </w:r>
    </w:p>
    <w:p>
      <w:pPr>
        <w:pStyle w:val="BookText"/>
        <w:rPr/>
      </w:pPr>
      <w:r>
        <w:rPr>
          <w:rFonts w:ascii="IRNazanin" w:hAnsi="IRNazanin" w:eastAsia="IRNazanin"/>
          <w:color w:val="111111"/>
          <w:sz w:val="28"/>
          <w:sz w:val="28"/>
          <w:szCs w:val="28"/>
          <w:rtl w:val="true"/>
          <w:lang w:bidi="fa-IR"/>
        </w:rPr>
        <w:t>وفی البحوث الفقهیة یطرح الآراء الفقهیة المختلفة بشکل واسع ویقوم بعملیة الترجیح فیما بینها علی طریقة الفقه المقارن بین المذاهب السُنّیة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والقرطبی معروف بالاستقلالیة الحرّیة فی طرح الرأی ونقد النظریات المشهورة، فمع کونه مالکیاً نراه فی بعض الأحیان یرتضی الرأی الشافعی وأحیاناً ینتقد أبا حنیفة، فهو یبحث عن الأدّلة الأقوی ویقبلها، وانطلاقاً من هذه الحقیقة تجده فی ذیل الآیة الثالثة و الأربعین من سورة البقرة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ارْکَعُوا مَعَ الرّاکِعِینَ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،یقبل إمامة الصغیر إذا کانت قراءته صحیحة، والحال أنّ مالکاً یری خلاف ذلک</w:t>
      </w:r>
      <w:r>
        <w:rPr>
          <w:rFonts w:eastAsia="IRNazanin" w:cs="IRNazanin"/>
          <w:color w:val="111111"/>
          <w:sz w:val="28"/>
          <w:szCs w:val="28"/>
          <w:rtl w:val="true"/>
          <w:lang w:bidi="fa-IR"/>
        </w:rPr>
        <w:t xml:space="preserve">. </w:t>
      </w:r>
      <w:r>
        <w:rPr>
          <w:rStyle w:val="FootnoteAnchor"/>
          <w:rtl w:val="true"/>
        </w:rPr>
        <w:footnoteReference w:id="883"/>
      </w:r>
    </w:p>
    <w:p>
      <w:pPr>
        <w:pStyle w:val="BookText"/>
        <w:rPr/>
      </w:pPr>
      <w:r>
        <w:rPr>
          <w:rFonts w:ascii="IRNazanin" w:hAnsi="IRNazanin" w:eastAsia="IRNazanin"/>
          <w:color w:val="111111"/>
          <w:sz w:val="28"/>
          <w:sz w:val="28"/>
          <w:szCs w:val="28"/>
          <w:rtl w:val="true"/>
          <w:lang w:bidi="fa-IR"/>
        </w:rPr>
        <w:t>منهج التفسیری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منهج القرطبی فی التفسیر هو المنهج الاجتهادی، وفیه یتوسّل بالأدلّة المختلفة لتفسیر الآیات، و أمّا فی البحوث الفقهیة، فهو یفصّل بشکل أکثر، وهکذا الحال فی البحوث الأدبیة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کتب المؤلّف فی مقدّمته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أضرب عن کثیر من قصص المفسّرین و أخبار المؤرّخین، إلاّ ما لا بُدَّ منه، ولا غنیً عنه للتبیین، واعتضت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بمسائل تفسّر عن معناها و ترشد الطالب إلی مقتضاها، فضمنّت کلّ آیة لتضمن حکماً أو حکمین فما زاد، مسائل نُبَین فیها ما تحتوی علیه من أسباب النزول و التفسیر الغریب و الحکم</w:t>
      </w:r>
      <w:r>
        <w:rPr>
          <w:rFonts w:eastAsia="IRNazanin" w:cs="IRNazanin"/>
          <w:color w:val="111111"/>
          <w:sz w:val="28"/>
          <w:szCs w:val="28"/>
          <w:rtl w:val="true"/>
          <w:lang w:bidi="fa-IR"/>
        </w:rPr>
        <w:t xml:space="preserve">. </w:t>
      </w:r>
      <w:r>
        <w:rPr>
          <w:rStyle w:val="FootnoteAnchor"/>
          <w:rtl w:val="true"/>
        </w:rPr>
        <w:footnoteReference w:id="884"/>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وللتفسیر مقدّمة مفیدة فی علوم القرآن تشتمل علی عشرین فصلاً فی ما یدور حول بحوث القرآن، فقد جاء فیها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القرآن وکیفیة أحکام التلاوة، ونهی حملة القرآن عن الریاء ووظائف حملة القرآن و فضیلة الإعراب، والقراءة وفضیلة تفسیر القرآن، وتعظیم القرآن من قبل حملته و التفسیر بالرأی ومراتب المفسّرین، و السنّة إلی جنب</w:t>
      </w:r>
      <w:bookmarkStart w:id="897" w:name="pg5285_67545"/>
    </w:p>
    <w:p>
      <w:pPr>
        <w:pStyle w:val="BookText"/>
        <w:rPr/>
      </w:pPr>
      <w:bookmarkEnd w:id="897"/>
      <w:r>
        <w:rPr>
          <w:rFonts w:ascii="IRNazanin" w:hAnsi="IRNazanin" w:eastAsia="IRNazanin"/>
          <w:color w:val="111111"/>
          <w:sz w:val="28"/>
          <w:sz w:val="28"/>
          <w:szCs w:val="28"/>
          <w:rtl w:val="true"/>
          <w:lang w:bidi="fa-IR"/>
        </w:rPr>
        <w:t>الکتاب و کیفیة التفقّه بالقرآن و السنّة، و مفهوم نزول القرآن علی سبعة أحرف، و جمع القرآن، وترتیب السور وتریخ القرآن، ومعنی السورة و الآیة، والمفردات الدخیلة و إعجاز القرآن، وأحادیث فضائل السور المحرّفة و الإستعاذة و البسملة</w:t>
      </w:r>
      <w:r>
        <w:rPr>
          <w:rFonts w:eastAsia="IRNazanin" w:cs="IRNazanin"/>
          <w:color w:val="111111"/>
          <w:sz w:val="28"/>
          <w:szCs w:val="28"/>
          <w:rtl w:val="true"/>
          <w:lang w:bidi="fa-IR"/>
        </w:rPr>
        <w:t>.</w:t>
      </w:r>
    </w:p>
    <w:p>
      <w:pPr>
        <w:pStyle w:val="Heading5"/>
        <w:numPr>
          <w:ilvl w:val="4"/>
          <w:numId w:val="1"/>
        </w:numPr>
        <w:rPr/>
      </w:pPr>
      <w:bookmarkStart w:id="898" w:name="__RefHeading___Toc634497_581953129"/>
      <w:bookmarkStart w:id="899" w:name="_Toc344"/>
      <w:bookmarkEnd w:id="898"/>
      <w:r>
        <w:rPr>
          <w:rtl w:val="true"/>
        </w:rPr>
        <w:t>القرطبی وأهل‌البیت علیهم السّلام</w:t>
      </w:r>
      <w:bookmarkEnd w:id="899"/>
    </w:p>
    <w:p>
      <w:pPr>
        <w:pStyle w:val="BookText"/>
        <w:rPr/>
      </w:pPr>
      <w:r>
        <w:rPr>
          <w:rFonts w:ascii="IRNazanin" w:hAnsi="IRNazanin" w:eastAsia="IRNazanin"/>
          <w:color w:val="111111"/>
          <w:sz w:val="28"/>
          <w:sz w:val="28"/>
          <w:szCs w:val="28"/>
          <w:rtl w:val="true"/>
          <w:lang w:bidi="fa-IR"/>
        </w:rPr>
        <w:t xml:space="preserve">إنّ مواقف القرطبی من أهل‌البیت علیهم السّلام هی مواقف متفاوتة فتارةً یمرّ علیها من دون اکتراث، </w:t>
      </w:r>
      <w:r>
        <w:rPr>
          <w:rStyle w:val="FootnoteAnchor"/>
          <w:rtl w:val="true"/>
        </w:rPr>
        <w:footnoteReference w:id="885"/>
      </w:r>
      <w:r>
        <w:rPr>
          <w:rFonts w:ascii="IRNazanin" w:hAnsi="IRNazanin" w:eastAsia="IRNazanin"/>
          <w:color w:val="111111"/>
          <w:sz w:val="28"/>
          <w:sz w:val="28"/>
          <w:szCs w:val="28"/>
          <w:rtl w:val="true"/>
          <w:lang w:bidi="fa-IR"/>
        </w:rPr>
        <w:t>وتارةً أخری مثل ما جاء فی ذیل الآیة السالعة بعد المائتین من سورة البقرة، أو وآیة المباهلة یعطی إشارة إلی أهل‌البیت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ذیل الآیات المرتبطة بأهل‌البیت علیهم السّلام فی سورة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یُطْعِمُونَ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بعد نقله حدیثاً عن طریق أهل السنّة یتعرّض لذمّه بشدّة ویعتبره غیر صحیح</w:t>
      </w:r>
      <w:r>
        <w:rPr>
          <w:rFonts w:eastAsia="Amiri" w:cs="Amiri" w:ascii="Amiri" w:hAnsi="Amiri"/>
          <w:color w:val="111111"/>
          <w:sz w:val="28"/>
          <w:szCs w:val="28"/>
          <w:rtl w:val="true"/>
          <w:lang w:bidi="ar-SA"/>
        </w:rPr>
        <w:t xml:space="preserve">. </w:t>
      </w: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لقد لُخّص هذا التفسیر بخمس مجلّدات بجهود محمّد کریم راجح، وکذلک بواسطة الشیخ عرفان حسّونة بأربع مجلّدات ثمّ تمّ نشره</w:t>
      </w:r>
      <w:r>
        <w:rPr>
          <w:rFonts w:eastAsia="IRNazanin" w:cs="IRNazanin"/>
          <w:color w:val="111111"/>
          <w:sz w:val="28"/>
          <w:szCs w:val="28"/>
          <w:rtl w:val="true"/>
          <w:lang w:bidi="fa-IR"/>
        </w:rPr>
        <w:t>.</w:t>
      </w:r>
    </w:p>
    <w:p>
      <w:pPr>
        <w:pStyle w:val="Heading4"/>
        <w:numPr>
          <w:ilvl w:val="3"/>
          <w:numId w:val="1"/>
        </w:numPr>
        <w:rPr/>
      </w:pPr>
      <w:bookmarkStart w:id="900" w:name="__RefHeading___Toc634499_581953129"/>
      <w:bookmarkStart w:id="901" w:name="_Toc345"/>
      <w:bookmarkEnd w:id="900"/>
      <w:r>
        <w:rPr/>
        <w:t>3</w:t>
      </w:r>
      <w:r>
        <w:rPr>
          <w:rtl w:val="true"/>
        </w:rPr>
        <w:t xml:space="preserve">. </w:t>
      </w:r>
      <w:r>
        <w:rPr>
          <w:rtl w:val="true"/>
        </w:rPr>
        <w:t xml:space="preserve">تفسیر البیضاوی </w:t>
      </w:r>
      <w:r>
        <w:rPr>
          <w:rtl w:val="true"/>
        </w:rPr>
        <w:t>(</w:t>
      </w:r>
      <w:r>
        <w:rPr>
          <w:rtl w:val="true"/>
        </w:rPr>
        <w:t>أنوار التنزیل وأسرار التأویل</w:t>
      </w:r>
      <w:r>
        <w:rPr>
          <w:rtl w:val="true"/>
        </w:rPr>
        <w:t>)</w:t>
      </w:r>
      <w:bookmarkEnd w:id="901"/>
    </w:p>
    <w:p>
      <w:pPr>
        <w:pStyle w:val="Heading5"/>
        <w:numPr>
          <w:ilvl w:val="4"/>
          <w:numId w:val="1"/>
        </w:numPr>
        <w:rPr/>
      </w:pPr>
      <w:bookmarkStart w:id="902" w:name="__RefHeading___Toc634501_581953129"/>
      <w:bookmarkStart w:id="903" w:name="_Toc346"/>
      <w:bookmarkEnd w:id="902"/>
      <w:r>
        <w:rPr>
          <w:rtl w:val="true"/>
        </w:rPr>
        <w:t>اشارة</w:t>
      </w:r>
      <w:bookmarkEnd w:id="903"/>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الخیر، ناصرالدین، عبد الله بن عمر البیضاوی الشیرازی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الاتّجاه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أدبی وبیانی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المؤلّف هو القاضی ناصر الدین، عبد الله بن عمر البیضاوی الشافعی المعروف</w:t>
      </w:r>
    </w:p>
    <w:p>
      <w:pPr>
        <w:pStyle w:val="BookText"/>
        <w:rPr/>
      </w:pPr>
      <w:r>
        <w:rPr>
          <w:rFonts w:ascii="IRNazanin" w:hAnsi="IRNazanin" w:eastAsia="IRNazanin"/>
          <w:color w:val="111111"/>
          <w:sz w:val="28"/>
          <w:sz w:val="28"/>
          <w:szCs w:val="28"/>
          <w:rtl w:val="true"/>
          <w:lang w:bidi="fa-IR"/>
        </w:rPr>
        <w:t xml:space="preserve">بالقاضی البیضاوی المتوفی سنة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شافعی المذهب وأشعری العقیدة، وإنّه من أهالی بیضاء التابعة لمدینة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عاصر العلاّمة الحلّی و المحقق صاحب الشرایع، و الخواجه نصیر الدین الطوسی، وله مراسلات مع العلاّمة الحلّی کذلک</w:t>
      </w:r>
      <w:r>
        <w:rPr>
          <w:rFonts w:eastAsia="IRNazanin" w:cs="IRNazanin"/>
          <w:color w:val="111111"/>
          <w:sz w:val="28"/>
          <w:szCs w:val="28"/>
          <w:rtl w:val="true"/>
          <w:lang w:bidi="fa-IR"/>
        </w:rPr>
        <w:t xml:space="preserve">. </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یعدّ هذا التفسیر من أفضل المتون التفسیریة عند أهل السنّة، و هو موضع قبول الکثیر من مفسّری الشیعة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کُتبت علیه حواشی وشروح کثیرة لعلماء من الشیعة و السنّة حتّی بلغت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وشرحهاً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أشهر هذه الحواشی،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الشیخ زاده و حاشیة شهاب الخفاجی، و حاشیة القونوی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أخذ متن هذا الکتاب من تفسیر الکشاف بشکل ملّخص وحذف عنه الزوائد ونزّهه من الروایات الإسرائیلیة، وبحث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السور وشأن النزول، والتحقیق فی الأحادیث و النکات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الأدبیة، والإعراب، والمعانی و البیان، وصبها بتعابیر بلیغة ومتینة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وللبیضاوی فی کلّ العلوم الإسلامیة کُتب قیمة ذات مستویً عالٍ ففی علم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طوالع الأنوار ومطالع الأنظار، وله شرح علی فصول الخواجة الطوسی، وفی الفقه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المصابیح و الغایة القصوی، وفی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المنتخب، وفی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المطالع، وفی 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مناهج الوصول و شرح مختصر ابن الحاجب، وفی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المصابیح، وفی العرفان و التصوف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الأخلاق، وفی التاریخ کتابین قیمین باللغة الفارسیة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التواریخ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وذکرت له کتب أخری کذلک غیر أنّ أهم کتبه هو هذا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 التنزیل وأسرار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کتابته لهذا التفسیر وبلوغ خبره إلی ملک زمانه اختاره لمنصب قاضی القضاة</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القرون العاشر و الحادی عشر و 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 بیانه فی الدرس 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ولأهمّیة هذا التفسیر فقد کُتبَ علیه فیها أکثر من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شرحاً وحاشیةً و هذه دلالة علی أنّ</w:t>
      </w:r>
      <w:bookmarkStart w:id="904" w:name="pg5285_67547"/>
    </w:p>
    <w:p>
      <w:pPr>
        <w:pStyle w:val="BookText"/>
        <w:rPr/>
      </w:pPr>
      <w:bookmarkEnd w:id="904"/>
      <w:r>
        <w:rPr>
          <w:rFonts w:ascii="IRNazanin" w:hAnsi="IRNazanin" w:eastAsia="IRNazanin"/>
          <w:color w:val="111111"/>
          <w:sz w:val="28"/>
          <w:sz w:val="28"/>
          <w:szCs w:val="28"/>
          <w:rtl w:val="true"/>
          <w:lang w:bidi="fa-IR"/>
        </w:rPr>
        <w:t>هذا التفسیر له بین العلماء فی ذلک العصر و العصور المتأخرة قیمة ومنزلة فی خصوصیة إتقانه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ومضافاً إلی أهل السُنّة، فإنّ علماء الشیعة کذلک لهم علیه حاشیة، ومن جملتهم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البهائی</w:t>
      </w:r>
      <w:r>
        <w:rPr>
          <w:rFonts w:eastAsia="IRNazanin" w:cs="IRNazanin"/>
          <w:color w:val="111111"/>
          <w:sz w:val="28"/>
          <w:szCs w:val="28"/>
          <w:rtl w:val="true"/>
          <w:lang w:bidi="fa-IR"/>
        </w:rPr>
        <w:t>(</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ولعلّ سبب کثرة الحواشی و الشروح هو للإختصار وحذف الزوائد</w:t>
      </w:r>
      <w:r>
        <w:rPr>
          <w:rFonts w:eastAsia="IRNazanin" w:cs="IRNazanin"/>
          <w:color w:val="111111"/>
          <w:sz w:val="28"/>
          <w:szCs w:val="28"/>
          <w:rtl w:val="true"/>
          <w:lang w:bidi="fa-IR"/>
        </w:rPr>
        <w:t>.</w:t>
      </w:r>
    </w:p>
    <w:p>
      <w:pPr>
        <w:pStyle w:val="Heading5"/>
        <w:numPr>
          <w:ilvl w:val="4"/>
          <w:numId w:val="1"/>
        </w:numPr>
        <w:rPr/>
      </w:pPr>
      <w:bookmarkStart w:id="905" w:name="__RefHeading___Toc634503_581953129"/>
      <w:bookmarkStart w:id="906" w:name="_Toc347"/>
      <w:bookmarkEnd w:id="905"/>
      <w:r>
        <w:rPr>
          <w:rtl w:val="true"/>
        </w:rPr>
        <w:t>أهمّ مصادر تفسیر البیضاوی</w:t>
      </w:r>
      <w:bookmarkEnd w:id="906"/>
    </w:p>
    <w:p>
      <w:pPr>
        <w:pStyle w:val="BookText"/>
        <w:rPr/>
      </w:pPr>
      <w:r>
        <w:rPr>
          <w:rFonts w:ascii="IRNazanin" w:hAnsi="IRNazanin" w:eastAsia="IRNazanin"/>
          <w:color w:val="111111"/>
          <w:sz w:val="28"/>
          <w:sz w:val="28"/>
          <w:szCs w:val="28"/>
          <w:rtl w:val="true"/>
          <w:lang w:bidi="fa-IR"/>
        </w:rPr>
        <w:t>وهنا نُشیر إلی أهم المصادر التی استفاء منها البیضاوی،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الکشاف للزمخشری، و التفسیر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للفخر الرازی، و تفسیر الراغب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یبدو أنّ تفسیر البیضاوی هو خلاصة وإصلاح وتهذیب لتفسیر 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کتب الأستاذ آیة الله 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التفسیر مختصر من تفسیر الکشاف للزمخشری، و قد استمد أیضاً من التفسیر الکبیر للإمام الرازی، ومن تفسیر الراغب الأصفهانی، و ضمّ إلی ذلک بعض الآثار الواردة عن الصحابة و التابعین</w:t>
      </w:r>
      <w:r>
        <w:rPr>
          <w:rFonts w:eastAsia="IRNazanin" w:cs="IRNazanin"/>
          <w:color w:val="111111"/>
          <w:sz w:val="28"/>
          <w:szCs w:val="28"/>
          <w:rtl w:val="true"/>
          <w:lang w:bidi="fa-IR"/>
        </w:rPr>
        <w:t xml:space="preserve">. </w:t>
      </w:r>
      <w:r>
        <w:rPr>
          <w:rStyle w:val="FootnoteAnchor"/>
          <w:rtl w:val="true"/>
        </w:rPr>
        <w:footnoteReference w:id="888"/>
      </w:r>
    </w:p>
    <w:p>
      <w:pPr>
        <w:pStyle w:val="Heading5"/>
        <w:numPr>
          <w:ilvl w:val="4"/>
          <w:numId w:val="1"/>
        </w:numPr>
        <w:rPr/>
      </w:pPr>
      <w:bookmarkStart w:id="907" w:name="__RefHeading___Toc634505_581953129"/>
      <w:bookmarkStart w:id="908" w:name="_Toc348"/>
      <w:bookmarkEnd w:id="907"/>
      <w:r>
        <w:rPr>
          <w:rtl w:val="true"/>
        </w:rPr>
        <w:t>الممیزات اللاّمعة فی تفسیر البیضاوی</w:t>
      </w:r>
      <w:bookmarkEnd w:id="9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طرحه الموضوعات المهمّة فی التفسیر بأسلوب جذّاب، وموجز ومختصر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آراء و أقوال الصحابة و التابعین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الاهتمام بالقراءات المختلفة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الأمور الأدبیة و النحویة بصورة مختصرة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اهتمامه بآیات الأحکام وبعض المسائل الفقهیة بدون تطویل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الاحتراز من الإسرائیلیات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النباهة فی طرح الأخبار حذراً من وجود الضعاف بینها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الموضوعات الطبیعیة بما یتناسب مع الآیات التی یقع علیها اختیاره</w:t>
      </w:r>
      <w:r>
        <w:rPr>
          <w:rFonts w:eastAsia="IRNazanin" w:cs="IRNazanin"/>
          <w:color w:val="111111"/>
          <w:sz w:val="28"/>
          <w:szCs w:val="28"/>
          <w:rtl w:val="true"/>
          <w:lang w:bidi="fa-IR"/>
        </w:rPr>
        <w:t>.</w:t>
      </w:r>
      <w:bookmarkStart w:id="909" w:name="pg5285_67548"/>
    </w:p>
    <w:p>
      <w:pPr>
        <w:pStyle w:val="BookText"/>
        <w:rPr/>
      </w:pPr>
      <w:bookmarkEnd w:id="909"/>
      <w:r>
        <w:rPr>
          <w:rFonts w:ascii="IRNazanin" w:hAnsi="IRNazanin" w:eastAsia="IRNazanin"/>
          <w:color w:val="111111"/>
          <w:sz w:val="28"/>
          <w:sz w:val="28"/>
          <w:szCs w:val="28"/>
          <w:rtl w:val="true"/>
          <w:lang w:bidi="fa-IR"/>
        </w:rPr>
        <w:t>هذا، و إنّ ذکر ممیزات وأهمیة التفسیر لا یعنی بالضرورة أنّه خالٍ من النقصان؛ لذلک نورد هنا بعض ما أشکل حسب الآتی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تقصیره فی بعض الموضوعات العقائدیة وما یسجّل علیه من نقد، ومن جملة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اللّهو إلی الأنبیاء علیهم السّلام ونفوذ الشیطان إلیهم</w:t>
      </w:r>
      <w:r>
        <w:rPr>
          <w:rFonts w:eastAsia="IRNazanin" w:cs="IRNazanin"/>
          <w:color w:val="111111"/>
          <w:sz w:val="28"/>
          <w:szCs w:val="28"/>
          <w:rtl w:val="true"/>
          <w:lang w:bidi="fa-IR"/>
        </w:rPr>
        <w:t xml:space="preserve">. </w:t>
      </w:r>
      <w:r>
        <w:rPr>
          <w:rStyle w:val="FootnoteAnchor"/>
          <w:rtl w:val="true"/>
        </w:rPr>
        <w:footnoteReference w:id="88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کثیر من الموارد لا یوجد تحلیل واستدلال کافٍ و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قبوله وجود أجنحة للملائکة </w:t>
      </w:r>
      <w:r>
        <w:rPr>
          <w:rStyle w:val="FootnoteAnchor"/>
          <w:rtl w:val="true"/>
        </w:rPr>
        <w:footnoteReference w:id="89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891"/>
      </w:r>
    </w:p>
    <w:p>
      <w:pPr>
        <w:pStyle w:val="Heading4"/>
        <w:numPr>
          <w:ilvl w:val="3"/>
          <w:numId w:val="1"/>
        </w:numPr>
        <w:rPr/>
      </w:pPr>
      <w:bookmarkStart w:id="910" w:name="__RefHeading___Toc634507_581953129"/>
      <w:bookmarkStart w:id="911" w:name="_Toc349"/>
      <w:bookmarkEnd w:id="910"/>
      <w:r>
        <w:rPr/>
        <w:t>4</w:t>
      </w:r>
      <w:r>
        <w:rPr>
          <w:rtl w:val="true"/>
        </w:rPr>
        <w:t xml:space="preserve">. </w:t>
      </w:r>
      <w:r>
        <w:rPr>
          <w:rtl w:val="true"/>
        </w:rPr>
        <w:t xml:space="preserve">مدارک التنزیل وحقائق التأویل </w:t>
      </w:r>
      <w:r>
        <w:rPr>
          <w:rtl w:val="true"/>
        </w:rPr>
        <w:t>(</w:t>
      </w:r>
      <w:r>
        <w:rPr>
          <w:rtl w:val="true"/>
        </w:rPr>
        <w:t>تفسیر النسفی</w:t>
      </w:r>
      <w:r>
        <w:rPr>
          <w:rtl w:val="true"/>
        </w:rPr>
        <w:t>)</w:t>
      </w:r>
      <w:bookmarkEnd w:id="911"/>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البرکات عبد الله بن أحمد بن محمود النَسَفی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المؤلّف هو أبو البرکات النَسَفی </w:t>
      </w:r>
      <w:r>
        <w:rPr>
          <w:rStyle w:val="FootnoteAnchor"/>
          <w:rtl w:val="true"/>
        </w:rPr>
        <w:footnoteReference w:id="892"/>
      </w:r>
      <w:r>
        <w:rPr>
          <w:rFonts w:ascii="IRNazanin" w:hAnsi="IRNazanin" w:eastAsia="IRNazanin"/>
          <w:color w:val="111111"/>
          <w:sz w:val="28"/>
          <w:sz w:val="28"/>
          <w:szCs w:val="28"/>
          <w:rtl w:val="true"/>
          <w:lang w:bidi="fa-IR"/>
        </w:rPr>
        <w:t>الحنفی المذهب و الأشعریّ العقیدة، و هو من أهالی إیذج فی شمال خوزستان، فقیه وأصولیّ فی زمانه، وله مؤلّفات کثیرة</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أخذ هذا التفسیر من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الکشاف للزمخشری و أنوار التنزیل للبیضاوی، و هو یدافع عن رؤی المذهب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بدایة کلّ سورة یشیر إلی کونها مکّیة أو مدنیة، ویبین الإعراب و القراءات ومستلزمات القراءات السبع، ویوضح بلاغة القرآن</w:t>
      </w:r>
      <w:bookmarkStart w:id="912" w:name="pg5285_67549"/>
    </w:p>
    <w:p>
      <w:pPr>
        <w:pStyle w:val="BookText"/>
        <w:rPr/>
      </w:pPr>
      <w:bookmarkEnd w:id="912"/>
      <w:r>
        <w:rPr>
          <w:rFonts w:ascii="IRNazanin" w:hAnsi="IRNazanin" w:eastAsia="IRNazanin"/>
          <w:color w:val="111111"/>
          <w:sz w:val="28"/>
          <w:sz w:val="28"/>
          <w:szCs w:val="28"/>
          <w:rtl w:val="true"/>
          <w:lang w:bidi="fa-IR"/>
        </w:rPr>
        <w:t>بعبارات مختصرة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فی آیات الأحکام بحوث فقهیة یدافع فیها عن مذهب أبی حنیفة</w:t>
      </w:r>
      <w:r>
        <w:rPr>
          <w:rFonts w:eastAsia="IRNazanin" w:cs="IRNazanin"/>
          <w:color w:val="111111"/>
          <w:sz w:val="28"/>
          <w:szCs w:val="28"/>
          <w:rtl w:val="true"/>
          <w:lang w:bidi="fa-IR"/>
        </w:rPr>
        <w:t xml:space="preserve">. </w:t>
      </w:r>
      <w:r>
        <w:rPr>
          <w:rStyle w:val="FootnoteAnchor"/>
          <w:rtl w:val="true"/>
        </w:rPr>
        <w:footnoteReference w:id="893"/>
      </w:r>
      <w:r>
        <w:rPr>
          <w:rFonts w:ascii="IRNazanin" w:hAnsi="IRNazanin" w:eastAsia="IRNazanin"/>
          <w:color w:val="111111"/>
          <w:sz w:val="28"/>
          <w:sz w:val="28"/>
          <w:szCs w:val="28"/>
          <w:rtl w:val="true"/>
          <w:lang w:bidi="fa-IR"/>
        </w:rPr>
        <w:t>وهکذا هو ینقل روایات الصحابة و التابعین، و قد حاول المفسّر جهده الابتعاد عن الإسرائیلیات، ومع هذا فهناک موارد نقل فیها الإسرائیلیات بوضوح</w:t>
      </w:r>
      <w:r>
        <w:rPr>
          <w:rFonts w:eastAsia="IRNazanin" w:cs="IRNazanin"/>
          <w:color w:val="111111"/>
          <w:sz w:val="28"/>
          <w:szCs w:val="28"/>
          <w:rtl w:val="true"/>
          <w:lang w:bidi="fa-IR"/>
        </w:rPr>
        <w:t xml:space="preserve">. </w:t>
      </w:r>
      <w:r>
        <w:rPr>
          <w:rStyle w:val="FootnoteAnchor"/>
          <w:rtl w:val="true"/>
        </w:rPr>
        <w:footnoteReference w:id="894"/>
      </w:r>
    </w:p>
    <w:p>
      <w:pPr>
        <w:pStyle w:val="Heading4"/>
        <w:numPr>
          <w:ilvl w:val="3"/>
          <w:numId w:val="1"/>
        </w:numPr>
        <w:rPr/>
      </w:pPr>
      <w:bookmarkStart w:id="913" w:name="__RefHeading___Toc634509_581953129"/>
      <w:bookmarkStart w:id="914" w:name="_Toc350"/>
      <w:bookmarkEnd w:id="913"/>
      <w:r>
        <w:rPr/>
        <w:t>5</w:t>
      </w:r>
      <w:r>
        <w:rPr>
          <w:rtl w:val="true"/>
        </w:rPr>
        <w:t xml:space="preserve">. </w:t>
      </w:r>
      <w:r>
        <w:rPr>
          <w:rtl w:val="true"/>
        </w:rPr>
        <w:t xml:space="preserve">تفسیر الخازن </w:t>
      </w:r>
      <w:r>
        <w:rPr>
          <w:rtl w:val="true"/>
        </w:rPr>
        <w:t>(</w:t>
      </w:r>
      <w:r>
        <w:rPr>
          <w:rtl w:val="true"/>
        </w:rPr>
        <w:t>لباب التأویل فی معانی التنزیل</w:t>
      </w:r>
      <w:r>
        <w:rPr>
          <w:rtl w:val="true"/>
        </w:rPr>
        <w:t>)</w:t>
      </w:r>
      <w:bookmarkEnd w:id="914"/>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الدین، علی بن محمّد إبراهیم البغدادی المهشور بالخازن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حبّاً إلی سنة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 المؤلّف بالخازن، و هو شافعی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ان طالع الخازن تفسیر البغوی معالم التنزیل أعجب بنکات رأها فیه، غیر أنّ مشکلة هذا التفسیر فی طوله؛ ولأجل هذه العلّة عمد إلی تلخیصه، وأضاف علیه موضوعات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وأحیاناً قام بتوضیح مفردات ألفاظه الصعبة، وکذلک حذف سند روایاته، وکوّن بذلک تفسیر لباب التأویل</w:t>
      </w:r>
      <w:r>
        <w:rPr>
          <w:rFonts w:eastAsia="IRNazanin" w:cs="IRNazanin"/>
          <w:color w:val="111111"/>
          <w:sz w:val="28"/>
          <w:szCs w:val="28"/>
          <w:rtl w:val="true"/>
          <w:lang w:bidi="fa-IR"/>
        </w:rPr>
        <w:t xml:space="preserve">. </w:t>
      </w:r>
      <w:r>
        <w:rPr>
          <w:rStyle w:val="FootnoteAnchor"/>
          <w:rtl w:val="true"/>
        </w:rPr>
        <w:footnoteReference w:id="895"/>
      </w:r>
      <w:r>
        <w:rPr>
          <w:rFonts w:ascii="IRNazanin" w:hAnsi="IRNazanin" w:eastAsia="IRNazanin"/>
          <w:color w:val="111111"/>
          <w:sz w:val="28"/>
          <w:sz w:val="28"/>
          <w:szCs w:val="28"/>
          <w:rtl w:val="true"/>
          <w:lang w:bidi="fa-IR"/>
        </w:rPr>
        <w:t xml:space="preserve">ولکونه کان مسؤول المکتبة السماطیة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اشتهر بالخازن، فکان مع مدیریته المکتبةَ یمارسُ عملیة التحقیق و التألیف</w:t>
      </w:r>
      <w:r>
        <w:rPr>
          <w:rFonts w:eastAsia="IRNazanin" w:cs="IRNazanin"/>
          <w:color w:val="111111"/>
          <w:sz w:val="28"/>
          <w:szCs w:val="28"/>
          <w:rtl w:val="true"/>
          <w:lang w:bidi="fa-IR"/>
        </w:rPr>
        <w:t xml:space="preserve">. </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و قد استفاد المفسّر فی تفسیره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الدین الرازی و البغوی، والثعلبی وصحیح البخاری وصحیح مسلم، وسنن الترمذی وأبی داود، والنسائی وجامع الأصول لإبن الأثیر الجزری</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وللتفسیر مقدّمات هی فی فضل القرآن وتلاوته وتعلیمه، والنهی عن التفسیر بالرأی</w:t>
      </w:r>
    </w:p>
    <w:p>
      <w:pPr>
        <w:pStyle w:val="BookText"/>
        <w:rPr/>
      </w:pPr>
      <w:r>
        <w:rPr>
          <w:rFonts w:ascii="IRNazanin" w:hAnsi="IRNazanin" w:eastAsia="IRNazanin"/>
          <w:color w:val="111111"/>
          <w:sz w:val="28"/>
          <w:sz w:val="28"/>
          <w:szCs w:val="28"/>
          <w:rtl w:val="true"/>
          <w:lang w:bidi="fa-IR"/>
        </w:rPr>
        <w:t>وجمع وترتیب نزول القرآن، و نزول القرآن علی سبعة أحرف و معنی التفسیر و التأویل والاستعاذة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حذا فی منهجه التفسیری منهجی تفسیر البغوی و الثعلبی فهو روائی، وینقل روایاته عن الصحابة و التابعین وسعی فی کثیر من الموارد للتعرّف علی العلّة وفلسفة الموضوعات القرآنیة، وفی کثیر من المواضع یعتمد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لبیان الأقول التفسیریة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طریقته العملیة، فهی نقل وبیان المکّی و المدنی، وقراءة الآیة وشأن النزول وتوضیح متن الآیة، ونقل أقوال الصحابة و التابعین وفی کثیر من الأحیان یعتمد علی روایات ابن‌عبّاس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الموضوعات المرتبطة بأهل‌البیت علیهم السّلام، والتی لها منهم موقف إیجابی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کتب فی ذیل آیة المباهلة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أراد بالأبناء الحسن و الحسین وبالنساء فاطمة علیها السّلام وبالنفس علیاً علیه السّلام، وقیل هو علی العموم بجماعة أهل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فی تفسیر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نَبْتَهِلْ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نتضرع فی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معناه نجتهد ونبالغ فی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نلتعن، والابتهال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الالتعان،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بهلة الله،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 الله</w:t>
      </w:r>
      <w:r>
        <w:rPr>
          <w:rFonts w:eastAsia="IRNazanin" w:cs="IRNazanin"/>
          <w:color w:val="111111"/>
          <w:sz w:val="28"/>
          <w:szCs w:val="28"/>
          <w:rtl w:val="true"/>
          <w:lang w:bidi="fa-IR"/>
        </w:rPr>
        <w:t xml:space="preserve">. </w:t>
      </w:r>
      <w:r>
        <w:rPr>
          <w:rStyle w:val="FootnoteAnchor"/>
          <w:rtl w:val="true"/>
        </w:rPr>
        <w:footnoteReference w:id="897"/>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ذیل سورة الإنسان أشار إلی إطعام علی علیه السّلام للمسکین و الیتیم و الأسیر</w:t>
      </w:r>
      <w:r>
        <w:rPr>
          <w:rFonts w:eastAsia="IRNazanin" w:cs="IRNazanin"/>
          <w:color w:val="111111"/>
          <w:sz w:val="28"/>
          <w:szCs w:val="28"/>
          <w:rtl w:val="true"/>
          <w:lang w:bidi="fa-IR"/>
        </w:rPr>
        <w:t xml:space="preserve">. </w:t>
      </w:r>
      <w:r>
        <w:rPr>
          <w:rStyle w:val="FootnoteAnchor"/>
          <w:rtl w:val="true"/>
        </w:rPr>
        <w:footnoteReference w:id="898"/>
      </w:r>
      <w:r>
        <w:rPr>
          <w:rFonts w:ascii="Amiri" w:hAnsi="Amiri" w:eastAsia="Amiri" w:cs="Amiri"/>
          <w:color w:val="111111"/>
          <w:sz w:val="28"/>
          <w:sz w:val="28"/>
          <w:szCs w:val="28"/>
          <w:rtl w:val="true"/>
          <w:lang w:bidi="ar-SA"/>
        </w:rPr>
        <w:t>وفی أغلب الموارد هو یقوم بتفسیر وتوضیح الآیة، ثمّ ینقل الأقوال، فقد کتب فی ذیل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أَنْفِقُوا فِی سَبِیلِ اللّهِ وَ لا تُلْقُوا بِأَیْدِیکُمْ إِلَی التَّهْلُکَةِ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 و ذلک أنَّ الله تعالی لمّا أمر بالجهاد والاشتغال به یحتاج إلی الإنفاق فأمر به، والإنفاق،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المال فی وجوه المصالح الدینیة، کالإنفاق فی الحجّ و العمرة، وصلة الرحم و الصدقة، و فی الجهاد</w:t>
      </w:r>
      <w:r>
        <w:rPr>
          <w:rFonts w:eastAsia="IRNazanin" w:cs="IRNazanin"/>
          <w:color w:val="111111"/>
          <w:sz w:val="28"/>
          <w:szCs w:val="28"/>
          <w:rtl w:val="true"/>
          <w:lang w:bidi="fa-IR"/>
        </w:rPr>
        <w:t xml:space="preserve">. </w:t>
      </w:r>
      <w:r>
        <w:rPr>
          <w:rStyle w:val="FootnoteAnchor"/>
          <w:rtl w:val="true"/>
        </w:rPr>
        <w:footnoteReference w:id="900"/>
      </w:r>
      <w:bookmarkStart w:id="915" w:name="pg5285_67551"/>
    </w:p>
    <w:p>
      <w:pPr>
        <w:pStyle w:val="Heading4"/>
        <w:numPr>
          <w:ilvl w:val="3"/>
          <w:numId w:val="1"/>
        </w:numPr>
        <w:rPr/>
      </w:pPr>
      <w:bookmarkStart w:id="916" w:name="__RefHeading___Toc634511_581953129"/>
      <w:bookmarkStart w:id="917" w:name="_Toc351"/>
      <w:bookmarkEnd w:id="915"/>
      <w:bookmarkEnd w:id="916"/>
      <w:r>
        <w:rPr/>
        <w:t>6</w:t>
      </w:r>
      <w:r>
        <w:rPr>
          <w:rtl w:val="true"/>
        </w:rPr>
        <w:t xml:space="preserve">. </w:t>
      </w:r>
      <w:r>
        <w:rPr>
          <w:rtl w:val="true"/>
        </w:rPr>
        <w:t xml:space="preserve">تفسیر غرائب القرآن ورغائب الفرقان </w:t>
      </w:r>
      <w:r>
        <w:rPr>
          <w:rtl w:val="true"/>
        </w:rPr>
        <w:t>(</w:t>
      </w:r>
      <w:r>
        <w:rPr>
          <w:rtl w:val="true"/>
        </w:rPr>
        <w:t>النیشابوری</w:t>
      </w:r>
      <w:r>
        <w:rPr>
          <w:rtl w:val="true"/>
        </w:rPr>
        <w:t>)</w:t>
      </w:r>
      <w:bookmarkEnd w:id="917"/>
    </w:p>
    <w:p>
      <w:pPr>
        <w:pStyle w:val="Heading5"/>
        <w:numPr>
          <w:ilvl w:val="4"/>
          <w:numId w:val="1"/>
        </w:numPr>
        <w:rPr/>
      </w:pPr>
      <w:bookmarkStart w:id="918" w:name="__RefHeading___Toc634513_581953129"/>
      <w:bookmarkStart w:id="919" w:name="_Toc352"/>
      <w:bookmarkEnd w:id="918"/>
      <w:r>
        <w:rPr>
          <w:rtl w:val="true"/>
        </w:rPr>
        <w:t>اشارة</w:t>
      </w:r>
      <w:bookmarkEnd w:id="919"/>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بن حسین القمّی النیسابوری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الاتّجاه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فلسفی و عرفانی وکلامی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اشتُهر المؤلِّف بلقب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الدین النیسابوری، و قد عاش إلی سنة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وذلک لتثبیته تاریخ إتمام تألیف الکتاب فی سنة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Style w:val="FootnoteAnchor"/>
          <w:rtl w:val="true"/>
        </w:rPr>
        <w:footnoteReference w:id="901"/>
      </w:r>
      <w:r>
        <w:rPr>
          <w:rFonts w:ascii="IRNazanin" w:hAnsi="IRNazanin" w:eastAsia="IRNazanin"/>
          <w:color w:val="111111"/>
          <w:sz w:val="28"/>
          <w:sz w:val="28"/>
          <w:szCs w:val="28"/>
          <w:rtl w:val="true"/>
          <w:lang w:bidi="fa-IR"/>
        </w:rPr>
        <w:t>و أمّا الإسم الکامل الذی اختاره لتفسیره، فهو غرائب القرآن ورغائب 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 جامع للعلوم العقلیة و النقلیة، وحافظ وقاریء للقرآن، وأدیب ومفسّر، و هو قمّی الأصل، ثمّ ترک قم وأقام فی نیسابور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حول هویته المذهبیة أهو من الشیعة أو من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فیوجد اختلاف فی تحدید ذلک، فقد عدّه الذهبی فی کتابه التفسیر و المفسّرون أنّه من أهل السنّة</w:t>
      </w:r>
      <w:r>
        <w:rPr>
          <w:rFonts w:eastAsia="IRNazanin" w:cs="IRNazanin"/>
          <w:color w:val="111111"/>
          <w:sz w:val="28"/>
          <w:szCs w:val="28"/>
          <w:rtl w:val="true"/>
          <w:lang w:bidi="fa-IR"/>
        </w:rPr>
        <w:t xml:space="preserve">. </w:t>
      </w:r>
      <w:r>
        <w:rPr>
          <w:rStyle w:val="FootnoteAnchor"/>
          <w:rtl w:val="true"/>
        </w:rPr>
        <w:footnoteReference w:id="902"/>
      </w:r>
      <w:r>
        <w:rPr>
          <w:rFonts w:ascii="IRNazanin" w:hAnsi="IRNazanin" w:eastAsia="IRNazanin"/>
          <w:color w:val="111111"/>
          <w:sz w:val="28"/>
          <w:sz w:val="28"/>
          <w:szCs w:val="28"/>
          <w:rtl w:val="true"/>
          <w:lang w:bidi="fa-IR"/>
        </w:rPr>
        <w:t xml:space="preserve">و أما بعض أعلام الشیعة ومن جملتهم أقا بزرک الطهرانی صاحب الذریعة، والعلاّمة المجلسی فی شرح من لا یحضره الفقیه، </w:t>
      </w:r>
      <w:r>
        <w:rPr>
          <w:rStyle w:val="FootnoteAnchor"/>
          <w:rtl w:val="true"/>
        </w:rPr>
        <w:footnoteReference w:id="903"/>
      </w:r>
      <w:r>
        <w:rPr>
          <w:rFonts w:ascii="IRNazanin" w:hAnsi="IRNazanin" w:eastAsia="IRNazanin"/>
          <w:color w:val="111111"/>
          <w:sz w:val="28"/>
          <w:sz w:val="28"/>
          <w:szCs w:val="28"/>
          <w:rtl w:val="true"/>
          <w:lang w:bidi="fa-IR"/>
        </w:rPr>
        <w:t xml:space="preserve">و صاحب روضات الجنّات، </w:t>
      </w:r>
      <w:r>
        <w:rPr>
          <w:rStyle w:val="FootnoteAnchor"/>
          <w:rtl w:val="true"/>
        </w:rPr>
        <w:footnoteReference w:id="904"/>
      </w:r>
      <w:r>
        <w:rPr>
          <w:rFonts w:ascii="IRNazanin" w:hAnsi="IRNazanin" w:eastAsia="IRNazanin"/>
          <w:color w:val="111111"/>
          <w:sz w:val="28"/>
          <w:sz w:val="28"/>
          <w:szCs w:val="28"/>
          <w:rtl w:val="true"/>
          <w:lang w:bidi="fa-IR"/>
        </w:rPr>
        <w:t>فقد أوردوا شواهد علی تشیعه</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والمؤلّف فی اللحاظ العلمی وتألیف الکتب هو صاحب فنون مختلفة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شرحه علی شافیة ابن الحاجب فی علم الصرف، وهی معروفة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نظّام، وکذلک شرحه تذکرة الخواجة نصیرالدین الطوسی فی علم الهیئة</w:t>
      </w:r>
      <w:r>
        <w:rPr>
          <w:rFonts w:eastAsia="IRNazanin" w:cs="IRNazanin"/>
          <w:color w:val="111111"/>
          <w:sz w:val="28"/>
          <w:szCs w:val="28"/>
          <w:rtl w:val="true"/>
          <w:lang w:bidi="fa-IR"/>
        </w:rPr>
        <w:t xml:space="preserve">. </w:t>
      </w:r>
      <w:r>
        <w:rPr>
          <w:rStyle w:val="FootnoteAnchor"/>
          <w:rtl w:val="true"/>
        </w:rPr>
        <w:footnoteReference w:id="905"/>
      </w:r>
      <w:bookmarkStart w:id="920" w:name="pg5285_67552"/>
    </w:p>
    <w:p>
      <w:pPr>
        <w:pStyle w:val="BookText"/>
        <w:rPr/>
      </w:pPr>
      <w:bookmarkEnd w:id="920"/>
      <w:r>
        <w:rPr>
          <w:rFonts w:ascii="IRNazanin" w:hAnsi="IRNazanin" w:eastAsia="IRNazanin"/>
          <w:color w:val="111111"/>
          <w:sz w:val="28"/>
          <w:sz w:val="28"/>
          <w:szCs w:val="28"/>
          <w:rtl w:val="true"/>
          <w:lang w:bidi="fa-IR"/>
        </w:rPr>
        <w:t>هذا التفسیر فی الأصل انتخبه من التفسیر الکبیر للفخر الرازی، و قد احتوی علی أکثر النکات التفسیریة لتفسیر الکشاف للزمخشری، فقد کتب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التفسیر الکبیر المنصوب إلی الإمام الرازی اسمه مطابق لمسّماه، و فیه من اللطائف و البحوث ما لا یحصی ومن الزوائد و الغثوث ما لا یخفی، فإنّه قد بذل مجهوده و نَتَلَ موجوده حتّی عسر کتبة علی الطالبین، فحاذیت سیاق مرامه وأوردتُ حاصل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ضممت إلیه ما وجدت فی الکشاف و فی سائر التفاسیر من اللطائف و المهمّات أو رزقنی الله تعالی من البضاعة المرجاه</w:t>
      </w:r>
      <w:r>
        <w:rPr>
          <w:rFonts w:eastAsia="IRNazanin" w:cs="IRNazanin"/>
          <w:color w:val="111111"/>
          <w:sz w:val="28"/>
          <w:szCs w:val="28"/>
          <w:rtl w:val="true"/>
          <w:lang w:bidi="fa-IR"/>
        </w:rPr>
        <w:t xml:space="preserve">. </w:t>
      </w:r>
      <w:r>
        <w:rPr>
          <w:rStyle w:val="FootnoteAnchor"/>
          <w:rtl w:val="true"/>
        </w:rPr>
        <w:footnoteReference w:id="906"/>
      </w:r>
    </w:p>
    <w:p>
      <w:pPr>
        <w:pStyle w:val="Heading5"/>
        <w:numPr>
          <w:ilvl w:val="4"/>
          <w:numId w:val="1"/>
        </w:numPr>
        <w:rPr/>
      </w:pPr>
      <w:bookmarkStart w:id="921" w:name="__RefHeading___Toc634515_581953129"/>
      <w:bookmarkStart w:id="922" w:name="_Toc353"/>
      <w:bookmarkEnd w:id="921"/>
      <w:r>
        <w:rPr>
          <w:rtl w:val="true"/>
        </w:rPr>
        <w:t>المصادر التفسیریة</w:t>
      </w:r>
      <w:bookmarkEnd w:id="922"/>
    </w:p>
    <w:p>
      <w:pPr>
        <w:pStyle w:val="BookText"/>
        <w:rPr/>
      </w:pPr>
      <w:r>
        <w:rPr>
          <w:rFonts w:ascii="IRNazanin" w:hAnsi="IRNazanin" w:eastAsia="IRNazanin"/>
          <w:color w:val="111111"/>
          <w:sz w:val="28"/>
          <w:sz w:val="28"/>
          <w:szCs w:val="28"/>
          <w:rtl w:val="true"/>
          <w:lang w:bidi="fa-IR"/>
        </w:rPr>
        <w:t>و قد استفاد المؤلّف فی 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الفخر الرازی و الکشاف للزمخشری و من مصادر أخری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الأحادیث مثلاً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الأصول و مصابیح البغوی، وفی شأن نزول الآیات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الأصول و أسباب النزول للواحدی النیسابوری، وفی اللغة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صحاح الجوهری، وفی الفقه من الکتب الفقهیة المعتبرة خصوصاً الوجیز للرافعی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واستفاد فی تأویل الآیات وبحوث الباطن من نجم الدین دایه و هو عارف شهیر، وأحیاناً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أوّلتُ هذه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واستفاد فی المعانی و البیان وسائر الأمور الأدبیة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الکشاف و التفسیر الکبیر، ومفتاح العلوم للسکّاکی، وأخذ من سائر الکتب العربیة المعتبرة أیضاً فی هذا الصعید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فی هذا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أکملتُ تفسیری هذا بنفس المدّة التی استغرقت فیها خلافة علی علیه السّلام خمس سنوات</w:t>
      </w:r>
      <w:r>
        <w:rPr>
          <w:rFonts w:eastAsia="IRNazanin" w:cs="IRNazanin"/>
          <w:color w:val="111111"/>
          <w:sz w:val="28"/>
          <w:szCs w:val="28"/>
          <w:rtl w:val="true"/>
          <w:lang w:bidi="fa-IR"/>
        </w:rPr>
        <w:t xml:space="preserve">. </w:t>
      </w:r>
      <w:r>
        <w:rPr>
          <w:rStyle w:val="FootnoteAnchor"/>
          <w:rtl w:val="true"/>
        </w:rPr>
        <w:footnoteReference w:id="907"/>
      </w:r>
      <w:r>
        <w:rPr>
          <w:rFonts w:ascii="IRNazanin" w:hAnsi="IRNazanin" w:eastAsia="IRNazanin"/>
          <w:color w:val="111111"/>
          <w:sz w:val="28"/>
          <w:sz w:val="28"/>
          <w:szCs w:val="28"/>
          <w:rtl w:val="true"/>
          <w:lang w:bidi="fa-IR"/>
        </w:rPr>
        <w:t>والملاحظة الملفتة للاتباه هی أنّ ملاّ صدرا اتّخذ هذا التفسیر منطلقاً لتفسیره</w:t>
      </w:r>
      <w:r>
        <w:rPr>
          <w:rFonts w:eastAsia="IRNazanin" w:cs="IRNazanin"/>
          <w:color w:val="111111"/>
          <w:sz w:val="28"/>
          <w:szCs w:val="28"/>
          <w:rtl w:val="true"/>
          <w:lang w:bidi="fa-IR"/>
        </w:rPr>
        <w:t xml:space="preserve">. </w:t>
      </w:r>
      <w:r>
        <w:rPr>
          <w:rStyle w:val="FootnoteAnchor"/>
          <w:rtl w:val="true"/>
        </w:rPr>
        <w:footnoteReference w:id="908"/>
      </w:r>
      <w:bookmarkStart w:id="923" w:name="pg5285_67553"/>
    </w:p>
    <w:p>
      <w:pPr>
        <w:pStyle w:val="BookText"/>
        <w:rPr/>
      </w:pPr>
      <w:bookmarkEnd w:id="923"/>
      <w:r>
        <w:rPr>
          <w:rFonts w:ascii="IRNazanin" w:hAnsi="IRNazanin" w:eastAsia="IRNazanin"/>
          <w:color w:val="111111"/>
          <w:sz w:val="28"/>
          <w:sz w:val="28"/>
          <w:szCs w:val="28"/>
          <w:rtl w:val="true"/>
          <w:lang w:bidi="fa-IR"/>
        </w:rPr>
        <w:t xml:space="preserve">ومثلما قالوا إنّ منهج هذا التفسیر هو المنهج الاجتهادی؛ لأنَّهُ اهتمَّ بکلّ المصادر إلاّ أنّ له اتّجاه فلسفی، ومن جملة ما یمکن الإشارة إلیه کشاهد علی هذا ما کتبه فی فقرات الآیة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الزمر، والانفطار الآیة الأولی و الثانیة، وکذلک یمکن ملاحظة المیل العرفانی و الکلامی فی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والمؤلّف ضمن اهتمامه بالروایات المختلفة ونقل الأحادیث عن الصحابة و التابعین وبحثه فی القراءات، لم ینقل فضائل السور لعلّة ضعفها؛ ولذلک حذفها من تفسیره</w:t>
      </w:r>
      <w:r>
        <w:rPr>
          <w:rFonts w:eastAsia="IRNazanin" w:cs="IRNazanin"/>
          <w:color w:val="111111"/>
          <w:sz w:val="28"/>
          <w:szCs w:val="28"/>
          <w:rtl w:val="true"/>
          <w:lang w:bidi="fa-IR"/>
        </w:rPr>
        <w:t>.</w:t>
      </w:r>
    </w:p>
    <w:p>
      <w:pPr>
        <w:pStyle w:val="Heading4"/>
        <w:numPr>
          <w:ilvl w:val="3"/>
          <w:numId w:val="1"/>
        </w:numPr>
        <w:rPr/>
      </w:pPr>
      <w:bookmarkStart w:id="924" w:name="__RefHeading___Toc634517_581953129"/>
      <w:bookmarkStart w:id="925" w:name="_Toc354"/>
      <w:bookmarkEnd w:id="924"/>
      <w:r>
        <w:rPr/>
        <w:t>7</w:t>
      </w:r>
      <w:r>
        <w:rPr>
          <w:rtl w:val="true"/>
        </w:rPr>
        <w:t xml:space="preserve">. </w:t>
      </w:r>
      <w:r>
        <w:rPr>
          <w:rtl w:val="true"/>
        </w:rPr>
        <w:t>البحر المحیط فی التفسیر</w:t>
      </w:r>
      <w:bookmarkEnd w:id="925"/>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یوسف، المشهور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حیان الأندلسی الغرناطی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اجتهادی وجامع فی الأضواء التفسیریة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الاتّجاه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أدبی وبیانی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أبو حیان الأندلُسی أستاذ النحویین وسیبویه زمانه</w:t>
      </w:r>
      <w:r>
        <w:rPr>
          <w:rFonts w:eastAsia="IRNazanin" w:cs="IRNazanin"/>
          <w:color w:val="111111"/>
          <w:sz w:val="28"/>
          <w:szCs w:val="28"/>
          <w:rtl w:val="true"/>
          <w:lang w:bidi="fa-IR"/>
        </w:rPr>
        <w:t xml:space="preserve">. </w:t>
      </w:r>
      <w:r>
        <w:rPr>
          <w:rStyle w:val="FootnoteAnchor"/>
          <w:rtl w:val="true"/>
        </w:rPr>
        <w:footnoteReference w:id="909"/>
      </w:r>
      <w:r>
        <w:rPr>
          <w:rFonts w:ascii="IRNazanin" w:hAnsi="IRNazanin" w:eastAsia="IRNazanin"/>
          <w:color w:val="111111"/>
          <w:sz w:val="28"/>
          <w:sz w:val="28"/>
          <w:szCs w:val="28"/>
          <w:rtl w:val="true"/>
          <w:lang w:bidi="fa-IR"/>
        </w:rPr>
        <w:t xml:space="preserve">و قد سافر کثیراً إلی بلدان متعدّدة، والتقی بأکثر من أربع مائة وخمسین أستاذ، وصار شیخ النحویین فی مصر، وبدأ الآخرون یتزوّدون منه، و قد عُرف بحبّه لعلی أمیر المؤمنین علیه السّلام </w:t>
      </w:r>
      <w:r>
        <w:rPr>
          <w:rStyle w:val="FootnoteAnchor"/>
          <w:rtl w:val="true"/>
        </w:rPr>
        <w:footnoteReference w:id="910"/>
      </w:r>
      <w:r>
        <w:rPr>
          <w:rFonts w:ascii="IRNazanin" w:hAnsi="IRNazanin" w:eastAsia="IRNazanin"/>
          <w:color w:val="111111"/>
          <w:sz w:val="28"/>
          <w:sz w:val="28"/>
          <w:szCs w:val="28"/>
          <w:rtl w:val="true"/>
          <w:lang w:bidi="fa-IR"/>
        </w:rPr>
        <w:t>بین الناس</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إنّ الشهید الثانی یروی عنه عن طریق تلمیذه جمال الدین عبد الصمد البغدادی</w:t>
      </w:r>
      <w:r>
        <w:rPr>
          <w:rFonts w:eastAsia="IRNazanin" w:cs="IRNazanin"/>
          <w:color w:val="111111"/>
          <w:sz w:val="28"/>
          <w:szCs w:val="28"/>
          <w:rtl w:val="true"/>
          <w:lang w:bidi="fa-IR"/>
        </w:rPr>
        <w:t xml:space="preserve">. </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و هذا التفسیر یماشی تفسیر الکشاف فی البحوث الأدبیة وأحیاناً یتعرّض لنقده کذلک، و إنّ أهمّ مصادر أبو حیان فی تفسیر البحر المحیط،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الکشاف للزمخشری و المحرّر الوجیز لابن عطیه، و تفسیر ابن النقیب</w:t>
      </w:r>
      <w:r>
        <w:rPr>
          <w:rFonts w:eastAsia="IRNazanin" w:cs="IRNazanin"/>
          <w:color w:val="111111"/>
          <w:sz w:val="28"/>
          <w:szCs w:val="28"/>
          <w:rtl w:val="true"/>
          <w:lang w:bidi="fa-IR"/>
        </w:rPr>
        <w:t xml:space="preserve">. </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کما و إنّ أهمّ خصوصیات هذا التفسیر هو طرحه البحوث الأدبیة و البیانیة بغیة إثبات إعجاز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خصوصیة مهمّة أخری هی التأکید وإثبات الارتباط القائم بین السور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وکمثال علی هذا الارتباط یمکننا أن نلاحظ ما کتبه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تحدّثتْ عنهم الآیات الأخیرة من سورة الجمعة فی إنّهم انصرفوا عن سماع خطبة النبی صلّی الله علیه و آله لصلاة الجمعة، فی أنّ علّة ذلک هو وجود المنافقین فیما بینهم، وعند انفضاضهم انفضّ ضعاف المسلمین معهم طمعاً فی شراء شیء من القافلة التجاریة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بیان هذا السبب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انْفَضُّوا إِلَیْها وَ تَرَکُوکَ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سورة المنافقون</w:t>
      </w:r>
      <w:r>
        <w:rPr>
          <w:rFonts w:eastAsia="IRNazanin" w:cs="IRNazanin"/>
          <w:color w:val="111111"/>
          <w:sz w:val="28"/>
          <w:szCs w:val="28"/>
          <w:rtl w:val="true"/>
          <w:lang w:bidi="fa-IR"/>
        </w:rPr>
        <w:t xml:space="preserve">. </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و أمّا الأسلوب العلمی فی تفسیره، فهو علی 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المکّی و المدنی فی بدایة کلّ سورة، واهتمامه بشأن نزول الآیات و القراءات خصوصاً قراءة الجمهور ونقله القراءة المعروفة، ثمّ بیانه أقوال الصحابة و التابعین فی التفسیر، ولکن أوسع بحوثه هی فی المجالات الأدبیة و البیانیة من هذا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حرص و المؤلّف علی أن یضعَ بین یدی الناس ما توصّل إلیه من بحوثه التفسیریة بشکل أیسر، ومن هذا المنطلق عمد إلی تلخیص تفسیره البحر المحیط بانتقاء أهمّ ما فیه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النهر الماد من البحر المحیط</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لخَّصه أحد تلامذة الأدیب أبو حیان، و هو تاج الدین الحنفی،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اللقیط من البحر المحیط</w:t>
      </w:r>
      <w:r>
        <w:rPr>
          <w:rFonts w:eastAsia="IRNazanin" w:cs="IRNazanin"/>
          <w:color w:val="111111"/>
          <w:sz w:val="28"/>
          <w:szCs w:val="28"/>
          <w:rtl w:val="true"/>
          <w:lang w:bidi="fa-IR"/>
        </w:rPr>
        <w:t>.</w:t>
      </w:r>
      <w:bookmarkStart w:id="926" w:name="pg5285_67555"/>
    </w:p>
    <w:p>
      <w:pPr>
        <w:pStyle w:val="Heading4"/>
        <w:numPr>
          <w:ilvl w:val="3"/>
          <w:numId w:val="1"/>
        </w:numPr>
        <w:rPr/>
      </w:pPr>
      <w:bookmarkStart w:id="927" w:name="__RefHeading___Toc634519_581953129"/>
      <w:bookmarkStart w:id="928" w:name="_Toc355"/>
      <w:bookmarkEnd w:id="926"/>
      <w:bookmarkEnd w:id="927"/>
      <w:r>
        <w:rPr/>
        <w:t>8</w:t>
      </w:r>
      <w:r>
        <w:rPr>
          <w:rtl w:val="true"/>
        </w:rPr>
        <w:t xml:space="preserve">. </w:t>
      </w:r>
      <w:r>
        <w:rPr>
          <w:rtl w:val="true"/>
        </w:rPr>
        <w:t xml:space="preserve">تفسیر القرآن العظیم </w:t>
      </w:r>
      <w:r>
        <w:rPr>
          <w:rtl w:val="true"/>
        </w:rPr>
        <w:t>(</w:t>
      </w:r>
      <w:r>
        <w:rPr>
          <w:rtl w:val="true"/>
        </w:rPr>
        <w:t>ابن کثیر</w:t>
      </w:r>
      <w:r>
        <w:rPr>
          <w:rtl w:val="true"/>
        </w:rPr>
        <w:t>)</w:t>
      </w:r>
      <w:bookmarkEnd w:id="928"/>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الفداء، حافظ ابن کثیر الدمشقی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اشتُهر المؤلّف بابن کثیر الدمشقی، و قد متوفّی سنة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کثیر صاحب رأی فی علم الفقه و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وکتاب تاریخه الشهیر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البدایة و النهایة أشهر من أن یذکر وله شهرته الواسعة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وسار فی الفقه علی مذهب الإمام الشافعی مع أنّه فی أکثر أفکاره وتصوّراته یقفو أثر ابن تیمیة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اقتبس ابن کثیر مقدّمة تفسیره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التفسیر لابن تیمیة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بدایة تفسیره قال إنّ أفضل تفسیر هو تفسیر القرآن بالقرآن، وأقام الأدلّة علی اعتقاده هذا، غیر أنّه لم یطبّق هذا المنهج فی تفسیره إلاّ فی موارد قلیلة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التفسیر هو من أشهر التفاسیر الروائیة، إلاّ أنّه یختلف فی أسلوبه عن التفاسیر الروائیة المحضة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الدرّ المنثور؛ وذلک لأنَّ بعد تفسیره الآیات یمارس النقد و التحلیل و التحقیق، والترجیح، والجرح و التعدیل لبعض الروایات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البدء یذکر الآیة، ثمّ یقوم بتوضیحها بعبارات سهلة، و إذا کانت هناک آیات تُسهم فی تبیینها یوردها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فی الحقیقة هو نوع من تفسیر القرآن بالقرآن؛ وذلک لأنَّ هذا المفسّر وأستاذه ابن تیمیة هما من المیالین لتفسیر القرآن بالقرآن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یباشر بنقل الأحادیث الواردة عن الرسول الأکرم صلّی الله علیه و آله وأقوال</w:t>
      </w:r>
      <w:bookmarkStart w:id="929" w:name="pg5285_67556"/>
    </w:p>
    <w:p>
      <w:pPr>
        <w:pStyle w:val="BookText"/>
        <w:rPr/>
      </w:pPr>
      <w:bookmarkEnd w:id="929"/>
      <w:r>
        <w:rPr>
          <w:rFonts w:ascii="IRNazanin" w:hAnsi="IRNazanin" w:eastAsia="IRNazanin"/>
          <w:color w:val="111111"/>
          <w:sz w:val="28"/>
          <w:sz w:val="28"/>
          <w:szCs w:val="28"/>
          <w:rtl w:val="true"/>
          <w:lang w:bidi="fa-IR"/>
        </w:rPr>
        <w:t>الصحابة و التابعین، ویقوم بعملیة الاستدلال علی الصحة و السقم أو ترجیح بعضها، بل وحتّی یتصدّی إلی جرح وتعدیل الرواة إلی الحدّ الذی یظهر فیه أنّه خبیر فی أصول الحدیث وأحوال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یلفت النظر فی هذا التفسیر محاولة المؤلّف فی التنزّه عن الروایات الإسرائیلیة و الموضوعة</w:t>
      </w:r>
      <w:r>
        <w:rPr>
          <w:rFonts w:eastAsia="IRNazanin" w:cs="IRNazanin"/>
          <w:color w:val="111111"/>
          <w:sz w:val="28"/>
          <w:szCs w:val="28"/>
          <w:rtl w:val="true"/>
          <w:lang w:bidi="fa-IR"/>
        </w:rPr>
        <w:t xml:space="preserve">. </w:t>
      </w:r>
      <w:r>
        <w:rPr>
          <w:rStyle w:val="FootnoteAnchor"/>
          <w:rtl w:val="true"/>
        </w:rPr>
        <w:footnoteReference w:id="914"/>
      </w:r>
    </w:p>
    <w:p>
      <w:pPr>
        <w:pStyle w:val="Heading4"/>
        <w:numPr>
          <w:ilvl w:val="3"/>
          <w:numId w:val="1"/>
        </w:numPr>
        <w:rPr/>
      </w:pPr>
      <w:bookmarkStart w:id="930" w:name="__RefHeading___Toc634521_581953129"/>
      <w:bookmarkStart w:id="931" w:name="_Toc356"/>
      <w:bookmarkEnd w:id="930"/>
      <w:r>
        <w:rPr/>
        <w:t>9</w:t>
      </w:r>
      <w:r>
        <w:rPr>
          <w:rtl w:val="true"/>
        </w:rPr>
        <w:t xml:space="preserve">. </w:t>
      </w:r>
      <w:r>
        <w:rPr>
          <w:rtl w:val="true"/>
        </w:rPr>
        <w:t xml:space="preserve">الجواهر الحسان فی تفسیر القرآن </w:t>
      </w:r>
      <w:r>
        <w:rPr>
          <w:rtl w:val="true"/>
        </w:rPr>
        <w:t>(</w:t>
      </w:r>
      <w:r>
        <w:rPr>
          <w:rtl w:val="true"/>
        </w:rPr>
        <w:t>تفسیر الثعالبی</w:t>
      </w:r>
      <w:r>
        <w:rPr>
          <w:rtl w:val="true"/>
        </w:rPr>
        <w:t>)</w:t>
      </w:r>
      <w:bookmarkEnd w:id="931"/>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الثعالبی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التفسیر هو من نمط التفاسیر المعتمدة الروائیة عند أهل السنّة، ألّفه أبو أبی زید عبد الرحمن مخلوف الثعالبی، و هو من الذین بذلوا جهداً کبیراً فی الأسفار الکثیرة سعیاً وراء جمع الأحادیث، و قد عُرف فی زمانه أنّه خبیر بالأحادیث</w:t>
      </w:r>
      <w:r>
        <w:rPr>
          <w:rFonts w:eastAsia="IRNazanin" w:cs="IRNazanin"/>
          <w:color w:val="111111"/>
          <w:sz w:val="28"/>
          <w:szCs w:val="28"/>
          <w:rtl w:val="true"/>
          <w:lang w:bidi="fa-IR"/>
        </w:rPr>
        <w:t xml:space="preserve">. </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إنّ أهمَّ مصادر الثعالبی فی تفسیره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المحرر الوجیز لابن عطیة، وعلی حدّ قوله استفاد من تفاسیر أخری من 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أبو حیان الأندلسی البحر المحیط، وروایات الصحاح و السنن الستّة، وکذلک من تذکرة القرطبی و مصابیح البغوی</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اشتملت مقدّمته علی بیان فضل القرآن وفضیلة التفسیر وإعراب القرآن،</w:t>
      </w:r>
      <w:bookmarkStart w:id="932" w:name="pg5285_67557"/>
    </w:p>
    <w:p>
      <w:pPr>
        <w:pStyle w:val="BookText"/>
        <w:rPr/>
      </w:pPr>
      <w:bookmarkEnd w:id="932"/>
      <w:r>
        <w:rPr>
          <w:rFonts w:ascii="IRNazanin" w:hAnsi="IRNazanin" w:eastAsia="IRNazanin"/>
          <w:color w:val="111111"/>
          <w:sz w:val="28"/>
          <w:sz w:val="28"/>
          <w:szCs w:val="28"/>
          <w:rtl w:val="true"/>
          <w:lang w:bidi="fa-IR"/>
        </w:rPr>
        <w:t>والنهی عن التفسیر بالرأی، ومراتب‌المفسّرین و الألفاظ الدخیلة، وأسماء القرآن ومفهوم السورة و الآیة والاستعاذة و البسلمه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منهجه فی التفسیر، فهو اعتماده علی روایات الصحابة و التابعین ونقل عنهم بشکل واسع، إلاّ أنّه کلّما اقترب من النهایة صار أکثر اکتفاء بتوضیح الآیة من دون ذکر الأقوال، و هذا التفسیر خالٍ من الاستدلال و البرهان، وعلیه فإنّ الأسلوب العملی للمفسّر یعتمد فی البدایة علی ذکر القراءة، وأحیاناً بعض الأمور الأدبیة، ثمّ یورد الروایات التفسیریة و التی نقلها من دون سند؛ ولأجل ذلک فهی مَشُوبة بالإسرائیلیات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یذکر إنّه من متعصّبی أهل السنّة فی البحوث العقائدیة و المذهبیة، و قد بالغ فی تعصّبه حیث قد قصّر فی نقل فضائل أهل‌البیت علیهم السّلام، کما فعل ذلک بوضوح فی ذیل الآیة الخامسة و الخمسین من سورة المائدة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،فیلاحظ أنّه اکتفی بذکر تصدّق علی علیه السّلام بخاتمة لاغیر</w:t>
      </w:r>
      <w:r>
        <w:rPr>
          <w:rFonts w:eastAsia="IRNazanin" w:cs="IRNazanin"/>
          <w:color w:val="111111"/>
          <w:sz w:val="28"/>
          <w:szCs w:val="28"/>
          <w:rtl w:val="true"/>
          <w:lang w:bidi="fa-IR"/>
        </w:rPr>
        <w:t xml:space="preserve">. </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وفی آیة المباهلة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یشر إلی أهل‌البیت علیهم السّلام أصلاً، کما ورد فی هذه الحادثة ضمن صفحات التاریخ</w:t>
      </w:r>
      <w:r>
        <w:rPr>
          <w:rFonts w:eastAsia="Amiri" w:cs="Amiri" w:ascii="Amiri" w:hAnsi="Amiri"/>
          <w:color w:val="111111"/>
          <w:sz w:val="28"/>
          <w:szCs w:val="28"/>
          <w:rtl w:val="true"/>
          <w:lang w:bidi="ar-SA"/>
        </w:rPr>
        <w:t>.</w:t>
      </w:r>
    </w:p>
    <w:p>
      <w:pPr>
        <w:pStyle w:val="Heading4"/>
        <w:numPr>
          <w:ilvl w:val="3"/>
          <w:numId w:val="1"/>
        </w:numPr>
        <w:rPr/>
      </w:pPr>
      <w:bookmarkStart w:id="933" w:name="__RefHeading___Toc634523_581953129"/>
      <w:bookmarkStart w:id="934" w:name="_Toc357"/>
      <w:bookmarkEnd w:id="933"/>
      <w:r>
        <w:rPr/>
        <w:t>10</w:t>
      </w:r>
      <w:r>
        <w:rPr>
          <w:rtl w:val="true"/>
        </w:rPr>
        <w:t xml:space="preserve"> </w:t>
      </w:r>
      <w:r>
        <w:rPr>
          <w:rtl w:val="true"/>
        </w:rPr>
        <w:t>نظم الدرر فی تناسب الآیات و السور</w:t>
      </w:r>
      <w:bookmarkEnd w:id="934"/>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الدین، أبو الحسن البقاعی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الاتّجاه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 وعرفانی، مع الاهتمام بعملیة الربط بین الآیات و السور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الحسن إبراهیم بن عمر بن أبو بکر البقاعی، من أهل دمشق، شافعی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نقل الأدنوی عن السیوطی أنّه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المؤلّف جمع ما لم یجمعه شخص آخر عن أسرار عظمة القرآن، إنّه کتب تفسیره هذا فی مدّة أربع عشرة سنة</w:t>
      </w:r>
      <w:r>
        <w:rPr>
          <w:rFonts w:eastAsia="IRNazanin" w:cs="IRNazanin"/>
          <w:color w:val="111111"/>
          <w:sz w:val="28"/>
          <w:szCs w:val="28"/>
          <w:rtl w:val="true"/>
          <w:lang w:bidi="fa-IR"/>
        </w:rPr>
        <w:t xml:space="preserve">. </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إنّ هذا التفسیر کُتب علی أساس علم المناسبات القرآنیة لتبیین الروابط بین الآیات، وعلل الترتیب بین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العلم یعتمد علی علم البلاغة، ووفقاً لما جاء فی المقدّمة أنّ المؤلّف بعد مطالعته لکتاب المعلم بالبرهان فی ترتیب سور القرآن، لأبی جعفر الثقفی الأندلسی و الذی بین فیه المناسبات بین السور، کتب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فبذلتُ جهدی لبیان المناسبات بین الآیات کذلک، هذا ولأهمیة هذا البحث علی المحقّقین تألیف کتب متعدّدة فی ذلک</w:t>
      </w:r>
      <w:r>
        <w:rPr>
          <w:rFonts w:eastAsia="IRNazanin" w:cs="IRNazanin"/>
          <w:color w:val="111111"/>
          <w:sz w:val="28"/>
          <w:szCs w:val="28"/>
          <w:rtl w:val="true"/>
          <w:lang w:bidi="fa-IR"/>
        </w:rPr>
        <w:t xml:space="preserve">. </w:t>
      </w:r>
      <w:r>
        <w:rPr>
          <w:rStyle w:val="FootnoteAnchor"/>
          <w:rtl w:val="true"/>
        </w:rPr>
        <w:footnoteReference w:id="918"/>
      </w:r>
    </w:p>
    <w:p>
      <w:pPr>
        <w:pStyle w:val="BookText"/>
        <w:rPr/>
      </w:pPr>
      <w:r>
        <w:rPr>
          <w:rFonts w:ascii="IRNazanin" w:hAnsi="IRNazanin" w:eastAsia="IRNazanin"/>
          <w:color w:val="111111"/>
          <w:sz w:val="28"/>
          <w:sz w:val="28"/>
          <w:szCs w:val="28"/>
          <w:rtl w:val="true"/>
          <w:lang w:bidi="fa-IR"/>
        </w:rPr>
        <w:t>و أمّا المصادر التی استفادها المؤلف، 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للزرکشی، و التفسیر الکبیر للفخر الرازی، و مفتاح الباب المقفل لفهم القرآن المنزل لحرالی‌المغربی، وبعض المصادر الأخری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ابن النقیب الحنفی و الکشاف للزمخشری، و أنوار التنزیل للبیضاوی و البحر المحیط لأبی حیان الأندلسی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نقل فی موضع إثر موضع من تفسیره متن الحرالی المغربی وقام بتوضیحه، وذکر أنّ هذا الکتاب له دوره الأساسی فی تفسیر نظم الدرر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نقل فی التفسیر روایات مأثورة عن الصحابة و التابعین غیر أنّه فی الموارد الکثیرة ذکر نکات عرفانیة وإشارات ذوقیة للعرفاء</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ومن القلیل النادر العثور علی تفسیر کهذا التفسیر یجلّی العلاقة المترابطة بین الآیات، وفی الواقع هو مضافاً إلی ممارسته التفسیر المتعارف بأسلوبه الموروث ابتکر أسلوباً جدیداً فی تفسیر موضوعات الآیات، 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بیان الارتباط بین الآیات </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 والتی هی تخاطب بنی إسرائیل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w:t>
      </w:r>
      <w:bookmarkStart w:id="935" w:name="pg5285_67559"/>
    </w:p>
    <w:p>
      <w:pPr>
        <w:pStyle w:val="BookText"/>
        <w:rPr/>
      </w:pPr>
      <w:bookmarkEnd w:id="935"/>
      <w:r>
        <w:rPr>
          <w:rFonts w:ascii="IRNazanin" w:hAnsi="IRNazanin" w:eastAsia="IRNazanin"/>
          <w:color w:val="111111"/>
          <w:sz w:val="28"/>
          <w:sz w:val="28"/>
          <w:szCs w:val="28"/>
          <w:rtl w:val="true"/>
          <w:lang w:bidi="fa-IR"/>
        </w:rPr>
        <w:t>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اتَّقُوا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،یتحدّث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التکرار المبالغ فیه هو لعلّة القسوة الغالبة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فعسی أن یحلَّ الخوف و الرجاء محلّ ذلک؛ ولأجل هذا الهدف تکرّر مرّتین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،ولکون بنی إسرائیل بالخصوص ذُکّروا بما مَنَّ الله علیهم من کرامات وما أغدق علیهم من نِعَم، جاء تحذیرهم من المخالفة إثر ذلک لیخافوا الوقوع فیها؛ لئنّ مخالفة المنعم أقبح وأفحش، ولأجل هذا الأمر عسی أن یخافوا الیوم الذی لا نجاة فیه إلاّ بالتقوی</w:t>
      </w:r>
      <w:r>
        <w:rPr>
          <w:rFonts w:eastAsia="IRNazanin" w:cs="IRNazanin"/>
          <w:color w:val="111111"/>
          <w:sz w:val="28"/>
          <w:szCs w:val="28"/>
          <w:rtl w:val="true"/>
          <w:lang w:bidi="fa-IR"/>
        </w:rPr>
        <w:t xml:space="preserve">. </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و أمّا موقف المؤلّف من أهل‌البیت علیهم السّلام، فهو موقف المُنصف، و قد صرّح فی مقدِّمة تفسیره أنّه استلهم آراءه من الآیات القرآنیة ومن کلام أمیر المؤمنین علی علیه السّلام و روح التدبّر فی آیات القرآن الکریم</w:t>
      </w:r>
      <w:r>
        <w:rPr>
          <w:rFonts w:eastAsia="IRNazanin" w:cs="IRNazanin"/>
          <w:color w:val="111111"/>
          <w:sz w:val="28"/>
          <w:szCs w:val="28"/>
          <w:rtl w:val="true"/>
          <w:lang w:bidi="fa-IR"/>
        </w:rPr>
        <w:t xml:space="preserve">. </w:t>
      </w:r>
      <w:r>
        <w:rPr>
          <w:rStyle w:val="FootnoteAnchor"/>
          <w:rtl w:val="true"/>
        </w:rPr>
        <w:footnoteReference w:id="920"/>
      </w:r>
    </w:p>
    <w:p>
      <w:pPr>
        <w:pStyle w:val="BookText"/>
        <w:rPr/>
      </w:pPr>
      <w:r>
        <w:rPr>
          <w:rFonts w:ascii="IRNazanin" w:hAnsi="IRNazanin" w:eastAsia="IRNazanin"/>
          <w:color w:val="111111"/>
          <w:sz w:val="28"/>
          <w:sz w:val="28"/>
          <w:szCs w:val="28"/>
          <w:rtl w:val="true"/>
          <w:lang w:bidi="fa-IR"/>
        </w:rPr>
        <w:t>و قد کتب عن سورة الکوثر بأنّها إشارة إلی ذریة فاطمة الزهراء علیها السّلام، ومن هذا المنطلق نجده یقول فی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اسم الیوم لمخالفی النبی صلّی الله علیه و آله وشانئینه، أمّا أولاد رسول الله صلّی الله علیه و آله، فهم الکثیرون جدّاً مع ما اجتهد الآخرون بقتلهم</w:t>
      </w:r>
      <w:r>
        <w:rPr>
          <w:rFonts w:eastAsia="IRNazanin" w:cs="IRNazanin"/>
          <w:color w:val="111111"/>
          <w:sz w:val="28"/>
          <w:szCs w:val="28"/>
          <w:rtl w:val="true"/>
          <w:lang w:bidi="fa-IR"/>
        </w:rPr>
        <w:t xml:space="preserve">. </w:t>
      </w:r>
      <w:r>
        <w:rPr>
          <w:rStyle w:val="FootnoteAnchor"/>
          <w:rtl w:val="true"/>
        </w:rPr>
        <w:footnoteReference w:id="921"/>
      </w:r>
    </w:p>
    <w:p>
      <w:pPr>
        <w:pStyle w:val="Heading3"/>
        <w:numPr>
          <w:ilvl w:val="2"/>
          <w:numId w:val="1"/>
        </w:numPr>
        <w:rPr/>
      </w:pPr>
      <w:bookmarkStart w:id="936" w:name="__RefHeading___Toc634525_581953129"/>
      <w:bookmarkStart w:id="937" w:name="_Toc358"/>
      <w:bookmarkEnd w:id="936"/>
      <w:r>
        <w:rPr>
          <w:rtl w:val="true"/>
        </w:rPr>
        <w:t>المفسّرون الآخرون فی هذه القرون الثلاثة</w:t>
      </w:r>
      <w:bookmarkEnd w:id="937"/>
    </w:p>
    <w:p>
      <w:pPr>
        <w:pStyle w:val="BookText"/>
        <w:rPr/>
      </w:pPr>
      <w:r>
        <w:rPr>
          <w:rFonts w:ascii="IRNazanin" w:hAnsi="IRNazanin" w:eastAsia="IRNazanin"/>
          <w:color w:val="111111"/>
          <w:sz w:val="28"/>
          <w:sz w:val="28"/>
          <w:szCs w:val="28"/>
          <w:rtl w:val="true"/>
          <w:lang w:bidi="fa-IR"/>
        </w:rPr>
        <w:t>التفاسیر العرفانیة</w:t>
      </w:r>
    </w:p>
    <w:p>
      <w:pPr>
        <w:pStyle w:val="BookText"/>
        <w:rPr/>
      </w:pPr>
      <w:r>
        <w:rPr>
          <w:rFonts w:ascii="IRNazanin" w:hAnsi="IRNazanin" w:eastAsia="IRNazanin"/>
          <w:color w:val="111111"/>
          <w:sz w:val="28"/>
          <w:sz w:val="28"/>
          <w:szCs w:val="28"/>
          <w:rtl w:val="true"/>
          <w:lang w:bidi="fa-IR"/>
        </w:rPr>
        <w:t>فی هذه الفقرة سنشیر إلی ما بقی من التفاسیر علی النحو الآتی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تفاسیر محیی الدین بن عربی، أبو بکر محی‌الدین محمّد بن علی بن عبد الله الحاتمی الطائی الأندلسی، المعروف بابن عربی، والمتولّد سنة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المتوفّی فی دمشق سنة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إنّه شخصیة کبیرة، ومن نوابغ عصره، وله رحلات کثیرة إلی بلدان مختلفة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و الروم ومکّة و المدینة</w:t>
      </w:r>
      <w:r>
        <w:rPr>
          <w:rFonts w:eastAsia="IRNazanin" w:cs="IRNazanin"/>
          <w:color w:val="111111"/>
          <w:sz w:val="28"/>
          <w:szCs w:val="28"/>
          <w:rtl w:val="true"/>
          <w:lang w:bidi="fa-IR"/>
        </w:rPr>
        <w:t>.</w:t>
      </w:r>
      <w:bookmarkStart w:id="938" w:name="pg5285_67560"/>
    </w:p>
    <w:p>
      <w:pPr>
        <w:pStyle w:val="BookText"/>
        <w:rPr/>
      </w:pPr>
      <w:bookmarkEnd w:id="938"/>
      <w:r>
        <w:rPr>
          <w:rFonts w:ascii="IRNazanin" w:hAnsi="IRNazanin" w:eastAsia="IRNazanin"/>
          <w:color w:val="111111"/>
          <w:sz w:val="28"/>
          <w:sz w:val="28"/>
          <w:szCs w:val="28"/>
          <w:rtl w:val="true"/>
          <w:lang w:bidi="fa-IR"/>
        </w:rPr>
        <w:t>وله تألیفات کثیرة کذلک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الفتوحات المکیة و تفسیر القرآن العظیم المسمّی بالإجمال و التفصیل، وفصوص الحکم</w:t>
      </w:r>
      <w:r>
        <w:rPr>
          <w:rFonts w:eastAsia="IRNazanin" w:cs="IRNazanin"/>
          <w:color w:val="111111"/>
          <w:sz w:val="28"/>
          <w:szCs w:val="28"/>
          <w:rtl w:val="true"/>
          <w:lang w:bidi="fa-IR"/>
        </w:rPr>
        <w:t xml:space="preserve">. </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وهناک آراء مختلفة حول تقییم أفکار واعتقادات ابن عربی، ففی الفقه یبدو أنّه علی المذهب المالکی وله عقائده الخاصّة به، وعلی أی حال هو فی زمانه یعدّ شیخ المتصوّفة وکبیرها، وله أتباع ومریدون یکفّون له حبّاً إلی الحدّ الذی صاروا یلقبونه بالشیخ الأکبر و العارف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ابن عربی تناول تفسیر الآیات فی مختلف کتبه، ولکن هل له کتاب خاصّ بالتفسیر أم لا؟</w:t>
      </w:r>
    </w:p>
    <w:p>
      <w:pPr>
        <w:pStyle w:val="BookText"/>
        <w:rPr/>
      </w:pPr>
      <w:r>
        <w:rPr>
          <w:rFonts w:ascii="IRNazanin" w:hAnsi="IRNazanin" w:eastAsia="IRNazanin"/>
          <w:color w:val="111111"/>
          <w:sz w:val="28"/>
          <w:sz w:val="28"/>
          <w:szCs w:val="28"/>
          <w:rtl w:val="true"/>
          <w:lang w:bidi="fa-IR"/>
        </w:rPr>
        <w:t>وهنا یمکننا أن نقول فی أنّ الملاحظ أنّ ابن عربی ذکر فی أماکن عدّة من کتبه، ومن 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الفتوحات المکّیة فی أنّ له تفسیر تحت عنوان الجمع و التفصیل فی معرفة معانی التنزیل، وکان یرجع إلیه فی موارد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إلی تفسیر آخر له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إیجاز البیان فی الترجمة عن القرآن، ونُسبت إلیه تفاسیر أخری</w:t>
      </w:r>
      <w:r>
        <w:rPr>
          <w:rFonts w:eastAsia="IRNazanin" w:cs="IRNazanin"/>
          <w:color w:val="111111"/>
          <w:sz w:val="28"/>
          <w:szCs w:val="28"/>
          <w:rtl w:val="true"/>
          <w:lang w:bidi="fa-IR"/>
        </w:rPr>
        <w:t xml:space="preserve">. </w:t>
      </w:r>
      <w:r>
        <w:rPr>
          <w:rStyle w:val="FootnoteAnchor"/>
          <w:rtl w:val="true"/>
        </w:rPr>
        <w:footnoteReference w:id="923"/>
      </w:r>
    </w:p>
    <w:p>
      <w:pPr>
        <w:pStyle w:val="Heading3"/>
        <w:numPr>
          <w:ilvl w:val="2"/>
          <w:numId w:val="1"/>
        </w:numPr>
        <w:rPr/>
      </w:pPr>
      <w:bookmarkStart w:id="939" w:name="__RefHeading___Toc634527_581953129"/>
      <w:bookmarkStart w:id="940" w:name="_Toc359"/>
      <w:bookmarkEnd w:id="939"/>
      <w:r>
        <w:rPr>
          <w:rtl w:val="true"/>
        </w:rPr>
        <w:t>رحمة من الرحمن فی تفسیر وإشارات القرآن</w:t>
      </w:r>
      <w:bookmarkEnd w:id="940"/>
    </w:p>
    <w:p>
      <w:pPr>
        <w:pStyle w:val="BookText"/>
        <w:rPr/>
      </w:pPr>
      <w:r>
        <w:rPr>
          <w:rFonts w:ascii="IRNazanin" w:hAnsi="IRNazanin" w:eastAsia="IRNazanin"/>
          <w:color w:val="111111"/>
          <w:sz w:val="28"/>
          <w:sz w:val="28"/>
          <w:szCs w:val="28"/>
          <w:rtl w:val="true"/>
          <w:lang w:bidi="fa-IR"/>
        </w:rPr>
        <w:t>یتکوّن هذا التفسیر للقرآن الکریم من مجلّدین، وممّا یمکن الالتفات إلیه فی هذا التفسیر موقفه من أهل‌البیت علیهم السّلام الموقف المعتدل جدّاً، حیث ینقل الکثیر من فضائلهم علیهم السّلام</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تفسیره ینتهج الاتّجاه العرفانی مع وجود نکات إیجابیة کثیرة یمکن الاستفادة منها ضمن طرحه التفسیری، کما أنّ هناک فی بعض المواقع نکات یذکرها لا دلیل علیها، لا من کتاب، ولا من سنة، ولا من اللغة، 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نراه یفسّر اسم هارون الوارد فی قصّة موسی علیه السّلام فی الآیة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أَخِی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924"/>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ویفسّر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دَخَلَ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،بمدینة البدن،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شِیعَتِهِ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مِنْ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هوی النفس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جملة أتباع الشیطان الوهم، وفرعون بالنفس الأمّارة</w:t>
      </w:r>
      <w:r>
        <w:rPr>
          <w:rFonts w:eastAsia="IRNazanin" w:cs="IRNazanin"/>
          <w:color w:val="111111"/>
          <w:sz w:val="28"/>
          <w:szCs w:val="28"/>
          <w:rtl w:val="true"/>
          <w:lang w:bidi="fa-IR"/>
        </w:rPr>
        <w:t xml:space="preserve">. </w:t>
      </w:r>
      <w:r>
        <w:rPr>
          <w:rStyle w:val="FootnoteAnchor"/>
          <w:rtl w:val="true"/>
        </w:rPr>
        <w:footnoteReference w:id="92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جملة التفاسیر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العرائس فی التأویل، لمؤلِّفه روزبهان بقلی</w:t>
      </w:r>
      <w:r>
        <w:rPr>
          <w:rFonts w:eastAsia="IRNazanin" w:cs="IRNazanin"/>
          <w:color w:val="111111"/>
          <w:sz w:val="28"/>
          <w:szCs w:val="28"/>
          <w:rtl w:val="true"/>
          <w:lang w:bidi="fa-IR"/>
        </w:rPr>
        <w:t>(</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زهّاد ومتصوّفّة عصره</w:t>
      </w:r>
      <w:r>
        <w:rPr>
          <w:rFonts w:eastAsia="IRNazanin" w:cs="IRNazanin"/>
          <w:color w:val="111111"/>
          <w:sz w:val="28"/>
          <w:szCs w:val="28"/>
          <w:rtl w:val="true"/>
          <w:lang w:bidi="fa-IR"/>
        </w:rPr>
        <w:t xml:space="preserve">. </w:t>
      </w:r>
      <w:r>
        <w:rPr>
          <w:rStyle w:val="FootnoteAnchor"/>
          <w:rtl w:val="true"/>
        </w:rPr>
        <w:footnoteReference w:id="92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 الدین قونوی</w:t>
      </w:r>
      <w:r>
        <w:rPr>
          <w:rFonts w:eastAsia="IRNazanin" w:cs="IRNazanin"/>
          <w:color w:val="111111"/>
          <w:sz w:val="28"/>
          <w:szCs w:val="28"/>
          <w:rtl w:val="true"/>
          <w:lang w:bidi="fa-IR"/>
        </w:rPr>
        <w:t>(</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من المفسّرین و العرفاء السالکین، وله مؤلفات فی العرفان و التصوّف، ومن 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الإعجاز و البیان فی کشف أسرار القرآن فی مجلّدین کبیرین</w:t>
      </w:r>
      <w:r>
        <w:rPr>
          <w:rFonts w:eastAsia="IRNazanin" w:cs="IRNazanin"/>
          <w:color w:val="111111"/>
          <w:sz w:val="28"/>
          <w:szCs w:val="28"/>
          <w:rtl w:val="true"/>
          <w:lang w:bidi="fa-IR"/>
        </w:rPr>
        <w:t xml:space="preserve">. </w:t>
      </w:r>
      <w:r>
        <w:rPr>
          <w:rStyle w:val="FootnoteAnchor"/>
          <w:rtl w:val="true"/>
        </w:rPr>
        <w:footnoteReference w:id="92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عبد الله البلخی، جمال الدین، محمّد بن سلیمان، المعروف بابن النقیب، و هو من أئمّة الزّهاد فی زمانه، و قد أفنی جلّ عمره فی التفسیر</w:t>
      </w:r>
      <w:r>
        <w:rPr>
          <w:rFonts w:eastAsia="IRNazanin" w:cs="IRNazanin"/>
          <w:color w:val="111111"/>
          <w:sz w:val="28"/>
          <w:szCs w:val="28"/>
          <w:rtl w:val="true"/>
          <w:lang w:bidi="fa-IR"/>
        </w:rPr>
        <w:t xml:space="preserve">. </w:t>
      </w:r>
      <w:r>
        <w:rPr>
          <w:rStyle w:val="FootnoteAnchor"/>
          <w:rtl w:val="true"/>
        </w:rPr>
        <w:footnoteReference w:id="92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تبصیر الرحمن وتیسیر المنّان، تفسیر آخر من تفاسیر القرآن فی القرن التاسع، و هو لعلی بن أحمد بن إبراهیم المهایمی</w:t>
      </w:r>
      <w:r>
        <w:rPr>
          <w:rFonts w:eastAsia="IRNazanin" w:cs="IRNazanin"/>
          <w:color w:val="111111"/>
          <w:sz w:val="28"/>
          <w:szCs w:val="28"/>
          <w:rtl w:val="true"/>
          <w:lang w:bidi="fa-IR"/>
        </w:rPr>
        <w:t>(</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طبع فی مجلّدین‌بواسطة منشورات وجبه فی التفسیر، عالم الکتب، والمؤلّف حنفی المذهب صوفی المسلک</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تفسیره، فهو مبسّط فی مضمونه، لایستند علی شیء و إنّما یوضّح العبارات ویفسّر الآیات بالاتّجاه العرفانی لا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ولمحمّد بن أبی بکر، شمس‌الدین ابن النقیب قاضی القضاة</w:t>
      </w:r>
      <w:r>
        <w:rPr>
          <w:rFonts w:eastAsia="IRNazanin" w:cs="IRNazanin"/>
          <w:color w:val="111111"/>
          <w:sz w:val="28"/>
          <w:szCs w:val="28"/>
          <w:rtl w:val="true"/>
          <w:lang w:bidi="fa-IR"/>
        </w:rPr>
        <w:t>(</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فی التفسیر کذلک</w:t>
      </w:r>
      <w:r>
        <w:rPr>
          <w:rFonts w:eastAsia="IRNazanin" w:cs="IRNazanin"/>
          <w:color w:val="111111"/>
          <w:sz w:val="28"/>
          <w:szCs w:val="28"/>
          <w:rtl w:val="true"/>
          <w:lang w:bidi="fa-IR"/>
        </w:rPr>
        <w:t xml:space="preserve">. </w:t>
      </w:r>
      <w:r>
        <w:rPr>
          <w:rStyle w:val="FootnoteAnchor"/>
          <w:rtl w:val="true"/>
        </w:rPr>
        <w:footnoteReference w:id="92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بن أبی بکر المعروف، ابن القیم الجوزی</w:t>
      </w:r>
      <w:r>
        <w:rPr>
          <w:rFonts w:eastAsia="IRNazanin" w:cs="IRNazanin"/>
          <w:color w:val="111111"/>
          <w:sz w:val="28"/>
          <w:szCs w:val="28"/>
          <w:rtl w:val="true"/>
          <w:lang w:bidi="fa-IR"/>
        </w:rPr>
        <w:t>(</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سورة الفاتحة و التبیان فی أقسام القرآن</w:t>
      </w:r>
      <w:r>
        <w:rPr>
          <w:rFonts w:eastAsia="IRNazanin" w:cs="IRNazanin"/>
          <w:color w:val="111111"/>
          <w:sz w:val="28"/>
          <w:szCs w:val="28"/>
          <w:rtl w:val="true"/>
          <w:lang w:bidi="fa-IR"/>
        </w:rPr>
        <w:t xml:space="preserve">. </w:t>
      </w:r>
      <w:r>
        <w:rPr>
          <w:rStyle w:val="FootnoteAnchor"/>
          <w:rtl w:val="true"/>
        </w:rPr>
        <w:footnoteReference w:id="93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الدین التفتازانی</w:t>
      </w:r>
      <w:r>
        <w:rPr>
          <w:rFonts w:eastAsia="IRNazanin" w:cs="IRNazanin"/>
          <w:color w:val="111111"/>
          <w:sz w:val="28"/>
          <w:szCs w:val="28"/>
          <w:rtl w:val="true"/>
          <w:lang w:bidi="fa-IR"/>
        </w:rPr>
        <w:t>(</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صاحب مفتاح العلوم الشهیر، الذی کتب الحواشی علی 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ویذکر أنّ له تفسیر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الأسرار فی اللغة الفارسیة</w:t>
      </w:r>
      <w:r>
        <w:rPr>
          <w:rFonts w:eastAsia="IRNazanin" w:cs="IRNazanin"/>
          <w:color w:val="111111"/>
          <w:sz w:val="28"/>
          <w:szCs w:val="28"/>
          <w:rtl w:val="true"/>
          <w:lang w:bidi="fa-IR"/>
        </w:rPr>
        <w:t xml:space="preserve">. </w:t>
      </w:r>
      <w:r>
        <w:rPr>
          <w:rStyle w:val="FootnoteAnchor"/>
          <w:rtl w:val="true"/>
        </w:rPr>
        <w:footnoteReference w:id="93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الحسن سید شریف الجرجانی الأستر أبادی</w:t>
      </w:r>
      <w:r>
        <w:rPr>
          <w:rFonts w:eastAsia="IRNazanin" w:cs="IRNazanin"/>
          <w:color w:val="111111"/>
          <w:sz w:val="28"/>
          <w:szCs w:val="28"/>
          <w:rtl w:val="true"/>
          <w:lang w:bidi="fa-IR"/>
        </w:rPr>
        <w:t>(</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له تفسیر و هو عبارة من حاشیة علی الکشاف، و کذلک له تعلیقات علی الکتب الأدبیة،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المطول، والکلامیة،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المطالع و شرح الشمسیة، و شرح المواقف</w:t>
      </w:r>
      <w:r>
        <w:rPr>
          <w:rFonts w:eastAsia="IRNazanin" w:cs="IRNazanin"/>
          <w:color w:val="111111"/>
          <w:sz w:val="28"/>
          <w:szCs w:val="28"/>
          <w:rtl w:val="true"/>
          <w:lang w:bidi="fa-IR"/>
        </w:rPr>
        <w:t xml:space="preserve">. </w:t>
      </w:r>
      <w:r>
        <w:rPr>
          <w:rStyle w:val="FootnoteAnchor"/>
          <w:rtl w:val="true"/>
        </w:rPr>
        <w:footnoteReference w:id="93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طاهر، محمّد بن یعقوب بن إبراهیم الشیرازی الفیروز أبادی</w:t>
      </w:r>
      <w:r>
        <w:rPr>
          <w:rFonts w:eastAsia="IRNazanin" w:cs="IRNazanin"/>
          <w:color w:val="111111"/>
          <w:sz w:val="28"/>
          <w:szCs w:val="28"/>
          <w:rtl w:val="true"/>
          <w:lang w:bidi="fa-IR"/>
        </w:rPr>
        <w:t>(</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القاموس المحیط فی اللغة؛ أمّا تفسیره، فهو بصائر ذوی التمییز فی لطائف الکتاب العزیز و الدرّ العظیم المرشد إلی مقاصد القرآن العظیم، و تنویر المقیاس علی تفسیر ابن عبّاس، وحاشیة علی الکشّاف</w:t>
      </w:r>
      <w:r>
        <w:rPr>
          <w:rFonts w:eastAsia="IRNazanin" w:cs="IRNazanin"/>
          <w:color w:val="111111"/>
          <w:sz w:val="28"/>
          <w:szCs w:val="28"/>
          <w:rtl w:val="true"/>
          <w:lang w:bidi="fa-IR"/>
        </w:rPr>
        <w:t xml:space="preserve">. </w:t>
      </w:r>
      <w:r>
        <w:rPr>
          <w:rStyle w:val="FootnoteAnchor"/>
          <w:rtl w:val="true"/>
        </w:rPr>
        <w:footnoteReference w:id="933"/>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الخیر، محمّد بن یوسف الجوزی</w:t>
      </w:r>
      <w:r>
        <w:rPr>
          <w:rFonts w:eastAsia="IRNazanin" w:cs="IRNazanin"/>
          <w:color w:val="111111"/>
          <w:sz w:val="28"/>
          <w:szCs w:val="28"/>
          <w:rtl w:val="true"/>
          <w:lang w:bidi="fa-IR"/>
        </w:rPr>
        <w:t>(</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قارئ وحافظ للقرآن، وله مهارة علی بحوث المعانی و البیان، والتفسیر، وأشهر کتبه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النشر فی القراءات العَشر</w:t>
      </w:r>
      <w:r>
        <w:rPr>
          <w:rFonts w:eastAsia="IRNazanin" w:cs="IRNazanin"/>
          <w:color w:val="111111"/>
          <w:sz w:val="28"/>
          <w:szCs w:val="28"/>
          <w:rtl w:val="true"/>
          <w:lang w:bidi="fa-IR"/>
        </w:rPr>
        <w:t xml:space="preserve">. </w:t>
      </w:r>
      <w:r>
        <w:rPr>
          <w:rStyle w:val="FootnoteAnchor"/>
          <w:rtl w:val="true"/>
        </w:rPr>
        <w:footnoteReference w:id="934"/>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 تفسیر آخر هو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البحرین لأبی الحسن علی بن محمّد بن علی النیریزی</w:t>
      </w:r>
      <w:r>
        <w:rPr>
          <w:rFonts w:eastAsia="IRNazanin" w:cs="IRNazanin"/>
          <w:color w:val="111111"/>
          <w:sz w:val="28"/>
          <w:szCs w:val="28"/>
          <w:rtl w:val="true"/>
          <w:lang w:bidi="fa-IR"/>
        </w:rPr>
        <w:t>(</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والجوزی هو من علماء الشیعة، وفقیه، ومحدّث، وأدیب ومفسّر، ومن أعلام القرن السابع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وذکروا أنّ تفسیره ألّف من عشرة 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اعتبره الداودی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المفسّرین من الأعلام وصاحب تفسیر</w:t>
      </w:r>
      <w:r>
        <w:rPr>
          <w:rFonts w:eastAsia="IRNazanin" w:cs="IRNazanin"/>
          <w:color w:val="111111"/>
          <w:sz w:val="28"/>
          <w:szCs w:val="28"/>
          <w:rtl w:val="true"/>
          <w:lang w:bidi="fa-IR"/>
        </w:rPr>
        <w:t xml:space="preserve">. </w:t>
      </w:r>
      <w:r>
        <w:rPr>
          <w:rStyle w:val="FootnoteAnchor"/>
          <w:rtl w:val="true"/>
        </w:rPr>
        <w:footnoteReference w:id="935"/>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 الله الیمنی</w:t>
      </w:r>
      <w:r>
        <w:rPr>
          <w:rFonts w:eastAsia="IRNazanin" w:cs="IRNazanin"/>
          <w:color w:val="111111"/>
          <w:sz w:val="28"/>
          <w:szCs w:val="28"/>
          <w:rtl w:val="true"/>
          <w:lang w:bidi="fa-IR"/>
        </w:rPr>
        <w:t>(</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وعبد الله بن حمزة عرّفوه بأنّه من أئمّة الزیدیة</w:t>
      </w:r>
      <w:r>
        <w:rPr>
          <w:rFonts w:eastAsia="IRNazanin" w:cs="IRNazanin"/>
          <w:color w:val="111111"/>
          <w:sz w:val="28"/>
          <w:szCs w:val="28"/>
          <w:rtl w:val="true"/>
          <w:lang w:bidi="fa-IR"/>
        </w:rPr>
        <w:t xml:space="preserve">. </w:t>
      </w:r>
      <w:r>
        <w:rPr>
          <w:rStyle w:val="FootnoteAnchor"/>
          <w:rtl w:val="true"/>
        </w:rPr>
        <w:footnoteReference w:id="936"/>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الإشارات فی تفسیر الآیات، لنجم‌الدین الأسدی المعروف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دایهِ،</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أطلق علیه البعض التأویلات النجمیة</w:t>
      </w:r>
      <w:r>
        <w:rPr>
          <w:rFonts w:eastAsia="IRNazanin" w:cs="IRNazanin"/>
          <w:color w:val="111111"/>
          <w:sz w:val="28"/>
          <w:szCs w:val="28"/>
          <w:rtl w:val="true"/>
          <w:lang w:bidi="fa-IR"/>
        </w:rPr>
        <w:t xml:space="preserve">. </w:t>
      </w:r>
      <w:r>
        <w:rPr>
          <w:rStyle w:val="FootnoteAnchor"/>
          <w:rtl w:val="true"/>
        </w:rPr>
        <w:footnoteReference w:id="937"/>
      </w:r>
      <w:r>
        <w:rPr>
          <w:rFonts w:ascii="IRNazanin" w:hAnsi="IRNazanin" w:eastAsia="IRNazanin"/>
          <w:color w:val="111111"/>
          <w:sz w:val="28"/>
          <w:sz w:val="28"/>
          <w:szCs w:val="28"/>
          <w:rtl w:val="true"/>
          <w:lang w:bidi="fa-IR"/>
        </w:rPr>
        <w:t xml:space="preserve">و هو تفسیر عرفانی یفسّر کلّ آیة بما تتضمّنه من إشارة یستفیدها من الآیة التی یطرحها للتحقیق، </w:t>
      </w:r>
      <w:r>
        <w:rPr>
          <w:rStyle w:val="FootnoteAnchor"/>
          <w:rtl w:val="true"/>
        </w:rPr>
        <w:footnoteReference w:id="938"/>
      </w:r>
      <w:r>
        <w:rPr>
          <w:rFonts w:ascii="IRNazanin" w:hAnsi="IRNazanin" w:eastAsia="IRNazanin"/>
          <w:color w:val="111111"/>
          <w:sz w:val="28"/>
          <w:sz w:val="28"/>
          <w:szCs w:val="28"/>
          <w:rtl w:val="true"/>
          <w:lang w:bidi="fa-IR"/>
        </w:rPr>
        <w:t xml:space="preserve">لقد طبع هذا التفسیر فی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 ونشر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قام بنقل تفسیر سورة الإخلاص ونقد التنزیل عن الخواجه نصیر الدین الطوسی فی کتابه</w:t>
      </w:r>
      <w:r>
        <w:rPr>
          <w:rFonts w:eastAsia="IRNazanin" w:cs="IRNazanin"/>
          <w:color w:val="111111"/>
          <w:sz w:val="28"/>
          <w:szCs w:val="28"/>
          <w:rtl w:val="true"/>
          <w:lang w:bidi="fa-IR"/>
        </w:rPr>
        <w:t xml:space="preserve">. </w:t>
      </w:r>
      <w:r>
        <w:rPr>
          <w:rStyle w:val="FootnoteAnchor"/>
          <w:rtl w:val="true"/>
        </w:rPr>
        <w:footnoteReference w:id="939"/>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التقیید الکبیر فی تفسیر کتاب الله المجید، لأحمد بن محمّد سیلی التونسی</w:t>
      </w:r>
      <w:r>
        <w:rPr>
          <w:rFonts w:eastAsia="IRNazanin" w:cs="IRNazanin"/>
          <w:color w:val="111111"/>
          <w:sz w:val="28"/>
          <w:szCs w:val="28"/>
          <w:rtl w:val="true"/>
          <w:lang w:bidi="fa-IR"/>
        </w:rPr>
        <w:t>(</w:t>
      </w:r>
      <w:r>
        <w:rPr>
          <w:rFonts w:eastAsia="IRNazanin" w:cs="IRNazanin"/>
          <w:color w:val="111111"/>
          <w:sz w:val="28"/>
          <w:szCs w:val="28"/>
          <w:lang w:bidi="fa-IR"/>
        </w:rPr>
        <w:t>830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والذی استفاد فی تفسیره کثیراً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الکشّاف و المحرر الوجیز و التفسیر الکبیر و البحر المحیط للأندلسی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وثمّ نشره و قد طبع هذا التفسیر فی مجلّدین و تمّ نشره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اللباب فی علوم الکتاب، تألیف أبی حفص، عمر بن علی بن عادل الدمشقی الحنبلی المتوفّی بعد سنة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والمعروف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وتفسیره المؤلّف من عشرین مجلّد منظّم وله عناوینه المتعدّدة، والمفسّر کثیر الاطلاع علی البحوث المختلفة الدینیة والاجتماعیة و الأدبیة، هذا و إنّ مواقفه من أهل‌البیت علیهم السّلام تحمل طابع الإنصاف کما یبدو</w:t>
      </w:r>
      <w:r>
        <w:rPr>
          <w:rFonts w:eastAsia="IRNazanin" w:cs="IRNazanin"/>
          <w:color w:val="111111"/>
          <w:sz w:val="28"/>
          <w:szCs w:val="28"/>
          <w:rtl w:val="true"/>
          <w:lang w:bidi="fa-IR"/>
        </w:rPr>
        <w:t>.</w:t>
      </w:r>
      <w:bookmarkStart w:id="941" w:name="pg5285_67564"/>
    </w:p>
    <w:p>
      <w:pPr>
        <w:pStyle w:val="BookText"/>
        <w:rPr/>
      </w:pPr>
      <w:bookmarkEnd w:id="941"/>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التیسیر فی التفسیر، لعبد العزیز بن سعید بن عبد الله، عز الدین الدَمیری</w:t>
      </w:r>
      <w:r>
        <w:rPr>
          <w:rFonts w:eastAsia="IRNazanin" w:cs="IRNazanin"/>
          <w:color w:val="111111"/>
          <w:sz w:val="28"/>
          <w:szCs w:val="28"/>
          <w:rtl w:val="true"/>
          <w:lang w:bidi="fa-IR"/>
        </w:rPr>
        <w:t>(</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المعروف بالدیر دینی، و هو شافعی المذهب وأشعری العقیدة، و قد طُبع التفسیر فی مجلّدین بمکّة المکرّمة وتمّ نشره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والتفسیر هو تفسیر منظّم فی موضوعاته، جاء علی نمط المنظومة الشعریة، فکلّ سوره علی شکل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استفاد فی التفسیر من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الطبری و الثعلبی، و تفاسیر الواحدی وتفسیر القشیری</w:t>
      </w:r>
      <w:r>
        <w:rPr>
          <w:rFonts w:eastAsia="IRNazanin" w:cs="IRNazanin"/>
          <w:color w:val="111111"/>
          <w:sz w:val="28"/>
          <w:szCs w:val="28"/>
          <w:rtl w:val="true"/>
          <w:lang w:bidi="fa-IR"/>
        </w:rPr>
        <w:t>.</w:t>
      </w:r>
    </w:p>
    <w:p>
      <w:pPr>
        <w:pStyle w:val="Heading3"/>
        <w:numPr>
          <w:ilvl w:val="2"/>
          <w:numId w:val="1"/>
        </w:numPr>
        <w:rPr/>
      </w:pPr>
      <w:bookmarkStart w:id="942" w:name="__RefHeading___Toc634529_581953129"/>
      <w:bookmarkStart w:id="943" w:name="_Toc360"/>
      <w:bookmarkEnd w:id="942"/>
      <w:r>
        <w:rPr>
          <w:rtl w:val="true"/>
        </w:rPr>
        <w:t>الخلاصة</w:t>
      </w:r>
      <w:bookmarkEnd w:id="9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استمرّ التفسیر الاجتهادی فی فاعلیته ووجوده ضمن القرنین السابع و الثامن، وفی ذلک نُشیر إلی التفسیر الکبیر للفخر الرازی، وتفسیر الجامع لأحکام القرآن للقرطبی؛ و أمّا الاتّجاهات الأخری، فهی الکلامیة و الأدبیة، والبیانیة و العرفانیة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هذه القرون الثلاثة کُتب ثلاثمائة تفسیر و شهدت تیک القرون التفاسیر الشیعیة سیراً نزولیاً نسبةً إلی القرون التی سبقتها؛ و إنّ علّة ذلک هی الأوضاع السیاسیة المتأزمة واتّجاه علماء الشیعة إلی تألیف أهمّ الکتب الفقهیة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أهمّ تفاسیر الشیعة فی تلک القرون،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البیان عن کشف معانی القرآن، لمحمّد بن حسن الشیبانی الدورقی الأهوازی، و البلابل و القلاقل لأبی المکارم محمود الحسنی الواعظ، و هو باللغة الفارسیة وبالأسلوب الروائی والاتّجاه الکلامی، وکذلک المحیط الأعظم للسید حیدر الأملی و هو بالأسلوب الموضوعی، وتفسیر کازر، جلاء الأذهان وجلاء الأحزان، لأبی المحاسن الجرجانی، بالمنهج الاجتهادی والاتّجاه الکلامی و الأدبی، وتفسیر سعد السعود، للسید ابن طاووس، وکذلک تفاسیر کنز العرفان للفاضل المقداد، وتفسیر آیات الأحکام لأبی ناصر متوّج البحرانی</w:t>
      </w:r>
      <w:r>
        <w:rPr>
          <w:rFonts w:eastAsia="IRNazanin" w:cs="IRNazanin"/>
          <w:color w:val="111111"/>
          <w:sz w:val="28"/>
          <w:szCs w:val="28"/>
          <w:rtl w:val="true"/>
          <w:lang w:bidi="fa-IR"/>
        </w:rPr>
        <w:t>.</w:t>
      </w:r>
      <w:bookmarkStart w:id="944" w:name="pg5285_67565"/>
    </w:p>
    <w:p>
      <w:pPr>
        <w:pStyle w:val="BookText"/>
        <w:rPr/>
      </w:pPr>
      <w:bookmarkEnd w:id="944"/>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تفاسیر أهل السنّة فی هذه القرون الثلاثة، 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الکبیر للفخر الرازی، و هو بالمنهج الاجتهادی والاتّجاه الکلامی و الفلسفی، وتفسیر الجامع لأحکام القرآن للقرطبی، وأنوار التنزیل وأسرار التأویل للبیضاوی، و مدارک التنزیل وحقائق التأویل، للنَسَفی وبالمنهج الاجتهادی، و غرائب القرآن ورغائب الفرقان، للنیسابوری وبالمنهج الاجتهادی و الأتجاه الفلسفی و العرفانی، وتفسیر القرآن العظیم لابن کثیر و البحر المحیط، لأبی حیان الأندلسی، ولباب التأویل فی معانی التنزیل، لعلاء الدین البغدادی المعروف بالخازن بالمنهج الروائی، والجواهر الحسان و المعروف بتفسیر الثعالبی، ونظم الدُرَرَ فی تناسب الآیات و السور، لبرهان الدین البقاعی بالأتجاه البیانی و العرفانی، وتفاسیر محیی الدین ابن عربی تفسیر القرآن الکریم و الإجمال و التفصیل</w:t>
      </w:r>
      <w:r>
        <w:rPr>
          <w:rFonts w:eastAsia="IRNazanin" w:cs="IRNazanin"/>
          <w:color w:val="111111"/>
          <w:sz w:val="28"/>
          <w:szCs w:val="28"/>
          <w:rtl w:val="true"/>
          <w:lang w:bidi="fa-IR"/>
        </w:rPr>
        <w:t>.</w:t>
      </w:r>
    </w:p>
    <w:p>
      <w:pPr>
        <w:pStyle w:val="Heading3"/>
        <w:numPr>
          <w:ilvl w:val="2"/>
          <w:numId w:val="1"/>
        </w:numPr>
        <w:rPr/>
      </w:pPr>
      <w:bookmarkStart w:id="945" w:name="__RefHeading___Toc634531_581953129"/>
      <w:bookmarkStart w:id="946" w:name="_Toc361"/>
      <w:bookmarkEnd w:id="945"/>
      <w:r>
        <w:rPr>
          <w:rtl w:val="true"/>
        </w:rPr>
        <w:t>الأسئلة</w:t>
      </w:r>
      <w:bookmarkEnd w:id="9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هی المناهج والاتّجاهات المختلفة فی التفسیر للقرون السابع و الثامن و التاسع؟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سبب قلّة التفاسیر الشیعیة فی القرون الثلاثة؟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 التفاسیر الشیعیة للقرنین السابع و الثامن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اکتب تقریراً عن التفاسیر الشیعیة فی القرن التاسع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 ثلاثة من أهمّ التفاسیر عند أهل السُنّة فی القرون الثلاثة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أجب عن هذه الأسئلة التی تدور حول التفسیرالکبیر؟ المنهج والاتّجاه التفسیری، الخصوصیات، والمصادر عند الفخر الرازی وأهل‌البیت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ثلاثة تفاسیر عرفانیة مع ذکر اسم المؤلِّف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لمن یعود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 التنزیل وأسرار التأویل؟ وما هی أهمیته وامتیازاته؟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إملأ الحقول أدناه من أسماء المؤلِّفین ومنهج واتّجاه هذه التفاسیر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گازر، المحیط الأعظم، والجامع لأحکام القرآن، وتفسیر القرآن العظیم، والجواهر الحسان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نظم الدُرَرَ فی تناسب الآیات و السور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اسم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المنهج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الاتّجاه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للبحث و التحقیق فی الموضوع</w:t>
      </w:r>
    </w:p>
    <w:p>
      <w:pPr>
        <w:pStyle w:val="BookText"/>
        <w:rPr/>
      </w:pPr>
      <w:r>
        <w:rPr>
          <w:rFonts w:ascii="IRNazanin" w:hAnsi="IRNazanin" w:eastAsia="IRNazanin"/>
          <w:color w:val="111111"/>
          <w:sz w:val="28"/>
          <w:sz w:val="28"/>
          <w:szCs w:val="28"/>
          <w:rtl w:val="true"/>
          <w:lang w:bidi="fa-IR"/>
        </w:rPr>
        <w:t>اکتبْ تحقیقاً حول آراء المفسّرین من أهل السنّة حول الإمام المهدی المنتظر عجّل الله تعالی فرجه الشریف ممّا جاء فی ذیل الآیات الکریمة من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الصف</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الأنبیاء</w:t>
      </w:r>
      <w:r>
        <w:rPr>
          <w:rFonts w:eastAsia="IRNazanin" w:cs="IRNazanin"/>
          <w:color w:val="111111"/>
          <w:sz w:val="28"/>
          <w:szCs w:val="28"/>
          <w:rtl w:val="true"/>
          <w:lang w:bidi="fa-IR"/>
        </w:rPr>
        <w:t>:</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والقصص</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الکبیر و تفسیر القرآن العظیم، و غرائب الفرقان للنیسابوری و تفسیر الخازن</w:t>
      </w:r>
      <w:r>
        <w:rPr>
          <w:rFonts w:eastAsia="IRNazanin" w:cs="IRNazanin"/>
          <w:color w:val="111111"/>
          <w:sz w:val="28"/>
          <w:szCs w:val="28"/>
          <w:rtl w:val="true"/>
          <w:lang w:bidi="fa-IR"/>
        </w:rPr>
        <w:t>.</w:t>
      </w:r>
      <w:bookmarkStart w:id="947" w:name="pg5285_67567"/>
    </w:p>
    <w:p>
      <w:pPr>
        <w:pStyle w:val="Heading2"/>
        <w:numPr>
          <w:ilvl w:val="1"/>
          <w:numId w:val="1"/>
        </w:numPr>
        <w:rPr/>
      </w:pPr>
      <w:bookmarkStart w:id="948" w:name="__RefHeading___Toc634533_581953129"/>
      <w:bookmarkStart w:id="949" w:name="_Toc362"/>
      <w:bookmarkEnd w:id="947"/>
      <w:bookmarkEnd w:id="948"/>
      <w:r>
        <w:rPr/>
        <w:t>12</w:t>
      </w:r>
      <w:r>
        <w:rPr>
          <w:rtl w:val="true"/>
        </w:rPr>
        <w:t xml:space="preserve">- </w:t>
      </w:r>
      <w:r>
        <w:rPr>
          <w:rtl w:val="true"/>
        </w:rPr>
        <w:t>تفاسیر القرون العاشر و الحادی عشر و الثانی عشر</w:t>
      </w:r>
      <w:bookmarkEnd w:id="949"/>
    </w:p>
    <w:p>
      <w:pPr>
        <w:pStyle w:val="Heading3"/>
        <w:numPr>
          <w:ilvl w:val="2"/>
          <w:numId w:val="1"/>
        </w:numPr>
        <w:rPr/>
      </w:pPr>
      <w:bookmarkStart w:id="950" w:name="__RefHeading___Toc634535_581953129"/>
      <w:bookmarkStart w:id="951" w:name="_Toc363"/>
      <w:bookmarkEnd w:id="950"/>
      <w:r>
        <w:rPr>
          <w:rtl w:val="true"/>
        </w:rPr>
        <w:t>اشارة</w:t>
      </w:r>
      <w:bookmarkEnd w:id="951"/>
    </w:p>
    <w:p>
      <w:pPr>
        <w:pStyle w:val="BookText"/>
        <w:rPr/>
      </w:pPr>
      <w:r>
        <w:rPr>
          <w:rFonts w:ascii="IRNazanin" w:hAnsi="IRNazanin" w:eastAsia="IRNazanin"/>
          <w:color w:val="111111"/>
          <w:sz w:val="28"/>
          <w:sz w:val="28"/>
          <w:szCs w:val="28"/>
          <w:rtl w:val="true"/>
          <w:lang w:bidi="fa-IR"/>
        </w:rPr>
        <w:t>الموضوعات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البحث فی تفاسیر القرن العاشر و الحادی عشر و الثانی عشر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الخصوصّیات المشترکة بین القرون الثلاثة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التفاسیر المعروفة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منهج الصادقین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التفسیر الصافی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البرهان فی تفسیر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 الدقائق وبحر الغرائب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ملاّ صدرا</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زبدة البیان</w:t>
      </w:r>
      <w:r>
        <w:rPr>
          <w:rFonts w:eastAsia="IRNazanin" w:cs="IRNazanin"/>
          <w:color w:val="111111"/>
          <w:sz w:val="28"/>
          <w:szCs w:val="28"/>
          <w:rtl w:val="true"/>
          <w:lang w:bidi="fa-IR"/>
        </w:rPr>
        <w:t>.</w:t>
      </w:r>
      <w:bookmarkStart w:id="952" w:name="pg5285_67568"/>
    </w:p>
    <w:p>
      <w:pPr>
        <w:pStyle w:val="BookText"/>
        <w:rPr/>
      </w:pPr>
      <w:bookmarkEnd w:id="952"/>
      <w:r>
        <w:rPr>
          <w:rFonts w:ascii="IRNazanin" w:hAnsi="IRNazanin" w:eastAsia="IRNazanin"/>
          <w:color w:val="111111"/>
          <w:sz w:val="28"/>
          <w:sz w:val="28"/>
          <w:szCs w:val="28"/>
          <w:rtl w:val="true"/>
          <w:lang w:bidi="fa-IR"/>
        </w:rPr>
        <w:t>الأهداف</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التعّرف علی الأوضاع الثقافیة و السیاسیة فی القرن ال</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توسّع المیول الأخباریة، وقیام الحکومة الصفویة، وتقویة آیات الأحکام، وتزاید روّاد کتابة الحواشی خصوصاً الحاشیة علی تفسیر البیضاوی فی أوساط أهل السنّة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التعرّف علی أهمّ التفاسیر الروائیة، والمنهجیة العلمیة و العملیة لهؤلاء المفسّرین، التطرّق إلی ذکر تفاسیر النقل المحض المتسّمة بعدم التحلیل، والتفاسیر الروائیة ذات بُعد التحلیل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التعرّف علی الاتّجاهات فی القرن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ومن 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الاتّجاه الفلسفی، مع التعریف الاجمالی بالتفاسیر الفقهیة أیضاً</w:t>
      </w:r>
      <w:r>
        <w:rPr>
          <w:rFonts w:eastAsia="IRNazanin" w:cs="IRNazanin"/>
          <w:color w:val="111111"/>
          <w:sz w:val="28"/>
          <w:szCs w:val="28"/>
          <w:rtl w:val="true"/>
          <w:lang w:bidi="fa-IR"/>
        </w:rPr>
        <w:t>.</w:t>
      </w:r>
    </w:p>
    <w:p>
      <w:pPr>
        <w:pStyle w:val="Heading3"/>
        <w:numPr>
          <w:ilvl w:val="2"/>
          <w:numId w:val="1"/>
        </w:numPr>
        <w:rPr/>
      </w:pPr>
      <w:bookmarkStart w:id="953" w:name="__RefHeading___Toc634537_581953129"/>
      <w:bookmarkStart w:id="954" w:name="_Toc364"/>
      <w:bookmarkEnd w:id="953"/>
      <w:r>
        <w:rPr>
          <w:rtl w:val="true"/>
        </w:rPr>
        <w:t>الخصوصّیات المشترکة بین القرن ال</w:t>
      </w:r>
      <w:r>
        <w:rPr>
          <w:rtl w:val="true"/>
        </w:rPr>
        <w:t>-</w:t>
      </w:r>
      <w:r>
        <w:rPr/>
        <w:t>12</w:t>
      </w:r>
      <w:r>
        <w:rPr/>
        <w:t>،</w:t>
      </w:r>
      <w:r>
        <w:rPr/>
        <w:t>11</w:t>
      </w:r>
      <w:r>
        <w:rPr/>
        <w:t>،</w:t>
      </w:r>
      <w:r>
        <w:rPr/>
        <w:t>10</w:t>
      </w:r>
      <w:bookmarkEnd w:id="954"/>
    </w:p>
    <w:p>
      <w:pPr>
        <w:pStyle w:val="BookText"/>
        <w:rPr/>
      </w:pPr>
      <w:r>
        <w:rPr>
          <w:rFonts w:ascii="IRNazanin" w:hAnsi="IRNazanin" w:eastAsia="IRNazanin"/>
          <w:color w:val="111111"/>
          <w:sz w:val="28"/>
          <w:sz w:val="28"/>
          <w:szCs w:val="28"/>
          <w:rtl w:val="true"/>
          <w:lang w:bidi="fa-IR"/>
        </w:rPr>
        <w:t>لقد أحسَّ العلماء فی هذه القرون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التفاسیر قد انحرفت عن حالتها الأولی فی الأصالة و التزوّد من السنّة المشرّفة لخاتِم النبیین صلّی الله علیه و آله وسیرة أهل بیته المعصومین علیهم السّلام، و أنّ المفسّرین قد انشغلوا بالأدب المحض أو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ولأجل هذا اندفع العلماء لجمع الأحادیث و الأخبار و الروایات، والتصدّی لتألیف التفاسیر الروائیة، وبهذا تکوّنت النکات المشترکة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توسّع وتفشّی النزعة الأخباریة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هذه القرون الثلاثة تفشّت النزعة الأخباریة، و أنّ أکثر التفاسیر التی ألّفت فیها هی تفاسیر روائیة محضة، ففی أوساط أهل السُنّة کتب السیوطی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 وفی أوساط الشیعة کتب ملاّ فتح الکاشانی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الصادقین، وکتب البحرانی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وکتب الحویزی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الثقلین وغیرها من التفاسیر التی کُتبت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القرون فی الحقیقة عودة إلی القرن الثالث الهجری وعصر تاریخ التفاسیر، والذی کان الاتّجاه فیه اتّجاها أخباریاً روائیاً بشکلٍ واسعٍ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إنّ النزعة الأخباریة المتطرّفة فی أوساط الشیعة امتدّ جذرها من هذا الزمان، و أنّ باکورتها الأولی علی التحدید برزت فی القرن الحادی عشر، وفی زمن الملاّ محمّد أمین الأستر أبادی</w:t>
      </w:r>
      <w:r>
        <w:rPr>
          <w:rFonts w:eastAsia="IRNazanin" w:cs="IRNazanin"/>
          <w:color w:val="111111"/>
          <w:sz w:val="28"/>
          <w:szCs w:val="28"/>
          <w:rtl w:val="true"/>
          <w:lang w:bidi="fa-IR"/>
        </w:rPr>
        <w:t>(</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صاحب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المدنیة، والذی کتبه بأمر من أستاذه المیرزا محمّد الأستر أبادی، المؤلِّف و الرجالی الکبیر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تبعه وتأثر به جماعة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الملاّ محمّد أمین الأستر أبادی هو أوّل شخص تعرّض بصراحة تامّة للطعن والاعتراض علی آراء الفقهاء و المجتهدین بالنقد والاستهجان، ومن بعده جاء دور علماء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یوسف البحرانی و العلاّمة المجلسی، والحرّ العاملی و المحدّث النوری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سلکوا هذا المسلک وارتضوه إلی حدّ ماٍ</w:t>
      </w:r>
      <w:r>
        <w:rPr>
          <w:rFonts w:eastAsia="IRNazanin" w:cs="IRNazanin"/>
          <w:color w:val="111111"/>
          <w:sz w:val="28"/>
          <w:szCs w:val="28"/>
          <w:rtl w:val="true"/>
          <w:lang w:bidi="fa-IR"/>
        </w:rPr>
        <w:t xml:space="preserve">. </w:t>
      </w:r>
      <w:r>
        <w:rPr>
          <w:rStyle w:val="FootnoteAnchor"/>
          <w:rtl w:val="true"/>
        </w:rPr>
        <w:footnoteReference w:id="94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والنُقطة المشترکة الأخری فی هذه القرون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التألیف فی آیات الأحکام، وکان لتشکیل الحکومة الصفویة الشیعیة الدور الفاعل فی تنمیة هذا الاتّجاه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ویمکننا الإشارة هنا إلی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زبدة البیان فی أحکام القرآن، للمقدّس الأردبیلی</w:t>
      </w:r>
      <w:r>
        <w:rPr>
          <w:rFonts w:eastAsia="IRNazanin" w:cs="IRNazanin"/>
          <w:color w:val="111111"/>
          <w:sz w:val="28"/>
          <w:szCs w:val="28"/>
          <w:rtl w:val="true"/>
          <w:lang w:bidi="fa-IR"/>
        </w:rPr>
        <w:t>(</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تفسیر شاهی للأمیر أبو الفتح الحسینی</w:t>
      </w:r>
      <w:r>
        <w:rPr>
          <w:rFonts w:eastAsia="IRNazanin" w:cs="IRNazanin"/>
          <w:color w:val="111111"/>
          <w:sz w:val="28"/>
          <w:szCs w:val="28"/>
          <w:rtl w:val="true"/>
          <w:lang w:bidi="fa-IR"/>
        </w:rPr>
        <w:t>(</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هناک أشخاص آخرون،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جواد کاظم</w:t>
      </w:r>
      <w:r>
        <w:rPr>
          <w:rFonts w:eastAsia="IRNazanin" w:cs="IRNazanin"/>
          <w:color w:val="111111"/>
          <w:sz w:val="28"/>
          <w:szCs w:val="28"/>
          <w:rtl w:val="true"/>
          <w:lang w:bidi="fa-IR"/>
        </w:rPr>
        <w:t>(</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الأفهام فی أحکام القرآن، والأسترأبادی</w:t>
      </w:r>
      <w:r>
        <w:rPr>
          <w:rFonts w:eastAsia="IRNazanin" w:cs="IRNazanin"/>
          <w:color w:val="111111"/>
          <w:sz w:val="28"/>
          <w:szCs w:val="28"/>
          <w:rtl w:val="true"/>
          <w:lang w:bidi="fa-IR"/>
        </w:rPr>
        <w:t>(</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والملاّ علی تُونِی فی القرن الحادی عشر، کلّهم قد بذلوا جهودهم فی هذا المجال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هذه القرون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القرن العاشر و 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الاتّجاه الغالب هو کتابة الحواشی و التعلیقات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وبشکل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ذکر محمّد الأدنوی فی طبقات</w:t>
      </w:r>
      <w:bookmarkStart w:id="955" w:name="pg5285_67570"/>
    </w:p>
    <w:p>
      <w:pPr>
        <w:pStyle w:val="BookText"/>
        <w:rPr/>
      </w:pPr>
      <w:bookmarkEnd w:id="955"/>
      <w:r>
        <w:rPr>
          <w:rFonts w:ascii="IRNazanin" w:hAnsi="IRNazanin" w:eastAsia="IRNazanin"/>
          <w:color w:val="111111"/>
          <w:sz w:val="28"/>
          <w:sz w:val="28"/>
          <w:szCs w:val="28"/>
          <w:rtl w:val="true"/>
          <w:lang w:bidi="fa-IR"/>
        </w:rPr>
        <w:t>المفسّرین أسماء أکثر من مائة تفسیر ومفسّر لهذا القرن، و أنّ قرابة خمسین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فی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 علی تفسیر البیضاوی وبصورة نادرة علی تفسیر الکشّاف</w:t>
      </w:r>
      <w:r>
        <w:rPr>
          <w:rFonts w:eastAsia="IRNazanin" w:cs="IRNazanin"/>
          <w:color w:val="111111"/>
          <w:sz w:val="28"/>
          <w:szCs w:val="28"/>
          <w:rtl w:val="true"/>
          <w:lang w:bidi="fa-IR"/>
        </w:rPr>
        <w:t xml:space="preserve">. </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هذان التفسیران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وبفعل اختصارهما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صارا موضع اهتمام من جاء بعدهما من المفسّرین، هذا و إنّ أهم الحواشی ما کان منها علی تفسیر البیضاوی، وهی لأحمد بن روح الله الأنصاری الکنجوی</w:t>
      </w:r>
      <w:r>
        <w:rPr>
          <w:rFonts w:eastAsia="IRNazanin" w:cs="IRNazanin"/>
          <w:color w:val="111111"/>
          <w:sz w:val="28"/>
          <w:szCs w:val="28"/>
          <w:rtl w:val="true"/>
          <w:lang w:bidi="fa-IR"/>
        </w:rPr>
        <w:t>(</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وحاشیة القونوی</w:t>
      </w:r>
      <w:r>
        <w:rPr>
          <w:rFonts w:eastAsia="IRNazanin" w:cs="IRNazanin"/>
          <w:color w:val="111111"/>
          <w:sz w:val="28"/>
          <w:szCs w:val="28"/>
          <w:rtl w:val="true"/>
          <w:lang w:bidi="fa-IR"/>
        </w:rPr>
        <w:t>(</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ثمانیة مجلّدات، وحاشیة الملاّ محمّد بن الغنی</w:t>
      </w:r>
      <w:r>
        <w:rPr>
          <w:rFonts w:eastAsia="IRNazanin" w:cs="IRNazanin"/>
          <w:color w:val="111111"/>
          <w:sz w:val="28"/>
          <w:szCs w:val="28"/>
          <w:rtl w:val="true"/>
          <w:lang w:bidi="fa-IR"/>
        </w:rPr>
        <w:t>(</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وحاشیة نعمة الله محمود النخجوانی</w:t>
      </w:r>
      <w:r>
        <w:rPr>
          <w:rFonts w:eastAsia="IRNazanin" w:cs="IRNazanin"/>
          <w:color w:val="111111"/>
          <w:sz w:val="28"/>
          <w:szCs w:val="28"/>
          <w:rtl w:val="true"/>
          <w:lang w:bidi="fa-IR"/>
        </w:rPr>
        <w:t>(</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حاشیة شهاب الدین الخفاجی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بعد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وحاشیة ابن العلایی</w:t>
      </w:r>
      <w:r>
        <w:rPr>
          <w:rFonts w:eastAsia="IRNazanin" w:cs="IRNazanin"/>
          <w:color w:val="111111"/>
          <w:sz w:val="28"/>
          <w:szCs w:val="28"/>
          <w:rtl w:val="true"/>
          <w:lang w:bidi="fa-IR"/>
        </w:rPr>
        <w:t>(</w:t>
      </w:r>
      <w:r>
        <w:rPr>
          <w:rFonts w:eastAsia="IRNazanin" w:cs="IRNazanin"/>
          <w:color w:val="111111"/>
          <w:sz w:val="28"/>
          <w:szCs w:val="28"/>
          <w:lang w:bidi="fa-IR"/>
        </w:rPr>
        <w:t>1039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إنّ لتفسیر الکشّاف وتفسیر البیضاوی عند الشیعة موضع اهتمام علی هذا الصعید أیضاً، وکمصداق علی ذلک یمکن أن نُشیر إلی حاشیة الشیخ البهائی</w:t>
      </w:r>
      <w:r>
        <w:rPr>
          <w:rFonts w:eastAsia="IRNazanin" w:cs="IRNazanin"/>
          <w:color w:val="111111"/>
          <w:sz w:val="28"/>
          <w:szCs w:val="28"/>
          <w:rtl w:val="true"/>
          <w:lang w:bidi="fa-IR"/>
        </w:rPr>
        <w:t>(</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وحاشیة سلطان العلماء</w:t>
      </w:r>
      <w:r>
        <w:rPr>
          <w:rFonts w:eastAsia="IRNazanin" w:cs="IRNazanin"/>
          <w:color w:val="111111"/>
          <w:sz w:val="28"/>
          <w:szCs w:val="28"/>
          <w:rtl w:val="true"/>
          <w:lang w:bidi="fa-IR"/>
        </w:rPr>
        <w:t>(</w:t>
      </w:r>
      <w:r>
        <w:rPr>
          <w:rFonts w:eastAsia="IRNazanin" w:cs="IRNazanin"/>
          <w:color w:val="111111"/>
          <w:sz w:val="28"/>
          <w:szCs w:val="28"/>
          <w:lang w:bidi="fa-IR"/>
        </w:rPr>
        <w:t>1064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تفسیر البیضاوی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جنباً إلی جنب عالم المحدّثین و العلماء المفسّرین هناک بعض الفلاسفة و العرفاء ممّن شمّروا عن سواعدهم، وأسهموا فی تألیف التفاسیر بالاتّجاه و اللون الفلسفی و العرفانی ومن جملتهم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 صدرا</w:t>
      </w: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وتفسیر الحکیم و المحقّق ملاّ شمس الکیلانی</w:t>
      </w:r>
      <w:r>
        <w:rPr>
          <w:rFonts w:eastAsia="IRNazanin" w:cs="IRNazanin"/>
          <w:color w:val="111111"/>
          <w:sz w:val="28"/>
          <w:szCs w:val="28"/>
          <w:rtl w:val="true"/>
          <w:lang w:bidi="fa-IR"/>
        </w:rPr>
        <w:t>(</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تفسیر شریعت 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ما یمکن ذکره</w:t>
      </w:r>
      <w:r>
        <w:rPr>
          <w:rFonts w:eastAsia="IRNazanin" w:cs="IRNazanin"/>
          <w:color w:val="111111"/>
          <w:sz w:val="28"/>
          <w:szCs w:val="28"/>
          <w:rtl w:val="true"/>
          <w:lang w:bidi="fa-IR"/>
        </w:rPr>
        <w:t xml:space="preserve">. </w:t>
      </w:r>
      <w:r>
        <w:rPr>
          <w:rStyle w:val="FootnoteAnchor"/>
          <w:rtl w:val="true"/>
        </w:rPr>
        <w:footnoteReference w:id="942"/>
      </w:r>
      <w:r>
        <w:rPr>
          <w:rFonts w:ascii="IRNazanin" w:hAnsi="IRNazanin" w:eastAsia="IRNazanin"/>
          <w:color w:val="111111"/>
          <w:sz w:val="28"/>
          <w:sz w:val="28"/>
          <w:szCs w:val="28"/>
          <w:rtl w:val="true"/>
          <w:lang w:bidi="fa-IR"/>
        </w:rPr>
        <w:t>وهنا نحاول الوقوف بالبحث و التحقیق عند أهمّ التفاسیر، وهی کالآتی</w:t>
      </w:r>
      <w:r>
        <w:rPr>
          <w:rFonts w:eastAsia="IRNazanin" w:cs="IRNazanin"/>
          <w:color w:val="111111"/>
          <w:sz w:val="28"/>
          <w:szCs w:val="28"/>
          <w:rtl w:val="true"/>
          <w:lang w:bidi="fa-IR"/>
        </w:rPr>
        <w:t>:</w:t>
      </w:r>
    </w:p>
    <w:p>
      <w:pPr>
        <w:pStyle w:val="Heading3"/>
        <w:numPr>
          <w:ilvl w:val="2"/>
          <w:numId w:val="1"/>
        </w:numPr>
        <w:rPr/>
      </w:pPr>
      <w:bookmarkStart w:id="956" w:name="__RefHeading___Toc634539_581953129"/>
      <w:bookmarkStart w:id="957" w:name="_Toc365"/>
      <w:bookmarkEnd w:id="956"/>
      <w:r>
        <w:rPr>
          <w:rtl w:val="true"/>
        </w:rPr>
        <w:t>التفاسیر الشیعیة المعروفة</w:t>
      </w:r>
      <w:bookmarkEnd w:id="957"/>
    </w:p>
    <w:p>
      <w:pPr>
        <w:pStyle w:val="Heading4"/>
        <w:numPr>
          <w:ilvl w:val="3"/>
          <w:numId w:val="1"/>
        </w:numPr>
        <w:rPr/>
      </w:pPr>
      <w:bookmarkStart w:id="958" w:name="__RefHeading___Toc634541_581953129"/>
      <w:bookmarkStart w:id="959" w:name="_Toc366"/>
      <w:bookmarkEnd w:id="958"/>
      <w:r>
        <w:rPr/>
        <w:t>1</w:t>
      </w:r>
      <w:r>
        <w:rPr>
          <w:rtl w:val="true"/>
        </w:rPr>
        <w:t xml:space="preserve">. </w:t>
      </w:r>
      <w:r>
        <w:rPr>
          <w:rtl w:val="true"/>
        </w:rPr>
        <w:t>منهج الصادقین فی الزام المخالفین</w:t>
      </w:r>
      <w:bookmarkEnd w:id="959"/>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فتح الله الکاشانی</w:t>
      </w:r>
      <w:r>
        <w:rPr>
          <w:rFonts w:eastAsia="IRNazanin" w:cs="IRNazanin"/>
          <w:color w:val="111111"/>
          <w:sz w:val="28"/>
          <w:szCs w:val="28"/>
          <w:rtl w:val="true"/>
          <w:lang w:bidi="fa-IR"/>
        </w:rPr>
        <w:t>.</w:t>
      </w:r>
      <w:bookmarkStart w:id="960" w:name="pg5285_67571"/>
    </w:p>
    <w:p>
      <w:pPr>
        <w:pStyle w:val="BookText"/>
        <w:rPr/>
      </w:pPr>
      <w:bookmarkEnd w:id="960"/>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روائی، والاهتمام بالبعد الفقهی و الأدبی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الاتّجاه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أخلاقی وعرفانی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الکاشانی هو من علماء الشیعة الکبار، ومن أصحاب النظرة الثاقبة فی زمانه، وله مؤلّفات کثیرة فی حقل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الصادقین، یشتمل علی بحوث مختلفة ومتنوّعة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الأدب و الفقه، والأخلاق و العرفان، والتاریخ و الکلام، و قد استفاد من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 و تفسیر أبی الفتوح الرازی وگازر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ویبدوا أنّه بذل جهوداً مضنیة فی نقل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قام العلاّمة المرحوم الشیخ أبو الحسن الشعرانی بتصحیحه وتحقیقه، وکتب له مقدِّمة موسّعة ومفیدة فی بحوث القراءات وتواترها، وعدم تحریف القرآن وأنواع التفاسیر، وعلم الأئمّة علیهم السّلام بتفسیر القرآن وتوضیح حقیقة الإسرائیلیات، وإعجاز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موضوعات جذّابة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لخّص المؤلِّف هذا التفسیر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المنهج، وکتب تفسیراً آخر باللغة العربیة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زبدة التفاسیر</w:t>
      </w:r>
      <w:r>
        <w:rPr>
          <w:rFonts w:eastAsia="IRNazanin" w:cs="IRNazanin"/>
          <w:color w:val="111111"/>
          <w:sz w:val="28"/>
          <w:szCs w:val="28"/>
          <w:rtl w:val="true"/>
          <w:lang w:bidi="fa-IR"/>
        </w:rPr>
        <w:t xml:space="preserve">. </w:t>
      </w:r>
      <w:r>
        <w:rPr>
          <w:rStyle w:val="FootnoteAnchor"/>
          <w:rtl w:val="true"/>
        </w:rPr>
        <w:footnoteReference w:id="943"/>
      </w:r>
    </w:p>
    <w:p>
      <w:pPr>
        <w:pStyle w:val="Heading4"/>
        <w:numPr>
          <w:ilvl w:val="3"/>
          <w:numId w:val="1"/>
        </w:numPr>
        <w:rPr/>
      </w:pPr>
      <w:bookmarkStart w:id="961" w:name="__RefHeading___Toc634543_581953129"/>
      <w:bookmarkStart w:id="962" w:name="_Toc367"/>
      <w:bookmarkEnd w:id="961"/>
      <w:r>
        <w:rPr/>
        <w:t>2</w:t>
      </w:r>
      <w:r>
        <w:rPr>
          <w:rtl w:val="true"/>
        </w:rPr>
        <w:t xml:space="preserve">. </w:t>
      </w:r>
      <w:r>
        <w:rPr>
          <w:rtl w:val="true"/>
        </w:rPr>
        <w:t>تفسیر الصافی</w:t>
      </w:r>
      <w:bookmarkEnd w:id="962"/>
    </w:p>
    <w:p>
      <w:pPr>
        <w:pStyle w:val="Heading5"/>
        <w:numPr>
          <w:ilvl w:val="4"/>
          <w:numId w:val="1"/>
        </w:numPr>
        <w:rPr/>
      </w:pPr>
      <w:bookmarkStart w:id="963" w:name="__RefHeading___Toc634545_581953129"/>
      <w:bookmarkStart w:id="964" w:name="_Toc368"/>
      <w:bookmarkEnd w:id="963"/>
      <w:r>
        <w:rPr>
          <w:rtl w:val="true"/>
        </w:rPr>
        <w:t>اشارة</w:t>
      </w:r>
      <w:bookmarkEnd w:id="964"/>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المولی محمّد محسن بن مرتضی، المعروف بالفیض الکاشانی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العربیة</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روائی، مع توضیح وتحلیل</w:t>
      </w:r>
      <w:r>
        <w:rPr>
          <w:rFonts w:eastAsia="IRNazanin" w:cs="IRNazanin"/>
          <w:color w:val="111111"/>
          <w:sz w:val="28"/>
          <w:szCs w:val="28"/>
          <w:rtl w:val="true"/>
          <w:lang w:bidi="fa-IR"/>
        </w:rPr>
        <w:t>.</w:t>
      </w:r>
      <w:bookmarkStart w:id="965" w:name="pg5285_67572"/>
    </w:p>
    <w:p>
      <w:pPr>
        <w:pStyle w:val="BookText"/>
        <w:rPr/>
      </w:pPr>
      <w:bookmarkEnd w:id="965"/>
      <w:r>
        <w:rPr>
          <w:rFonts w:ascii="IRNazanin" w:hAnsi="IRNazanin" w:eastAsia="IRNazanin"/>
          <w:color w:val="111111"/>
          <w:sz w:val="28"/>
          <w:sz w:val="28"/>
          <w:szCs w:val="28"/>
          <w:rtl w:val="true"/>
          <w:lang w:bidi="fa-IR"/>
        </w:rPr>
        <w:t>الاتّجاه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عرفانی، فی بعض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Heading5"/>
        <w:numPr>
          <w:ilvl w:val="4"/>
          <w:numId w:val="1"/>
        </w:numPr>
        <w:rPr/>
      </w:pPr>
      <w:bookmarkStart w:id="966" w:name="__RefHeading___Toc634547_581953129"/>
      <w:bookmarkStart w:id="967" w:name="_Toc369"/>
      <w:bookmarkEnd w:id="966"/>
      <w:r>
        <w:rPr>
          <w:rtl w:val="true"/>
        </w:rPr>
        <w:t>التوصیف</w:t>
      </w:r>
      <w:bookmarkEnd w:id="967"/>
    </w:p>
    <w:p>
      <w:pPr>
        <w:pStyle w:val="BookText"/>
        <w:rPr/>
      </w:pPr>
      <w:r>
        <w:rPr>
          <w:rFonts w:ascii="IRNazanin" w:hAnsi="IRNazanin" w:eastAsia="IRNazanin"/>
          <w:color w:val="111111"/>
          <w:sz w:val="28"/>
          <w:sz w:val="28"/>
          <w:szCs w:val="28"/>
          <w:rtl w:val="true"/>
          <w:lang w:bidi="fa-IR"/>
        </w:rPr>
        <w:t>کان الفیض الکاشانی قوی البُنیة من الحیث العلمی خاصّةً بالفقه و التفسیر، والحدیث و الفلسفة و العرفان و الأخلاق، و هو جامع لعلوم المعقول و المنقول، و قد تتلمذ فی المنقول علی ید المحدّث الشیخ یوسف البحرانی، وفی المعقول علی ید الملاّ صدرا و المیر داماد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یعتبر تفسیر الصافی هو أحد التفاسیر المشهورة و الرائجة فی المجامع الشیعیة، و قد کتبه علی أساس الروایات، ولکون المؤلِّف کتب فی مقدّمته أنّ اکثر المفسّرین انشغلوا بالأدب و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تألیف تفاسیرهم، ولم یولوا الروایات اهتماماً کبیراً، فإنی عزمتُ علی أن یکونَ تفسیری مأخوذاً من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یمضی فی منهجه الروائیٌّ، إلاّ أنّه لم یکتفِ بنقل الروایات فقط، بل إنّه مارس التعبیر بالقول بعد بیان الحدیث، وتوضیح الروایات ونقدها و التحقیق فیها وتثبیتها، فهو فی الواقع یجمع بین الروایة و الدرایة</w:t>
      </w:r>
      <w:r>
        <w:rPr>
          <w:rFonts w:eastAsia="IRNazanin" w:cs="IRNazanin"/>
          <w:color w:val="111111"/>
          <w:sz w:val="28"/>
          <w:szCs w:val="28"/>
          <w:rtl w:val="true"/>
          <w:lang w:bidi="fa-IR"/>
        </w:rPr>
        <w:t>.</w:t>
      </w:r>
    </w:p>
    <w:p>
      <w:pPr>
        <w:pStyle w:val="Heading5"/>
        <w:numPr>
          <w:ilvl w:val="4"/>
          <w:numId w:val="1"/>
        </w:numPr>
        <w:rPr/>
      </w:pPr>
      <w:bookmarkStart w:id="968" w:name="__RefHeading___Toc634549_581953129"/>
      <w:bookmarkStart w:id="969" w:name="_Toc370"/>
      <w:bookmarkEnd w:id="968"/>
      <w:r>
        <w:rPr>
          <w:rtl w:val="true"/>
        </w:rPr>
        <w:t>مصادر تفسیر الصافی</w:t>
      </w:r>
      <w:bookmarkEnd w:id="969"/>
    </w:p>
    <w:p>
      <w:pPr>
        <w:pStyle w:val="BookText"/>
        <w:rPr/>
      </w:pPr>
      <w:r>
        <w:rPr>
          <w:rFonts w:ascii="IRNazanin" w:hAnsi="IRNazanin" w:eastAsia="IRNazanin"/>
          <w:color w:val="111111"/>
          <w:sz w:val="28"/>
          <w:sz w:val="28"/>
          <w:szCs w:val="28"/>
          <w:rtl w:val="true"/>
          <w:lang w:bidi="fa-IR"/>
        </w:rPr>
        <w:t>إنّ الفیض الکاشانی بعد أن یقومَ بشرح مختصر للآیات التی هو فی صدد تفسیرها اعتماداً علی تفسیر البیضاوی یستند إلی المتون الروائیة عند شیعة أهل بیت العصمة و الطهارة علیهم السّلام، ومن 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 و القمّی</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مصادره الأخری، 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اللغة و الأدب، والنکات العرفانیة، و قد تشاهد فی بعض الموارد عابراً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التفسیر مقدِّمة مفیدة جدّاً هی من أفضل المقدّمات التفسیریة لما تشتمل علیه من اثنی عشر فصلاً فی بحوث فی فضل القرآن و علم</w:t>
      </w:r>
      <w:bookmarkStart w:id="970" w:name="pg5285_67573"/>
    </w:p>
    <w:p>
      <w:pPr>
        <w:pStyle w:val="BookText"/>
        <w:rPr/>
      </w:pPr>
      <w:bookmarkEnd w:id="970"/>
      <w:r>
        <w:rPr>
          <w:rFonts w:ascii="IRNazanin" w:hAnsi="IRNazanin" w:eastAsia="IRNazanin"/>
          <w:color w:val="111111"/>
          <w:sz w:val="28"/>
          <w:sz w:val="28"/>
          <w:szCs w:val="28"/>
          <w:rtl w:val="true"/>
          <w:lang w:bidi="fa-IR"/>
        </w:rPr>
        <w:t>الأئمّة علیهم السّلام بالقرآن، و صیانة القرآن من التحریف و النزول الدفعی و التدریجی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وللمرحوم الفیض الکاشانی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تفسیر الصافی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تفسیران آخران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الأصفی و هو منتخب الصافی، و قد طُبع فی مجلّدین، و المصفّی و هو خلاصة الأصفی کذلک</w:t>
      </w:r>
      <w:r>
        <w:rPr>
          <w:rFonts w:eastAsia="IRNazanin" w:cs="IRNazanin"/>
          <w:color w:val="111111"/>
          <w:sz w:val="28"/>
          <w:szCs w:val="28"/>
          <w:rtl w:val="true"/>
          <w:lang w:bidi="fa-IR"/>
        </w:rPr>
        <w:t xml:space="preserve">. </w:t>
      </w:r>
      <w:r>
        <w:rPr>
          <w:rStyle w:val="FootnoteAnchor"/>
          <w:rtl w:val="true"/>
        </w:rPr>
        <w:footnoteReference w:id="944"/>
      </w:r>
    </w:p>
    <w:p>
      <w:pPr>
        <w:pStyle w:val="BookText"/>
        <w:rPr/>
      </w:pPr>
      <w:r>
        <w:rPr>
          <w:rFonts w:ascii="Amiri" w:hAnsi="Amiri" w:eastAsia="Amiri" w:cs="Amiri"/>
          <w:color w:val="111111"/>
          <w:sz w:val="28"/>
          <w:sz w:val="28"/>
          <w:szCs w:val="28"/>
          <w:rtl w:val="true"/>
          <w:lang w:bidi="ar-SA"/>
        </w:rPr>
        <w:t>نموذج تفسیریّ من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یمکننا هن أن نلاحظ فقرات من الکتاب کما کتب، ومثال ذلک ما أورده فی تفسیر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جَعَلْنا لِکُلِّ نَبِیٍّ 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45"/>
      </w:r>
      <w:r>
        <w:rPr>
          <w:rFonts w:ascii="IRNazanin" w:hAnsi="IRNazanin" w:eastAsia="IRNazanin"/>
          <w:color w:val="111111"/>
          <w:sz w:val="28"/>
          <w:sz w:val="28"/>
          <w:szCs w:val="28"/>
          <w:rtl w:val="true"/>
          <w:lang w:bidi="fa-IR"/>
        </w:rPr>
        <w:t>یقول فی هذا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جعلنا لک عدواً جعلنا لکلّ نبی سبقک عدواً،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التخلیة بینهم وبین أعدائهم للامتحان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ینقل روایة وردت فی تفسیر القمّی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بعث الله نبیاً إلاّ وفی أمّته شیطانان یؤذیانه ویضلاّن الناس بعده</w:t>
      </w:r>
      <w:r>
        <w:rPr>
          <w:rFonts w:eastAsia="IRNazanin" w:cs="IRNazanin"/>
          <w:color w:val="111111"/>
          <w:sz w:val="28"/>
          <w:szCs w:val="28"/>
          <w:rtl w:val="true"/>
          <w:lang w:bidi="fa-IR"/>
        </w:rPr>
        <w:t xml:space="preserve">.» </w:t>
      </w:r>
      <w:r>
        <w:rPr>
          <w:rStyle w:val="FootnoteAnchor"/>
          <w:rtl w:val="true"/>
        </w:rPr>
        <w:footnoteReference w:id="946"/>
      </w:r>
    </w:p>
    <w:p>
      <w:pPr>
        <w:pStyle w:val="Heading4"/>
        <w:numPr>
          <w:ilvl w:val="3"/>
          <w:numId w:val="1"/>
        </w:numPr>
        <w:rPr/>
      </w:pPr>
      <w:bookmarkStart w:id="971" w:name="__RefHeading___Toc634551_581953129"/>
      <w:bookmarkStart w:id="972" w:name="_Toc371"/>
      <w:bookmarkEnd w:id="971"/>
      <w:r>
        <w:rPr/>
        <w:t>3</w:t>
      </w:r>
      <w:r>
        <w:rPr>
          <w:rtl w:val="true"/>
        </w:rPr>
        <w:t xml:space="preserve">. </w:t>
      </w:r>
      <w:r>
        <w:rPr>
          <w:rtl w:val="true"/>
        </w:rPr>
        <w:t>البرهان فی تفسیر القرآن</w:t>
      </w:r>
      <w:bookmarkEnd w:id="972"/>
    </w:p>
    <w:p>
      <w:pPr>
        <w:pStyle w:val="Heading5"/>
        <w:numPr>
          <w:ilvl w:val="4"/>
          <w:numId w:val="1"/>
        </w:numPr>
        <w:rPr/>
      </w:pPr>
      <w:bookmarkStart w:id="973" w:name="__RefHeading___Toc634553_581953129"/>
      <w:bookmarkStart w:id="974" w:name="_Toc372"/>
      <w:bookmarkEnd w:id="973"/>
      <w:r>
        <w:rPr>
          <w:rtl w:val="true"/>
        </w:rPr>
        <w:t>اشارة</w:t>
      </w:r>
      <w:bookmarkEnd w:id="974"/>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 البحرانی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نقلی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Heading5"/>
        <w:numPr>
          <w:ilvl w:val="4"/>
          <w:numId w:val="1"/>
        </w:numPr>
        <w:rPr/>
      </w:pPr>
      <w:bookmarkStart w:id="975" w:name="__RefHeading___Toc634555_581953129"/>
      <w:bookmarkStart w:id="976" w:name="_Toc373"/>
      <w:bookmarkEnd w:id="975"/>
      <w:r>
        <w:rPr>
          <w:rtl w:val="true"/>
        </w:rPr>
        <w:t>التوصیف</w:t>
      </w:r>
      <w:bookmarkEnd w:id="976"/>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المؤلّف من المحدّثین و المحقّقین البارزین و من کبار مفسری الشیعة الإمامیة</w:t>
      </w:r>
    </w:p>
    <w:p>
      <w:pPr>
        <w:pStyle w:val="BookText"/>
        <w:rPr/>
      </w:pPr>
      <w:r>
        <w:rPr>
          <w:rFonts w:ascii="IRNazanin" w:hAnsi="IRNazanin" w:eastAsia="IRNazanin"/>
          <w:color w:val="111111"/>
          <w:sz w:val="28"/>
          <w:sz w:val="28"/>
          <w:szCs w:val="28"/>
          <w:rtl w:val="true"/>
          <w:lang w:bidi="fa-IR"/>
        </w:rPr>
        <w:t>فی القرن الثانی عشر، ومن هنا فإنّ القرن الحادی عشر و القرن الثانی عشر یعتبران فی قمّة العدّ التصاعدی للاتّجاه الأخباری، و إنّ التفاسیر التی کُتبت فیهما تحمل الطابع الروائی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التفسیر کذلک کتب فی ضوء المنهج الروائی و یتناول القرآن من أوّله وحتی آخره،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سورة الناس، وفق الترتیب الموجود حالیاً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اسلوبه فی التفسیر،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ما یبدأ بکلّ سورة یشرع فی بیان اسم السورة ومحلّ نزولها، وذکر الروایات فی فضیلتها، وعلی أساس ترتیب السور یقوم ببیان الآیات، ثمّ یذکر شأن النزول، ثمّ یأتی بالروایات المرتبطة بتفسیر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مجموع الأحادیث التفسیریة التی اعتمد علیها هی ستّة عشر ألف حدیثاً، هذا و إنّ واحدة من مشکلات هذا التفسیر هی أنّ المؤلِّف لم یمارس إعمال نظره فی النقد و التحقیق و الترجیح، عند تعارض الروایات، </w:t>
      </w:r>
      <w:r>
        <w:rPr>
          <w:rStyle w:val="FootnoteAnchor"/>
          <w:rtl w:val="true"/>
        </w:rPr>
        <w:footnoteReference w:id="947"/>
      </w:r>
      <w:r>
        <w:rPr>
          <w:rFonts w:ascii="IRNazanin" w:hAnsi="IRNazanin" w:eastAsia="IRNazanin"/>
          <w:color w:val="111111"/>
          <w:sz w:val="28"/>
          <w:sz w:val="28"/>
          <w:szCs w:val="28"/>
          <w:rtl w:val="true"/>
          <w:lang w:bidi="fa-IR"/>
        </w:rPr>
        <w:t>و إنّما مکتفٍ بالنقل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والمشکلة الأخری هی أنّه اعتمد فی نقله علی بعض الکتب غیر المعتبرة، و هذا ما یسبّب ضعفاً فی طروحاته التفسیریة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 هو فی مقدّمته ستّة عشر مصدراً اعتمدها فی روایاته التی ینقلها، وهی من الکتب الحدیثیة عند الشیعة وأهل السنّة، </w:t>
      </w:r>
      <w:r>
        <w:rPr>
          <w:rStyle w:val="FootnoteAnchor"/>
          <w:rtl w:val="true"/>
        </w:rPr>
        <w:footnoteReference w:id="948"/>
      </w:r>
      <w:r>
        <w:rPr>
          <w:rFonts w:ascii="IRNazanin" w:hAnsi="IRNazanin" w:eastAsia="IRNazanin"/>
          <w:color w:val="111111"/>
          <w:sz w:val="28"/>
          <w:sz w:val="28"/>
          <w:szCs w:val="28"/>
          <w:rtl w:val="true"/>
          <w:lang w:bidi="fa-IR"/>
        </w:rPr>
        <w:t>ولتفسیر البرهان مقدّمة مطوّلة تشتمل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عشر عنواناً</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بین السید المؤلِّف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العلم و المتعلِّم وفضل القرآن وحدیث الثقلین و النهی عن التفسیر بالرأی وظهر القرآن وبطنه ونزول القرآن بإیاک أعنی واسمعی یا</w:t>
      </w:r>
    </w:p>
    <w:p>
      <w:pPr>
        <w:pStyle w:val="BookText"/>
        <w:rPr/>
      </w:pPr>
      <w:r>
        <w:rPr>
          <w:rFonts w:ascii="IRNazanin" w:hAnsi="IRNazanin" w:eastAsia="IRNazanin"/>
          <w:color w:val="111111"/>
          <w:sz w:val="28"/>
          <w:sz w:val="28"/>
          <w:szCs w:val="28"/>
          <w:rtl w:val="true"/>
          <w:lang w:bidi="fa-IR"/>
        </w:rPr>
        <w:t>جارة، وإعجاز نظم القرآن و المحکم و المتشابه، والعامّ و الخاصّ وأقسام الآیات الأخری، وبحوث عن علوم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جنّد المؤلِّف نفسه للدفاع عن ذمار أهل‌البیت علیهم السّلام واجتهد کثیراً فی جمع الروایات التفسیریة المرتبطة بأهل‌البیت علیهم السّلام، ووضعها فی ذیل کلّ آیة علاقتها المتّصلة بمرادها بشکل تیسم بالتّوسّع، وعلیه فإنّ هذا التفسیر جامع لکثیر من فضائل ومناقب أهل‌البیت علیهم السّلام، وشامل للأحکام و الآداب، وقصص الأنبیاء ممّا لا یعثر علیه فی مکان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ومضافاً إلی ذلک فإنّ أحد علماء الشیعة الکبار فی القرن الثانی عشر، و هو أبو الحسن ابن محمّد طاهر العاملی، لقد کتب لهذا التفسیر مقدِّمة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الأنوار ومشکاة الأسرار، </w:t>
      </w:r>
      <w:r>
        <w:rPr>
          <w:rStyle w:val="FootnoteAnchor"/>
          <w:rtl w:val="true"/>
        </w:rPr>
        <w:footnoteReference w:id="949"/>
      </w:r>
      <w:r>
        <w:rPr>
          <w:rFonts w:ascii="IRNazanin" w:hAnsi="IRNazanin" w:eastAsia="IRNazanin"/>
          <w:color w:val="111111"/>
          <w:sz w:val="28"/>
          <w:sz w:val="28"/>
          <w:szCs w:val="28"/>
          <w:rtl w:val="true"/>
          <w:lang w:bidi="fa-IR"/>
        </w:rPr>
        <w:t>أکثرها فی معرفة المفردات اللفظیة، و قد طُبعت فی مجلّد واحد مستقلّ عن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 حالٍ، فإنّ هذا التفسیر هو قابل لأنْ یستفاد منه لاحتوائه علی ذخائر ثمینة عن أهل‌بیت‌الطهارة علیهم السّلام، و قد نقلها عن الکتب و التفاسیر الروائیة المختلفة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نموذج تفسیری من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نقل عن تفسیر العیاشی عن سماعة عن الإمام الصادق علیه السّلام فی تفسیر الآیة الکریمة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قَرَأْتَ الْقُرْآنَ فَاسْتَعِذْ بِاللّهِ مِنَ الشَّیْطانِ الرَّجِیمِ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50"/>
      </w:r>
      <w:r>
        <w:rPr>
          <w:rFonts w:ascii="IRNazanin" w:hAnsi="IRNazanin" w:eastAsia="IRNazanin"/>
          <w:color w:val="111111"/>
          <w:sz w:val="28"/>
          <w:sz w:val="28"/>
          <w:szCs w:val="28"/>
          <w:rtl w:val="true"/>
          <w:lang w:bidi="fa-IR"/>
        </w:rPr>
        <w:t>أنّه قال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عن کیفیة الاستعاذة؟ فقال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أستعیذُ بالله السمیع العلیم من الشیطان الرجیم</w:t>
      </w:r>
      <w:r>
        <w:rPr>
          <w:rFonts w:eastAsia="IRNazanin" w:cs="IRNazanin"/>
          <w:color w:val="111111"/>
          <w:sz w:val="28"/>
          <w:szCs w:val="28"/>
          <w:rtl w:val="true"/>
          <w:lang w:bidi="fa-IR"/>
        </w:rPr>
        <w:t xml:space="preserve">». </w:t>
      </w:r>
      <w:r>
        <w:rPr>
          <w:rStyle w:val="FootnoteAnchor"/>
          <w:rtl w:val="true"/>
        </w:rPr>
        <w:footnoteReference w:id="951"/>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وللمؤلِّف أکثر من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 من المؤلَّفات و المصنَّفات و أنّ آثاره القرآنیة من</w:t>
      </w:r>
      <w:bookmarkStart w:id="977" w:name="pg5285_67576"/>
    </w:p>
    <w:p>
      <w:pPr>
        <w:pStyle w:val="BookText"/>
        <w:rPr/>
      </w:pPr>
      <w:bookmarkEnd w:id="977"/>
      <w:r>
        <w:rPr>
          <w:rFonts w:ascii="IRNazanin" w:hAnsi="IRNazanin" w:eastAsia="IRNazanin"/>
          <w:color w:val="111111"/>
          <w:sz w:val="28"/>
          <w:sz w:val="28"/>
          <w:szCs w:val="28"/>
          <w:rtl w:val="true"/>
          <w:lang w:bidi="fa-IR"/>
        </w:rPr>
        <w:t>غیر هذا التفسیر المذکور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الهدایة القرآنیة إلی الولایة و الهادی ومصباح النادی و نور الأنوار فی تفسیر القرآن و الحجة فیما نزل فی القائم الحجّة عجّل الله تعالی فرجه الشریف</w:t>
      </w:r>
      <w:r>
        <w:rPr>
          <w:rFonts w:eastAsia="IRNazanin" w:cs="IRNazanin"/>
          <w:color w:val="111111"/>
          <w:sz w:val="28"/>
          <w:szCs w:val="28"/>
          <w:rtl w:val="true"/>
          <w:lang w:bidi="fa-IR"/>
        </w:rPr>
        <w:t>.</w:t>
      </w:r>
    </w:p>
    <w:p>
      <w:pPr>
        <w:pStyle w:val="Heading4"/>
        <w:numPr>
          <w:ilvl w:val="3"/>
          <w:numId w:val="1"/>
        </w:numPr>
        <w:rPr/>
      </w:pPr>
      <w:bookmarkStart w:id="978" w:name="__RefHeading___Toc634557_581953129"/>
      <w:bookmarkStart w:id="979" w:name="_Toc374"/>
      <w:bookmarkEnd w:id="978"/>
      <w:r>
        <w:rPr/>
        <w:t>4</w:t>
      </w:r>
      <w:r>
        <w:rPr>
          <w:rtl w:val="true"/>
        </w:rPr>
        <w:t xml:space="preserve">. </w:t>
      </w:r>
      <w:r>
        <w:rPr>
          <w:rtl w:val="true"/>
        </w:rPr>
        <w:t>نور الثقلین</w:t>
      </w:r>
      <w:bookmarkEnd w:id="979"/>
    </w:p>
    <w:p>
      <w:pPr>
        <w:pStyle w:val="Heading5"/>
        <w:numPr>
          <w:ilvl w:val="4"/>
          <w:numId w:val="1"/>
        </w:numPr>
        <w:rPr/>
      </w:pPr>
      <w:bookmarkStart w:id="980" w:name="__RefHeading___Toc634559_581953129"/>
      <w:bookmarkStart w:id="981" w:name="_Toc375"/>
      <w:bookmarkEnd w:id="980"/>
      <w:r>
        <w:rPr>
          <w:rtl w:val="true"/>
        </w:rPr>
        <w:t>اشارة</w:t>
      </w:r>
      <w:bookmarkEnd w:id="981"/>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علی بن جمعة العروسی الحویزی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نقلی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Heading5"/>
        <w:numPr>
          <w:ilvl w:val="4"/>
          <w:numId w:val="1"/>
        </w:numPr>
        <w:rPr/>
      </w:pPr>
      <w:bookmarkStart w:id="982" w:name="__RefHeading___Toc634561_581953129"/>
      <w:bookmarkStart w:id="983" w:name="_Toc376"/>
      <w:bookmarkEnd w:id="982"/>
      <w:r>
        <w:rPr>
          <w:rtl w:val="true"/>
        </w:rPr>
        <w:t>التوصیف العام</w:t>
      </w:r>
      <w:bookmarkEnd w:id="983"/>
    </w:p>
    <w:p>
      <w:pPr>
        <w:pStyle w:val="BookText"/>
        <w:rPr/>
      </w:pPr>
      <w:r>
        <w:rPr>
          <w:rFonts w:ascii="IRNazanin" w:hAnsi="IRNazanin" w:eastAsia="IRNazanin"/>
          <w:color w:val="111111"/>
          <w:sz w:val="28"/>
          <w:sz w:val="28"/>
          <w:szCs w:val="28"/>
          <w:rtl w:val="true"/>
          <w:lang w:bidi="fa-IR"/>
        </w:rPr>
        <w:t>یعدّ العلاّمة الحویزی أدیباً لامعاً وشاعراً مجیداً، وفقیهاً ومحدّثاً کبیر من الأهواز، بل هو من المحدّثین البارزین فی زمانه،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 الحادی عشر و الثانی عشر للهجری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یکون منحی الحویزی أخباریاً فی منهجه، نتیجة لما عنده من تتبّع فی الأحادیث و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ما علیه تفسیره، حیث هو تفسیر روائی، وعلی أساس ترتیب القرآن الموجود،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یبدأ من سورة الحمد حتّی ینتهی بآخر القرآن، فکلّما وجد روایة تفسیریة طرحها فی ذیل الآیة المناسبة</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اکتفی العلاّمة فی نقل الروایات دون إبداء النظر فی ذلک، فهو من هذه الجهة یضاهی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فرقه الرئیس عن تفسیر البرهان، فهو فی اختیار المصادر أدقّ وأوثق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المنطلق یلاحظ أنّه یکتب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البدایة مصدر الروایة التی ینقلها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أصول الکافی أو مجمع البیان أو تهذیب الأحکام، ذکرها فلان عن فلان، فیبین سند الروایة حتّی یصل إلی الإمام علیه السّلام، و هذا بخلاف تفسیر البرهان الذی یکتفی بمتن التفسیر فی کثیر من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إنّ مصادر کتاب العلاّمة الحویزی فی التفسیر هی الکتب الروائیة الشیعیة المختلفة،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الأخبار و علل الشرایع، والکافی، التهذیب، وتفسیر مجمع البیان و العیاشی و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انتخاب هذا الأسلوب فی ذلک العهد یدلّل علی أنّ التفسیر الروائی فی ذلک الحین قد ترک وراج بدله التفسیر بطرق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کتب العلاّمة الحویزی فی تفسیر نور الثقلین قائلاً فی هذا الصعید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لمّا رأیتُ خدمة کتاب الله و المقتبسین من أنوار وحی الله، سلکوا مسالک مختلفة، فمنهم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اقتصر علی ذکر عربیته و معانی ألفاظه، 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اقتصر علی بیان التراکیب النحویة، 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اقتصر علی استخراج المسائل الصرفیة، 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استفرغ وسعه فیما یتعلّق بالإعراب و التصریف، 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استکثر علم اللغة و اشتقاق الألفاظ، 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صرف همَّته إلی ما یتعلّق بالمعانی الکلامیة، 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قرن بین فنون عدیدة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أحببتُ أن أضیف إلی بعض آیات الکتاب المبین شیئاً من آثار أهل الذکر المنتجبین</w:t>
      </w:r>
      <w:r>
        <w:rPr>
          <w:rFonts w:eastAsia="IRNazanin" w:cs="IRNazanin"/>
          <w:color w:val="111111"/>
          <w:sz w:val="28"/>
          <w:szCs w:val="28"/>
          <w:rtl w:val="true"/>
          <w:lang w:bidi="fa-IR"/>
        </w:rPr>
        <w:t xml:space="preserve">. </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ولکن هل أنّ قصد المؤلِّف من ذلک هو جمع الروایات المعتبرة فقط، أم غیر ذلک؟ فإنّ هذا القصد یتبین من عباراته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نقلتُ ممّا ظاهره یخالف إجماع الطائفة المحقّقة، فلم أقصد به بیان اعتقاد، ولا عمل، و إنّما أوردته لیعلم الناظر المطلع کیف نُقل، وعمّن نُقل</w:t>
      </w:r>
      <w:r>
        <w:rPr>
          <w:rFonts w:eastAsia="IRNazanin" w:cs="IRNazanin"/>
          <w:color w:val="111111"/>
          <w:sz w:val="28"/>
          <w:szCs w:val="28"/>
          <w:rtl w:val="true"/>
          <w:lang w:bidi="fa-IR"/>
        </w:rPr>
        <w:t xml:space="preserve">. </w:t>
      </w:r>
      <w:r>
        <w:rPr>
          <w:rStyle w:val="FootnoteAnchor"/>
          <w:rtl w:val="true"/>
        </w:rPr>
        <w:footnoteReference w:id="953"/>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ولکون تفسیر نور الثقلین جامعاً لذلک الجمع من الروایات المسنده، صار موضع اهتمام للعلماء و المفسّرین بعده فی جانب نقل الروایات واسناده إلیه؛ ولذلک تجدون أنّ ما یقارب </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البحوث الروائیة عن الشیعة فی تفسیر المیزان هی نقلاً عن هذا التفسیر</w:t>
      </w:r>
      <w:r>
        <w:rPr>
          <w:rFonts w:eastAsia="IRNazanin" w:cs="IRNazanin"/>
          <w:color w:val="111111"/>
          <w:sz w:val="28"/>
          <w:szCs w:val="28"/>
          <w:rtl w:val="true"/>
          <w:lang w:bidi="fa-IR"/>
        </w:rPr>
        <w:t xml:space="preserve">. </w:t>
      </w:r>
      <w:r>
        <w:rPr>
          <w:rStyle w:val="FootnoteAnchor"/>
          <w:rtl w:val="true"/>
        </w:rPr>
        <w:footnoteReference w:id="954"/>
      </w:r>
      <w:bookmarkStart w:id="984" w:name="pg5285_67578"/>
    </w:p>
    <w:p>
      <w:pPr>
        <w:pStyle w:val="BookText"/>
        <w:rPr/>
      </w:pPr>
      <w:bookmarkEnd w:id="984"/>
      <w:r>
        <w:rPr>
          <w:rFonts w:ascii="IRNazanin" w:hAnsi="IRNazanin" w:eastAsia="IRNazanin"/>
          <w:color w:val="111111"/>
          <w:sz w:val="28"/>
          <w:sz w:val="28"/>
          <w:szCs w:val="28"/>
          <w:rtl w:val="true"/>
          <w:lang w:bidi="fa-IR"/>
        </w:rPr>
        <w:t>و قد کتب العلاّمة الطباطبائی رحمه الله ضمن مقدِّمته علی هذا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ولعمری، إنّه الکتاب القیم الذی جمع فیه مؤلِّفه شتات الأخبار الواردة فی تفسیر آیات الکتاب العزیز و أودع عامّة الأحادیث المأثورة عن أهل‌بیت العصمة و الطهارة علیهم السّلام إلاّ ما شذَّ منها، و لقد أجاد فی ضبطها وترتیبها و الإشارة إلی مصادرها و الجوامع المنقولة هی عنها، و بذل جهداً فی تهذیبها وتنقیحها</w:t>
      </w:r>
      <w:r>
        <w:rPr>
          <w:rFonts w:eastAsia="IRNazanin" w:cs="IRNazanin"/>
          <w:color w:val="111111"/>
          <w:sz w:val="28"/>
          <w:szCs w:val="28"/>
          <w:rtl w:val="true"/>
          <w:lang w:bidi="fa-IR"/>
        </w:rPr>
        <w:t xml:space="preserve">. </w:t>
      </w:r>
      <w:r>
        <w:rPr>
          <w:rStyle w:val="FootnoteAnchor"/>
          <w:rtl w:val="true"/>
        </w:rPr>
        <w:footnoteReference w:id="955"/>
      </w:r>
    </w:p>
    <w:p>
      <w:pPr>
        <w:pStyle w:val="Heading4"/>
        <w:numPr>
          <w:ilvl w:val="3"/>
          <w:numId w:val="1"/>
        </w:numPr>
        <w:rPr/>
      </w:pPr>
      <w:bookmarkStart w:id="985" w:name="__RefHeading___Toc634563_581953129"/>
      <w:bookmarkStart w:id="986" w:name="_Toc377"/>
      <w:bookmarkEnd w:id="985"/>
      <w:r>
        <w:rPr/>
        <w:t>5</w:t>
      </w:r>
      <w:r>
        <w:rPr>
          <w:rtl w:val="true"/>
        </w:rPr>
        <w:t xml:space="preserve">. </w:t>
      </w:r>
      <w:r>
        <w:rPr>
          <w:rtl w:val="true"/>
        </w:rPr>
        <w:t>تفسیر کنز الدقائق</w:t>
      </w:r>
      <w:bookmarkEnd w:id="986"/>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رضا القمّی المشهدی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روائی، مع تبیین و نقل للأقوال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الاتّجاه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أخلاقی وعرفانی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w:t>
      </w:r>
      <w:r>
        <w:rPr>
          <w:rStyle w:val="FootnoteAnchor"/>
          <w:rtl w:val="true"/>
        </w:rPr>
        <w:footnoteReference w:id="95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 xml:space="preserve">. </w:t>
      </w:r>
      <w:r>
        <w:rPr>
          <w:rStyle w:val="FootnoteAnchor"/>
          <w:rtl w:val="true"/>
        </w:rPr>
        <w:footnoteReference w:id="957"/>
      </w:r>
    </w:p>
    <w:p>
      <w:pPr>
        <w:pStyle w:val="BookText"/>
        <w:rPr/>
      </w:pPr>
      <w:r>
        <w:rPr>
          <w:rFonts w:ascii="IRNazanin" w:hAnsi="IRNazanin" w:eastAsia="IRNazanin"/>
          <w:color w:val="111111"/>
          <w:sz w:val="28"/>
          <w:sz w:val="28"/>
          <w:szCs w:val="28"/>
          <w:rtl w:val="true"/>
          <w:lang w:bidi="fa-IR"/>
        </w:rPr>
        <w:t>إنّ المؤلّف المیرزا محمّد المشهدی القمّی من تلامذة وأتباع مدرسة الفیض الکاشانی، ومنهجه فی التفسیر هو منهج استاذه الفیض الکاشانی نفسه، و إنّ اساسه وانطلاقته أیضاً هی روایات أهل‌البیت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اهتمّ بالنکات التفسیریة اهتماماً کاملاً، فهو فی توضیح ونقل الأقوال وحتّی اختلاف القراءات استفاد من تفسیر البیضاوی أنوار التنزیل وأسرار التأویل، واستفاد فی المجال الروائی من التفاسیر الروائیة، والکتب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و الخصال، و 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مجمع البیان، و القمّی</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وتُشاهد فی تفسیره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 عقلیة واستدلال بالروایات، ونکات ادبیة</w:t>
      </w:r>
      <w:bookmarkStart w:id="987" w:name="pg5285_67579"/>
    </w:p>
    <w:p>
      <w:pPr>
        <w:pStyle w:val="BookText"/>
        <w:rPr/>
      </w:pPr>
      <w:bookmarkEnd w:id="987"/>
      <w:r>
        <w:rPr>
          <w:rFonts w:ascii="IRNazanin" w:hAnsi="IRNazanin" w:eastAsia="IRNazanin"/>
          <w:color w:val="111111"/>
          <w:sz w:val="28"/>
          <w:sz w:val="28"/>
          <w:szCs w:val="28"/>
          <w:rtl w:val="true"/>
          <w:lang w:bidi="fa-IR"/>
        </w:rPr>
        <w:t>وکلامیة، وفی بعض الموارد تُشاهد إشارات عرفانیة، کما قد مارس النقد و التحقیق فی الروایات المجعولة و الإسرائیلیة</w:t>
      </w:r>
      <w:r>
        <w:rPr>
          <w:rFonts w:eastAsia="IRNazanin" w:cs="IRNazanin"/>
          <w:color w:val="111111"/>
          <w:sz w:val="28"/>
          <w:szCs w:val="28"/>
          <w:rtl w:val="true"/>
          <w:lang w:bidi="fa-IR"/>
        </w:rPr>
        <w:t xml:space="preserve">. </w:t>
      </w:r>
      <w:r>
        <w:rPr>
          <w:rStyle w:val="FootnoteAnchor"/>
          <w:rtl w:val="true"/>
        </w:rPr>
        <w:footnoteReference w:id="958"/>
      </w:r>
    </w:p>
    <w:p>
      <w:pPr>
        <w:pStyle w:val="BookText"/>
        <w:rPr/>
      </w:pPr>
      <w:r>
        <w:rPr>
          <w:rFonts w:ascii="IRNazanin" w:hAnsi="IRNazanin" w:eastAsia="IRNazanin"/>
          <w:color w:val="111111"/>
          <w:sz w:val="28"/>
          <w:sz w:val="28"/>
          <w:szCs w:val="28"/>
          <w:rtl w:val="true"/>
          <w:lang w:bidi="fa-IR"/>
        </w:rPr>
        <w:t>هذا و قد کتب فی مقدّمة تفسیره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کنتُ فیما مضی قد رَقَّمتُ تعلیمات علی التفسیر المشهور للعلاّمة الزمشخری وأجلتُ النظر فیه، ثمَّ علی الحاشیة للعلاّمة النحریر و الفاضل المهریز الشیخ الکامل بهاء الدین العاملی، ثمَّ سَنَحَ لی أنْ أؤلِّف تفسیراً یحتوی علی دقائق أسرار التنزیل و نکات أبکار التأویل، مع نقل ما روی فی التفسیر و التأویل عن الأئمّة الأطهار علیهم السّلام و الهداة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نیتی أن اسمیه بعد إتمامه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الدقائق و بحر الغرائب</w:t>
      </w:r>
      <w:r>
        <w:rPr>
          <w:rFonts w:eastAsia="IRNazanin" w:cs="IRNazanin"/>
          <w:color w:val="111111"/>
          <w:sz w:val="28"/>
          <w:szCs w:val="28"/>
          <w:rtl w:val="true"/>
          <w:lang w:bidi="fa-IR"/>
        </w:rPr>
        <w:t xml:space="preserve">. </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نموذج تفسیری من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یمکن أن نلاحظ هنا نوعیة العمل وأسلوبه فی التفسیر ضمن ما کَتَبهُ فی تفسیر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قاتِلُوهُمْ حَتّی لا تَکُونَ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60"/>
      </w:r>
      <w:r>
        <w:rPr>
          <w:rFonts w:ascii="IRNazanin" w:hAnsi="IRNazanin" w:eastAsia="IRNazanin"/>
          <w:color w:val="111111"/>
          <w:sz w:val="28"/>
          <w:sz w:val="28"/>
          <w:szCs w:val="28"/>
          <w:rtl w:val="true"/>
          <w:lang w:bidi="fa-IR"/>
        </w:rPr>
        <w:t>قال متحدّثاً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یوجد فیهم 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ذلک نقل عن تفسیر علی بن إبراهیم فی أنّ المقصود من الفتنة،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الکفر</w:t>
      </w:r>
      <w:r>
        <w:rPr>
          <w:rFonts w:eastAsia="IRNazanin" w:cs="IRNazanin"/>
          <w:color w:val="111111"/>
          <w:sz w:val="28"/>
          <w:szCs w:val="28"/>
          <w:rtl w:val="true"/>
          <w:lang w:bidi="fa-IR"/>
        </w:rPr>
        <w:t xml:space="preserve">. </w:t>
      </w:r>
      <w:r>
        <w:rPr>
          <w:rStyle w:val="FootnoteAnchor"/>
          <w:rtl w:val="true"/>
        </w:rPr>
        <w:footnoteReference w:id="961"/>
      </w:r>
    </w:p>
    <w:p>
      <w:pPr>
        <w:pStyle w:val="Heading4"/>
        <w:numPr>
          <w:ilvl w:val="3"/>
          <w:numId w:val="1"/>
        </w:numPr>
        <w:rPr/>
      </w:pPr>
      <w:bookmarkStart w:id="988" w:name="__RefHeading___Toc634565_581953129"/>
      <w:bookmarkStart w:id="989" w:name="_Toc378"/>
      <w:bookmarkEnd w:id="988"/>
      <w:r>
        <w:rPr/>
        <w:t>6</w:t>
      </w:r>
      <w:r>
        <w:rPr>
          <w:rtl w:val="true"/>
        </w:rPr>
        <w:t xml:space="preserve">. </w:t>
      </w:r>
      <w:r>
        <w:rPr>
          <w:rtl w:val="true"/>
        </w:rPr>
        <w:t>زبدة البیان فی أحکام القرآن</w:t>
      </w:r>
      <w:bookmarkEnd w:id="989"/>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المؤلِّف هو ملاّ أحمد بن محمّد المشهور بالمقدّس الأردبیلی</w:t>
      </w:r>
      <w:r>
        <w:rPr>
          <w:rFonts w:eastAsia="IRNazanin" w:cs="IRNazanin"/>
          <w:color w:val="111111"/>
          <w:sz w:val="28"/>
          <w:szCs w:val="28"/>
          <w:rtl w:val="true"/>
          <w:lang w:bidi="fa-IR"/>
        </w:rPr>
        <w:t>(</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التفسیر یقع فی مجلّدین وباللغة العربیة، و قد نظمت الآیات فیه علی أساس أبواب الفقه من الطهارة حتّی بحث الحدود، و قد بلغت قرابة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سلط الضوء التفسیری علیها ضمن البحث و التحقیق</w:t>
      </w:r>
      <w:r>
        <w:rPr>
          <w:rFonts w:eastAsia="IRNazanin" w:cs="IRNazanin"/>
          <w:color w:val="111111"/>
          <w:sz w:val="28"/>
          <w:szCs w:val="28"/>
          <w:rtl w:val="true"/>
          <w:lang w:bidi="fa-IR"/>
        </w:rPr>
        <w:t>.</w:t>
      </w:r>
      <w:bookmarkStart w:id="990" w:name="pg5285_67580"/>
    </w:p>
    <w:p>
      <w:pPr>
        <w:pStyle w:val="BookText"/>
        <w:rPr/>
      </w:pPr>
      <w:bookmarkEnd w:id="990"/>
      <w:r>
        <w:rPr>
          <w:rFonts w:ascii="IRNazanin" w:hAnsi="IRNazanin" w:eastAsia="IRNazanin"/>
          <w:color w:val="111111"/>
          <w:sz w:val="28"/>
          <w:sz w:val="28"/>
          <w:szCs w:val="28"/>
          <w:rtl w:val="true"/>
          <w:lang w:bidi="fa-IR"/>
        </w:rPr>
        <w:t>کما تناول تفسیر کلّ آیة فی موضعها بشکل دقیق جدّاً وببیان جمیل، وراح یوضّح فقراتها وعباراتها، و قد استفاد من التفاسیر،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 للطبرسی و الکشّاف للزمخشری، و مفاتیح الغیب للفخر الرازی و تفسیر البیضاوی، ومع أنّ هذا التفسیر هو فی الواقع تفسیر فقهی لکنّه لم یغفل عن البحوث الأخلاقیة و الکلامیة و التاریخیة</w:t>
      </w:r>
      <w:r>
        <w:rPr>
          <w:rFonts w:eastAsia="IRNazanin" w:cs="IRNazanin"/>
          <w:color w:val="111111"/>
          <w:sz w:val="28"/>
          <w:szCs w:val="28"/>
          <w:rtl w:val="true"/>
          <w:lang w:bidi="fa-IR"/>
        </w:rPr>
        <w:t>.</w:t>
      </w:r>
    </w:p>
    <w:p>
      <w:pPr>
        <w:pStyle w:val="Heading4"/>
        <w:numPr>
          <w:ilvl w:val="3"/>
          <w:numId w:val="1"/>
        </w:numPr>
        <w:rPr/>
      </w:pPr>
      <w:bookmarkStart w:id="991" w:name="__RefHeading___Toc634567_581953129"/>
      <w:bookmarkStart w:id="992" w:name="_Toc379"/>
      <w:bookmarkEnd w:id="991"/>
      <w:r>
        <w:rPr/>
        <w:t>7</w:t>
      </w:r>
      <w:r>
        <w:rPr>
          <w:rtl w:val="true"/>
        </w:rPr>
        <w:t xml:space="preserve">. </w:t>
      </w:r>
      <w:r>
        <w:rPr>
          <w:rtl w:val="true"/>
        </w:rPr>
        <w:t>تفسیر القرآن الکریم</w:t>
      </w:r>
      <w:bookmarkEnd w:id="992"/>
    </w:p>
    <w:p>
      <w:pPr>
        <w:pStyle w:val="Heading5"/>
        <w:numPr>
          <w:ilvl w:val="4"/>
          <w:numId w:val="1"/>
        </w:numPr>
        <w:rPr/>
      </w:pPr>
      <w:bookmarkStart w:id="993" w:name="__RefHeading___Toc634569_581953129"/>
      <w:bookmarkStart w:id="994" w:name="_Toc380"/>
      <w:bookmarkEnd w:id="993"/>
      <w:r>
        <w:rPr>
          <w:rtl w:val="true"/>
        </w:rPr>
        <w:t>اشارة</w:t>
      </w:r>
      <w:bookmarkEnd w:id="994"/>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إبراهیم، صدر الدین الشیرازی المعروف بالملاّ صدرا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الاتّجاه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الکتاب هو العلاّمة محمّد بن إبراهیم، صدرالدین الشیرازی المعروف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المتألّهین، المتولّد سنة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المتوفّی سنة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یعدّ العلاّمة الملّد صدرا من کبار فلاسفة المسلمین، و هو الذی أوجد تحوّلاً جدیداً فی صعید الفلسفة و العلوم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وُلِدَ فی شیراز وعاش فترة شبابه فیها، ثمّ من أجل الحصول علی الدراسات العُلیا توجّه إلی مدینة أصفهان، فاستفاد کثیراً من أساتذتها وعلمائها الکبار،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البهائی و المیر داماد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ذلک هاجر إلی قمّ وسکن بجوار کریمة أهل‌البیت، السیدة فاطمة بنت الإمام موسی بن جعفر علیهم السّلام، وذلک فی قریة کَهَک الواقعة نواحی هذه البلدة المقدّسة، وبعد أن بلغ مرتبةً من العلم مارس التدوین و التألیف فی البلدة، وممّا قد کتب کتابه القیم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الأسفار الأربعة فی الفلسفة الإسلامیة</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استطاع ملاّ صدرا بما أوجده من تحوّل جدیر فی الفلسفة أنّ یجمع بین المشرَبَین</w:t>
      </w:r>
      <w:bookmarkStart w:id="995" w:name="pg5285_67581"/>
    </w:p>
    <w:p>
      <w:pPr>
        <w:pStyle w:val="BookText"/>
        <w:rPr/>
      </w:pPr>
      <w:bookmarkEnd w:id="995"/>
      <w:r>
        <w:rPr>
          <w:rFonts w:ascii="IRNazanin" w:hAnsi="IRNazanin" w:eastAsia="IRNazanin"/>
          <w:color w:val="111111"/>
          <w:sz w:val="28"/>
          <w:sz w:val="28"/>
          <w:szCs w:val="28"/>
          <w:rtl w:val="true"/>
          <w:lang w:bidi="fa-IR"/>
        </w:rPr>
        <w:t>فی المدرستین الفلسفیتین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المّشائیین ومدرسة الإشراقیین؛ وذلک من خلال استعانته بالمتون الدینیة و الآیات و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سمّی هذا الانطباق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الحکمة المتعالیة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وجدیر بالذکر أنّ العلاّمة فی آخر عمره أقفل عائداً إلی موطنه شیراز، وأقام فیها مدارسه الفلسفیة من أجل تربیة التلامیذ الکبار، هذا و إنّ أهمّ نظریاته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الحرکة الجوهریة وحدوث العالم الجسمانی و اتّحاد العاقل و المعقول و المعاد الجسمانی برؤیا جدیدة، و خلود الکفار فی العذاب وإثبات جسمانیة النفس حدوثها وروحانیة فی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إنّ له أکثر من خمسین کتاباً ورسالةً إلاّ أنّ أهمّها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الحکمة المتعالیة فی الأسفار الأربعة و الشواهد الربوبیة، و مفاتیح الغیب و شرح أصول الکافی، و المبدأ و المعاد و تفسیر القرآن الکریم</w:t>
      </w:r>
      <w:r>
        <w:rPr>
          <w:rFonts w:eastAsia="IRNazanin" w:cs="IRNazanin"/>
          <w:color w:val="111111"/>
          <w:sz w:val="28"/>
          <w:szCs w:val="28"/>
          <w:rtl w:val="true"/>
          <w:lang w:bidi="fa-IR"/>
        </w:rPr>
        <w:t>.</w:t>
      </w:r>
    </w:p>
    <w:p>
      <w:pPr>
        <w:pStyle w:val="Heading5"/>
        <w:numPr>
          <w:ilvl w:val="4"/>
          <w:numId w:val="1"/>
        </w:numPr>
        <w:rPr/>
      </w:pPr>
      <w:bookmarkStart w:id="996" w:name="__RefHeading___Toc634571_581953129"/>
      <w:bookmarkStart w:id="997" w:name="_Toc381"/>
      <w:bookmarkEnd w:id="996"/>
      <w:r>
        <w:rPr>
          <w:rtl w:val="true"/>
        </w:rPr>
        <w:t>ضوء علی تفسیر القرآن الکریم</w:t>
      </w:r>
      <w:bookmarkEnd w:id="997"/>
    </w:p>
    <w:p>
      <w:pPr>
        <w:pStyle w:val="BookText"/>
        <w:rPr/>
      </w:pPr>
      <w:r>
        <w:rPr>
          <w:rFonts w:ascii="IRNazanin" w:hAnsi="IRNazanin" w:eastAsia="IRNazanin"/>
          <w:color w:val="111111"/>
          <w:sz w:val="28"/>
          <w:sz w:val="28"/>
          <w:szCs w:val="28"/>
          <w:rtl w:val="true"/>
          <w:lang w:bidi="fa-IR"/>
        </w:rPr>
        <w:t>إنّ المؤلّف قبل کتابته هذا التفسیر، ألّف کتاب مفاتیح الغیب لیکون مقدّمة له باعتباره یحتوی علی الأسس الفکریة التی هو علیها، وبین فیه منهجه وخطوطه العریضة التی اتّخذها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ذلک شرع فی کتابة التفسیر بصورة متفرّقة دون تفسیره کاملاً فراح ینتقی السور التی یقع علیها نظره فی مجال الأهمیة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الکتاب یشتمل علی تفسیر 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و البقرة حتی الآیة ال</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و الحدید و الأعلی و آیة الکرسی، و السجدة و الطارق و عبس، و آیة النور من سورة النور، و الزلزال و الواقعة و الجمعة</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ویقول فی بدایة تفسیر سورة السجدة، متحدّثاً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انکشفت لی بعض أسرار معانی السور وأزحت الأستار عن بعض الآیات، صرتُ علی أمل أن أقوی علی تألیف کتاب جامع، وتفسیر کبیر لم یشهد نظیره المحقّقون و العلماء</w:t>
      </w:r>
      <w:r>
        <w:rPr>
          <w:rFonts w:eastAsia="IRNazanin" w:cs="IRNazanin"/>
          <w:color w:val="111111"/>
          <w:sz w:val="28"/>
          <w:szCs w:val="28"/>
          <w:rtl w:val="true"/>
          <w:lang w:bidi="fa-IR"/>
        </w:rPr>
        <w:t xml:space="preserve">. </w:t>
      </w:r>
      <w:r>
        <w:rPr>
          <w:rStyle w:val="FootnoteAnchor"/>
          <w:rtl w:val="true"/>
        </w:rPr>
        <w:footnoteReference w:id="962"/>
      </w:r>
      <w:bookmarkStart w:id="998" w:name="pg5285_67582"/>
    </w:p>
    <w:p>
      <w:pPr>
        <w:pStyle w:val="Heading3"/>
        <w:numPr>
          <w:ilvl w:val="2"/>
          <w:numId w:val="1"/>
        </w:numPr>
        <w:rPr/>
      </w:pPr>
      <w:bookmarkStart w:id="999" w:name="__RefHeading___Toc634573_581953129"/>
      <w:bookmarkStart w:id="1000" w:name="_Toc382"/>
      <w:bookmarkEnd w:id="998"/>
      <w:bookmarkEnd w:id="999"/>
      <w:r>
        <w:rPr>
          <w:rtl w:val="true"/>
        </w:rPr>
        <w:t>تفاسیر أهل السنة</w:t>
      </w:r>
      <w:bookmarkEnd w:id="1000"/>
    </w:p>
    <w:p>
      <w:pPr>
        <w:pStyle w:val="Heading4"/>
        <w:numPr>
          <w:ilvl w:val="3"/>
          <w:numId w:val="1"/>
        </w:numPr>
        <w:rPr/>
      </w:pPr>
      <w:bookmarkStart w:id="1001" w:name="__RefHeading___Toc634575_581953129"/>
      <w:bookmarkStart w:id="1002" w:name="_Toc383"/>
      <w:bookmarkEnd w:id="1001"/>
      <w:r>
        <w:rPr/>
        <w:t>1</w:t>
      </w:r>
      <w:r>
        <w:rPr>
          <w:rtl w:val="true"/>
        </w:rPr>
        <w:t xml:space="preserve">. </w:t>
      </w:r>
      <w:r>
        <w:rPr>
          <w:rtl w:val="true"/>
        </w:rPr>
        <w:t>الدرّ المنثور فی التفسیر بالمأثور</w:t>
      </w:r>
      <w:bookmarkEnd w:id="1002"/>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سیوطی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نقلی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الکتاب هو جلال الدین أبو الفضل عبد الرحمن بن أبی‌بکر السیوطی، المتولّد سنة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والمتوفّی سنة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والسیوطی من الحفّاظ و المحدّثین و و الناقلین للحدیث من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آثاره ومؤلّفاته الکثیرة، و قد بدأ بتألیف الکتب إنطلاقاً من سنة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فی سن السابعة و الثلاثین من عمره، وله أسفار علمیة کثیرة إلی الشام و الحجاز، والیمن و الهند و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صاحب رأی فی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و الحدیث، و الفقه و النحو، والمعانی و البیان و البدیع</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السیوطی عاشقاً للقرآن منذ نعومة أظفاره، ولقد حفظ القرآن قبل السنة الثامنة من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ولتفسیر الدرّ المنثور مکانة جیدة بین التفاسیر فی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التفسیر ألّف وِفق المنهج الروائی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نقل فیه أحادیث رسول الله صلّی الله علیه و آله وأقوال الصحابة و التابعین فی تفسیر آیات القرآن، والروایات التی أوردها فی هذا التفسیر هی محذوفة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المورد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جمعت کتاباً مسنداً فیه تفاسیر النبی صلّی الله علیه و آله منه بضعة عشر ألف حدیث ما بین مرفوع وموقوف، و قد 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أربع مجلّدات، وسمّیته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ترجمان القرآن</w:t>
      </w:r>
      <w:r>
        <w:rPr>
          <w:rFonts w:eastAsia="IRNazanin" w:cs="IRNazanin"/>
          <w:color w:val="111111"/>
          <w:sz w:val="28"/>
          <w:szCs w:val="28"/>
          <w:rtl w:val="true"/>
          <w:lang w:bidi="fa-IR"/>
        </w:rPr>
        <w:t xml:space="preserve">. </w:t>
      </w:r>
      <w:r>
        <w:rPr>
          <w:rStyle w:val="FootnoteAnchor"/>
          <w:rtl w:val="true"/>
        </w:rPr>
        <w:footnoteReference w:id="963"/>
      </w:r>
    </w:p>
    <w:p>
      <w:pPr>
        <w:pStyle w:val="BookText"/>
        <w:rPr/>
      </w:pPr>
      <w:r>
        <w:rPr>
          <w:rFonts w:ascii="IRNazanin" w:hAnsi="IRNazanin" w:eastAsia="IRNazanin"/>
          <w:color w:val="111111"/>
          <w:sz w:val="28"/>
          <w:sz w:val="28"/>
          <w:szCs w:val="28"/>
          <w:rtl w:val="true"/>
          <w:lang w:bidi="fa-IR"/>
        </w:rPr>
        <w:t>و قد کتب فی مقدّمة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الّفت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ترجمان القرآن، و هو التفسیر المسند عن رسول الله صلّی الله علیه و آله وأصحابه، وتمّ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مجلّدات، فکان ما أوردته فیه من الآثار بأسانید الکتب المخرّج منها، و إذا رأیت قصور أکثر الهمم عن تحصیله ورغبتهم فی الاقتصار علی متون الأحادیث، دون الإسناد وتطویله، فلخّصت منه هذا المختصر مقتصراً فیه علی متن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 فی التفسیر بالمأثور</w:t>
      </w:r>
      <w:r>
        <w:rPr>
          <w:rFonts w:eastAsia="IRNazanin" w:cs="IRNazanin"/>
          <w:color w:val="111111"/>
          <w:sz w:val="28"/>
          <w:szCs w:val="28"/>
          <w:rtl w:val="true"/>
          <w:lang w:bidi="fa-IR"/>
        </w:rPr>
        <w:t xml:space="preserve">. </w:t>
      </w:r>
      <w:r>
        <w:rPr>
          <w:rStyle w:val="FootnoteAnchor"/>
          <w:rtl w:val="true"/>
        </w:rPr>
        <w:footnoteReference w:id="964"/>
      </w:r>
    </w:p>
    <w:p>
      <w:pPr>
        <w:pStyle w:val="BookText"/>
        <w:rPr/>
      </w:pPr>
      <w:r>
        <w:rPr>
          <w:rFonts w:ascii="IRNazanin" w:hAnsi="IRNazanin" w:eastAsia="IRNazanin"/>
          <w:color w:val="111111"/>
          <w:sz w:val="28"/>
          <w:sz w:val="28"/>
          <w:szCs w:val="28"/>
          <w:rtl w:val="true"/>
          <w:lang w:bidi="fa-IR"/>
        </w:rPr>
        <w:t>شرع السیوطی فی هذا التفسیر من بدایة القرآن وإلی آخره وبالأسلوب الترتیبی من أوّل سورة الحمد حتّی آخر سورة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یقولون إنّ أسلوبه العملی هو ذکر الروایات فی ذیل کلّ آیة، ولم یتعرّض إلی التحقیق فیها، فلا نقد ولا ترجیح للروایات التی ینقلها، بل ولم یشر إلی صحّتها أو سقمها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یشاهد السبب بینها ببعض الروایات الإسرائیلیة و المجعولة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وللسیوطی فی علم التفسیر وعلوم القرآن عدّة کتب أخری مهمّة کذلک نشیر إلیها کما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الإتقان فی علوم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ترجمان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أسرار التأویل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الإکلیل فی استنباط التنزیل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تناسق الدرر فی تناسب الآیات و السور</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ویقول 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شرعتُ فی کتابة تفسیر جامع یستغنی فیه الإنسان عن مراجعة سائر التفاسیر، فهو شامل لنقل الأقوال والاستنباطات، والإشارات و النکات الأدبیة و البلاغیة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وسیحمل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البحرین ومطلع البدرین، وسیکون کتاب الإتقان مقدّمة لذلک الکتاب</w:t>
      </w:r>
      <w:r>
        <w:rPr>
          <w:rFonts w:eastAsia="IRNazanin" w:cs="IRNazanin"/>
          <w:color w:val="111111"/>
          <w:sz w:val="28"/>
          <w:szCs w:val="28"/>
          <w:rtl w:val="true"/>
          <w:lang w:bidi="fa-IR"/>
        </w:rPr>
        <w:t>.</w:t>
      </w:r>
      <w:bookmarkStart w:id="1003" w:name="pg5285_67584"/>
    </w:p>
    <w:p>
      <w:pPr>
        <w:pStyle w:val="Heading4"/>
        <w:numPr>
          <w:ilvl w:val="3"/>
          <w:numId w:val="1"/>
        </w:numPr>
        <w:rPr/>
      </w:pPr>
      <w:bookmarkStart w:id="1004" w:name="__RefHeading___Toc634577_581953129"/>
      <w:bookmarkStart w:id="1005" w:name="_Toc384"/>
      <w:bookmarkEnd w:id="1003"/>
      <w:bookmarkEnd w:id="1004"/>
      <w:r>
        <w:rPr/>
        <w:t>2</w:t>
      </w:r>
      <w:r>
        <w:rPr>
          <w:rtl w:val="true"/>
        </w:rPr>
        <w:t xml:space="preserve">. </w:t>
      </w:r>
      <w:r>
        <w:rPr>
          <w:rtl w:val="true"/>
        </w:rPr>
        <w:t>روح البیان</w:t>
      </w:r>
      <w:bookmarkEnd w:id="1005"/>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إسماعیل حقّی البروسوی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عرفانی وأدبی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البروسوی من سکّان ترکیا، وفی الفقه حنفی المذهب، وفی العقیدة أشعری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وتفسیره حاوٍ علی نکات عرفانیة لطیفة، وإشارات دقیقة للأشخاص الذین یهوون البحوث العرفانیة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حرص المؤلِّف علی إبداء التطابق العرفانی مع ظواهر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منهج المفسّر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الاتّجاه العرفانی و الأدبی؛ و أمّا أسلوبه العملی، فهو بدلّ علی محاولة المؤلّف من أجل بین التوفیق أسلوب السلف ومنهجهم، وتحقیقاً لهذه الرغبة فهو یهتمّ بذکر أسباب النزول و القراءات، واللغة و الروایات التفسیریة، وکذا ینقل أحوال الصحابة و التابعین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کون أنّ التفسیر ألّف بالعربیة إلاّ أنّه یستشهد بالشعر الفارسی و الترکی ضمن السطور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بشکل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الشعر الفارسی کثیراً ما یستفید من شعر حافظ الشیرازی و المولوی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البحوث العرفانیة یعتمد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لطائف الإشارات للقُشیری وتفسیر سهل ابن عبد الله التستری، ومن المواهب العلیة لملاّ فتح الله الکاشانی و مؤلّفات ملاّ عبد الرزّاق الکاشانی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البحوث الأخلاقیة تأثّر بالغزالی؛ و أمّا فی المتون التفسیریة، فهو یستفید کثیراً من التفسیر الکبیر للفخر الرازی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لخّص هذا التفسیر الشیخ محمّد علی الصابونی فی ثلاثة مجلّدات تحت عنوان تنویر الأذهان من تفسیر روح البیان</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وللمؤلّف مضافاً إلی هذا التفسیر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القرآن، کذلک ضمن مؤلّفاته</w:t>
      </w:r>
      <w:r>
        <w:rPr>
          <w:rFonts w:eastAsia="IRNazanin" w:cs="IRNazanin"/>
          <w:color w:val="111111"/>
          <w:sz w:val="28"/>
          <w:szCs w:val="28"/>
          <w:rtl w:val="true"/>
          <w:lang w:bidi="fa-IR"/>
        </w:rPr>
        <w:t>.</w:t>
      </w:r>
      <w:bookmarkStart w:id="1006" w:name="pg5285_67585"/>
    </w:p>
    <w:p>
      <w:pPr>
        <w:pStyle w:val="Heading3"/>
        <w:numPr>
          <w:ilvl w:val="2"/>
          <w:numId w:val="1"/>
        </w:numPr>
        <w:rPr/>
      </w:pPr>
      <w:bookmarkStart w:id="1007" w:name="__RefHeading___Toc634579_581953129"/>
      <w:bookmarkStart w:id="1008" w:name="_Toc385"/>
      <w:bookmarkEnd w:id="1006"/>
      <w:bookmarkEnd w:id="1007"/>
      <w:r>
        <w:rPr>
          <w:rtl w:val="true"/>
        </w:rPr>
        <w:t>الخاتِمة</w:t>
      </w:r>
      <w:bookmarkEnd w:id="1008"/>
    </w:p>
    <w:p>
      <w:pPr>
        <w:pStyle w:val="BookText"/>
        <w:rPr/>
      </w:pPr>
      <w:r>
        <w:rPr>
          <w:rFonts w:ascii="IRNazanin" w:hAnsi="IRNazanin" w:eastAsia="IRNazanin"/>
          <w:color w:val="111111"/>
          <w:sz w:val="28"/>
          <w:sz w:val="28"/>
          <w:szCs w:val="28"/>
          <w:rtl w:val="true"/>
          <w:lang w:bidi="fa-IR"/>
        </w:rPr>
        <w:t>فی الختام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تعرّفنا علی التفاسیر المختلفة و المتنوعة التی مرّت بیانها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نلخّص ما توصّلنا إلیه فی نتائج،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المنهج الروائی هو أوسع انتشاراً من سائر المناهج التفسیریة الأخری فی القرن الثلاثة العاشر و الحادی عشر و الثانی عشر، و یأتی بعدها التفاسیر فی الاتّجاه الفلسفی،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ملاّ صدرا، و ثمّ الاتّجاه الأدبی و البیانی،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الدرّ المصون فی تفسیر الکتاب المکنون، لمحمّد بن أحمد دیبی المصری المرشدی</w:t>
      </w:r>
      <w:r>
        <w:rPr>
          <w:rFonts w:eastAsia="IRNazanin" w:cs="IRNazanin"/>
          <w:color w:val="111111"/>
          <w:sz w:val="28"/>
          <w:szCs w:val="28"/>
          <w:rtl w:val="true"/>
          <w:lang w:bidi="fa-IR"/>
        </w:rPr>
        <w:t>(</w:t>
      </w:r>
      <w:r>
        <w:rPr>
          <w:rFonts w:eastAsia="IRNazanin" w:cs="IRNazanin"/>
          <w:color w:val="111111"/>
          <w:sz w:val="28"/>
          <w:szCs w:val="28"/>
          <w:lang w:bidi="fa-IR"/>
        </w:rPr>
        <w:t>1025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965"/>
      </w:r>
      <w:r>
        <w:rPr>
          <w:rFonts w:ascii="IRNazanin" w:hAnsi="IRNazanin" w:eastAsia="IRNazanin"/>
          <w:color w:val="111111"/>
          <w:sz w:val="28"/>
          <w:sz w:val="28"/>
          <w:szCs w:val="28"/>
          <w:rtl w:val="true"/>
          <w:lang w:bidi="fa-IR"/>
        </w:rPr>
        <w:t>وتفسیر الدر المصون یقفوا أثر تفسیر الکشّاف، وفی بعض المواضع بتعرّض لنقد آراء الزمخشری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أخذ بعض النکات الأدبیة من التفسیر الجامع لأحکام القرآن للقرطبی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یمکن أنّ نذکر أن فی هذه القرون الثلاثة ظهر تألیف تفاسیر آیات الأحکام، و نشرت تفاسیر متعدّدة ومن 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زبدة البیان فی أحکام القرآن للمقدّس الأردبیلی</w:t>
      </w:r>
      <w:r>
        <w:rPr>
          <w:rFonts w:eastAsia="IRNazanin" w:cs="IRNazanin"/>
          <w:color w:val="111111"/>
          <w:sz w:val="28"/>
          <w:szCs w:val="28"/>
          <w:rtl w:val="true"/>
          <w:lang w:bidi="fa-IR"/>
        </w:rPr>
        <w:t>(</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جملة التفاسیر الفقهیة فی هذه القرون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القرآن لعبد الرحمن بن أبی بکر</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آیات الأحکام لمحمّد الهشفتیکی المشهدی</w:t>
      </w:r>
      <w:r>
        <w:rPr>
          <w:rFonts w:eastAsia="IRNazanin" w:cs="IRNazanin"/>
          <w:color w:val="111111"/>
          <w:sz w:val="28"/>
          <w:szCs w:val="28"/>
          <w:rtl w:val="true"/>
          <w:lang w:bidi="fa-IR"/>
        </w:rPr>
        <w:t>(</w:t>
      </w:r>
      <w:r>
        <w:rPr>
          <w:rFonts w:eastAsia="IRNazanin" w:cs="IRNazanin"/>
          <w:color w:val="111111"/>
          <w:sz w:val="28"/>
          <w:szCs w:val="28"/>
          <w:lang w:bidi="fa-IR"/>
        </w:rPr>
        <w:t>907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آیات الأحکام لمحمّد الیمنی الزیدی</w:t>
      </w:r>
      <w:r>
        <w:rPr>
          <w:rFonts w:eastAsia="IRNazanin" w:cs="IRNazanin"/>
          <w:color w:val="111111"/>
          <w:sz w:val="28"/>
          <w:szCs w:val="28"/>
          <w:rtl w:val="true"/>
          <w:lang w:bidi="fa-IR"/>
        </w:rPr>
        <w:t>(</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وآیات الأحکام لمحمّد الأستر أبادی</w:t>
      </w:r>
      <w:r>
        <w:rPr>
          <w:rFonts w:eastAsia="IRNazanin" w:cs="IRNazanin"/>
          <w:color w:val="111111"/>
          <w:sz w:val="28"/>
          <w:szCs w:val="28"/>
          <w:rtl w:val="true"/>
          <w:lang w:bidi="fa-IR"/>
        </w:rPr>
        <w:t>(</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أنوار القرآن لمحمّد الأقحصاری</w:t>
      </w:r>
      <w:r>
        <w:rPr>
          <w:rFonts w:eastAsia="IRNazanin" w:cs="IRNazanin"/>
          <w:color w:val="111111"/>
          <w:sz w:val="28"/>
          <w:szCs w:val="28"/>
          <w:rtl w:val="true"/>
          <w:lang w:bidi="fa-IR"/>
        </w:rPr>
        <w:t>(</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تفسیر آیات الأحکام لمحمّد حسین المرعشی</w:t>
      </w:r>
      <w:r>
        <w:rPr>
          <w:rFonts w:eastAsia="IRNazanin" w:cs="IRNazanin"/>
          <w:color w:val="111111"/>
          <w:sz w:val="28"/>
          <w:szCs w:val="28"/>
          <w:rtl w:val="true"/>
          <w:lang w:bidi="fa-IR"/>
        </w:rPr>
        <w:t>(</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القرن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القرآن لإسماعیل حقّی</w:t>
      </w:r>
      <w:r>
        <w:rPr>
          <w:rFonts w:eastAsia="IRNazanin" w:cs="IRNazanin"/>
          <w:color w:val="111111"/>
          <w:sz w:val="28"/>
          <w:szCs w:val="28"/>
          <w:rtl w:val="true"/>
          <w:lang w:bidi="fa-IR"/>
        </w:rPr>
        <w:t>(</w:t>
      </w:r>
      <w:r>
        <w:rPr>
          <w:rFonts w:eastAsia="IRNazanin" w:cs="IRNazanin"/>
          <w:color w:val="111111"/>
          <w:sz w:val="28"/>
          <w:szCs w:val="28"/>
          <w:lang w:bidi="fa-IR"/>
        </w:rPr>
        <w:t>1137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Heading3"/>
        <w:numPr>
          <w:ilvl w:val="2"/>
          <w:numId w:val="1"/>
        </w:numPr>
        <w:rPr/>
      </w:pPr>
      <w:bookmarkStart w:id="1009" w:name="__RefHeading___Toc634581_581953129"/>
      <w:bookmarkStart w:id="1010" w:name="_Toc386"/>
      <w:bookmarkEnd w:id="1009"/>
      <w:r>
        <w:rPr>
          <w:rtl w:val="true"/>
        </w:rPr>
        <w:t>المحصّلة</w:t>
      </w:r>
      <w:bookmarkEnd w:id="10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النکات المشترکة فی القرن العاشر و الحادی عشر و الثانی عشر هی تفشی</w:t>
      </w:r>
    </w:p>
    <w:p>
      <w:pPr>
        <w:pStyle w:val="BookText"/>
        <w:rPr/>
      </w:pPr>
      <w:r>
        <w:rPr>
          <w:rFonts w:ascii="IRNazanin" w:hAnsi="IRNazanin" w:eastAsia="IRNazanin"/>
          <w:color w:val="111111"/>
          <w:sz w:val="28"/>
          <w:sz w:val="28"/>
          <w:szCs w:val="28"/>
          <w:rtl w:val="true"/>
          <w:lang w:bidi="fa-IR"/>
        </w:rPr>
        <w:t>المیل الأخباری وإعادة الحیاة إلی التفاسیر الروائیة، ومن جملتها التفاسیر الآتیة،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البرهان، و نور الثقلین و الدرّ المنثور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ویعتبر الملاّ محمّد أمین الأسترأبادی بین الشیعة من کتب فی الاتّجاه الإخباری المتطرّف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شهدت القرون توسّع کتابة التفاسیر الفقهیة وآیات الأحکام بشکل ملفت للنظر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توسّع بین أهل السنّة ظاهرة کتابة الحواشی و التعلیقات علی التفاسیر، وبالخصوص علی تفسیر البیضاوی و الکشّاف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ومضافاً إلی ذلک فإنّ الاتّجاه الفلسفی و العرفانی برز بشکل نادر فی تفسیر الملاّ صدرا فی ذلک العصر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التفاسیر الروائیة عند الشیعة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منهج الصادقین لملاّ فتح الله الکاشانی</w:t>
      </w:r>
      <w:r>
        <w:rPr>
          <w:rFonts w:eastAsia="IRNazanin" w:cs="IRNazanin"/>
          <w:color w:val="111111"/>
          <w:sz w:val="28"/>
          <w:szCs w:val="28"/>
          <w:rtl w:val="true"/>
          <w:lang w:bidi="fa-IR"/>
        </w:rPr>
        <w:t>(</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 ألّفه باللغة الفارسیة فی عشرة مجلّدات، وفی المنهج الروائی والاتّجاه الأدبی و العرفانی و الکلامی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استفاد من تفسیر البیضاوی و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النکات الأدبیة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تفسیر مجمع البیان و أبی الفتوح الخزاعی الرازی فی البحوث الکلامیة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التفاسیر الروائیة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الصافی لملاّ محسن الفیض الکاشانی، ألّفه باللغة العربیة ومارس فیه تحلیل الروایات ونقدها، وأحیاناً یستخدم الأسلوب العرفانی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استفاد فی متن تفسیره من تفسیر البیضاوی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من التفاسیر الروائیة تفسیر البرهان للسید هاشم البحرانی، و هو روائی محض، لا یشتمل علی أی نقد وتحلیل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علی الشکل الترتیبی، وکلّما عثر علی روایة وضعها فی ذیل الآیة المناسبة</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والتفسیر الآخر الذی یشابه تفسیر البرهان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الثقلین لعبد علی بن جمعة الحویزی، فهو کذلک الروائی اعتمد المنهج المحض إلاّ أنّه فی اختیار المصادر أکثر اعتباراً من تفسیر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والتفسیر الروائی الآخر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الدقائق لمحمّد بن محمّد</w:t>
      </w:r>
      <w:bookmarkStart w:id="1011" w:name="pg5285_67587"/>
    </w:p>
    <w:p>
      <w:pPr>
        <w:pStyle w:val="BookText"/>
        <w:rPr/>
      </w:pPr>
      <w:bookmarkEnd w:id="1011"/>
      <w:r>
        <w:rPr>
          <w:rFonts w:ascii="IRNazanin" w:hAnsi="IRNazanin" w:eastAsia="IRNazanin"/>
          <w:color w:val="111111"/>
          <w:sz w:val="28"/>
          <w:sz w:val="28"/>
          <w:szCs w:val="28"/>
          <w:rtl w:val="true"/>
          <w:lang w:bidi="fa-IR"/>
        </w:rPr>
        <w:t>رضا القمّی، و قد مارس مع نقل الروایات مقداراً من التوضیح ونقل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بهذا النمط یشابه تفسیر الصافی لأستاذه الفیض الکاشانی، مع استفادته من متن تفسیر البیضاوی کغیره من الذین أشرنا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التفاسیر الروائیة الأخری فی القرن العاشر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 للسیوطی، و هو من أهل السنّة ومنهجه التفسیری کذلک یعتمد علی التفسیر الروائی المحض، ویکتفی فی نقل روایات الصحابة و التابعین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القرن الحادی عشر کتب الملاّ صدرا تفسیر القرآن الکریم بالاتّجاه الفلسفی، وهکذا کتب محمّد بن أحمد دیبی تفسیر الدرّ المصون فی تفسیر الکتاب المکنون بالاتّجاه الأدبی و البیانی الکامل مقتفیاً أثر الکشّاف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القرن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 فی القرون التی تلته؛ ولکون وجود أرضیة مساعدة لنمو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 المفسّرون إلی تدوین تفاسیر آیات الأحکام، والتی من 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زبدة البیان فی أحکام القرآن للمقدّس الأردبیلی</w:t>
      </w:r>
      <w:r>
        <w:rPr>
          <w:rFonts w:eastAsia="IRNazanin" w:cs="IRNazanin"/>
          <w:color w:val="111111"/>
          <w:sz w:val="28"/>
          <w:szCs w:val="28"/>
          <w:rtl w:val="true"/>
          <w:lang w:bidi="fa-IR"/>
        </w:rPr>
        <w:t>(</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وکذلک آیات الأحکام لمحمّد الأستر أبادی، وتفسیر آیات الأحکام لمحمّد حسین المرعشی، وأحکام القرآن لإسماعیل حقّی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جملة نشاطات أهل السنّة فی هذه الثلاثة 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کتابة الحواشی علی التفاسیر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البیضاوی و تفسیر الکشّاف للزمخشری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خصوصیة هذین التفسیرین هو لکونهما ملخّصین فصارا موضع اهتمام المفسّرین، و إن أهمّ هذه الحواشی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شهاب الدین الخفاجی، و حاشیة ابن العلایی، و حاشیة نعمة الله النخجوانی و الأنصاری الکنجوی</w:t>
      </w:r>
      <w:r>
        <w:rPr>
          <w:rFonts w:eastAsia="IRNazanin" w:cs="IRNazanin"/>
          <w:color w:val="111111"/>
          <w:sz w:val="28"/>
          <w:szCs w:val="28"/>
          <w:rtl w:val="true"/>
          <w:lang w:bidi="fa-IR"/>
        </w:rPr>
        <w:t>.</w:t>
      </w:r>
    </w:p>
    <w:p>
      <w:pPr>
        <w:pStyle w:val="Heading3"/>
        <w:numPr>
          <w:ilvl w:val="2"/>
          <w:numId w:val="1"/>
        </w:numPr>
        <w:rPr/>
      </w:pPr>
      <w:bookmarkStart w:id="1012" w:name="__RefHeading___Toc634583_581953129"/>
      <w:bookmarkStart w:id="1013" w:name="_Toc387"/>
      <w:bookmarkEnd w:id="1012"/>
      <w:r>
        <w:rPr>
          <w:rtl w:val="true"/>
        </w:rPr>
        <w:t>الأسئلة</w:t>
      </w:r>
      <w:bookmarkEnd w:id="10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اذکر الخصائص المشترکة فی القرون الثلاثة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ووضح ذلک جیداً</w:t>
      </w:r>
      <w:r>
        <w:rPr>
          <w:rFonts w:eastAsia="IRNazanin" w:cs="IRNazanin"/>
          <w:color w:val="111111"/>
          <w:sz w:val="28"/>
          <w:szCs w:val="28"/>
          <w:rtl w:val="true"/>
          <w:lang w:bidi="fa-IR"/>
        </w:rPr>
        <w:t>.</w:t>
      </w:r>
      <w:bookmarkStart w:id="1014" w:name="pg5285_67588"/>
    </w:p>
    <w:p>
      <w:pPr>
        <w:pStyle w:val="BookText"/>
        <w:rPr/>
      </w:pPr>
      <w:bookmarkEnd w:id="101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عدّد أسماء أهمّ التفاسیر الروائیة عند الشیعة، مع ذکر أسماء مؤلّفیها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 تفسیری الصافی و کنز الدقائق، وشخّص ما یمتازان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 تفسیری البرهان و نور الثقلین وقارن بینهما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أعطنا توضیحاً جیداً عن تفسیر الدرّ المنثور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هی الرغبات والاتّجاهات التفسیریة المعتمدة فی هذه القرون الثلاثة، قُمْ بذکر نماذج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أسماء بعض تفاسیر آیات الأحکام فی هذه القرون الثلاثة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حدد الاتّجاهات التفسیریة المعتمدة عند أهل السنّة فی هذه القرون الثلاثة، ووضّح ذلک بذکر نماذج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للتحقیق و البحث فی الموضوع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اکتب تحقیقاً حول مقدّمة تفسیر الصافی وبین رؤی الفیض الکاشانی فی بحوث علوم القرآن،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الإعجاز، و التحریف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وابحث عن بعض بیاناته العرفانیة</w:t>
      </w:r>
      <w:r>
        <w:rPr>
          <w:rFonts w:eastAsia="IRNazanin" w:cs="IRNazanin"/>
          <w:color w:val="111111"/>
          <w:sz w:val="28"/>
          <w:szCs w:val="28"/>
          <w:rtl w:val="true"/>
          <w:lang w:bidi="fa-IR"/>
        </w:rPr>
        <w:t>.</w:t>
      </w:r>
    </w:p>
    <w:p>
      <w:pPr>
        <w:pStyle w:val="Heading3"/>
        <w:numPr>
          <w:ilvl w:val="2"/>
          <w:numId w:val="1"/>
        </w:numPr>
        <w:rPr/>
      </w:pPr>
      <w:bookmarkStart w:id="1015" w:name="__RefHeading___Toc634585_581953129"/>
      <w:bookmarkStart w:id="1016" w:name="_Toc388"/>
      <w:bookmarkEnd w:id="1015"/>
      <w:r>
        <w:rPr>
          <w:rtl w:val="true"/>
        </w:rPr>
        <w:t>المصادر</w:t>
      </w:r>
      <w:bookmarkEnd w:id="10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الصافی المقدّمة، ملاّ محسن الفیض الکاشانی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و المفسّرون فی ثوبه القشیب، آیة الله 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التفسیر و المفسّرون للذهبی، المجلّد الثانی، هذا ویلزمک بیان أخطاء الذهبی فی ذلک</w:t>
      </w:r>
      <w:r>
        <w:rPr>
          <w:rFonts w:eastAsia="IRNazanin" w:cs="IRNazanin"/>
          <w:color w:val="111111"/>
          <w:sz w:val="28"/>
          <w:szCs w:val="28"/>
          <w:rtl w:val="true"/>
          <w:lang w:bidi="fa-IR"/>
        </w:rPr>
        <w:t>.</w:t>
      </w:r>
      <w:bookmarkStart w:id="1017" w:name="pg5285_67589"/>
    </w:p>
    <w:p>
      <w:pPr>
        <w:pStyle w:val="Heading2"/>
        <w:numPr>
          <w:ilvl w:val="1"/>
          <w:numId w:val="1"/>
        </w:numPr>
        <w:rPr/>
      </w:pPr>
      <w:bookmarkStart w:id="1018" w:name="__RefHeading___Toc634587_581953129"/>
      <w:bookmarkStart w:id="1019" w:name="_Toc389"/>
      <w:bookmarkEnd w:id="1017"/>
      <w:bookmarkEnd w:id="1018"/>
      <w:r>
        <w:rPr/>
        <w:t>13</w:t>
      </w:r>
      <w:r>
        <w:rPr>
          <w:rtl w:val="true"/>
        </w:rPr>
        <w:t xml:space="preserve">- </w:t>
      </w:r>
      <w:r>
        <w:rPr>
          <w:rtl w:val="true"/>
        </w:rPr>
        <w:t>تفاسیر القرن الثالث عشر و الرابع عشر</w:t>
      </w:r>
      <w:bookmarkEnd w:id="1019"/>
    </w:p>
    <w:p>
      <w:pPr>
        <w:pStyle w:val="Heading3"/>
        <w:numPr>
          <w:ilvl w:val="2"/>
          <w:numId w:val="1"/>
        </w:numPr>
        <w:rPr/>
      </w:pPr>
      <w:bookmarkStart w:id="1020" w:name="__RefHeading___Toc634589_581953129"/>
      <w:bookmarkStart w:id="1021" w:name="_Toc390"/>
      <w:bookmarkEnd w:id="1020"/>
      <w:r>
        <w:rPr>
          <w:rtl w:val="true"/>
        </w:rPr>
        <w:t>اشارة</w:t>
      </w:r>
      <w:bookmarkEnd w:id="1021"/>
    </w:p>
    <w:p>
      <w:pPr>
        <w:pStyle w:val="BookText"/>
        <w:rPr/>
      </w:pPr>
      <w:r>
        <w:rPr>
          <w:rFonts w:ascii="IRNazanin" w:hAnsi="IRNazanin" w:eastAsia="IRNazanin"/>
          <w:color w:val="111111"/>
          <w:sz w:val="28"/>
          <w:sz w:val="28"/>
          <w:szCs w:val="28"/>
          <w:rtl w:val="true"/>
          <w:lang w:bidi="fa-IR"/>
        </w:rPr>
        <w:t>الموضوعات</w:t>
      </w:r>
    </w:p>
    <w:p>
      <w:pPr>
        <w:pStyle w:val="BookText"/>
        <w:rPr/>
      </w:pPr>
      <w:r>
        <w:rPr>
          <w:rFonts w:ascii="IRNazanin" w:hAnsi="IRNazanin" w:eastAsia="IRNazanin"/>
          <w:color w:val="111111"/>
          <w:sz w:val="28"/>
          <w:sz w:val="28"/>
          <w:szCs w:val="28"/>
          <w:rtl w:val="true"/>
          <w:lang w:bidi="fa-IR"/>
        </w:rPr>
        <w:t xml:space="preserve">القسم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تفاسیر القرن الثالث عشر و الرابع عشر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التعرّف علی تفاسیر القرن ال</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التعریف لبعض التفاسیر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شَبّر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القدیر للشوکانی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الأهداف</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التعرّف علی تفاسیر القرن الثالث عشر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علّة رکود التفاسیر فی القرن الثالث عشر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تقریر عن تفاسیر الشیعة وأهل السنّة فی هذا القرن</w:t>
      </w:r>
      <w:r>
        <w:rPr>
          <w:rFonts w:eastAsia="IRNazanin" w:cs="IRNazanin"/>
          <w:color w:val="111111"/>
          <w:sz w:val="28"/>
          <w:szCs w:val="28"/>
          <w:rtl w:val="true"/>
          <w:lang w:bidi="fa-IR"/>
        </w:rPr>
        <w:t>.</w:t>
      </w:r>
      <w:bookmarkStart w:id="1022" w:name="pg5285_67590"/>
    </w:p>
    <w:p>
      <w:pPr>
        <w:pStyle w:val="Heading3"/>
        <w:numPr>
          <w:ilvl w:val="2"/>
          <w:numId w:val="1"/>
        </w:numPr>
        <w:rPr/>
      </w:pPr>
      <w:bookmarkStart w:id="1023" w:name="__RefHeading___Toc634591_581953129"/>
      <w:bookmarkStart w:id="1024" w:name="_Toc391"/>
      <w:bookmarkEnd w:id="1022"/>
      <w:bookmarkEnd w:id="1023"/>
      <w:r>
        <w:rPr>
          <w:rtl w:val="true"/>
        </w:rPr>
        <w:t xml:space="preserve">علّة رکود التفاسیر فی القرن </w:t>
      </w:r>
      <w:r>
        <w:rPr/>
        <w:t>13</w:t>
      </w:r>
      <w:r>
        <w:rPr>
          <w:rtl w:val="true"/>
        </w:rPr>
        <w:t>ه</w:t>
      </w:r>
      <w:bookmarkEnd w:id="1024"/>
    </w:p>
    <w:p>
      <w:pPr>
        <w:pStyle w:val="BookText"/>
        <w:rPr/>
      </w:pPr>
      <w:r>
        <w:rPr>
          <w:rFonts w:ascii="IRNazanin" w:hAnsi="IRNazanin" w:eastAsia="IRNazanin"/>
          <w:color w:val="111111"/>
          <w:sz w:val="28"/>
          <w:sz w:val="28"/>
          <w:szCs w:val="28"/>
          <w:rtl w:val="true"/>
          <w:lang w:bidi="fa-IR"/>
        </w:rPr>
        <w:t xml:space="preserve">تناولنا فی الدرس السابق البحث و التحقیق فی تفاسیر القرن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 و قد اتّضح لنا أنّ المنهج الروائی هو الوجه الأبرز علی هذه التفاسیر، ولم یبقَ للتحلیل إلاّ النزر القلیل، إلاّ أنّ هناک مشکل نواجهها فی القرن ال</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وهی تنحصر برکود التفاسیر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أهمّ العلل التی تقف وراء هذا الرکود هی انشغال العلماء فی المواجهة العلمیة بین النزعة الأخباریة والاجتهادیة فی الفقه و الفقاهة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تربیة الفقهاء الکبار،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الجواهر و الشیخ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ولأجل ذلک واجهة عملیة ممارسة علم التفسیر وتدوین الدورات التفسیریة الکاملة رکوداً</w:t>
      </w:r>
      <w:r>
        <w:rPr>
          <w:rFonts w:eastAsia="IRNazanin" w:cs="IRNazanin"/>
          <w:color w:val="111111"/>
          <w:sz w:val="28"/>
          <w:szCs w:val="28"/>
          <w:rtl w:val="true"/>
          <w:lang w:bidi="fa-IR"/>
        </w:rPr>
        <w:t>.</w:t>
      </w:r>
    </w:p>
    <w:p>
      <w:pPr>
        <w:pStyle w:val="Heading3"/>
        <w:numPr>
          <w:ilvl w:val="2"/>
          <w:numId w:val="1"/>
        </w:numPr>
        <w:rPr/>
      </w:pPr>
      <w:bookmarkStart w:id="1025" w:name="__RefHeading___Toc634593_581953129"/>
      <w:bookmarkStart w:id="1026" w:name="_Toc392"/>
      <w:bookmarkEnd w:id="1025"/>
      <w:r>
        <w:rPr>
          <w:rtl w:val="true"/>
        </w:rPr>
        <w:t xml:space="preserve">تقریر عن تفاسیر القرن </w:t>
      </w:r>
      <w:r>
        <w:rPr/>
        <w:t>13</w:t>
      </w:r>
      <w:r>
        <w:rPr>
          <w:rtl w:val="true"/>
        </w:rPr>
        <w:t>ق</w:t>
      </w:r>
      <w:bookmarkEnd w:id="1026"/>
    </w:p>
    <w:p>
      <w:pPr>
        <w:pStyle w:val="Heading4"/>
        <w:numPr>
          <w:ilvl w:val="3"/>
          <w:numId w:val="1"/>
        </w:numPr>
        <w:rPr/>
      </w:pPr>
      <w:bookmarkStart w:id="1027" w:name="__RefHeading___Toc634595_581953129"/>
      <w:bookmarkStart w:id="1028" w:name="_Toc393"/>
      <w:bookmarkEnd w:id="1027"/>
      <w:r>
        <w:rPr>
          <w:rtl w:val="true"/>
        </w:rPr>
        <w:t>اشارة</w:t>
      </w:r>
      <w:bookmarkEnd w:id="1028"/>
    </w:p>
    <w:p>
      <w:pPr>
        <w:pStyle w:val="BookText"/>
        <w:rPr/>
      </w:pPr>
      <w:r>
        <w:rPr>
          <w:rFonts w:ascii="IRNazanin" w:hAnsi="IRNazanin" w:eastAsia="IRNazanin"/>
          <w:color w:val="111111"/>
          <w:sz w:val="28"/>
          <w:sz w:val="28"/>
          <w:szCs w:val="28"/>
          <w:rtl w:val="true"/>
          <w:lang w:bidi="fa-IR"/>
        </w:rPr>
        <w:t>یلاحظ فی هذا القرن بالرغم ممّا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شهد کتابة تفاسیر مختلفة فی المناهج و الرغبات المتنوّعة للشیعة وأهل السنّة، و هذا تقریر إجمالی عنها یأتی علی النحو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بعض تفاسیر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الجوهر الثمین و الوجیز للسید عبد الله شُبّر، والدرّ النظیم فی تفسیر القرآن العظیم لمحمّد رضا بن محمّد أمین الهَمَدانی و المعروف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 علی شاه، وللاختصار یسمّونه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التفسیر ألّف فی مجلّدین باللغة الفارسیة بالاتّجاه العرفانی و الأسلوب الفلسفی، والصورة الموضوعیة فی مجالات العقیدة، والأحکام و القصص و المواعظ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التفسیر مقدّمة فی اثنی عشر فصلاً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 أهمیة القرآن وتفسیره</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وبحر العرفان ومعدن الإیمان تألیف الشیخ محمّد صالح البرغانی</w:t>
      </w:r>
      <w:r>
        <w:rPr>
          <w:rFonts w:eastAsia="IRNazanin" w:cs="IRNazanin"/>
          <w:color w:val="111111"/>
          <w:sz w:val="28"/>
          <w:szCs w:val="28"/>
          <w:rtl w:val="true"/>
          <w:lang w:bidi="fa-IR"/>
        </w:rPr>
        <w:t>(</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ولمؤلّف فی مجالات بحوث القرآن وموضوعاته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الخصوص فی عالم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مؤلّفات عدّة منها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أسرار القرآن فی مجلّدین؛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الأنوار ومشکاة الأسرار فی مجلّد واحد؛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الجنان فی حلّ رموز القرآن فی ثمان مجلّدات،</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العرفان فی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بحر العرفان فی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طُبع مجلّده الأوّل فی النجف الأشرف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إنّ منهج المؤلّف هو المنهج الروائی المحض من غیر ممارسة عملیة الجرح و التعدیل، وإبداء 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والصراط المستقیم فی تفسیر القرآن الکریم، و هو الآخر من تفاسیر القرن الثالث عشر هو من تألیف سید حسین البروجردی</w:t>
      </w:r>
      <w:r>
        <w:rPr>
          <w:rFonts w:eastAsia="IRNazanin" w:cs="IRNazanin"/>
          <w:color w:val="111111"/>
          <w:sz w:val="28"/>
          <w:szCs w:val="28"/>
          <w:rtl w:val="true"/>
          <w:lang w:bidi="fa-IR"/>
        </w:rPr>
        <w:t>(</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ألّف فی ثلاثة مجلّدات وباللغة العربیة، والمجلّد الأوّل مقتصر علی المقدّمات التفسیریة التی تضمّ أربع عشرة مقدّمة، والمجلّد الثانی و هو لتفسیر سورة الفاتحة، والمجلّد الثالث لتفسیر سورة البقرة حتّی آیة الکرسی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التفسیر ناقص، والآن طُبع بواسطة مؤسسة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أنصاریان و معارف اسلامی فی مدینة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وللمؤلّف کذلک حاشیة علی تفسیر البیضاوی، والتفسیر المنظوم فی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و الذی یضمّ تفسیر آیة النور وسورة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وبین أهل السُنّة کذلک کتبت تفاسیر متعدّدة، ولعلّ أهمّها هو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المعانی للآلوسی البغدادی، و تفسیر المظهری للقاضی محمّد ثناء الله المظهری</w:t>
      </w:r>
      <w:r>
        <w:rPr>
          <w:rFonts w:eastAsia="IRNazanin" w:cs="IRNazanin"/>
          <w:color w:val="111111"/>
          <w:sz w:val="28"/>
          <w:szCs w:val="28"/>
          <w:rtl w:val="true"/>
          <w:lang w:bidi="fa-IR"/>
        </w:rPr>
        <w:t>(</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علماء الهند، حنفی المذهب وأشعری العقیدة، وصوفی المسلک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ألّف تفسیره بالاتّجاه الصوفی و المنحی العرفانی فی عشرة 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والتفسیر الآخر الذی کتب بالاتّجاه العرفانی هو الفتوحات الإلهیة، لمؤلّفه سلیمان بن عمر العجیلی</w:t>
      </w:r>
      <w:r>
        <w:rPr>
          <w:rFonts w:eastAsia="IRNazanin" w:cs="IRNazanin"/>
          <w:color w:val="111111"/>
          <w:sz w:val="28"/>
          <w:szCs w:val="28"/>
          <w:rtl w:val="true"/>
          <w:lang w:bidi="fa-IR"/>
        </w:rPr>
        <w:t>(</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الشافعی المذهب و الأشعری العقیدة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التفسیر هو شرح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الجلالین فی أربعة مجلّدات، و هو تفسیر مختصر شامل لتفسیر کلّ آیات القرآن الکریم</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هذا القسم سنحاول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وبشکل مختصر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التعرّف علی بعض تفاسیر الشیعة و أهل السنّة</w:t>
      </w:r>
      <w:r>
        <w:rPr>
          <w:rFonts w:eastAsia="IRNazanin" w:cs="IRNazanin"/>
          <w:color w:val="111111"/>
          <w:sz w:val="28"/>
          <w:szCs w:val="28"/>
          <w:rtl w:val="true"/>
          <w:lang w:bidi="fa-IR"/>
        </w:rPr>
        <w:t>.</w:t>
      </w:r>
      <w:bookmarkStart w:id="1029" w:name="pg5285_67592"/>
    </w:p>
    <w:p>
      <w:pPr>
        <w:pStyle w:val="Heading4"/>
        <w:numPr>
          <w:ilvl w:val="3"/>
          <w:numId w:val="1"/>
        </w:numPr>
        <w:rPr/>
      </w:pPr>
      <w:bookmarkStart w:id="1030" w:name="__RefHeading___Toc634597_581953129"/>
      <w:bookmarkStart w:id="1031" w:name="_Toc394"/>
      <w:bookmarkEnd w:id="1029"/>
      <w:bookmarkEnd w:id="1030"/>
      <w:r>
        <w:rPr/>
        <w:t>1</w:t>
      </w:r>
      <w:r>
        <w:rPr>
          <w:rtl w:val="true"/>
        </w:rPr>
        <w:t xml:space="preserve">. </w:t>
      </w:r>
      <w:r>
        <w:rPr>
          <w:rtl w:val="true"/>
        </w:rPr>
        <w:t>الجوهر الثمین فی تفسیر الکتاب المبین</w:t>
      </w:r>
      <w:bookmarkEnd w:id="1031"/>
    </w:p>
    <w:p>
      <w:pPr>
        <w:pStyle w:val="BookText"/>
        <w:rPr/>
      </w:pPr>
      <w:r>
        <w:rPr>
          <w:rFonts w:ascii="IRNazanin" w:hAnsi="IRNazanin" w:eastAsia="IRNazanin"/>
          <w:color w:val="111111"/>
          <w:sz w:val="28"/>
          <w:sz w:val="28"/>
          <w:szCs w:val="28"/>
          <w:rtl w:val="true"/>
          <w:lang w:bidi="fa-IR"/>
        </w:rPr>
        <w:t xml:space="preserve">الوجیز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والمعروف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الله شبّر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اجتهادی وروائی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واحد وتفسیر الجوهر الثمین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یعدّ المؤلّف من علماء الشیعة المعروفین، وصاحب مؤلّفات کثیرة فی مجال العلوم، و قد أحصوا له فیما یقرب من سبعین مؤلّفاً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اعتبر فی مجال التألیف مضاهیاً للعلاّمة المجلسی؛ ولأجل ذلک لُقّب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من أهمّ مؤلّفاته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أعمال السنّة ومفاتیح الظلام </w:t>
      </w:r>
      <w:r>
        <w:rPr>
          <w:rStyle w:val="FootnoteAnchor"/>
          <w:rtl w:val="true"/>
        </w:rPr>
        <w:footnoteReference w:id="966"/>
      </w:r>
      <w:r>
        <w:rPr>
          <w:rFonts w:ascii="Amiri" w:hAnsi="Amiri" w:eastAsia="Amiri" w:cs="Amiri"/>
          <w:color w:val="111111"/>
          <w:sz w:val="28"/>
          <w:sz w:val="28"/>
          <w:szCs w:val="28"/>
          <w:rtl w:val="true"/>
          <w:lang w:bidi="ar-SA"/>
        </w:rPr>
        <w:t>و أخلاق شبّر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جملة مؤلّفاته ثلاثة تفاسیر فی أحجام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مختصر، ومتوسط، وموسّع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والتفسیر الوجیز أو تفسیر القرآن الکریم و المعروف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شُبّر هو مختصر جدّاً، وغنی المحتوی یقع فی مجلّد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مقتبس من التفسیر الوجیز لأبّی جامع العاملی من علماء القرن الثانی عشر، والذی ألّف فی ثلاثة 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کتب أستاذ کرسی الأدب فی القاهرة، الدکتور حامد حفنی حول تفسیر شبّر ومؤلّفه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یستنبط من هذا التفسیر أن فیه سعة اطلاع، وعلم ودقّة، و أنّ مؤلّفه له درایة وسیطرة فی فن التفسیر</w:t>
      </w:r>
      <w:r>
        <w:rPr>
          <w:rFonts w:eastAsia="IRNazanin" w:cs="IRNazanin"/>
          <w:color w:val="111111"/>
          <w:sz w:val="28"/>
          <w:szCs w:val="28"/>
          <w:rtl w:val="true"/>
          <w:lang w:bidi="fa-IR"/>
        </w:rPr>
        <w:t xml:space="preserve">. </w:t>
      </w:r>
      <w:r>
        <w:rPr>
          <w:rStyle w:val="FootnoteAnchor"/>
          <w:rtl w:val="true"/>
        </w:rPr>
        <w:footnoteReference w:id="967"/>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واشتهر هذا التفسیر بین سائر کتبه، وکذلک التفسیرین الآخرین واستفید منه أکثر من غیره</w:t>
      </w:r>
      <w:r>
        <w:rPr>
          <w:rFonts w:eastAsia="IRNazanin" w:cs="IRNazanin"/>
          <w:color w:val="111111"/>
          <w:sz w:val="28"/>
          <w:szCs w:val="28"/>
          <w:rtl w:val="true"/>
          <w:lang w:bidi="fa-IR"/>
        </w:rPr>
        <w:t>.</w:t>
      </w:r>
      <w:bookmarkStart w:id="1032" w:name="pg5285_67593"/>
    </w:p>
    <w:p>
      <w:pPr>
        <w:pStyle w:val="BookText"/>
        <w:rPr/>
      </w:pPr>
      <w:bookmarkEnd w:id="1032"/>
      <w:r>
        <w:rPr>
          <w:rFonts w:ascii="IRNazanin" w:hAnsi="IRNazanin" w:eastAsia="IRNazanin"/>
          <w:color w:val="111111"/>
          <w:sz w:val="28"/>
          <w:sz w:val="28"/>
          <w:szCs w:val="28"/>
          <w:rtl w:val="true"/>
          <w:lang w:bidi="fa-IR"/>
        </w:rPr>
        <w:t>الجوهر الثمین فی تفسیر الکتاب المبین، و هذا هو اسم التفسیر الآخر الذی ألفه السید عبد الله شبّر، والذی وُصّف بالتفسیر المتوسط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ویتکوّن من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 و قد تمّ 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هذان التفسیران کُتبا وفق المنهج الاجتهادی مع أنّ الکثیر من الموضوعات اقتفی بها أثر الروایات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وضمن بیان آراء المفسّرین وأقوال الصحابة و التابعین اهتمّ کثیراً بروایات أهل‌البیت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والمؤلِّف له تفسیر ثالث، و هو التفسیر الکبیر، و قد سمّاه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صفوة التفاسیر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وللأسف لم یأخذ طریقه إلی الطبع حتّی الآن، إلاّ أنّ نسخه الخطیة موجودة فی مکتبة مجلس الشوری الإسلامی، ومکتبة آیة الله المرعشی النجفی فی مدینة قم</w:t>
      </w:r>
      <w:r>
        <w:rPr>
          <w:rFonts w:eastAsia="IRNazanin" w:cs="IRNazanin"/>
          <w:color w:val="111111"/>
          <w:sz w:val="28"/>
          <w:szCs w:val="28"/>
          <w:rtl w:val="true"/>
          <w:lang w:bidi="fa-IR"/>
        </w:rPr>
        <w:t xml:space="preserve">. </w:t>
      </w:r>
      <w:r>
        <w:rPr>
          <w:rStyle w:val="FootnoteAnchor"/>
          <w:rtl w:val="true"/>
        </w:rPr>
        <w:footnoteReference w:id="968"/>
      </w:r>
    </w:p>
    <w:p>
      <w:pPr>
        <w:pStyle w:val="Heading4"/>
        <w:numPr>
          <w:ilvl w:val="3"/>
          <w:numId w:val="1"/>
        </w:numPr>
        <w:rPr/>
      </w:pPr>
      <w:bookmarkStart w:id="1033" w:name="__RefHeading___Toc634599_581953129"/>
      <w:bookmarkStart w:id="1034" w:name="_Toc395"/>
      <w:bookmarkEnd w:id="1033"/>
      <w:r>
        <w:rPr/>
        <w:t>2</w:t>
      </w:r>
      <w:r>
        <w:rPr>
          <w:rtl w:val="true"/>
        </w:rPr>
        <w:t xml:space="preserve">. </w:t>
      </w:r>
      <w:r>
        <w:rPr>
          <w:rtl w:val="true"/>
        </w:rPr>
        <w:t xml:space="preserve">فتح القدیر </w:t>
      </w:r>
      <w:r>
        <w:rPr>
          <w:rtl w:val="true"/>
        </w:rPr>
        <w:t>(</w:t>
      </w:r>
      <w:r>
        <w:rPr>
          <w:rtl w:val="true"/>
        </w:rPr>
        <w:t>للشوکانی</w:t>
      </w:r>
      <w:r>
        <w:rPr>
          <w:rtl w:val="true"/>
        </w:rPr>
        <w:t>)</w:t>
      </w:r>
      <w:bookmarkEnd w:id="1034"/>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عبد الله الشوکانی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الشوکانی شیعیّ زیدی المذهب، ومن العلماء المشهورین و روّاد الزیدیة فی صنعاء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مع کونه زیدیاً إلاّ أنّه متمکّن بشکل کبیر علی فتاوی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تأثر فی بعض نتائجه التفسیریة بتفاسیر أهل السنّة،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القرطبی و المحرّر الوجیز لابن عطیة</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والمؤلّف فی أکثر موضوعاته نقل فی فقرات الکتاب عن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البیان</w:t>
      </w:r>
      <w:bookmarkStart w:id="1035" w:name="pg5285_67594"/>
    </w:p>
    <w:p>
      <w:pPr>
        <w:pStyle w:val="BookText"/>
        <w:rPr/>
      </w:pPr>
      <w:bookmarkEnd w:id="1035"/>
      <w:r>
        <w:rPr>
          <w:rFonts w:ascii="IRNazanin" w:hAnsi="IRNazanin" w:eastAsia="IRNazanin"/>
          <w:color w:val="111111"/>
          <w:sz w:val="28"/>
          <w:sz w:val="28"/>
          <w:szCs w:val="28"/>
          <w:rtl w:val="true"/>
          <w:lang w:bidi="fa-IR"/>
        </w:rPr>
        <w:t>لمحمّد صدّیق خان؛ و أمّا منهجه فی هذا التفسیر فکما هو یقول</w:t>
      </w:r>
      <w:r>
        <w:rPr>
          <w:rFonts w:eastAsia="IRNazanin" w:cs="IRNazanin"/>
          <w:color w:val="111111"/>
          <w:sz w:val="28"/>
          <w:szCs w:val="28"/>
          <w:rtl w:val="true"/>
          <w:lang w:bidi="fa-IR"/>
        </w:rPr>
        <w:t xml:space="preserve">: </w:t>
      </w:r>
      <w:r>
        <w:rPr>
          <w:rStyle w:val="FootnoteAnchor"/>
          <w:rtl w:val="true"/>
        </w:rPr>
        <w:footnoteReference w:id="969"/>
      </w:r>
      <w:r>
        <w:rPr>
          <w:rFonts w:ascii="IRNazanin" w:hAnsi="IRNazanin" w:eastAsia="IRNazanin"/>
          <w:color w:val="111111"/>
          <w:sz w:val="28"/>
          <w:sz w:val="28"/>
          <w:szCs w:val="28"/>
          <w:rtl w:val="true"/>
          <w:lang w:bidi="fa-IR"/>
        </w:rPr>
        <w:t>اجتهادی وتحلیلی للروایات، وذلک لنقله الروایات وممارسة تحلیلها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المنهج العملی للمفسّر، فهو بعد بیان اسم وفضیلة السورة یتناول القراءة و المعنی اللغوی، وإعراب الآیة وذکر النکات البیانیة المتعلّقة بها، ثمّ یشرح فی البحث الروائی ویقوم بنقل الروایات مع مناقشتها وتحلیل متنها وسندها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وللمؤلّف فی بحوثه الروائیة و الفقهیة و الکلامیة منحی نحو آراء أهل السُنّة، ومن جملة ذلک،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قبوله مسألة رؤیة الله جلّ جلاله کما هو فی ذیل الآیة الخامسة و الخمسین من سورة البقرة</w:t>
      </w:r>
      <w:r>
        <w:rPr>
          <w:rFonts w:eastAsia="IRNazanin" w:cs="IRNazanin"/>
          <w:color w:val="111111"/>
          <w:sz w:val="28"/>
          <w:szCs w:val="28"/>
          <w:rtl w:val="true"/>
          <w:lang w:bidi="fa-IR"/>
        </w:rPr>
        <w:t xml:space="preserve">. </w:t>
      </w:r>
      <w:r>
        <w:rPr>
          <w:rStyle w:val="FootnoteAnchor"/>
          <w:rtl w:val="true"/>
        </w:rPr>
        <w:footnoteReference w:id="970"/>
      </w:r>
    </w:p>
    <w:p>
      <w:pPr>
        <w:pStyle w:val="BookText"/>
        <w:rPr/>
      </w:pPr>
      <w:r>
        <w:rPr>
          <w:rFonts w:ascii="IRNazanin" w:hAnsi="IRNazanin" w:eastAsia="IRNazanin"/>
          <w:color w:val="111111"/>
          <w:sz w:val="28"/>
          <w:sz w:val="28"/>
          <w:szCs w:val="28"/>
          <w:rtl w:val="true"/>
          <w:lang w:bidi="fa-IR"/>
        </w:rPr>
        <w:t>و قد کُتبت حول الشوکانی وتفسیره ثلاثة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الشوکانی مفسّراً لمحمّد الغماری، و الإمام الشوکانی وإیراده للقراءات فی‌التفسیر، و أحمد عبد الله المقرئ وفهارس فتح القدیر لأبی حفص‌بن عمران</w:t>
      </w:r>
      <w:r>
        <w:rPr>
          <w:rFonts w:eastAsia="IRNazanin" w:cs="IRNazanin"/>
          <w:color w:val="111111"/>
          <w:sz w:val="28"/>
          <w:szCs w:val="28"/>
          <w:rtl w:val="true"/>
          <w:lang w:bidi="fa-IR"/>
        </w:rPr>
        <w:t xml:space="preserve">. </w:t>
      </w:r>
      <w:r>
        <w:rPr>
          <w:rStyle w:val="FootnoteAnchor"/>
          <w:rtl w:val="true"/>
        </w:rPr>
        <w:footnoteReference w:id="971"/>
      </w:r>
    </w:p>
    <w:p>
      <w:pPr>
        <w:pStyle w:val="Heading4"/>
        <w:numPr>
          <w:ilvl w:val="3"/>
          <w:numId w:val="1"/>
        </w:numPr>
        <w:rPr/>
      </w:pPr>
      <w:bookmarkStart w:id="1036" w:name="__RefHeading___Toc634601_581953129"/>
      <w:bookmarkStart w:id="1037" w:name="_Toc396"/>
      <w:bookmarkEnd w:id="1036"/>
      <w:r>
        <w:rPr/>
        <w:t>3</w:t>
      </w:r>
      <w:r>
        <w:rPr>
          <w:rtl w:val="true"/>
        </w:rPr>
        <w:t xml:space="preserve">. </w:t>
      </w:r>
      <w:r>
        <w:rPr>
          <w:rtl w:val="true"/>
        </w:rPr>
        <w:t>روح المعانی</w:t>
      </w:r>
      <w:bookmarkEnd w:id="1037"/>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شهاب‌الدین، السید محمود الآلوسی البغدادی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والآلوسی البغدادی هو حنفی فی الفقه وأشعری فی العقیدة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کان هذا العالم</w:t>
      </w:r>
    </w:p>
    <w:p>
      <w:pPr>
        <w:pStyle w:val="BookText"/>
        <w:rPr/>
      </w:pPr>
      <w:r>
        <w:rPr>
          <w:rFonts w:ascii="IRNazanin" w:hAnsi="IRNazanin" w:eastAsia="IRNazanin"/>
          <w:color w:val="111111"/>
          <w:sz w:val="28"/>
          <w:sz w:val="28"/>
          <w:szCs w:val="28"/>
          <w:rtl w:val="true"/>
          <w:lang w:bidi="fa-IR"/>
        </w:rPr>
        <w:t xml:space="preserve">مفتی الأحناف فی سنة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وکتب هذا التفسیر وفق المنهج الاجتهادی، و قد قام فیه بطرح الکثیر من أقوال وآراء المفسّرین، و قد استفاد فی التفسیر من التفاسیر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المحرّر الوجیز لابن عطیة، و تفسیر أبی حیان الأندلسی، و الکشّاف للزمخشری و تفسیر البیضاوی، وتفسیر أبی السعود، و تفسیر ابن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وأکثر ما استفاد من التفسیر الکبیر للفخر الرازی</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کان الآلوسیّ متعصّباً فی قضایا الأصول و الفروع؛ إذ هو سلفی الاتّجاه، ولهذا السبب وجّه فی تفسیره التّهم لشیعة أهل‌البیت علیهم السّلام، </w:t>
      </w:r>
      <w:r>
        <w:rPr>
          <w:rStyle w:val="FootnoteAnchor"/>
          <w:rtl w:val="true"/>
        </w:rPr>
        <w:footnoteReference w:id="972"/>
      </w:r>
      <w:r>
        <w:rPr>
          <w:rFonts w:ascii="IRNazanin" w:hAnsi="IRNazanin" w:eastAsia="IRNazanin"/>
          <w:color w:val="111111"/>
          <w:sz w:val="28"/>
          <w:sz w:val="28"/>
          <w:szCs w:val="28"/>
          <w:rtl w:val="true"/>
          <w:lang w:bidi="fa-IR"/>
        </w:rPr>
        <w:t>کما وأنّه بحث المسائل الکلامیة و الفقهیة بصورة موسّعة</w:t>
      </w:r>
      <w:r>
        <w:rPr>
          <w:rFonts w:eastAsia="IRNazanin" w:cs="IRNazanin"/>
          <w:color w:val="111111"/>
          <w:sz w:val="28"/>
          <w:szCs w:val="28"/>
          <w:rtl w:val="true"/>
          <w:lang w:bidi="fa-IR"/>
        </w:rPr>
        <w:t>.</w:t>
      </w:r>
      <w:bookmarkStart w:id="1038" w:name="pg5285_67597"/>
    </w:p>
    <w:p>
      <w:pPr>
        <w:pStyle w:val="Heading2"/>
        <w:numPr>
          <w:ilvl w:val="1"/>
          <w:numId w:val="1"/>
        </w:numPr>
        <w:rPr/>
      </w:pPr>
      <w:bookmarkStart w:id="1039" w:name="__RefHeading___Toc634603_581953129"/>
      <w:bookmarkStart w:id="1040" w:name="_Toc397"/>
      <w:bookmarkEnd w:id="1038"/>
      <w:bookmarkEnd w:id="1039"/>
      <w:r>
        <w:rPr/>
        <w:t>14</w:t>
      </w:r>
      <w:r>
        <w:rPr>
          <w:rtl w:val="true"/>
        </w:rPr>
        <w:t xml:space="preserve">- </w:t>
      </w:r>
      <w:r>
        <w:rPr>
          <w:rtl w:val="true"/>
        </w:rPr>
        <w:t xml:space="preserve">التفسیر فی العصر الحاضر </w:t>
      </w:r>
      <w:r>
        <w:rPr>
          <w:rtl w:val="true"/>
        </w:rPr>
        <w:t>(</w:t>
      </w:r>
      <w:r>
        <w:rPr>
          <w:rtl w:val="true"/>
        </w:rPr>
        <w:t>القرن الخامس عشر</w:t>
      </w:r>
      <w:r>
        <w:rPr>
          <w:rtl w:val="true"/>
        </w:rPr>
        <w:t>)</w:t>
      </w:r>
      <w:bookmarkEnd w:id="1040"/>
    </w:p>
    <w:p>
      <w:pPr>
        <w:pStyle w:val="Heading3"/>
        <w:numPr>
          <w:ilvl w:val="2"/>
          <w:numId w:val="1"/>
        </w:numPr>
        <w:rPr/>
      </w:pPr>
      <w:bookmarkStart w:id="1041" w:name="__RefHeading___Toc634605_581953129"/>
      <w:bookmarkStart w:id="1042" w:name="_Toc398"/>
      <w:bookmarkEnd w:id="1041"/>
      <w:r>
        <w:rPr>
          <w:rtl w:val="true"/>
        </w:rPr>
        <w:t>اشارة</w:t>
      </w:r>
      <w:bookmarkEnd w:id="1042"/>
    </w:p>
    <w:p>
      <w:pPr>
        <w:pStyle w:val="BookText"/>
        <w:rPr/>
      </w:pPr>
      <w:r>
        <w:rPr>
          <w:rFonts w:ascii="IRNazanin" w:hAnsi="IRNazanin" w:eastAsia="IRNazanin"/>
          <w:color w:val="111111"/>
          <w:sz w:val="28"/>
          <w:sz w:val="28"/>
          <w:szCs w:val="28"/>
          <w:rtl w:val="true"/>
          <w:lang w:bidi="fa-IR"/>
        </w:rPr>
        <w:t>الموضوعات</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فی العصر الحاضر، القرن ال</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الازدهار وأفضل التفاسیر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خصوصیات وتطوّرات التفسیر فی العصر الحاضر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فی العصر الحاضر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خصوصیات التفسیر فی العصر 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المناهج المختلفة للتفسیر فی العصر 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السنّة و النزعة التَجْدِیدیة فی التفاسیر المعاصرة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البیانی بشکله الجدید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تفاسیر ترتیبیة وِفق ترتیب النزول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التفاسیر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تفاسیر آیات الأحکام</w:t>
      </w:r>
      <w:r>
        <w:rPr>
          <w:rFonts w:eastAsia="IRNazanin" w:cs="IRNazanin"/>
          <w:color w:val="111111"/>
          <w:sz w:val="28"/>
          <w:szCs w:val="28"/>
          <w:rtl w:val="true"/>
          <w:lang w:bidi="fa-IR"/>
        </w:rPr>
        <w:t>.</w:t>
      </w:r>
      <w:bookmarkStart w:id="1043" w:name="pg5285_67598"/>
    </w:p>
    <w:p>
      <w:pPr>
        <w:pStyle w:val="Heading3"/>
        <w:numPr>
          <w:ilvl w:val="2"/>
          <w:numId w:val="1"/>
        </w:numPr>
        <w:rPr/>
      </w:pPr>
      <w:bookmarkStart w:id="1044" w:name="__RefHeading___Toc634607_581953129"/>
      <w:bookmarkStart w:id="1045" w:name="_Toc399"/>
      <w:bookmarkEnd w:id="1043"/>
      <w:bookmarkEnd w:id="1044"/>
      <w:r>
        <w:rPr>
          <w:rtl w:val="true"/>
        </w:rPr>
        <w:t>الخصوصیات و التطوّرات للتفسیر فی العصر الحاضر</w:t>
      </w:r>
      <w:bookmarkEnd w:id="1045"/>
    </w:p>
    <w:p>
      <w:pPr>
        <w:pStyle w:val="Heading4"/>
        <w:numPr>
          <w:ilvl w:val="3"/>
          <w:numId w:val="1"/>
        </w:numPr>
        <w:rPr/>
      </w:pPr>
      <w:bookmarkStart w:id="1046" w:name="__RefHeading___Toc634609_581953129"/>
      <w:bookmarkStart w:id="1047" w:name="_Toc400"/>
      <w:bookmarkEnd w:id="1046"/>
      <w:r>
        <w:rPr>
          <w:rtl w:val="true"/>
        </w:rPr>
        <w:t>اشارة</w:t>
      </w:r>
      <w:bookmarkEnd w:id="1047"/>
    </w:p>
    <w:p>
      <w:pPr>
        <w:pStyle w:val="BookText"/>
        <w:rPr/>
      </w:pPr>
      <w:r>
        <w:rPr>
          <w:rFonts w:ascii="Amiri" w:hAnsi="Amiri" w:eastAsia="Amiri" w:cs="Amiri"/>
          <w:color w:val="111111"/>
          <w:sz w:val="28"/>
          <w:sz w:val="28"/>
          <w:szCs w:val="28"/>
          <w:rtl w:val="true"/>
          <w:lang w:bidi="ar-SA"/>
        </w:rPr>
        <w:t>الأهداف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التعرّف علی التفاسیر من خلال مناهجها وأسالیبها، واتّجاهاتها التفسیریة المختلفة، وهکذا التحقیق فی الخصوصیات و التطوّرات التفسیریة فی القرن الرابع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الأهداف الخاصّة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تفاسیر القرن ال</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 و التعرّف علی أوسع التفاسیر فی العصر الحاضر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التعرّف علی الخصوصیات و المناهج، والنزعة التجدیدیة فی التفسیر فی العصر الحاضر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المنهج البیانی فی العصر الجدید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الترتیبی علی أساس ترتیب النزول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بالاتّجاه العلمی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التعرّف علی التفاسیر الفقهیة فی العصر الحاضر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التعرّف علی أنواع التفاسیر فی العصر الحاضر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التعریف بأهمّ تفاسیر القرن الرابع عشر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الشیعة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أهل السنّة</w:t>
      </w:r>
      <w:r>
        <w:rPr>
          <w:rFonts w:eastAsia="IRNazanin" w:cs="IRNazanin"/>
          <w:color w:val="111111"/>
          <w:sz w:val="28"/>
          <w:szCs w:val="28"/>
          <w:rtl w:val="true"/>
          <w:lang w:bidi="fa-IR"/>
        </w:rPr>
        <w:t>.</w:t>
      </w:r>
    </w:p>
    <w:p>
      <w:pPr>
        <w:pStyle w:val="Heading4"/>
        <w:numPr>
          <w:ilvl w:val="3"/>
          <w:numId w:val="1"/>
        </w:numPr>
        <w:rPr/>
      </w:pPr>
      <w:bookmarkStart w:id="1048" w:name="__RefHeading___Toc634611_581953129"/>
      <w:bookmarkStart w:id="1049" w:name="_Toc401"/>
      <w:bookmarkEnd w:id="1048"/>
      <w:r>
        <w:rPr>
          <w:rtl w:val="true"/>
        </w:rPr>
        <w:t>التفسیر فی العصر الجدید</w:t>
      </w:r>
      <w:bookmarkEnd w:id="1049"/>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العلماء الربانیین ینطلقون من واجبهم الشرعی الذی عهد الله به إلیهم فی تعلیم الناس وتوعیتهم وتثقیفهم بالعلوم الدینیة، بما یتناسب مع مقدار فهمهم، وذلک من خلال المفردات المعاصرة التی تتداول بین أبناء المجتمع، ومن هذا المنطلق نجد أنّ علماء الإسلام المعاصرون شمّروا سواعد الجّد کی یطرحونا الإسلام العزیز بالأسالیب</w:t>
      </w:r>
      <w:bookmarkStart w:id="1050" w:name="pg5285_67599"/>
    </w:p>
    <w:p>
      <w:pPr>
        <w:pStyle w:val="BookText"/>
        <w:rPr/>
      </w:pPr>
      <w:bookmarkEnd w:id="1050"/>
      <w:r>
        <w:rPr>
          <w:rFonts w:ascii="IRNazanin" w:hAnsi="IRNazanin" w:eastAsia="IRNazanin"/>
          <w:color w:val="111111"/>
          <w:sz w:val="28"/>
          <w:sz w:val="28"/>
          <w:szCs w:val="28"/>
          <w:rtl w:val="true"/>
          <w:lang w:bidi="fa-IR"/>
        </w:rPr>
        <w:t>الخاصّة بهذا العصر الحدیث، وعلی الأخصّ فی مجال علوم القرآن، ومن أجل إیصال تعالیمه وبیاناته بصورة حیة ووجه مشرق جذّاب إلی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یری آیة الله معرفة أنّ التفسیر العصری هو طرح مفاهیم القرآن بالصورة الحدیثة التی تتناسب مع متطلّبات الیوم، والکشف عن الحقائق القرآنیة الجدیدة</w:t>
      </w:r>
      <w:r>
        <w:rPr>
          <w:rFonts w:eastAsia="IRNazanin" w:cs="IRNazanin"/>
          <w:color w:val="111111"/>
          <w:sz w:val="28"/>
          <w:szCs w:val="28"/>
          <w:rtl w:val="true"/>
          <w:lang w:bidi="fa-IR"/>
        </w:rPr>
        <w:t xml:space="preserve">. </w:t>
      </w:r>
      <w:r>
        <w:rPr>
          <w:rStyle w:val="FootnoteAnchor"/>
          <w:rtl w:val="true"/>
        </w:rPr>
        <w:footnoteReference w:id="973"/>
      </w:r>
    </w:p>
    <w:p>
      <w:pPr>
        <w:pStyle w:val="Heading4"/>
        <w:numPr>
          <w:ilvl w:val="3"/>
          <w:numId w:val="1"/>
        </w:numPr>
        <w:rPr/>
      </w:pPr>
      <w:bookmarkStart w:id="1051" w:name="__RefHeading___Toc634613_581953129"/>
      <w:bookmarkStart w:id="1052" w:name="_Toc402"/>
      <w:bookmarkEnd w:id="1051"/>
      <w:r>
        <w:rPr>
          <w:rtl w:val="true"/>
        </w:rPr>
        <w:t>خصائص التفسیر فی العصر الحاضر</w:t>
      </w:r>
      <w:bookmarkEnd w:id="1052"/>
    </w:p>
    <w:p>
      <w:pPr>
        <w:pStyle w:val="BookText"/>
        <w:rPr/>
      </w:pPr>
      <w:r>
        <w:rPr>
          <w:rFonts w:ascii="IRNazanin" w:hAnsi="IRNazanin" w:eastAsia="IRNazanin"/>
          <w:color w:val="111111"/>
          <w:sz w:val="28"/>
          <w:sz w:val="28"/>
          <w:szCs w:val="28"/>
          <w:rtl w:val="true"/>
          <w:lang w:bidi="fa-IR"/>
        </w:rPr>
        <w:t>الخصوصیات السیاسیة و الثقافیة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أهمّ الخصوصیات السیاسیة و الثقافیة المعاصرة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العلوم التجربیة و المصانع، وطغیان الأزمات المعنویة لعلّة ابتعاد الناس عن الدین وتزاید بعثات المستشرقین و المادیین، والغزو الاستعماری الواسع علی بلاد المسلمین، </w:t>
      </w:r>
      <w:r>
        <w:rPr>
          <w:rStyle w:val="FootnoteAnchor"/>
          <w:rtl w:val="true"/>
        </w:rPr>
        <w:footnoteReference w:id="974"/>
      </w:r>
      <w:r>
        <w:rPr>
          <w:rFonts w:ascii="IRNazanin" w:hAnsi="IRNazanin" w:eastAsia="IRNazanin"/>
          <w:color w:val="111111"/>
          <w:sz w:val="28"/>
          <w:sz w:val="28"/>
          <w:szCs w:val="28"/>
          <w:rtl w:val="true"/>
          <w:lang w:bidi="fa-IR"/>
        </w:rPr>
        <w:t>وانهیار دولة الخلافة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هی أهمّ الخصوصیات المعاصرة التی یمکن ذکرها هنا فی هذه الفقرات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مایدور حول الخصوصیات التفسیریة للعصر الحاضر، فیعتقد عفّت الشرقاوی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المرحلة المعاصرة تحمل معها بیاناً عن التحول الکبیر فی جمیع الجوانب الجهتیة و المنهجیة فی عالم التفسیر القدیم، حیث العثور علی أسالیب تفسیریة متنوعة فی الحوار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الأدبی و العلمی، والإرشادی و الحرکی؛ وذلک من خلال تطویر وابتکار المناهج الجدیدة فی التفسیر الموضوعی وکتابة البحوث، وطرح المفاهیم القدیمة بأسالیب جدیدة، و هذه هی أهمّ خصوصیات العصر الحاضر</w:t>
      </w:r>
      <w:r>
        <w:rPr>
          <w:rFonts w:eastAsia="IRNazanin" w:cs="IRNazanin"/>
          <w:color w:val="111111"/>
          <w:sz w:val="28"/>
          <w:szCs w:val="28"/>
          <w:rtl w:val="true"/>
          <w:lang w:bidi="fa-IR"/>
        </w:rPr>
        <w:t xml:space="preserve">. </w:t>
      </w:r>
      <w:r>
        <w:rPr>
          <w:rStyle w:val="FootnoteAnchor"/>
          <w:rtl w:val="true"/>
        </w:rPr>
        <w:footnoteReference w:id="975"/>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 الذهبی خصوصیات العصر الحاضر بما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عصر النهضة العلمیة الجدیدة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التغطیة الأدبیة والاجتماعیة للبحوث التفسیریة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التنزّه عن القصص الإسرائیلیة و الأحادیث الموضوعة و الضعیفة</w:t>
      </w:r>
      <w:r>
        <w:rPr>
          <w:rFonts w:eastAsia="IRNazanin" w:cs="IRNazanin"/>
          <w:color w:val="111111"/>
          <w:sz w:val="28"/>
          <w:szCs w:val="28"/>
          <w:rtl w:val="true"/>
          <w:lang w:bidi="fa-IR"/>
        </w:rPr>
        <w:t xml:space="preserve">. </w:t>
      </w:r>
      <w:r>
        <w:rPr>
          <w:rStyle w:val="FootnoteAnchor"/>
          <w:rtl w:val="true"/>
        </w:rPr>
        <w:footnoteReference w:id="976"/>
      </w:r>
    </w:p>
    <w:p>
      <w:pPr>
        <w:pStyle w:val="BookText"/>
        <w:rPr/>
      </w:pPr>
      <w:r>
        <w:rPr>
          <w:rFonts w:ascii="IRNazanin" w:hAnsi="IRNazanin" w:eastAsia="IRNazanin"/>
          <w:color w:val="111111"/>
          <w:sz w:val="28"/>
          <w:sz w:val="28"/>
          <w:szCs w:val="28"/>
          <w:rtl w:val="true"/>
          <w:lang w:bidi="fa-IR"/>
        </w:rPr>
        <w:t>و أمّا آیة الله معرفة، فقد عرّف خصوصیات العصر التفسیریة بهذه المحاور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اتّساع رقعة العلم و الفلسفة، وعلی الخصوص العلوم التجربیة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الاحتیاجات الاجتماعیة المعقّدة و المتزایدة؛ لأجل بلوغ السعادة و العیش الرغید التی تواجه الطرح الدینی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التطوّر و التحوّل فی مستلزمات الحیاة المعاشیة، والتنافس الذی أحدثته التطوّرات الجدیدة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مطالبة الدین وعلی الأخص القرآن الکریم، بالإجابة علی احتیاجات الفرد و المجتمع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إیمان العلماء وأصحاب الرأی أنّ القرآن قادرٌ علی الإجابة العلمیة علی کلّ متطلبّات البشر فی کلّ عصر وزمان</w:t>
      </w:r>
      <w:r>
        <w:rPr>
          <w:rFonts w:eastAsia="IRNazanin" w:cs="IRNazanin"/>
          <w:color w:val="111111"/>
          <w:sz w:val="28"/>
          <w:szCs w:val="28"/>
          <w:rtl w:val="true"/>
          <w:lang w:bidi="fa-IR"/>
        </w:rPr>
        <w:t xml:space="preserve">. </w:t>
      </w:r>
      <w:r>
        <w:rPr>
          <w:rStyle w:val="FootnoteAnchor"/>
          <w:rtl w:val="true"/>
        </w:rPr>
        <w:footnoteReference w:id="977"/>
      </w:r>
    </w:p>
    <w:p>
      <w:pPr>
        <w:pStyle w:val="BookText"/>
        <w:rPr/>
      </w:pPr>
      <w:r>
        <w:rPr>
          <w:rFonts w:ascii="IRNazanin" w:hAnsi="IRNazanin" w:eastAsia="IRNazanin"/>
          <w:color w:val="111111"/>
          <w:sz w:val="28"/>
          <w:sz w:val="28"/>
          <w:szCs w:val="28"/>
          <w:rtl w:val="true"/>
          <w:lang w:bidi="fa-IR"/>
        </w:rPr>
        <w:t>وکتب البعض الآخر فی هذا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الهدف من کتابة التفاسیر الجدیدة و التی تمتدّ جذورها إلی ظاهرة التجدّد المنشود فی العالم الإسلامی هی نفس الأهداف العامّة التی ینشدها التجدّد،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الوحدة بین المسلمین من أجل مواجهة الغرب المستعمر، و إزاحة الخرافة من اعتقادات المسلمین و الرجوع بهم إلی منهج وسیرة السلف، وإیجاد الانسجام بین التعالیم الإسلامیة و العلم الحدیث فی الفکر الإنسانی</w:t>
      </w:r>
      <w:r>
        <w:rPr>
          <w:rFonts w:eastAsia="IRNazanin" w:cs="IRNazanin"/>
          <w:color w:val="111111"/>
          <w:sz w:val="28"/>
          <w:szCs w:val="28"/>
          <w:rtl w:val="true"/>
          <w:lang w:bidi="fa-IR"/>
        </w:rPr>
        <w:t xml:space="preserve">. </w:t>
      </w:r>
      <w:r>
        <w:rPr>
          <w:rStyle w:val="FootnoteAnchor"/>
          <w:rtl w:val="true"/>
        </w:rPr>
        <w:footnoteReference w:id="978"/>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العناصر المشترکة فی تفاسیر العصر 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تشاهد فی تفاسیر العصر الحاضر</w:t>
      </w:r>
      <w:bookmarkStart w:id="1053" w:name="pg5285_67601"/>
    </w:p>
    <w:p>
      <w:pPr>
        <w:pStyle w:val="BookText"/>
        <w:rPr/>
      </w:pPr>
      <w:bookmarkEnd w:id="1053"/>
      <w:r>
        <w:rPr>
          <w:rFonts w:ascii="IRNazanin" w:hAnsi="IRNazanin" w:eastAsia="IRNazanin"/>
          <w:color w:val="111111"/>
          <w:sz w:val="28"/>
          <w:sz w:val="28"/>
          <w:szCs w:val="28"/>
          <w:rtl w:val="true"/>
          <w:lang w:bidi="fa-IR"/>
        </w:rPr>
        <w:t>مناهج وتوجّهات فکریة مشترکة بین المفسّرین وإلیکم بعض أهمّ تلکم المشترکات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السعی الحثیث لتنزیه الساحة القرآنیة عن الخرافات و الأساطیر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السعی من أجل عقلنة الأسس النظریة فی الدین</w:t>
      </w:r>
      <w:r>
        <w:rPr>
          <w:rFonts w:eastAsia="IRNazanin" w:cs="IRNazanin"/>
          <w:color w:val="111111"/>
          <w:sz w:val="28"/>
          <w:szCs w:val="28"/>
          <w:rtl w:val="true"/>
          <w:lang w:bidi="fa-IR"/>
        </w:rPr>
        <w:t xml:space="preserve">. </w:t>
      </w:r>
      <w:r>
        <w:rPr>
          <w:rStyle w:val="FootnoteAnchor"/>
          <w:rtl w:val="true"/>
        </w:rPr>
        <w:footnoteReference w:id="97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التوسعة الشمولیة لأثر التفسیر المعاصر فی الاستیعاب لأکثر المخاطبین</w:t>
      </w:r>
      <w:r>
        <w:rPr>
          <w:rFonts w:eastAsia="IRNazanin" w:cs="IRNazanin"/>
          <w:color w:val="111111"/>
          <w:sz w:val="28"/>
          <w:szCs w:val="28"/>
          <w:rtl w:val="true"/>
          <w:lang w:bidi="fa-IR"/>
        </w:rPr>
        <w:t xml:space="preserve">. </w:t>
      </w:r>
      <w:r>
        <w:rPr>
          <w:rStyle w:val="FootnoteAnchor"/>
          <w:rtl w:val="true"/>
        </w:rPr>
        <w:footnoteReference w:id="98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تعمیم علم التفسیر ونقله إلی سائر نقاط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الاهتمام بالموضوعات الأخلاقیة والاجتماعیة والاقتصادیة التی ابتلیت بها المجتمعات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السعی من أجل تیسیر وتسهیل إمکانیة فهم القرآن بصورة أکثر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التصدّی لتوسعة الأفکار و التأمّلات الدینیة والاجتماعیة المرتبطة بالتنظیمات السیاسیة و الأحزاب الإصلاحیة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اقتفاء أثر الأسلوب الأدبی الکلاسیکی، التقلیدی</w:t>
      </w:r>
      <w:r>
        <w:rPr>
          <w:rFonts w:eastAsia="IRNazanin" w:cs="IRNazanin"/>
          <w:color w:val="111111"/>
          <w:sz w:val="28"/>
          <w:szCs w:val="28"/>
          <w:rtl w:val="true"/>
          <w:lang w:bidi="fa-IR"/>
        </w:rPr>
        <w:t xml:space="preserve">. </w:t>
      </w:r>
      <w:r>
        <w:rPr>
          <w:rStyle w:val="FootnoteAnchor"/>
          <w:rtl w:val="true"/>
        </w:rPr>
        <w:footnoteReference w:id="981"/>
      </w:r>
    </w:p>
    <w:p>
      <w:pPr>
        <w:pStyle w:val="Heading4"/>
        <w:numPr>
          <w:ilvl w:val="3"/>
          <w:numId w:val="1"/>
        </w:numPr>
        <w:rPr/>
      </w:pPr>
      <w:bookmarkStart w:id="1054" w:name="__RefHeading___Toc634615_581953129"/>
      <w:bookmarkStart w:id="1055" w:name="_Toc403"/>
      <w:bookmarkEnd w:id="1054"/>
      <w:r>
        <w:rPr>
          <w:rtl w:val="true"/>
        </w:rPr>
        <w:t>الأسالیب التفسیریة المختلفة فی العصر الحاضر</w:t>
      </w:r>
      <w:bookmarkEnd w:id="1055"/>
    </w:p>
    <w:p>
      <w:pPr>
        <w:pStyle w:val="BookText"/>
        <w:rPr/>
      </w:pPr>
      <w:r>
        <w:rPr>
          <w:rFonts w:ascii="IRNazanin" w:hAnsi="IRNazanin" w:eastAsia="IRNazanin"/>
          <w:color w:val="111111"/>
          <w:sz w:val="28"/>
          <w:sz w:val="28"/>
          <w:szCs w:val="28"/>
          <w:rtl w:val="true"/>
          <w:lang w:bidi="fa-IR"/>
        </w:rPr>
        <w:t>یمکن أن نشاهد فی تفاسیر العصر الحاضر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التوسّع و التجدّد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حالة من الإفراط التقصیر بشکل کثیر، ومن جملة ذلک تطبیق القرآن علی الفرضیات العلمیة التی لم تصل إلی حدّ النظریة الثابته بالبرهان القاطع، أو إقحام القرآن فی الطروحات السیاسیة و النضالیة مع أنّ ظاهر القرآن لم یطرحها</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أهمّ أسلوب واتّجاه تفسیری فی العصر الحاضر هو الاتّجاه العلمی والاتّجاه الاجتماعی، والسیاسی و الأسلوب الاجتهادی</w:t>
      </w:r>
      <w:r>
        <w:rPr>
          <w:rFonts w:eastAsia="IRNazanin" w:cs="IRNazanin"/>
          <w:color w:val="111111"/>
          <w:sz w:val="28"/>
          <w:szCs w:val="28"/>
          <w:rtl w:val="true"/>
          <w:lang w:bidi="fa-IR"/>
        </w:rPr>
        <w:t>.</w:t>
      </w:r>
      <w:bookmarkStart w:id="1056" w:name="pg5285_67602"/>
    </w:p>
    <w:p>
      <w:pPr>
        <w:pStyle w:val="BookText"/>
        <w:rPr/>
      </w:pPr>
      <w:bookmarkEnd w:id="1056"/>
      <w:r>
        <w:rPr>
          <w:rFonts w:ascii="IRNazanin" w:hAnsi="IRNazanin" w:eastAsia="IRNazanin"/>
          <w:color w:val="111111"/>
          <w:sz w:val="28"/>
          <w:sz w:val="28"/>
          <w:szCs w:val="28"/>
          <w:rtl w:val="true"/>
          <w:lang w:bidi="fa-IR"/>
        </w:rPr>
        <w:t>و قد قسم آیة الله معرفة الأسالیب التفسیریة فی العصر الجدید إلی أربعة أقسام، و 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اللون العلمی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أوّل الألوان التی ظهرت إلی الوجود متأثّراً بمکتشفات العصر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اللون الأدبی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ثانی الألوان المتأثر بالأدب المعاصر، والمظاهر الاجتماعیة الحاضرة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اللون السیاسی المنحرف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ظهر هذا اللون علی إثر التشعّبات الحزبیة السیاسیة الحدیثة فی المجتمع الإسلامی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اللون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رافق الألوان المتقدّمة هذا اللون من التفسیر العقلی الذی کان فیه بعض المحاولات لتأویل آیات القرآن، وکانت بظاهرها متنافیة مع مظاهر العلم أو العقیدة الإلحادیة التی أورثتها النهضة الضاعیة العلمیة منذ القرن التاسع عشر للمیلاد</w:t>
      </w:r>
      <w:r>
        <w:rPr>
          <w:rFonts w:eastAsia="IRNazanin" w:cs="IRNazanin"/>
          <w:color w:val="111111"/>
          <w:sz w:val="28"/>
          <w:szCs w:val="28"/>
          <w:rtl w:val="true"/>
          <w:lang w:bidi="fa-IR"/>
        </w:rPr>
        <w:t xml:space="preserve">. </w:t>
      </w:r>
      <w:r>
        <w:rPr>
          <w:rStyle w:val="FootnoteAnchor"/>
          <w:rtl w:val="true"/>
        </w:rPr>
        <w:footnoteReference w:id="982"/>
      </w:r>
    </w:p>
    <w:p>
      <w:pPr>
        <w:pStyle w:val="BookText"/>
        <w:rPr/>
      </w:pPr>
      <w:r>
        <w:rPr>
          <w:rFonts w:ascii="IRNazanin" w:hAnsi="IRNazanin" w:eastAsia="IRNazanin"/>
          <w:color w:val="111111"/>
          <w:sz w:val="28"/>
          <w:sz w:val="28"/>
          <w:szCs w:val="28"/>
          <w:rtl w:val="true"/>
          <w:lang w:bidi="fa-IR"/>
        </w:rPr>
        <w:t>هذا و قد ذکر الذهبی تحت عنوان الوان التفسیر فی العصر الجدید أربعة ألوان، وهی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اللون العلمی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اللون المذهبی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اللون الإلحادی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اللون الأدبی الاجتماعی</w:t>
      </w:r>
      <w:r>
        <w:rPr>
          <w:rFonts w:eastAsia="IRNazanin" w:cs="IRNazanin"/>
          <w:color w:val="111111"/>
          <w:sz w:val="28"/>
          <w:szCs w:val="28"/>
          <w:rtl w:val="true"/>
          <w:lang w:bidi="fa-IR"/>
        </w:rPr>
        <w:t xml:space="preserve">. </w:t>
      </w:r>
      <w:r>
        <w:rPr>
          <w:rStyle w:val="FootnoteAnchor"/>
          <w:rtl w:val="true"/>
        </w:rPr>
        <w:footnoteReference w:id="983"/>
      </w:r>
    </w:p>
    <w:p>
      <w:pPr>
        <w:pStyle w:val="Heading3"/>
        <w:numPr>
          <w:ilvl w:val="2"/>
          <w:numId w:val="1"/>
        </w:numPr>
        <w:rPr/>
      </w:pPr>
      <w:bookmarkStart w:id="1057" w:name="__RefHeading___Toc634617_581953129"/>
      <w:bookmarkStart w:id="1058" w:name="_Toc404"/>
      <w:bookmarkEnd w:id="1057"/>
      <w:r>
        <w:rPr>
          <w:rtl w:val="true"/>
        </w:rPr>
        <w:t>النهضة الإصلاحیة و الیقْظة الفکریة</w:t>
      </w:r>
      <w:bookmarkEnd w:id="1058"/>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جزور الیقظة الفکریة و النهضة الإصلاحیة تمتدّ إلی عهد النهضة الدستوریة فی إیران و التی تزامنت مع حرکة السید جمال الدین الأفغانی، ومن سار علی دربه من</w:t>
      </w:r>
      <w:bookmarkStart w:id="1059" w:name="pg5285_67603"/>
    </w:p>
    <w:p>
      <w:pPr>
        <w:pStyle w:val="BookText"/>
        <w:rPr/>
      </w:pPr>
      <w:bookmarkEnd w:id="1059"/>
      <w:r>
        <w:rPr>
          <w:rFonts w:ascii="IRNazanin" w:hAnsi="IRNazanin" w:eastAsia="IRNazanin"/>
          <w:color w:val="111111"/>
          <w:sz w:val="28"/>
          <w:sz w:val="28"/>
          <w:szCs w:val="28"/>
          <w:rtl w:val="true"/>
          <w:lang w:bidi="fa-IR"/>
        </w:rPr>
        <w:t>تلامذته وتلامذة تلامذته،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عبده وحسن البنّاء، وسید قطب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فی ظلال القرآن، وهکذا أحمد مصطفی المراغی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المراغی، وجمال الدین القاسمی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القاسمی، والشیخ محمود شلتوت و الشیخ محمّد المدنی</w:t>
      </w:r>
      <w:r>
        <w:rPr>
          <w:rFonts w:eastAsia="IRNazanin" w:cs="IRNazanin"/>
          <w:color w:val="111111"/>
          <w:sz w:val="28"/>
          <w:szCs w:val="28"/>
          <w:rtl w:val="true"/>
          <w:lang w:bidi="fa-IR"/>
        </w:rPr>
        <w:t>....</w:t>
      </w:r>
    </w:p>
    <w:p>
      <w:pPr>
        <w:pStyle w:val="Heading3"/>
        <w:numPr>
          <w:ilvl w:val="2"/>
          <w:numId w:val="1"/>
        </w:numPr>
        <w:rPr/>
      </w:pPr>
      <w:bookmarkStart w:id="1060" w:name="__RefHeading___Toc634619_581953129"/>
      <w:bookmarkStart w:id="1061" w:name="_Toc405"/>
      <w:bookmarkEnd w:id="1060"/>
      <w:r>
        <w:rPr>
          <w:rtl w:val="true"/>
        </w:rPr>
        <w:t>السنّة و النزعة التجدیدیة فی التفاسیر المعاصرة</w:t>
      </w:r>
      <w:bookmarkEnd w:id="1061"/>
    </w:p>
    <w:p>
      <w:pPr>
        <w:pStyle w:val="BookText"/>
        <w:rPr/>
      </w:pPr>
      <w:r>
        <w:rPr>
          <w:rFonts w:ascii="IRNazanin" w:hAnsi="IRNazanin" w:eastAsia="IRNazanin"/>
          <w:color w:val="111111"/>
          <w:sz w:val="28"/>
          <w:sz w:val="28"/>
          <w:szCs w:val="28"/>
          <w:rtl w:val="true"/>
          <w:lang w:bidi="fa-IR"/>
        </w:rPr>
        <w:t>یمکننا الوقوف عند بُعدین أساسیین للتفاسیر فی المرحلة المعاصرة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الاستفادة من آراء الماضین و السیر علی أسالیبهم دون نقضها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الاتّجاهات المبتدعة و الحدیثة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وفیما یخصّ البُعد الأوّل 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التفاسیر المعاصرة التی تُولی اهتماماً بتفاسیر السلف، وتعتمد علی آرائهم فی تفاسیرها،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التبیان للشیخ الطوسی، ومجمع البیان للطبرسی، و الکشّاف للزمخشری، و التفسیر الکبیر للفخر الرازی، و جامع البیان للطبری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نفس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یغفلوا عن الإتیان بنتائج ورؤیً جدیدةٍ تعالج المرحلة المعاصرة، وتجاری التطورات الاجتماعیة و الثقافیة و السیاسیة، وکذلک تواکب التطوّر و التوسّع فی ما تنتجه العلوم التجربیة لإیجاد الانسجام بین عالمنا الإسلامی و الحضارة الغربیة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والمشاهد أنّ هذه النظرة خلقت عوامل جدیدة لها تأثیرها العمیق علی المحتوی و المناهج و الأسالیب والاتّجاهات التفسیریة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ویمکننا بیان الحالة الارتباطیة القائمة بین هذا التجدّد وتفاسیر السلف من خلال ذکر بعض الأمور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خلال تألیف تفاسیر بالاتّجاه البیانی وبمعانی جدیدة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إحیاء الأسلوب التفسیری الذی غُرست فسیلته قدیماً بین الأسالیب التفسیریة،</w:t>
      </w:r>
      <w:bookmarkStart w:id="1062" w:name="pg5285_67604"/>
    </w:p>
    <w:p>
      <w:pPr>
        <w:pStyle w:val="BookText"/>
        <w:rPr/>
      </w:pPr>
      <w:bookmarkEnd w:id="1062"/>
      <w:r>
        <w:rPr>
          <w:rFonts w:ascii="IRNazanin" w:hAnsi="IRNazanin" w:eastAsia="IRNazanin"/>
          <w:color w:val="111111"/>
          <w:sz w:val="28"/>
          <w:sz w:val="28"/>
          <w:szCs w:val="28"/>
          <w:rtl w:val="true"/>
          <w:lang w:bidi="fa-IR"/>
        </w:rPr>
        <w:t>ونعنی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أسلوب التفسیر الترتیبی علی أساس ترتیب النزول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ممارسة أسلوب التفسیر الموضوعی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تألیف تفاسیر بالاتّجاه العلمی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تألیف تفاسیر اجتماعیة</w:t>
      </w:r>
      <w:r>
        <w:rPr>
          <w:rFonts w:eastAsia="IRNazanin" w:cs="IRNazanin"/>
          <w:color w:val="111111"/>
          <w:sz w:val="28"/>
          <w:szCs w:val="28"/>
          <w:rtl w:val="true"/>
          <w:lang w:bidi="fa-IR"/>
        </w:rPr>
        <w:t>.</w:t>
      </w:r>
    </w:p>
    <w:p>
      <w:pPr>
        <w:pStyle w:val="Heading3"/>
        <w:numPr>
          <w:ilvl w:val="2"/>
          <w:numId w:val="1"/>
        </w:numPr>
        <w:rPr/>
      </w:pPr>
      <w:bookmarkStart w:id="1063" w:name="__RefHeading___Toc634621_581953129"/>
      <w:bookmarkStart w:id="1064" w:name="_Toc406"/>
      <w:bookmarkEnd w:id="1063"/>
      <w:r>
        <w:rPr>
          <w:rtl w:val="true"/>
        </w:rPr>
        <w:t>التفسیر البیانی فی العصر الجدید</w:t>
      </w:r>
      <w:bookmarkEnd w:id="1064"/>
    </w:p>
    <w:p>
      <w:pPr>
        <w:pStyle w:val="BookText"/>
        <w:rPr/>
      </w:pPr>
      <w:r>
        <w:rPr>
          <w:rFonts w:ascii="IRNazanin" w:hAnsi="IRNazanin" w:eastAsia="IRNazanin"/>
          <w:color w:val="111111"/>
          <w:sz w:val="28"/>
          <w:sz w:val="28"/>
          <w:szCs w:val="28"/>
          <w:rtl w:val="true"/>
          <w:lang w:bidi="fa-IR"/>
        </w:rPr>
        <w:t>إنّ المصطلح المتداول بین المفسّرین و الأدباء، والذی یعرف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البیانی، فإنّ المقصود منه بیان به البحوث الأدبیة، خصوصاً فی مجال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المعانی و البیان و البدیع فی التفسیر، إلاّ أنّه فی العصر الحاضر طَبَّقَ عدّة من المفسّرین البحث البیانی بصورة جدیدة، وبهذه الطریقة التفسیریة، و إنّ استفادوا من الأدب فی المعانی و البیان کذلک إلاّ أنّها تشتمل علی مراحل مختلفة ومتنوعة، ویمکن تلخیصها بمایلی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الاستقراء اللفظی لآیات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تفقّد الألفاظ المشابهة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البحث عن سیاق الآیات؛ لأجل الوصول إلی الدلالات الظاهریة لها</w:t>
      </w:r>
      <w:r>
        <w:rPr>
          <w:rFonts w:eastAsia="IRNazanin" w:cs="IRNazanin"/>
          <w:color w:val="111111"/>
          <w:sz w:val="28"/>
          <w:szCs w:val="28"/>
          <w:rtl w:val="true"/>
          <w:lang w:bidi="fa-IR"/>
        </w:rPr>
        <w:t xml:space="preserve">. </w:t>
      </w:r>
      <w:r>
        <w:rPr>
          <w:rStyle w:val="FootnoteAnchor"/>
          <w:rtl w:val="true"/>
        </w:rPr>
        <w:footnoteReference w:id="984"/>
      </w:r>
    </w:p>
    <w:p>
      <w:pPr>
        <w:pStyle w:val="BookText"/>
        <w:rPr/>
      </w:pPr>
      <w:r>
        <w:rPr>
          <w:rFonts w:ascii="IRNazanin" w:hAnsi="IRNazanin" w:eastAsia="IRNazanin"/>
          <w:color w:val="111111"/>
          <w:sz w:val="28"/>
          <w:sz w:val="28"/>
          <w:szCs w:val="28"/>
          <w:rtl w:val="true"/>
          <w:lang w:bidi="fa-IR"/>
        </w:rPr>
        <w:t>و إنّ أهمّ خصوصیات هذا الأسلوب، هو جمع الآیات المشترکة فی الشبه، والبحث فی سیاقاتها و الترتیب الزمانی، وتاریخ نزول الآیات؛ ولأجل اتّضاح هذا البحث یلزمنا توضیح مراحله علی النحو الآتی</w:t>
      </w:r>
      <w:r>
        <w:rPr>
          <w:rFonts w:eastAsia="IRNazanin" w:cs="IRNazanin"/>
          <w:color w:val="111111"/>
          <w:sz w:val="28"/>
          <w:szCs w:val="28"/>
          <w:rtl w:val="true"/>
          <w:lang w:bidi="fa-IR"/>
        </w:rPr>
        <w:t>:</w:t>
      </w:r>
    </w:p>
    <w:p>
      <w:pPr>
        <w:pStyle w:val="Heading3"/>
        <w:numPr>
          <w:ilvl w:val="2"/>
          <w:numId w:val="1"/>
        </w:numPr>
        <w:rPr/>
      </w:pPr>
      <w:bookmarkStart w:id="1065" w:name="__RefHeading___Toc634623_581953129"/>
      <w:bookmarkStart w:id="1066" w:name="_Toc407"/>
      <w:bookmarkEnd w:id="1065"/>
      <w:r>
        <w:rPr>
          <w:rtl w:val="true"/>
        </w:rPr>
        <w:t>مراحل التفسیر البیانی بشکله الجدید</w:t>
      </w:r>
      <w:bookmarkEnd w:id="10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التفسیر الموضوعی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یکتب من أجل توضیح أحد الموضوعات التی توجد فی أماکن متعدّدة من القرآن، حیث یتمّ البحث عنها، 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ما نُرید التعرّف علی لفظة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یؤمنون، وفهمها فهماً صحیحاً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 من خلال التعرّف عن حالات هذه</w:t>
      </w:r>
    </w:p>
    <w:p>
      <w:pPr>
        <w:pStyle w:val="BookText"/>
        <w:rPr/>
      </w:pPr>
      <w:r>
        <w:rPr>
          <w:rFonts w:ascii="IRNazanin" w:hAnsi="IRNazanin" w:eastAsia="IRNazanin"/>
          <w:color w:val="111111"/>
          <w:sz w:val="28"/>
          <w:sz w:val="28"/>
          <w:szCs w:val="28"/>
          <w:rtl w:val="true"/>
          <w:lang w:bidi="fa-IR"/>
        </w:rPr>
        <w:t>المفردة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بدّ لنا من التعرّف علی السور و الآیات التی تحدّثت عن المؤمنین، والرجوع إلی الألفاظ المشابهة لها، أو مثل مفردة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المنافقون فی سورة المنافقون، والآیات التی تحدّثت عن مفردة النفاق فنقوم بمراجعتها، أو لفهم قصّة آدم و التی وردت فی سورة البقرة نراجع قصّة آدم فی سورة الأعراف، والحجر، والکهف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الترتیب الزمانی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المرحلة، نرتّب الآیات التی تتمحور حول موضوع واحد علی حسب الترتیب الزمانی لنزولها، هل هی نزلت فی مکّة أم المدینة؟</w:t>
      </w:r>
    </w:p>
    <w:p>
      <w:pPr>
        <w:pStyle w:val="BookText"/>
        <w:rPr/>
      </w:pPr>
      <w:r>
        <w:rPr>
          <w:rFonts w:ascii="IRNazanin" w:hAnsi="IRNazanin" w:eastAsia="IRNazanin"/>
          <w:color w:val="111111"/>
          <w:sz w:val="28"/>
          <w:sz w:val="28"/>
          <w:szCs w:val="28"/>
          <w:rtl w:val="true"/>
          <w:lang w:bidi="fa-IR"/>
        </w:rPr>
        <w:t>و إذا کانت فی مکّة أفی أوائل البعثة الشریفة أم فی آخرها؟</w:t>
      </w:r>
    </w:p>
    <w:p>
      <w:pPr>
        <w:pStyle w:val="BookText"/>
        <w:rPr/>
      </w:pPr>
      <w:r>
        <w:rPr>
          <w:rFonts w:ascii="IRNazanin" w:hAnsi="IRNazanin" w:eastAsia="IRNazanin"/>
          <w:color w:val="111111"/>
          <w:sz w:val="28"/>
          <w:sz w:val="28"/>
          <w:szCs w:val="28"/>
          <w:rtl w:val="true"/>
          <w:lang w:bidi="fa-IR"/>
        </w:rPr>
        <w:t>فنبحث ونحقّق فی هذا المجال؛ ولأجل الوصول إلی هذه المرحلة لا بدَّ لنا من مراجعة کتب أسباب النزول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الاهتمام ببحوث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الصعید یتمّ التعرف علی الأمور التاریخیة ونزول القرآن، وجمعه، وکتابته وقراءات القرآن،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بیئة عصر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ویلاحظ ذلک من خلال التعرّف علی الأحوال و الضروف البیئیة التی نزلت فیها آیات القرآن،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الخصوصیات المادیة فی القرآن، والتی تشمل بحوث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و السماء و الجبال و الأنهار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والبحوث فی عموم الحالات المعنویة فی تاریخ الأمّة،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العادات و الآداب، والمقرّرات و التقالید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التحقیق فی مفردات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هذه المرحلة تُمارس عملیة التحقیق فی مفهوم مفردات القرآن مضافاً إلی کونها مفردة لغویة، فی أنّها بأی موارد استعملت فی القرآن؟ وبأی معانی ذکرت؟</w:t>
      </w:r>
    </w:p>
    <w:p>
      <w:pPr>
        <w:pStyle w:val="BookText"/>
        <w:rPr/>
      </w:pPr>
      <w:r>
        <w:rPr>
          <w:rFonts w:ascii="Amiri" w:hAnsi="Amiri" w:eastAsia="Amiri" w:cs="Amiri"/>
          <w:color w:val="111111"/>
          <w:sz w:val="28"/>
          <w:sz w:val="28"/>
          <w:szCs w:val="28"/>
          <w:rtl w:val="true"/>
          <w:lang w:bidi="ar-SA"/>
        </w:rPr>
        <w:t>فتجمّع بکلّ معانیها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البحث فی ترکیبات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البحث فی ترکیبات جمل الآیات القرآنیة یتمّ بمساعدة العلوم الأدبیة،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النحو و الصرف و البلاغة، ولکن لا بمعنی وضوح</w:t>
      </w:r>
      <w:bookmarkStart w:id="1067" w:name="pg5285_67606"/>
    </w:p>
    <w:p>
      <w:pPr>
        <w:pStyle w:val="BookText"/>
        <w:rPr/>
      </w:pPr>
      <w:bookmarkEnd w:id="1067"/>
      <w:r>
        <w:rPr>
          <w:rFonts w:ascii="IRNazanin" w:hAnsi="IRNazanin" w:eastAsia="IRNazanin"/>
          <w:color w:val="111111"/>
          <w:sz w:val="28"/>
          <w:sz w:val="28"/>
          <w:szCs w:val="28"/>
          <w:rtl w:val="true"/>
          <w:lang w:bidi="fa-IR"/>
        </w:rPr>
        <w:t>المفردات النحویة فقط، کأن نعرف أنّ الجملة الفلانیة حالیة أم هی وصفیة؟ و هذه کنایة أم استعارة؟ بل مضافاً إلی الدّقة فی هذه الأمور، یلزم توضیح جمال التعبیر وروعته، وحسن الأسلوب و المعانی الإعجازیة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الطریقة البیانیة الجدیدة واحدة من أصعب الأسالیب التفسیریة للقرآن الکریم</w:t>
      </w:r>
      <w:r>
        <w:rPr>
          <w:rFonts w:eastAsia="IRNazanin" w:cs="IRNazanin"/>
          <w:color w:val="111111"/>
          <w:sz w:val="28"/>
          <w:szCs w:val="28"/>
          <w:rtl w:val="true"/>
          <w:lang w:bidi="fa-IR"/>
        </w:rPr>
        <w:t xml:space="preserve">. </w:t>
      </w:r>
      <w:r>
        <w:rPr>
          <w:rStyle w:val="FootnoteAnchor"/>
          <w:rtl w:val="true"/>
        </w:rPr>
        <w:footnoteReference w:id="985"/>
      </w:r>
    </w:p>
    <w:p>
      <w:pPr>
        <w:pStyle w:val="Heading3"/>
        <w:numPr>
          <w:ilvl w:val="2"/>
          <w:numId w:val="1"/>
        </w:numPr>
        <w:rPr/>
      </w:pPr>
      <w:bookmarkStart w:id="1068" w:name="__RefHeading___Toc634625_581953129"/>
      <w:bookmarkStart w:id="1069" w:name="_Toc408"/>
      <w:bookmarkEnd w:id="1068"/>
      <w:r>
        <w:rPr>
          <w:rtl w:val="true"/>
        </w:rPr>
        <w:t>التعریف بالمفسّرین بالأسلوب البیانی فی العصر الجدید</w:t>
      </w:r>
      <w:bookmarkEnd w:id="10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أمین الخولّی، هو مؤلّف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محاضرات فی الأمثال القرآنیة، والکتاب عباراة مجموعة محاضرات ألقیت فی جامعة الأزهر فی القاهرة علی طلاّب المرحلة العالیة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الدکتورة عایشه عبد الرحمن، بنتُ الشاطی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البیانی للقرآن الکریم، والإعجاز البیانی للقرآن الکریم، وهی تدّعی أنّها تلمیذة أمین الخولّی و السائرة علی نهجه التفسیری، وکتابها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البیانی مکوّن من جزأین، الجزء الأوّل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سور الضحی، والانشراح، والزلزال، والنازعات، والعادیات، والبلد و التکاثر، والجزء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سور العلق، والقلم، والعصر، واللیل، والفجر، والهمزة، والماعون</w:t>
      </w:r>
      <w:r>
        <w:rPr>
          <w:rFonts w:eastAsia="IRNazanin" w:cs="IRNazanin"/>
          <w:color w:val="111111"/>
          <w:sz w:val="28"/>
          <w:szCs w:val="28"/>
          <w:rtl w:val="true"/>
          <w:lang w:bidi="fa-IR"/>
        </w:rPr>
        <w:t xml:space="preserve">. </w:t>
      </w:r>
      <w:r>
        <w:rPr>
          <w:rStyle w:val="FootnoteAnchor"/>
          <w:rtl w:val="true"/>
        </w:rPr>
        <w:footnoteReference w:id="98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الدکتور محمّد حسین علی الصغیر، مؤلّف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 الفنّیة فی المثل القرآنی، والکتاب تفسیرٌ بلاغی مع نقد وتحقیق مرفق</w:t>
      </w:r>
      <w:r>
        <w:rPr>
          <w:rFonts w:eastAsia="IRNazanin" w:cs="IRNazanin"/>
          <w:color w:val="111111"/>
          <w:sz w:val="28"/>
          <w:szCs w:val="28"/>
          <w:rtl w:val="true"/>
          <w:lang w:bidi="fa-IR"/>
        </w:rPr>
        <w:t xml:space="preserve">. </w:t>
      </w:r>
      <w:r>
        <w:rPr>
          <w:rStyle w:val="FootnoteAnchor"/>
          <w:rtl w:val="true"/>
        </w:rPr>
        <w:footnoteReference w:id="987"/>
      </w:r>
    </w:p>
    <w:p>
      <w:pPr>
        <w:pStyle w:val="Heading3"/>
        <w:numPr>
          <w:ilvl w:val="2"/>
          <w:numId w:val="1"/>
        </w:numPr>
        <w:rPr/>
      </w:pPr>
      <w:bookmarkStart w:id="1070" w:name="__RefHeading___Toc634627_581953129"/>
      <w:bookmarkStart w:id="1071" w:name="_Toc409"/>
      <w:bookmarkEnd w:id="1070"/>
      <w:r>
        <w:rPr>
          <w:rtl w:val="true"/>
        </w:rPr>
        <w:t>التفسیر الترتیبی المطابق لترتیب النزول</w:t>
      </w:r>
      <w:bookmarkEnd w:id="1071"/>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أحد التطوّرات الخاصّة بالعصر الحاضر هو تدوین التفسیر وفق ترتیب النزول، مع إنّ مصحف الإمام علی علیه السّلام یعتبر أوّل تفسیر ترتیبی کتب وفق هذا المنهج، غیر أنّ</w:t>
      </w:r>
    </w:p>
    <w:p>
      <w:pPr>
        <w:pStyle w:val="BookText"/>
        <w:rPr/>
      </w:pPr>
      <w:r>
        <w:rPr>
          <w:rFonts w:ascii="IRNazanin" w:hAnsi="IRNazanin" w:eastAsia="IRNazanin"/>
          <w:color w:val="111111"/>
          <w:sz w:val="28"/>
          <w:sz w:val="28"/>
          <w:szCs w:val="28"/>
          <w:rtl w:val="true"/>
          <w:lang w:bidi="fa-IR"/>
        </w:rPr>
        <w:t>هذا الأسلوب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وللأسف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یعتمد لقرون طویلة، ولم یلقَ اهتماماً، ولعلّ ذلک هو لقلّة وجود الأدلّة و الإسناد القطعی و الکافی، لأجل ترتیب الآیات و السور وفق نزولها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 حالٍ فإنّ الفکرة قد زُرعت فی هذا العصر ووجد لهذا الأسلوب من یجدّد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أهمّ أسماء التفاسیر التی تصدّت لذلک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المعانی علی حسب ترتیب النزول، تألیف عبد القادر ملاّ حویش آل غازی الحنفی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ویعود تاریخ التألیف لسنة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ق، و هو تفسیر لکلّ سور القرآن 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ضمن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وأسلوبه فی العمل هو أن یبین فی البدء معانی الآیات، ثمّ یقوم بتحلیلها ویأتی بالآیات التی تستهدف ذلک المرمی، ویذکر الناسخ و المنسوخ منها ویعطی توضیحها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الحدیث، تألیف محمّد عزّت دروزة النابلسی المالکی الأشعری، المتوفّی سنة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قام المؤلِّف بتفسیر کلّ القرآن وفق ترتیب نزوله، وذلک 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مجلّدت ضمن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وابتدأ التفسیر من سورة الحمد، وسورة العلق، وانتهی إلی سورة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مارس فی تفسیر کلّ آیة الاستعانة بالآیات الأخری التی لها دخل فی فهمها، وأسلوبه هذا هو نفسه یعتبر نوع من تفسیر القرآن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أوّل کلّ سورة یذکر فضیلتها، ویبین خطوطها العریضة، ثمّ یقوم بتفسیر الآیات بذکر معانیها ومفرداتها، وسیاق الآیات ویورد الروایات المرتبطة بشأن نزولها ویبینها ویفسّرها علی شکل تعلیقة علیها</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هذا التفسیر تابع المؤلِّف بعض الموضوعات الاجتماعیة و التاریخیة، و قد کتب لهذا التفسیر مقدّمات من أربعة فصول فی 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القرآن، و أنّ القرآن وحی إلهی، وجمع القرآن، وتدوینه، وقراءاته، وطریق فهمه وتفسیره، و قد أعدّ بحث الفصل الرابع لتعلیقاته علی التفاسیر وأسالیبها</w:t>
      </w:r>
      <w:r>
        <w:rPr>
          <w:rFonts w:eastAsia="IRNazanin" w:cs="IRNazanin"/>
          <w:color w:val="111111"/>
          <w:sz w:val="28"/>
          <w:szCs w:val="28"/>
          <w:rtl w:val="true"/>
          <w:lang w:bidi="fa-IR"/>
        </w:rPr>
        <w:t>.</w:t>
      </w:r>
      <w:bookmarkStart w:id="1072" w:name="pg5285_67608"/>
    </w:p>
    <w:p>
      <w:pPr>
        <w:pStyle w:val="BookText"/>
        <w:rPr/>
      </w:pPr>
      <w:bookmarkEnd w:id="1072"/>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 به پای وحی،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إثر الوحی، قام بتألیفه مهدی بازرگان،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هو تفسیر تدبّری کتب علی أساس ترتیب النزول، و هو تفسیر ناقص مکوّن من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من الآیات نظّمتْ تنظیماً خاصّاً وفسّرت وفق ترتیب النزول، وبعد ذلک تعرّض إلی موضوعات العلوم التجربیة</w:t>
      </w:r>
      <w:r>
        <w:rPr>
          <w:rFonts w:eastAsia="IRNazanin" w:cs="IRNazanin"/>
          <w:color w:val="111111"/>
          <w:sz w:val="28"/>
          <w:szCs w:val="28"/>
          <w:rtl w:val="true"/>
          <w:lang w:bidi="fa-IR"/>
        </w:rPr>
        <w:t>.</w:t>
      </w:r>
    </w:p>
    <w:p>
      <w:pPr>
        <w:pStyle w:val="Heading3"/>
        <w:numPr>
          <w:ilvl w:val="2"/>
          <w:numId w:val="1"/>
        </w:numPr>
        <w:rPr/>
      </w:pPr>
      <w:bookmarkStart w:id="1073" w:name="__RefHeading___Toc634629_581953129"/>
      <w:bookmarkStart w:id="1074" w:name="_Toc410"/>
      <w:bookmarkEnd w:id="1073"/>
      <w:r>
        <w:rPr>
          <w:rtl w:val="true"/>
        </w:rPr>
        <w:t>التفاسیر العلمیة</w:t>
      </w:r>
      <w:bookmarkEnd w:id="1074"/>
    </w:p>
    <w:p>
      <w:pPr>
        <w:pStyle w:val="BookText"/>
        <w:rPr/>
      </w:pPr>
      <w:r>
        <w:rPr>
          <w:rFonts w:ascii="IRNazanin" w:hAnsi="IRNazanin" w:eastAsia="IRNazanin"/>
          <w:color w:val="111111"/>
          <w:sz w:val="28"/>
          <w:sz w:val="28"/>
          <w:szCs w:val="28"/>
          <w:rtl w:val="true"/>
          <w:lang w:bidi="fa-IR"/>
        </w:rPr>
        <w:t xml:space="preserve">تزامناً مع تطوّر العلوم التجربیة واتّساع المدرسة التجربیة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العلمیه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الکثیر من العلماء حرصاً منهم علی إظهار الدین ونصوصه خصوصاً القرآن مظهراً متناسباً مع العصر الحاضر اندفعوا إلی التفسیر العلمی، ومن الطبیعی أن یکون البعض قد وقع فی الإفراط فی هذا الصدد، وهنا سنحاول تعریفاً بشکل مجمل ببعض هذه التفاسیر التی ألّفت بالاتّجاه العلمی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الجواهر فی تفسیر القرآن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طنطاوی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طنطاوی جوهری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الاتّجاه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ضمن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التفسیر أحد التفاسیر التی کتبت بالاتّجاه العلمی المُفرط، فقد بین المؤلّف منحاه التفسیری فی مقدّماته القصیرة جدّاً واضعاً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نَزَّلْنا عَلَیْکَ الْکِتابَ</w:t>
      </w:r>
      <w:bookmarkStart w:id="1075" w:name="pg5285_67609"/>
    </w:p>
    <w:p>
      <w:pPr>
        <w:pStyle w:val="BookText"/>
        <w:rPr/>
      </w:pPr>
      <w:bookmarkEnd w:id="1075"/>
      <w:r>
        <w:rPr>
          <w:rFonts w:ascii="Amiri" w:hAnsi="Amiri" w:eastAsia="Amiri" w:cs="Amiri"/>
          <w:color w:val="111111"/>
          <w:sz w:val="28"/>
          <w:sz w:val="28"/>
          <w:szCs w:val="28"/>
          <w:rtl w:val="true"/>
          <w:lang w:bidi="ar-SA"/>
        </w:rPr>
        <w:t>تِبْیاناً لِکُلِّ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88"/>
      </w:r>
      <w:r>
        <w:rPr>
          <w:rFonts w:ascii="IRNazanin" w:hAnsi="IRNazanin" w:eastAsia="IRNazanin"/>
          <w:color w:val="111111"/>
          <w:sz w:val="28"/>
          <w:sz w:val="28"/>
          <w:szCs w:val="28"/>
          <w:rtl w:val="true"/>
          <w:lang w:bidi="fa-IR"/>
        </w:rPr>
        <w:t>فیشیر أنّ القرآن یدعو إلی العلوم المختلفة السماویة و الأرضیة ومن جملة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الزراعة و الطب، والمعادن و الحساب، والهندسة، والفلک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السبب هو یری أنّ فی القرآن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لها علاقة بالعلوم التجربیة، والحال أنّ الآیات المرتبطة بالفقه لا تتجاوز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ثمّ إنّه یزعم بأنّ الموضوعات التی یطرحها هی إلهام وإشارات قُدسیة</w:t>
      </w:r>
      <w:r>
        <w:rPr>
          <w:rFonts w:eastAsia="IRNazanin" w:cs="IRNazanin"/>
          <w:color w:val="111111"/>
          <w:sz w:val="28"/>
          <w:szCs w:val="28"/>
          <w:rtl w:val="true"/>
          <w:lang w:bidi="fa-IR"/>
        </w:rPr>
        <w:t xml:space="preserve">. </w:t>
      </w:r>
      <w:r>
        <w:rPr>
          <w:rStyle w:val="FootnoteAnchor"/>
          <w:rtl w:val="true"/>
        </w:rPr>
        <w:footnoteReference w:id="989"/>
      </w:r>
    </w:p>
    <w:p>
      <w:pPr>
        <w:pStyle w:val="BookText"/>
        <w:rPr/>
      </w:pPr>
      <w:r>
        <w:rPr>
          <w:rFonts w:ascii="IRNazanin" w:hAnsi="IRNazanin" w:eastAsia="IRNazanin"/>
          <w:color w:val="111111"/>
          <w:sz w:val="28"/>
          <w:sz w:val="28"/>
          <w:szCs w:val="28"/>
          <w:rtl w:val="true"/>
          <w:lang w:bidi="fa-IR"/>
        </w:rPr>
        <w:t>کما، إنّ المؤلِّف من بدایة تفسیره سورة الفاتحة یطرح الموضوعات العلمیة التی أخذها عن علماء العلوم التجربیة فی الغرب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أسلوبه العملی فی التفسیر، فهو یقوم علی هذه الأسس، فیشیر تصنیف السورة إلی أبواب، ثمّ فصول، ثمّ إلی عدّة مقاصد، وبعد ذلک یشرع بالعمل مع کلّ مقصد، فیذکر الآیة ویفسّرها لفظیاً ویعطی معانیها، ثمّ یبین الغرض من الآیة کذلک، ثمّ هو یطرح الموضوعات المرتبطة بالعلوم المختلفة التی هی أعمّ من النقل و العقل و التجربة ویوضحها، وأحیاناً یطیل فی الشرح إلی الحدّ الذی یتعب القارئ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ویعتبر الطنطاوی أکثر الأشخاص تطرّفاً بین المعتقدین بالتفسیر العلمی للقرآن الکریم، فقد بذل جهداً کبیراً لأجل تطبیق القضایا العلمیة المعاصرة علی الآیات القرآنیة، و یعتقد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جمیع العلوم، حتّی علم تحضیر الأرواح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وجود فی القرآن کذلک، و قد سعی المؤلّف إلی المزج بین آیات القرآن وازدهار الطبیعة و الصناعة و العلوم الحدیثه</w:t>
      </w:r>
      <w:r>
        <w:rPr>
          <w:rFonts w:eastAsia="IRNazanin" w:cs="IRNazanin"/>
          <w:color w:val="111111"/>
          <w:sz w:val="28"/>
          <w:szCs w:val="28"/>
          <w:rtl w:val="true"/>
          <w:lang w:bidi="fa-IR"/>
        </w:rPr>
        <w:t xml:space="preserve">. </w:t>
      </w:r>
      <w:r>
        <w:rPr>
          <w:rStyle w:val="FootnoteAnchor"/>
          <w:rtl w:val="true"/>
        </w:rPr>
        <w:footnoteReference w:id="990"/>
      </w:r>
    </w:p>
    <w:p>
      <w:pPr>
        <w:pStyle w:val="Heading3"/>
        <w:numPr>
          <w:ilvl w:val="2"/>
          <w:numId w:val="1"/>
        </w:numPr>
        <w:rPr/>
      </w:pPr>
      <w:bookmarkStart w:id="1076" w:name="__RefHeading___Toc634631_581953129"/>
      <w:bookmarkStart w:id="1077" w:name="_Toc411"/>
      <w:bookmarkEnd w:id="1076"/>
      <w:r>
        <w:rPr>
          <w:rtl w:val="true"/>
        </w:rPr>
        <w:t>سائر التفاسیر العلمیة للقرآن الکریم</w:t>
      </w:r>
      <w:bookmarkEnd w:id="10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أحمد الإسکندرانی</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الأسرار النوریة فیما</w:t>
      </w:r>
      <w:bookmarkStart w:id="1078" w:name="pg5285_67610"/>
    </w:p>
    <w:p>
      <w:pPr>
        <w:pStyle w:val="BookText"/>
        <w:rPr/>
      </w:pPr>
      <w:bookmarkEnd w:id="1078"/>
      <w:r>
        <w:rPr>
          <w:rFonts w:ascii="IRNazanin" w:hAnsi="IRNazanin" w:eastAsia="IRNazanin"/>
          <w:color w:val="111111"/>
          <w:sz w:val="28"/>
          <w:sz w:val="28"/>
          <w:szCs w:val="28"/>
          <w:rtl w:val="true"/>
          <w:lang w:bidi="fa-IR"/>
        </w:rPr>
        <w:t>یتعلّق بالأجرام السماویة و الأرضیة، والحیوانات و النباتات و الجواهر المعدنیة، و قد بذل سعیاً کثیراً للکشف عن الإشارات العلمیة فی القرآن ضمن فقرات التفسیر</w:t>
      </w:r>
      <w:r>
        <w:rPr>
          <w:rFonts w:eastAsia="IRNazanin" w:cs="IRNazanin"/>
          <w:color w:val="111111"/>
          <w:sz w:val="28"/>
          <w:szCs w:val="28"/>
          <w:rtl w:val="true"/>
          <w:lang w:bidi="fa-IR"/>
        </w:rPr>
        <w:t xml:space="preserve">. </w:t>
      </w:r>
      <w:r>
        <w:rPr>
          <w:rStyle w:val="FootnoteAnchor"/>
          <w:rtl w:val="true"/>
        </w:rPr>
        <w:footnoteReference w:id="99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عبد الرحمن الکواکبی</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صاحب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طبایع الاستبداد ومصارع الاستبعاد؛ ولأنّه یعقتد بأنّ القرآن مشتمل علی مختلف العلوم، راح یبذل جهده الواسع فی إثبات إعجاز القرآن فی الأبعاد العلمیة المختلفة</w:t>
      </w:r>
      <w:r>
        <w:rPr>
          <w:rFonts w:eastAsia="IRNazanin" w:cs="IRNazanin"/>
          <w:color w:val="111111"/>
          <w:sz w:val="28"/>
          <w:szCs w:val="28"/>
          <w:rtl w:val="true"/>
          <w:lang w:bidi="fa-IR"/>
        </w:rPr>
        <w:t xml:space="preserve">. </w:t>
      </w:r>
      <w:r>
        <w:rPr>
          <w:rStyle w:val="FootnoteAnchor"/>
          <w:rtl w:val="true"/>
        </w:rPr>
        <w:footnoteReference w:id="99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السیر سید أحمد خان الهندی</w:t>
      </w:r>
      <w:r>
        <w:rPr>
          <w:rFonts w:eastAsia="IRNazanin" w:cs="IRNazanin"/>
          <w:color w:val="111111"/>
          <w:sz w:val="28"/>
          <w:szCs w:val="28"/>
          <w:rtl w:val="true"/>
          <w:lang w:bidi="fa-IR"/>
        </w:rPr>
        <w:t>(</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تفسیره المعنون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القرآن، و هو الهدی و 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سعی فی جهده لتطبیق الموازین الشرعیة علی النتائج العلمیة الحدیثة؛ ولکونه متأثراً ومنبهراً بعلوم الغرب، فقد أسّس جامعة وفق هذه الأفکار سنة </w:t>
      </w:r>
      <w:r>
        <w:rPr>
          <w:rFonts w:eastAsia="IRNazanin" w:cs="IRNazanin"/>
          <w:color w:val="111111"/>
          <w:sz w:val="28"/>
          <w:szCs w:val="28"/>
          <w:lang w:bidi="fa-IR"/>
        </w:rPr>
        <w:t>1875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Style w:val="FootnoteAnchor"/>
          <w:rtl w:val="true"/>
        </w:rPr>
        <w:footnoteReference w:id="99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المنعم الجمالی من مفسّری القرن الرابع عشر وصاحب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الفرید، و هو کذلک لسبب حضوره فی بریطانیا اتّخذ قراراً علی کتابة تفسیر علمی، و قد ألّفه فی أربع مجلّدات وبصورة مختصرة، وطرح فیها الموضوعات العلمیة، و قد طُبع هذا التفسیر فی سنة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994"/>
      </w:r>
    </w:p>
    <w:p>
      <w:pPr>
        <w:pStyle w:val="Heading3"/>
        <w:numPr>
          <w:ilvl w:val="2"/>
          <w:numId w:val="1"/>
        </w:numPr>
        <w:rPr/>
      </w:pPr>
      <w:bookmarkStart w:id="1079" w:name="__RefHeading___Toc634633_581953129"/>
      <w:bookmarkStart w:id="1080" w:name="_Toc412"/>
      <w:bookmarkEnd w:id="1079"/>
      <w:r>
        <w:rPr>
          <w:rtl w:val="true"/>
        </w:rPr>
        <w:t xml:space="preserve">التفاسیر الفقهیة فی القرن </w:t>
      </w:r>
      <w:r>
        <w:rPr/>
        <w:t>14</w:t>
      </w:r>
      <w:r>
        <w:rPr>
          <w:rtl w:val="true"/>
        </w:rPr>
        <w:t>ق</w:t>
      </w:r>
      <w:bookmarkEnd w:id="1080"/>
    </w:p>
    <w:p>
      <w:pPr>
        <w:pStyle w:val="BookText"/>
        <w:rPr/>
      </w:pPr>
      <w:r>
        <w:rPr>
          <w:rFonts w:ascii="IRNazanin" w:hAnsi="IRNazanin" w:eastAsia="IRNazanin"/>
          <w:color w:val="111111"/>
          <w:sz w:val="28"/>
          <w:sz w:val="28"/>
          <w:szCs w:val="28"/>
          <w:rtl w:val="true"/>
          <w:lang w:bidi="fa-IR"/>
        </w:rPr>
        <w:t>ومضافاً إلی المؤلّفات الجدیدة وما حدث من التطوّرات فی القرن الرابع عشر، فإنّ هناک علماء کثیرون کتبوا تفاسیر فقهیة، و هذه أهمّها نُشیر إلیها علی الآتی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آیات الأحکام، لمؤلّفه أحمد زینی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نیل المرام من تفسیر آیات الأحکام، تألیف أبو طیب، سید محمّد صدیق حسن</w:t>
      </w:r>
    </w:p>
    <w:p>
      <w:pPr>
        <w:pStyle w:val="BookText"/>
        <w:rPr/>
      </w:pPr>
      <w:r>
        <w:rPr>
          <w:rFonts w:ascii="IRNazanin" w:hAnsi="IRNazanin" w:eastAsia="IRNazanin"/>
          <w:color w:val="111111"/>
          <w:sz w:val="28"/>
          <w:sz w:val="28"/>
          <w:szCs w:val="28"/>
          <w:rtl w:val="true"/>
          <w:lang w:bidi="fa-IR"/>
        </w:rPr>
        <w:t>خان البخاری الهندی</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من أهل السنّة، شافعی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التفسیر هو علی ترتیب آیات القرآن ومن دون التبویب الفقهی، و قد مارس تفسیر الآیات بصورة ملخّصة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وتفسیره هذا هو من مجلّد واحد، وباللغة العربیة، و قد استوعب فی تفسیره أکثر من خمسمائة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وللمؤلّف مؤلّفات قرآنیة أخری، ومن 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البیان فی مقاصد القرآن، والإکسیر فی أصول التفسیر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الأحکام، حسین عمر یمینی</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الأحکام، السید محمّد حسین الطباطبائی الیزدی</w:t>
      </w:r>
      <w:r>
        <w:rPr>
          <w:rFonts w:eastAsia="IRNazanin" w:cs="IRNazanin"/>
          <w:color w:val="111111"/>
          <w:sz w:val="28"/>
          <w:szCs w:val="28"/>
          <w:rtl w:val="true"/>
          <w:lang w:bidi="fa-IR"/>
        </w:rPr>
        <w:t>(</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علماء الشیعة الکبار، و هو حفید الفقیه الکبیر السید محمّد کاظم الیزدی صاحب 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تفسیر فقهی مختصر یقوم علی أساس مذهب الشیعة الإمامیة، و قد ألّف فی مجلّد واحد وعلی حسب ترتیب آیات القرآن، لا علی ترتیب الأبواب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بذل المفسّر سعیه فی طرح آراء المذاهب السنیة الأربعة کذلک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آیات الأحکام، للمؤلّف الشیخ محمّد علی السایس، و هو من أتباع المذهب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وُلِدَ فی المدینة سنة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وتوفّی فی القاهرة سنة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هذا التفسیر کُتب باللغة العربیة، وفی مجلّد واحد، وطُبع 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أجزاء، و هو کتاب تدریس لطلاّب جامعة الأزهر فی مصر سابقاً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روایع البیان، تفسیر آیات الأحکام، تألیف محمّد علی الصابونی، و هذا الکتاب ألّف باللغة العربیة فی سنة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وطُبع فی السنة نفسها فی مجلّدین، والمؤلّف من أساتذة کلّیة الشریعة فی مکّة المکرّمة</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فسَّر کلّ آیة مرتبطة بالفقه، ولکن لا علی أساس أبواب الفقه، وللمؤلّف تفسیر آخر فی ثلاثة مجلّدات وتحت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صفوة التفاسیر، و هو خلاصة تفسیر الطبری، وابن کثیر، وروح البیان</w:t>
      </w:r>
      <w:r>
        <w:rPr>
          <w:rFonts w:eastAsia="IRNazanin" w:cs="IRNazanin"/>
          <w:color w:val="111111"/>
          <w:sz w:val="28"/>
          <w:szCs w:val="28"/>
          <w:rtl w:val="true"/>
          <w:lang w:bidi="fa-IR"/>
        </w:rPr>
        <w:t>.</w:t>
      </w:r>
      <w:bookmarkStart w:id="1081" w:name="pg5285_67612"/>
    </w:p>
    <w:p>
      <w:pPr>
        <w:pStyle w:val="Heading3"/>
        <w:numPr>
          <w:ilvl w:val="2"/>
          <w:numId w:val="1"/>
        </w:numPr>
        <w:rPr/>
      </w:pPr>
      <w:bookmarkStart w:id="1082" w:name="__RefHeading___Toc634635_581953129"/>
      <w:bookmarkStart w:id="1083" w:name="_Toc413"/>
      <w:bookmarkEnd w:id="1081"/>
      <w:bookmarkEnd w:id="1082"/>
      <w:r>
        <w:rPr>
          <w:rtl w:val="true"/>
        </w:rPr>
        <w:t>تفاسیر الشیعة</w:t>
      </w:r>
      <w:bookmarkEnd w:id="1083"/>
    </w:p>
    <w:p>
      <w:pPr>
        <w:pStyle w:val="Heading4"/>
        <w:numPr>
          <w:ilvl w:val="3"/>
          <w:numId w:val="1"/>
        </w:numPr>
        <w:rPr/>
      </w:pPr>
      <w:bookmarkStart w:id="1084" w:name="__RefHeading___Toc634637_581953129"/>
      <w:bookmarkStart w:id="1085" w:name="_Toc414"/>
      <w:bookmarkEnd w:id="1084"/>
      <w:r>
        <w:rPr/>
        <w:t>1</w:t>
      </w:r>
      <w:r>
        <w:rPr>
          <w:rtl w:val="true"/>
        </w:rPr>
        <w:t xml:space="preserve">. </w:t>
      </w:r>
      <w:r>
        <w:rPr>
          <w:rtl w:val="true"/>
        </w:rPr>
        <w:t>پرتوی از قرآن، أی</w:t>
      </w:r>
      <w:r>
        <w:rPr>
          <w:rtl w:val="true"/>
        </w:rPr>
        <w:t xml:space="preserve">: </w:t>
      </w:r>
      <w:r>
        <w:rPr>
          <w:rtl w:val="true"/>
        </w:rPr>
        <w:t>من سناء القرآن</w:t>
      </w:r>
      <w:r>
        <w:rPr>
          <w:rtl w:val="true"/>
        </w:rPr>
        <w:t>.</w:t>
      </w:r>
      <w:bookmarkEnd w:id="1085"/>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محمود الطالقانی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الاتّجاه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المؤلّف هو السید محمود الطالقانی</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علماء الشیعة المجاهدین، والأوّل من صلّی صلاة الجمعة فی طهران بعد انتصار الثورة الإسلامیة المبارکة 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کتب المؤلّف تفسیره هذا فی السجن؛ أثنا اعتقاله بسب النضال ضد الطاغوت شاه إیران، باللغة الفارسیة متناولاً فیه تفسیر سورة الحمد، وإلی قسم من سورة النساء، وکذا الجزء الآخر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ولکون المفسّر یعدّ من المصلحین و المجاهدین اهتمّ فی طرح القضایا الاجتماعیة التی لها علاقتها فی إصلاح المجتمع و الأخذ به إلی الهدایة و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وتعرّض المفسّر إلی ما هو یستنهض الناس وینفخ فیهم روح الکفاح و الثورة بشکل خاصّ، کما وإنّه بین فی تفسیره أموراً علمیة کذلک مستفیداً من العلوم الحدیثة ومعوّلاً علی تفسیر الجواهر للطنطاوی هذا، و قد استفاد من تفسیر مجمع البیان و المنار أیضاً، ونقل عنهما بعض الموضوعات</w:t>
      </w:r>
      <w:r>
        <w:rPr>
          <w:rFonts w:eastAsia="IRNazanin" w:cs="IRNazanin"/>
          <w:color w:val="111111"/>
          <w:sz w:val="28"/>
          <w:szCs w:val="28"/>
          <w:rtl w:val="true"/>
          <w:lang w:bidi="fa-IR"/>
        </w:rPr>
        <w:t>.</w:t>
      </w:r>
    </w:p>
    <w:p>
      <w:pPr>
        <w:pStyle w:val="Heading4"/>
        <w:numPr>
          <w:ilvl w:val="3"/>
          <w:numId w:val="1"/>
        </w:numPr>
        <w:rPr/>
      </w:pPr>
      <w:bookmarkStart w:id="1086" w:name="__RefHeading___Toc634639_581953129"/>
      <w:bookmarkStart w:id="1087" w:name="_Toc415"/>
      <w:bookmarkEnd w:id="1086"/>
      <w:r>
        <w:rPr/>
        <w:t>2</w:t>
      </w:r>
      <w:r>
        <w:rPr>
          <w:rtl w:val="true"/>
        </w:rPr>
        <w:t xml:space="preserve">. </w:t>
      </w:r>
      <w:r>
        <w:rPr>
          <w:rtl w:val="true"/>
        </w:rPr>
        <w:t>القرآن و العقل</w:t>
      </w:r>
      <w:bookmarkEnd w:id="1087"/>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نور الدین الحسینی العراقی</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المؤلّف هو من أکابر علماء الشیعة، ومن المتّقین فی عصره، و قد جمع بین المعقول و المنقول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أراکی الولادة ونجفیّ التحصیل، وله اجتهاده فی الفقه، والأصول، والکلام، والحکمة، والعرفان، والتفسیر، وکان ممّن فازوا بلقاء الإمام‌المهدیّ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کتب التفسیر هذا وفق الأسلوب العقلی، حیث الإدراک و الفهم، والتدبّر العمیق فی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وتزامنت کتابته مع أیام جهاد المسلمین فی العراق مع أعداء الإسلام، حیث کان هو واحدٌ منهم فی سوح الجهاد، وکلّما سنحت له فرصة تناول القلم و القرطاس، وکتب شیئاً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ووفقاً للتصریحات المختلفة، فإنّ المؤلّف أثنار تألیفه هذا التفسیر لم تکن معه المصادر الروائیة و اللغویة، نعم، ذکر فی بعض المواضع أنّه فی بدایة کتابته کان معه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الأصول، وفی موضع آخر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الجلالین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کتب فی هذا المجال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عندی من الکتب شیء إلاّ معالم الأصول الذی یقرءه قرّة عینی، السید عطاء الله، لا من اللغة، ولا الأخبار، ولا التفاسیر أی شیء ولیس معی‌إلاّ عقلی</w:t>
      </w:r>
      <w:r>
        <w:rPr>
          <w:rFonts w:eastAsia="IRNazanin" w:cs="IRNazanin"/>
          <w:color w:val="111111"/>
          <w:sz w:val="28"/>
          <w:szCs w:val="28"/>
          <w:rtl w:val="true"/>
          <w:lang w:bidi="fa-IR"/>
        </w:rPr>
        <w:t xml:space="preserve">». </w:t>
      </w:r>
      <w:r>
        <w:rPr>
          <w:rStyle w:val="FootnoteAnchor"/>
          <w:rtl w:val="true"/>
        </w:rPr>
        <w:footnoteReference w:id="995"/>
      </w:r>
    </w:p>
    <w:p>
      <w:pPr>
        <w:pStyle w:val="BookText"/>
        <w:rPr/>
      </w:pPr>
      <w:r>
        <w:rPr>
          <w:rFonts w:ascii="IRNazanin" w:hAnsi="IRNazanin" w:eastAsia="IRNazanin"/>
          <w:color w:val="111111"/>
          <w:sz w:val="28"/>
          <w:sz w:val="28"/>
          <w:szCs w:val="28"/>
          <w:rtl w:val="true"/>
          <w:lang w:bidi="fa-IR"/>
        </w:rPr>
        <w:t xml:space="preserve">وشبیه هذا التعبیر جاء بیانه فی ذیل الآیات </w:t>
      </w:r>
      <w:r>
        <w:rPr>
          <w:rFonts w:eastAsia="IRNazanin" w:cs="IRNazanin"/>
          <w:color w:val="111111"/>
          <w:sz w:val="28"/>
          <w:szCs w:val="28"/>
          <w:lang w:bidi="fa-IR"/>
        </w:rPr>
        <w:t>282</w:t>
      </w:r>
      <w:r>
        <w:rPr>
          <w:rFonts w:ascii="IRNazanin" w:hAnsi="IRNazanin" w:eastAsia="IRNazanin"/>
          <w:color w:val="111111"/>
          <w:sz w:val="28"/>
          <w:sz w:val="28"/>
          <w:szCs w:val="28"/>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البقرة، والآیة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المائدة، و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الأنعام</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قدّم علماء أجلاء تقریظاً، وکتبوا لهذا التفسیر مقدّمة، ومن جملتهم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bookmarkStart w:id="1088" w:name="pg5285_67614"/>
    </w:p>
    <w:p>
      <w:pPr>
        <w:pStyle w:val="BookText"/>
        <w:rPr/>
      </w:pPr>
      <w:bookmarkEnd w:id="1088"/>
      <w:r>
        <w:rPr>
          <w:rFonts w:ascii="IRNazanin" w:hAnsi="IRNazanin" w:eastAsia="IRNazanin"/>
          <w:color w:val="111111"/>
          <w:sz w:val="28"/>
          <w:sz w:val="28"/>
          <w:szCs w:val="28"/>
          <w:rtl w:val="true"/>
          <w:lang w:bidi="fa-IR"/>
        </w:rPr>
        <w:t>الله العظمی الشیخ محمّد علی الأراکی رحمه الله، وکذلک مقدّمات السید حسین موسوی کرمانی، والشیخ علی پناه اشتهاردی، وقام العلاّمة الطباطبائی بإصلاح وتصحیح بعضاً من الکتاب بالأسلوب العلمی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 مثل هذا التفسیر بین تفاسیر الشیعة و السُنّة، و هذا الکتاب نافع لدفع شبهات زماننا</w:t>
      </w:r>
      <w:r>
        <w:rPr>
          <w:rFonts w:eastAsia="IRNazanin" w:cs="IRNazanin"/>
          <w:color w:val="111111"/>
          <w:sz w:val="28"/>
          <w:szCs w:val="28"/>
          <w:rtl w:val="true"/>
          <w:lang w:bidi="fa-IR"/>
        </w:rPr>
        <w:t xml:space="preserve">. </w:t>
      </w:r>
      <w:r>
        <w:rPr>
          <w:rStyle w:val="FootnoteAnchor"/>
          <w:rtl w:val="true"/>
        </w:rPr>
        <w:footnoteReference w:id="996"/>
      </w:r>
    </w:p>
    <w:p>
      <w:pPr>
        <w:pStyle w:val="Heading4"/>
        <w:numPr>
          <w:ilvl w:val="3"/>
          <w:numId w:val="1"/>
        </w:numPr>
        <w:rPr/>
      </w:pPr>
      <w:bookmarkStart w:id="1089" w:name="__RefHeading___Toc634641_581953129"/>
      <w:bookmarkStart w:id="1090" w:name="_Toc416"/>
      <w:bookmarkEnd w:id="1089"/>
      <w:r>
        <w:rPr/>
        <w:t>3</w:t>
      </w:r>
      <w:r>
        <w:rPr>
          <w:rtl w:val="true"/>
        </w:rPr>
        <w:t xml:space="preserve">. </w:t>
      </w:r>
      <w:r>
        <w:rPr>
          <w:rtl w:val="true"/>
        </w:rPr>
        <w:t>بیان السعادة فی مقامات العبادة</w:t>
      </w:r>
      <w:bookmarkEnd w:id="1090"/>
    </w:p>
    <w:p>
      <w:pPr>
        <w:pStyle w:val="BookText"/>
        <w:rPr/>
      </w:pPr>
      <w:r>
        <w:rPr>
          <w:rFonts w:ascii="IRNazanin" w:hAnsi="IRNazanin" w:eastAsia="IRNazanin"/>
          <w:color w:val="111111"/>
          <w:sz w:val="28"/>
          <w:sz w:val="28"/>
          <w:szCs w:val="28"/>
          <w:rtl w:val="true"/>
          <w:lang w:bidi="fa-IR"/>
        </w:rPr>
        <w:t xml:space="preserve">المؤلّف هو سلطان محمّد الکِنْدی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لقبیلة کندة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کنابادی</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هذا التفسیر مکوّن یقع فی أربعة مجلّدات، و هو باللغة العربیة، و قد ألّفه صاحبه وفق الاتّجاه العرفانی و الفلسفی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والکنابادی من علماء الشیعة العارفین، له مؤلّفات متعدّدة فی الفارسیة و العربیة، و هو علی المسلک الصوفی؛ ومن هذا المنطلق کان تفسیره علی أساس المسلک الصوفی، وله اهتمام خاصّ بروایات الرسول صلّی الله علیه و آله و الأئمّة الأطهار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یذکر البعد اللغوی وینقل روایات أسباب النزول، ویشیر إلی النکات المحصّلات العرفانیة و الفلسفیة فی تفسیره</w:t>
      </w:r>
      <w:r>
        <w:rPr>
          <w:rFonts w:eastAsia="IRNazanin" w:cs="IRNazanin"/>
          <w:color w:val="111111"/>
          <w:sz w:val="28"/>
          <w:szCs w:val="28"/>
          <w:rtl w:val="true"/>
          <w:lang w:bidi="fa-IR"/>
        </w:rPr>
        <w:t>.</w:t>
      </w:r>
    </w:p>
    <w:p>
      <w:pPr>
        <w:pStyle w:val="Heading4"/>
        <w:numPr>
          <w:ilvl w:val="3"/>
          <w:numId w:val="1"/>
        </w:numPr>
        <w:rPr/>
      </w:pPr>
      <w:bookmarkStart w:id="1091" w:name="__RefHeading___Toc634643_581953129"/>
      <w:bookmarkStart w:id="1092" w:name="_Toc417"/>
      <w:bookmarkEnd w:id="1091"/>
      <w:r>
        <w:rPr/>
        <w:t>4</w:t>
      </w:r>
      <w:r>
        <w:rPr>
          <w:rtl w:val="true"/>
        </w:rPr>
        <w:t xml:space="preserve">. </w:t>
      </w:r>
      <w:r>
        <w:rPr>
          <w:rtl w:val="true"/>
        </w:rPr>
        <w:t>آلاء الرحمن فی تفسیر القرآن</w:t>
      </w:r>
      <w:bookmarkEnd w:id="1092"/>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کتب بقلم العلاّمة محمّد جواد البلاغی النجفی</w:t>
      </w:r>
      <w:r>
        <w:rPr>
          <w:rFonts w:eastAsia="IRNazanin" w:cs="IRNazanin"/>
          <w:color w:val="111111"/>
          <w:sz w:val="28"/>
          <w:szCs w:val="28"/>
          <w:rtl w:val="true"/>
          <w:lang w:bidi="fa-IR"/>
        </w:rPr>
        <w:t>(</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من علماء الشیعة، ممّن‌له اختصاص فی علوم متنوعة، کما کان قدیر فی النقد و التحلیل، وله مقدّمة قیمة جدّاً فی موضوعات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استعیرت لکثیر من التفاسیر ومن جملة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مجمع البیان وتفسیر 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التفسیر ألّف وفق المنهج</w:t>
      </w:r>
      <w:bookmarkStart w:id="1093" w:name="pg5285_67615"/>
    </w:p>
    <w:p>
      <w:pPr>
        <w:pStyle w:val="BookText"/>
        <w:rPr/>
      </w:pPr>
      <w:bookmarkEnd w:id="1093"/>
      <w:r>
        <w:rPr>
          <w:rFonts w:ascii="IRNazanin" w:hAnsi="IRNazanin" w:eastAsia="IRNazanin"/>
          <w:color w:val="111111"/>
          <w:sz w:val="28"/>
          <w:sz w:val="28"/>
          <w:szCs w:val="28"/>
          <w:rtl w:val="true"/>
          <w:lang w:bidi="fa-IR"/>
        </w:rPr>
        <w:t xml:space="preserve">الاستدلالی، و هو مکوّن من مجلّدین وإلی الآیة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استفاد من الروایات المختلفة فی سبیل الدفاع عن حریم الشیعة، کما بین نقاط ضعف التورات و الإنجیل المتداولة، ونقد التفسیر المنسوب إلی الإمام الحسن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بدایة تفسیره ذکر مصادره الروائیة وغیر الروائیة</w:t>
      </w:r>
      <w:r>
        <w:rPr>
          <w:rFonts w:eastAsia="IRNazanin" w:cs="IRNazanin"/>
          <w:color w:val="111111"/>
          <w:sz w:val="28"/>
          <w:szCs w:val="28"/>
          <w:rtl w:val="true"/>
          <w:lang w:bidi="fa-IR"/>
        </w:rPr>
        <w:t>.</w:t>
      </w:r>
    </w:p>
    <w:p>
      <w:pPr>
        <w:pStyle w:val="Heading4"/>
        <w:numPr>
          <w:ilvl w:val="3"/>
          <w:numId w:val="1"/>
        </w:numPr>
        <w:rPr/>
      </w:pPr>
      <w:bookmarkStart w:id="1094" w:name="__RefHeading___Toc634645_581953129"/>
      <w:bookmarkStart w:id="1095" w:name="_Toc418"/>
      <w:bookmarkEnd w:id="1094"/>
      <w:r>
        <w:rPr/>
        <w:t>5</w:t>
      </w:r>
      <w:r>
        <w:rPr>
          <w:rtl w:val="true"/>
        </w:rPr>
        <w:t xml:space="preserve">. </w:t>
      </w:r>
      <w:r>
        <w:rPr>
          <w:rtl w:val="true"/>
        </w:rPr>
        <w:t>سائر تفاسیر الشیعة فی القرن الرابع عشر</w:t>
      </w:r>
      <w:bookmarkEnd w:id="10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الحقائق عن نکت الآیات الدقائق، لمیر محمّد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حیاّ لسنة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التفسیر فی الأصل ألّف باللغة الترکیة وعلی المنهج الروائی الاستدلالی و التحلیلی، و قد طُبعت ترجمة السید عبد المجید صادق نوبری إلی الفارسیة فی ثلاثة مجلّدات، وکذا فی مجلّدین لنفس المترجم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همه،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القران للجمیع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لوامع التنزیل وسواطع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أبو القاسم رضوی اللّاهوری</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علماء الشیعة فی الهند، ألّف باللغة الفارسیة فی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 وبالاتّجاه الکلامی و المنهج الروائی، و قد کتب ابنه الجزأین الأخیرین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کیوان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لعبّاس علی کیوان القزوینی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 هو من علماء، الشیعة المتصوّفة، ألّف باللغة الفارسیة، فی أربع مجلّدات بالاتّجاه الکلامی مع التأکید علی الموضوعات الفقهیة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مقتنیات الدرر وملتقطات الثمر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لمیر سید علی الحائری الطهرانی</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ألّف باللغة العربیة 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 بالاتّجاه الاجتماعی و التربوی، والارشادی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واهتمّ فی تفسیر کلّ آیة بنقل روایات أسباب النزول، وذکر فضائل سورتها وإیراد روایاتها التفسیریة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نفحات الرحمن فی تفسیر القرآن، لمحمّد بن عبد الرحیم النهاوندی</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هذا التفسیر ألّف باللغتین العربیة و 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العربیة فی أعلی الصفحة و الفارسیة فی أدناها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ونشر فی أربعة مجلّدات رحلیة کبیرة، و هو بالمنهج الاجتهادی، و یستفید من الآیات و الروایات من خلال تحلیلها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اهتمّ المؤلّف بشکل خاصّ بأسرار الآیات و العلائق القائمة بین السور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العاملی، لإبراهیم العاملی المعروف بالموثّق</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کتبه فی ثمانیة مجلّدات، باللغة الفارسیة، بالاتّجاه الاجتماعی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واستفاد المؤلّف من التفاسیر المختلفة للشیعة وأهل السنّة، کما نقل متونهم، ومن جملة تلک التفاسیر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 و الکشّاف، والتفسیر الکبیر، و التبیان، و تفسیر البیضاوی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اهتمّ المؤلّف بروایات أهل‌البیت علیهم السّلام، وکذا تعرّض فی تفسیره إلی الموضوعات العرفانیة و الکلامیة و الفلسفیة و الإشارات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خلاصة البیان فی تفسیر القرآن، للسید هاشم الحسینی المیردامادی المعروف بالنجف أبادی</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کتب تفسیره هذا باللغة الفارسیة فی ثمانیة مجلّدات، بالاتجاه الاجتماعی وبالأسلوب السلس البسیط الذی یمکن فهمه بسهولة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الاثنی عشری، لحسین بن أحمد الحسینی الشاه عبد العظیمی</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والمکوّن من أربعة عشر مجلّداً، وباللغة الفارسیة، و قد کتب بأسلوب 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التفسیر هو فی الواقع یعتنی بالمنهج الروائی والاتّجاه الاجتماعی، وله مقدّمة مفیدة فی بحوث علوم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خسروی، لعلی رضا میرزا خسروانی</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العائلة القاجاریة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التفسیر أیضاً فی ثمانیة مجلّدات وباللغة الفارسیة، و قد کتبه بأسلوب مبسّط لعموم الناس کی یسهل فهمه للجمیع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محاضرات فی تفسیر القرآن الکریم، للسید إسماعیل الصدر</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الأخ الأکبر للمفکّر الإسلامی الشهید السید محمّد باقر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التفسیر مکوّن من مجلّد واحد، و هو شامل لسورة الحمد وآیات من سورة البقرة، و أنّ منهجه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القرآن بالقرآن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الجامع، للسید إبراهیم البروجردی الذی کان حیاً إلی سنة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 و قد کتبه باللغة الفارسیة، وطبع فی سبع مجلّدات، ونقل المؤلّف روایاته المختلفة عن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العیاشی و القمّی، و تفسیر الإمام الحسن العسکری علیه السّلام وبهذا فإنّ منهجه روائی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مواهب الرحمن فی تفسیر القرآن، للسید مرتضی الموسوی المعروف بالمستنبط الغروی</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مجلّد واحد یمتضمّن تفسیر الجزء الثلاثین من القرآن الکریم، و قد کتب وفق الاتّجاه العرفانی و الفلسفی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القرآن الکریم، للسید مصطفی الخمینی رحمه الله</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الابن الأکبر للإمام الخمینی قدّس سره، مؤسّس الجمهوریة الإسلامیة فی إیران، و هذا التفسیر مکوّن من خمسة مجلّدات وباللغة العربیة، و هو إلی الآیة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وطرح المؤلّف فی تفسیر کلّ آیة کلّ ما هو مرتبط بها من الموضوعات الشاملة للبحوث الأصولیة و الأدبیة، والمعانی و البیان، والنجوم و الفقه، والفلسفة و العرفان، والبحوث الأخلاقیة والاجتماعیة و التاریخیة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حجّة التفاسیر وبلاغ الأکسیر، للسید عبد الحجّة البلاغی</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 ألفّه فی اللغة الفارسیة فی عشرة 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تعرّض فی المجلّدین الأوّلین إلی بحوث المقدّمات و التی من جملتها البحوث المرتبطة بتاریخ الأنبیاء، وتاریخ مدینة مکّة المکرّمة و المدینة المنوّرة</w:t>
      </w:r>
      <w:r>
        <w:rPr>
          <w:rFonts w:eastAsia="IRNazanin" w:cs="IRNazanin"/>
          <w:color w:val="111111"/>
          <w:sz w:val="28"/>
          <w:szCs w:val="28"/>
          <w:rtl w:val="true"/>
          <w:lang w:bidi="fa-IR"/>
        </w:rPr>
        <w:t>.</w:t>
      </w:r>
      <w:bookmarkStart w:id="1096" w:name="pg5285_67618"/>
    </w:p>
    <w:p>
      <w:pPr>
        <w:pStyle w:val="Heading3"/>
        <w:numPr>
          <w:ilvl w:val="2"/>
          <w:numId w:val="1"/>
        </w:numPr>
        <w:rPr/>
      </w:pPr>
      <w:bookmarkStart w:id="1097" w:name="__RefHeading___Toc634647_581953129"/>
      <w:bookmarkStart w:id="1098" w:name="_Toc419"/>
      <w:bookmarkEnd w:id="1096"/>
      <w:bookmarkEnd w:id="1097"/>
      <w:r>
        <w:rPr>
          <w:rtl w:val="true"/>
        </w:rPr>
        <w:t>أهمُّ تفاسیر أهل السُنّة فی القرن ال</w:t>
      </w:r>
      <w:r>
        <w:rPr>
          <w:rtl w:val="true"/>
        </w:rPr>
        <w:t>-</w:t>
      </w:r>
      <w:r>
        <w:rPr/>
        <w:t>14</w:t>
      </w:r>
      <w:r>
        <w:rPr>
          <w:rtl w:val="true"/>
        </w:rPr>
        <w:t>ق</w:t>
      </w:r>
      <w:bookmarkEnd w:id="1098"/>
    </w:p>
    <w:p>
      <w:pPr>
        <w:pStyle w:val="Heading4"/>
        <w:numPr>
          <w:ilvl w:val="3"/>
          <w:numId w:val="1"/>
        </w:numPr>
        <w:rPr/>
      </w:pPr>
      <w:bookmarkStart w:id="1099" w:name="__RefHeading___Toc634649_581953129"/>
      <w:bookmarkStart w:id="1100" w:name="_Toc420"/>
      <w:bookmarkEnd w:id="1099"/>
      <w:r>
        <w:rPr/>
        <w:t>1</w:t>
      </w:r>
      <w:r>
        <w:rPr>
          <w:rtl w:val="true"/>
        </w:rPr>
        <w:t xml:space="preserve">. </w:t>
      </w:r>
      <w:r>
        <w:rPr>
          <w:rtl w:val="true"/>
        </w:rPr>
        <w:t>فی ظلال القرآن</w:t>
      </w:r>
      <w:r>
        <w:rPr>
          <w:rtl w:val="true"/>
        </w:rPr>
        <w:t>:</w:t>
      </w:r>
      <w:bookmarkEnd w:id="1100"/>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قطب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المؤلّف هو سید قطب</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أحد مثقفی مصر ومفکر إسلامی مجاهد من أهل السنّة، علی العقیدة الأشعریة، ولغة هذا التفسیر هی العربیة، و قد تناول تفسیره کلّ آیات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یری السید القطب أنّ البشریة لا تسعد فی عیشها إلاّ تحت ظلال القرآن؛ ولأجل ذلک مارس تفسیره فی الموضوعات الاجتماعیة و التربویة باهتمام خاصّ، کما واهتمّ أیضاً فی القضایا النضالیة و الجهادیة المضادة للاستعمار و الظالمین، لتوعیة الشعوب الإسلامیة من خلال ذلک، کما اهتم کثیراً فی دعوة القرآن إلی الوحدة بین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وللتفسیر مقدّمة قصیرة فی رؤیة القرآن القیمة؛ لأجل الوصول بالبشریة إلی شاطیء السعادة و النجاة من مشکلات العصر الحاضر و الأوضاع المأساویة التی یقف وراءها الکفار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وتعرّض فیه إلی بحوث اختلاف القراءات و اللغة، والأدب و الکلام و الفقه بعیداً عن الانتخاب وتحدید الرأی، وابتعد عن نقل الروایات الإسرائیلیة،</w:t>
      </w:r>
    </w:p>
    <w:p>
      <w:pPr>
        <w:pStyle w:val="BookText"/>
        <w:rPr/>
      </w:pPr>
      <w:r>
        <w:rPr>
          <w:rFonts w:ascii="IRNazanin" w:hAnsi="IRNazanin" w:eastAsia="IRNazanin"/>
          <w:color w:val="111111"/>
          <w:sz w:val="28"/>
          <w:sz w:val="28"/>
          <w:szCs w:val="28"/>
          <w:rtl w:val="true"/>
          <w:lang w:bidi="fa-IR"/>
        </w:rPr>
        <w:t>ثمّ یقوم بتوضیح أجواء الآیات و السور، وبعد ذلک یشرع فی تفسیرها</w:t>
      </w:r>
      <w:r>
        <w:rPr>
          <w:rFonts w:eastAsia="IRNazanin" w:cs="IRNazanin"/>
          <w:color w:val="111111"/>
          <w:sz w:val="28"/>
          <w:szCs w:val="28"/>
          <w:rtl w:val="true"/>
          <w:lang w:bidi="fa-IR"/>
        </w:rPr>
        <w:t>.</w:t>
      </w:r>
    </w:p>
    <w:p>
      <w:pPr>
        <w:pStyle w:val="Heading4"/>
        <w:numPr>
          <w:ilvl w:val="3"/>
          <w:numId w:val="1"/>
        </w:numPr>
        <w:rPr/>
      </w:pPr>
      <w:bookmarkStart w:id="1101" w:name="__RefHeading___Toc634651_581953129"/>
      <w:bookmarkStart w:id="1102" w:name="_Toc421"/>
      <w:bookmarkEnd w:id="1101"/>
      <w:r>
        <w:rPr/>
        <w:t>2</w:t>
      </w:r>
      <w:r>
        <w:rPr>
          <w:rtl w:val="true"/>
        </w:rPr>
        <w:t xml:space="preserve">. </w:t>
      </w:r>
      <w:r>
        <w:rPr>
          <w:rtl w:val="true"/>
        </w:rPr>
        <w:t xml:space="preserve">المنار </w:t>
      </w:r>
      <w:r>
        <w:rPr>
          <w:rtl w:val="true"/>
        </w:rPr>
        <w:t>(</w:t>
      </w:r>
      <w:r>
        <w:rPr>
          <w:rtl w:val="true"/>
        </w:rPr>
        <w:t>تفسیر القرآن الکریم</w:t>
      </w:r>
      <w:r>
        <w:rPr>
          <w:rtl w:val="true"/>
        </w:rPr>
        <w:t>)</w:t>
      </w:r>
      <w:bookmarkEnd w:id="1102"/>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عبده و سید رشید رضا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الواقع أنّ المفسّر لهذا التفسیر هو الشیخ محمّد عبده</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مفتی الدیار المصریة و المصلح الاجتماعی الکبیر فی عصره، و هو عضد ورفیق درب المصلح الإسلامی الکبیر السید جمال الدین الأفغانی الشهیر فی العصر الحدیث، بجهاده و قوله و قلمه من أجل توعیة الأمّة ووحدتها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وصل فیه إلی الآیة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یوسف علیه السّلام وعندها فارق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کتب فی آخر سطر من تفسیر الآیة الثانیة و الخمسین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 تفسیر الجزء الثانی عشر فی العشر الأخیرة من محرّم سنة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وکان البدء فی صفر سنة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نسأل توفیقنا لإتمام سائر هذا التفسیر بما یرضاه، وله الحمد و المنّة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التفسیر کتب بأسلوب وطریقة المفسّرین المتنوّرین، وبصیاغة جدید یتناسب مع المتطلّبات الاجتماعیة لتفسیر القرآن، کما أنّ المفسّر اهتمّ بفرضیات العلوم التجربیة وطرح الموضوعات و البحوث العقلیة و النقلیة، وکذا تناول المسائل اللغویة و الإعراب بصورة مختصرة جدّاً، و قد شرح الأبعاد الهادیة للقرآن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فی البدء بین احتیاج المسلمین إلی تفسیر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إنّ الشیخ محمّد عبده کان یلقی دروسه التفسیریة علی تلامذته فی الأزهر لمدّة ستّة أعوام، وکان تلمیذه رشید رضا یکتب تقریراته کلّها، وبعد مذاکرة أستاذة یقوم بنشرها فی مجلة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کان الشیخ محمّد عبده حرّ التفکیر وصاحب آراء مستقلّة، و أنّ جلّ اهتماماته هی حلول مشکلات المسلمین المعاصرة ومکافحة ومجاهدة المستعمرین</w:t>
      </w:r>
      <w:bookmarkStart w:id="1103" w:name="pg5285_67620"/>
    </w:p>
    <w:p>
      <w:pPr>
        <w:pStyle w:val="BookText"/>
        <w:rPr/>
      </w:pPr>
      <w:bookmarkEnd w:id="1103"/>
      <w:r>
        <w:rPr>
          <w:rFonts w:ascii="IRNazanin" w:hAnsi="IRNazanin" w:eastAsia="IRNazanin"/>
          <w:color w:val="111111"/>
          <w:sz w:val="28"/>
          <w:sz w:val="28"/>
          <w:szCs w:val="28"/>
          <w:rtl w:val="true"/>
          <w:lang w:bidi="fa-IR"/>
        </w:rPr>
        <w:t>الکفرة وما یسلّطونه علی بلاد المسلمین من عملاء، وکذلک التصدّی إلی الأفکار المخالفة للدین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ومع أنّ جمیع المؤلّفین المحترمین بذلوا جهوداً لإظهار حقیقة التوافق القائم بین الدین ومسیرة الإنسان فی کلّ زمان، إلاّ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وللأسف الشدید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الاتّجاه نحو العلوم و الأفکار المعاصرة إلی الابتلاء بالتفسیر بالرأی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جملة آرائه الحدیث 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 یلاحظ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یبدو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قبوله لواقع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أنّها تُفسَّر عنده بنوع من میکروبات الأمراض التی هی غیر قابلة للرؤیا</w:t>
      </w:r>
      <w:r>
        <w:rPr>
          <w:rFonts w:eastAsia="IRNazanin" w:cs="IRNazanin"/>
          <w:color w:val="111111"/>
          <w:sz w:val="28"/>
          <w:szCs w:val="28"/>
          <w:rtl w:val="true"/>
          <w:lang w:bidi="fa-IR"/>
        </w:rPr>
        <w:t xml:space="preserve">. </w:t>
      </w:r>
      <w:r>
        <w:rPr>
          <w:rStyle w:val="FootnoteAnchor"/>
          <w:rtl w:val="true"/>
        </w:rPr>
        <w:footnoteReference w:id="997"/>
      </w:r>
    </w:p>
    <w:p>
      <w:pPr>
        <w:pStyle w:val="BookText"/>
        <w:rPr/>
      </w:pPr>
      <w:r>
        <w:rPr>
          <w:rFonts w:ascii="IRNazanin" w:hAnsi="IRNazanin" w:eastAsia="IRNazanin"/>
          <w:color w:val="111111"/>
          <w:sz w:val="28"/>
          <w:sz w:val="28"/>
          <w:szCs w:val="28"/>
          <w:rtl w:val="true"/>
          <w:lang w:bidi="fa-IR"/>
        </w:rPr>
        <w:t>أو مثلاً ما جاء فی سورة الفیل من مفردة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أبابیل، فیفسّرها بمرض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آبله</w:t>
      </w:r>
      <w:r>
        <w:rPr>
          <w:rFonts w:eastAsia="IRNazanin" w:cs="IRNazanin"/>
          <w:color w:val="111111"/>
          <w:sz w:val="28"/>
          <w:szCs w:val="28"/>
          <w:rtl w:val="true"/>
          <w:lang w:bidi="fa-IR"/>
        </w:rPr>
        <w:t>.</w:t>
      </w:r>
    </w:p>
    <w:p>
      <w:pPr>
        <w:pStyle w:val="Heading4"/>
        <w:numPr>
          <w:ilvl w:val="3"/>
          <w:numId w:val="1"/>
        </w:numPr>
        <w:rPr/>
      </w:pPr>
      <w:bookmarkStart w:id="1104" w:name="__RefHeading___Toc634653_581953129"/>
      <w:bookmarkStart w:id="1105" w:name="_Toc422"/>
      <w:bookmarkEnd w:id="1104"/>
      <w:r>
        <w:rPr/>
        <w:t>3</w:t>
      </w:r>
      <w:r>
        <w:rPr>
          <w:rtl w:val="true"/>
        </w:rPr>
        <w:t xml:space="preserve">. </w:t>
      </w:r>
      <w:r>
        <w:rPr>
          <w:rtl w:val="true"/>
        </w:rPr>
        <w:t xml:space="preserve">تفسیر القاسمی </w:t>
      </w:r>
      <w:r>
        <w:rPr>
          <w:rtl w:val="true"/>
        </w:rPr>
        <w:t>(</w:t>
      </w:r>
      <w:r>
        <w:rPr>
          <w:rtl w:val="true"/>
        </w:rPr>
        <w:t>محاسن التأویل</w:t>
      </w:r>
      <w:r>
        <w:rPr>
          <w:rtl w:val="true"/>
        </w:rPr>
        <w:t>)</w:t>
      </w:r>
      <w:bookmarkEnd w:id="1105"/>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جمال‌الدین محمّد القاسمی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الاتّجاه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المؤلّف هو محمّد جمال‌الدین بن محمّد سعید بن قاسم الحلاّق، المعروف بالقاسمی</w:t>
      </w:r>
      <w:r>
        <w:rPr>
          <w:rFonts w:eastAsia="IRNazanin" w:cs="IRNazanin"/>
          <w:color w:val="111111"/>
          <w:sz w:val="28"/>
          <w:szCs w:val="28"/>
          <w:rtl w:val="true"/>
          <w:lang w:bidi="fa-IR"/>
        </w:rPr>
        <w:t>(</w:t>
      </w:r>
      <w:r>
        <w:rPr>
          <w:rFonts w:eastAsia="IRNazanin" w:cs="IRNazanin"/>
          <w:color w:val="111111"/>
          <w:sz w:val="28"/>
          <w:szCs w:val="28"/>
          <w:lang w:bidi="fa-IR"/>
        </w:rPr>
        <w:t>1283</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إمام أهل الشام فی دمشق، المدینة التی وُلدَ فیها، و القاسمی من الزعماء السیاسیین الذین کافحوا ضدّ الاستعمار فی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کتب کثیرة من جملتها تفسیر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محاسن التأویل فی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w:t>
      </w:r>
      <w:r>
        <w:rPr>
          <w:rStyle w:val="FootnoteAnchor"/>
          <w:rtl w:val="true"/>
        </w:rPr>
        <w:footnoteReference w:id="998"/>
      </w:r>
      <w:r>
        <w:rPr>
          <w:rFonts w:ascii="IRNazanin" w:hAnsi="IRNazanin" w:eastAsia="IRNazanin"/>
          <w:color w:val="111111"/>
          <w:sz w:val="28"/>
          <w:sz w:val="28"/>
          <w:szCs w:val="28"/>
          <w:rtl w:val="true"/>
          <w:lang w:bidi="fa-IR"/>
        </w:rPr>
        <w:t>و هو من تلامذة الشیخ محمّد عبده</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أسلوبه فی التفسیر،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اهتمامه بالموضوعات الاجتماعیة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المأثور و المعقول وطرح آراء الماضین ونظریات المعاصرین</w:t>
      </w:r>
      <w:r>
        <w:rPr>
          <w:rFonts w:eastAsia="IRNazanin" w:cs="IRNazanin"/>
          <w:color w:val="111111"/>
          <w:sz w:val="28"/>
          <w:szCs w:val="28"/>
          <w:rtl w:val="true"/>
          <w:lang w:bidi="fa-IR"/>
        </w:rPr>
        <w:t>.</w:t>
      </w:r>
      <w:bookmarkStart w:id="1106" w:name="pg5285_67621"/>
    </w:p>
    <w:p>
      <w:pPr>
        <w:pStyle w:val="BookText"/>
        <w:rPr/>
      </w:pPr>
      <w:bookmarkEnd w:id="1106"/>
      <w:r>
        <w:rPr>
          <w:rFonts w:ascii="IRNazanin" w:hAnsi="IRNazanin" w:eastAsia="IRNazanin"/>
          <w:color w:val="111111"/>
          <w:sz w:val="28"/>
          <w:sz w:val="28"/>
          <w:szCs w:val="28"/>
          <w:rtl w:val="true"/>
          <w:lang w:bidi="fa-IR"/>
        </w:rPr>
        <w:t>و قد اهتمّ بموضوعات العلوم الطبیعیة بشکل ما؛ وذلک لأنّه یعتقد أنّ القرآن یشتمل علی سائر العلوم، إمّا بالتصریح أو التلمیح، وقام أیضاً ببیان إشارات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المجلّد الأوّل لهذا التفسیر اعتبر مقدّمة للتفسیر، وهی تشمل القواعد و القوانین التفسیریة، وکذلک موضوعات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أورد فی مقدّمته نکات من مقدّمة تفسیر المنار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التفسیر شامل لکامل القرآن، وفیه نقل غالبه من موضوعات تفسیر ابن کثیر الشهیر و ابن القیم، و ابن حزم و ابن تیمیة، وهکذا نقل عن تفاسیر الطبری، و الکشّاف، و التفسیر الکبیر للفخر الرازی</w:t>
      </w:r>
      <w:r>
        <w:rPr>
          <w:rFonts w:eastAsia="IRNazanin" w:cs="IRNazanin"/>
          <w:color w:val="111111"/>
          <w:sz w:val="28"/>
          <w:szCs w:val="28"/>
          <w:rtl w:val="true"/>
          <w:lang w:bidi="fa-IR"/>
        </w:rPr>
        <w:t>.</w:t>
      </w:r>
    </w:p>
    <w:p>
      <w:pPr>
        <w:pStyle w:val="Heading4"/>
        <w:numPr>
          <w:ilvl w:val="3"/>
          <w:numId w:val="1"/>
        </w:numPr>
        <w:rPr/>
      </w:pPr>
      <w:bookmarkStart w:id="1107" w:name="__RefHeading___Toc634655_581953129"/>
      <w:bookmarkStart w:id="1108" w:name="_Toc423"/>
      <w:bookmarkEnd w:id="1107"/>
      <w:r>
        <w:rPr/>
        <w:t>4</w:t>
      </w:r>
      <w:r>
        <w:rPr>
          <w:rtl w:val="true"/>
        </w:rPr>
        <w:t xml:space="preserve">. </w:t>
      </w:r>
      <w:r>
        <w:rPr>
          <w:rtl w:val="true"/>
        </w:rPr>
        <w:t>تفسیر المراغی</w:t>
      </w:r>
      <w:bookmarkEnd w:id="1108"/>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مصطفی المراغی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الاتّجاه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والمؤلّف هو أحمد مصطفی المراغی، تلمیذ الشیخ محمّد عبده</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وتفسیره هذا مکوّن من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و قد طرح فیه أوسع البحوث للموضوعات الاجتماعیة فی عصره، ألّفه ضمن قواعد التفسیر متبعداً عن استخدام المصطلحات العلمیة الصعبة؛ ولهذا فالتفسیر کُتب بأسلوب سهل وبسیط جدّاً</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کتب عن التفسیر و أجواء عصره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یمتاز هذا العصر بمیل أهله لسهولة الکلام الیفهم الغرض المراد منه حین التخاطب دون احتیاج إلی النقاش وصنوف التأویل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کتبته بأسلوب العصر الحاضر، و هذا هو نهجی فی تألیف هذا التفسیر</w:t>
      </w:r>
      <w:r>
        <w:rPr>
          <w:rFonts w:eastAsia="IRNazanin" w:cs="IRNazanin"/>
          <w:color w:val="111111"/>
          <w:sz w:val="28"/>
          <w:szCs w:val="28"/>
          <w:rtl w:val="true"/>
          <w:lang w:bidi="fa-IR"/>
        </w:rPr>
        <w:t xml:space="preserve">. </w:t>
      </w:r>
      <w:r>
        <w:rPr>
          <w:rStyle w:val="FootnoteAnchor"/>
          <w:rtl w:val="true"/>
        </w:rPr>
        <w:footnoteReference w:id="999"/>
      </w:r>
    </w:p>
    <w:p>
      <w:pPr>
        <w:pStyle w:val="BookText"/>
        <w:rPr/>
      </w:pPr>
      <w:r>
        <w:rPr>
          <w:rFonts w:ascii="IRNazanin" w:hAnsi="IRNazanin" w:eastAsia="IRNazanin"/>
          <w:color w:val="111111"/>
          <w:sz w:val="28"/>
          <w:sz w:val="28"/>
          <w:szCs w:val="28"/>
          <w:rtl w:val="true"/>
          <w:lang w:bidi="fa-IR"/>
        </w:rPr>
        <w:t>وللمؤلّف مقدّمات تناول فیها بحوث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المفسّرین، والالتزام بالرسم القرآنی للمصحف العثمانی، وبین أسلوبه ومصادره فی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کتب عن أسلوبه فی التفسیر قائلاً ما مضمونه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بیان الآیة وتوضیح المفردات أتناول المعنی الإجمالی للآیة وأسباب النزول؛ و أمّا المصطلحات الفنّیة، والصرف و النحو و البلاغة، فقد أهملتها، وفی لحاظ الموضوعات التفسیریة المتناسبة مع العصر الحاضر، والذی هو موافق لمزاج المخاطبین فی نفس هذا العصر، فقد جعلتها بنفس السبک الموافق للعقول ولأفهامهم</w:t>
      </w:r>
      <w:r>
        <w:rPr>
          <w:rFonts w:eastAsia="IRNazanin" w:cs="IRNazanin"/>
          <w:color w:val="111111"/>
          <w:sz w:val="28"/>
          <w:szCs w:val="28"/>
          <w:rtl w:val="true"/>
          <w:lang w:bidi="fa-IR"/>
        </w:rPr>
        <w:t xml:space="preserve">. </w:t>
      </w:r>
      <w:r>
        <w:rPr>
          <w:rStyle w:val="FootnoteAnchor"/>
          <w:rtl w:val="true"/>
        </w:rPr>
        <w:footnoteReference w:id="1000"/>
      </w:r>
    </w:p>
    <w:p>
      <w:pPr>
        <w:pStyle w:val="BookText"/>
        <w:rPr/>
      </w:pPr>
      <w:r>
        <w:rPr>
          <w:rFonts w:ascii="IRNazanin" w:hAnsi="IRNazanin" w:eastAsia="IRNazanin"/>
          <w:color w:val="111111"/>
          <w:sz w:val="28"/>
          <w:sz w:val="28"/>
          <w:szCs w:val="28"/>
          <w:rtl w:val="true"/>
          <w:lang w:bidi="fa-IR"/>
        </w:rPr>
        <w:t>مصادره التفسیریة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لفقد ذکر المؤلّف فی مقدّمة تفسیره أسماء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مصدراً کان قد استفاد منها، </w:t>
      </w:r>
      <w:r>
        <w:rPr>
          <w:rStyle w:val="FootnoteAnchor"/>
          <w:rtl w:val="true"/>
        </w:rPr>
        <w:footnoteReference w:id="1001"/>
      </w:r>
      <w:r>
        <w:rPr>
          <w:rFonts w:ascii="IRNazanin" w:hAnsi="IRNazanin" w:eastAsia="IRNazanin"/>
          <w:color w:val="111111"/>
          <w:sz w:val="28"/>
          <w:sz w:val="28"/>
          <w:szCs w:val="28"/>
          <w:rtl w:val="true"/>
          <w:lang w:bidi="fa-IR"/>
        </w:rPr>
        <w:t>و قد سمّی ثمانیة عشر تفسیراً منها، ومن 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الطبری و الکشّاف، و البیضاوی، والتفسیر الکبیر للفخر الرازی، و تفسیر البغوی ابن کثیر، و البحر المحیط للأندلسی، و تفسیر المنار، و روح المعانی للآلوسی وغیرها من التفاسیر التی استفاد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الکتب اللغویة، 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و قاموس المحیط للفیروز أبادی، و أساس البلاغة للزمخشری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استفاد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لابن هشام و الإتقان للسیوطی، و مقدّمة ابن خلدون کذلک</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المراغی و إن کان علی المذهب الأشعری فی العقیدة، إلاّ أنّه فی بحوث الجبر والاختیار نراه قد اختار الاختیار</w:t>
      </w:r>
      <w:r>
        <w:rPr>
          <w:rFonts w:eastAsia="IRNazanin" w:cs="IRNazanin"/>
          <w:color w:val="111111"/>
          <w:sz w:val="28"/>
          <w:szCs w:val="28"/>
          <w:rtl w:val="true"/>
          <w:lang w:bidi="fa-IR"/>
        </w:rPr>
        <w:t xml:space="preserve">. </w:t>
      </w:r>
      <w:r>
        <w:rPr>
          <w:rStyle w:val="FootnoteAnchor"/>
          <w:rtl w:val="true"/>
        </w:rPr>
        <w:footnoteReference w:id="1002"/>
      </w:r>
      <w:bookmarkStart w:id="1109" w:name="pg5285_67623"/>
    </w:p>
    <w:p>
      <w:pPr>
        <w:pStyle w:val="Heading4"/>
        <w:numPr>
          <w:ilvl w:val="3"/>
          <w:numId w:val="1"/>
        </w:numPr>
        <w:rPr/>
      </w:pPr>
      <w:bookmarkStart w:id="1110" w:name="__RefHeading___Toc634657_581953129"/>
      <w:bookmarkStart w:id="1111" w:name="_Toc424"/>
      <w:bookmarkEnd w:id="1109"/>
      <w:bookmarkEnd w:id="1110"/>
      <w:r>
        <w:rPr/>
        <w:t>5</w:t>
      </w:r>
      <w:r>
        <w:rPr>
          <w:rtl w:val="true"/>
        </w:rPr>
        <w:t xml:space="preserve">. </w:t>
      </w:r>
      <w:r>
        <w:rPr>
          <w:rtl w:val="true"/>
        </w:rPr>
        <w:t>أضواء البیان فی إیضاح القرآن بالقرآن</w:t>
      </w:r>
      <w:bookmarkEnd w:id="1111"/>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أمین المالکی الشنقیطی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القرآن بالقرآن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العنوان المعروف لهذا الکتاب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إیضاح البیان فی إیضاح القرآن بالقرآن، لمؤلّفه محمّد أمین بن محمّد مختار الشنقیطی مولود فی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المتوفّی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ق، من سکّان موریتانیا، وکان علی الفقه المالکی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سافر بعد تحصیله العلوم المختلفة إلی الحجّ وتعرّف علی أفکار ابن تیمیة ومحمّد بن عبد الوهاب ومال إلیها؛ ولأجل ذلک مکث فی العربیة السعودیة وعُین من قبل الملک عبد العزیز مدرّساً فی مسجد الرسول صلّی الله علیه و آله لتفسیر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واستمرّ هناک لمدّة ثلاثین سنة مشغولاً فی تفسیر القرآن حتّی توفّی فی مکّة المکرّمة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و إنّ أهمّ آثاره هو تفسیر أضواء البیان، وإنّه استمرّ به إلی آخر سورة المجادلة، و قد قام بمهمّة إکماله تلمیذه المعروف 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عطیة محمّد 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نهجه فیه هو تفسیر القرآن بالقرآن، فهو یذکر الآیة ویستعین علی توضیحها بمفاهیم الآیات والاصطلاحات القرآنیة، والتی هی تفید لإجمال فهم البعض الآخر من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هذه الجهة، فإنّ هذه المقدّمة جیدة فی مجالات التحقیق عن منهج تفسیر القرآن بالقرآن</w:t>
      </w:r>
      <w:r>
        <w:rPr>
          <w:rFonts w:eastAsia="IRNazanin" w:cs="IRNazanin"/>
          <w:color w:val="111111"/>
          <w:sz w:val="28"/>
          <w:szCs w:val="28"/>
          <w:rtl w:val="true"/>
          <w:lang w:bidi="fa-IR"/>
        </w:rPr>
        <w:t>.</w:t>
      </w:r>
    </w:p>
    <w:p>
      <w:pPr>
        <w:pStyle w:val="Heading4"/>
        <w:numPr>
          <w:ilvl w:val="3"/>
          <w:numId w:val="1"/>
        </w:numPr>
        <w:rPr/>
      </w:pPr>
      <w:bookmarkStart w:id="1112" w:name="__RefHeading___Toc634659_581953129"/>
      <w:bookmarkStart w:id="1113" w:name="_Toc425"/>
      <w:bookmarkEnd w:id="1112"/>
      <w:r>
        <w:rPr/>
        <w:t>6</w:t>
      </w:r>
      <w:r>
        <w:rPr>
          <w:rtl w:val="true"/>
        </w:rPr>
        <w:t xml:space="preserve">. </w:t>
      </w:r>
      <w:r>
        <w:rPr>
          <w:rtl w:val="true"/>
        </w:rPr>
        <w:t>التفسیر القرآنی للقرآن الکریم</w:t>
      </w:r>
      <w:bookmarkEnd w:id="1113"/>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الخطیب</w:t>
      </w:r>
      <w:r>
        <w:rPr>
          <w:rFonts w:eastAsia="IRNazanin" w:cs="IRNazanin"/>
          <w:color w:val="111111"/>
          <w:sz w:val="28"/>
          <w:szCs w:val="28"/>
          <w:rtl w:val="true"/>
          <w:lang w:bidi="fa-IR"/>
        </w:rPr>
        <w:t>.</w:t>
      </w:r>
      <w:bookmarkStart w:id="1114" w:name="pg5285_67624"/>
    </w:p>
    <w:p>
      <w:pPr>
        <w:pStyle w:val="BookText"/>
        <w:rPr/>
      </w:pPr>
      <w:bookmarkEnd w:id="1114"/>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تاریخ التألیف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القرآن بالقرآن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المؤلّف هو عبد الکریم الخطیب من محقّقی القرآن المعاصرین فی مصر، ومن أتباع المذهب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کتب تفسیره وفق منهج تفسیر القرآن بالقرآن إلاّ أنّه اختار الأسلوب البسیط لکتابته، ولم یعتمد علی أقوال السلف ولا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مقدّمة هذا التفسیر تشتمل علی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المکّی و المدنی، و عدد آیات القرآن و کلمات وحروف القرآن، وما هی غایتُه فی بیان ذلک موضّحاً أنّها تستهدف دقّة نظرنا بکتاب الله وتحملنا علی التدبّر فیه، لا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أجل أن نعتمد علی الآیات و الکلمات القرآنیة فقط</w:t>
      </w:r>
      <w:r>
        <w:rPr>
          <w:rFonts w:eastAsia="IRNazanin" w:cs="IRNazanin"/>
          <w:color w:val="111111"/>
          <w:sz w:val="28"/>
          <w:szCs w:val="28"/>
          <w:rtl w:val="true"/>
          <w:lang w:bidi="fa-IR"/>
        </w:rPr>
        <w:t xml:space="preserve">. </w:t>
      </w:r>
      <w:r>
        <w:rPr>
          <w:rStyle w:val="FootnoteAnchor"/>
          <w:rtl w:val="true"/>
        </w:rPr>
        <w:footnoteReference w:id="1003"/>
      </w:r>
    </w:p>
    <w:p>
      <w:pPr>
        <w:pStyle w:val="BookText"/>
        <w:rPr/>
      </w:pPr>
      <w:r>
        <w:rPr>
          <w:rFonts w:ascii="IRNazanin" w:hAnsi="IRNazanin" w:eastAsia="IRNazanin"/>
          <w:color w:val="111111"/>
          <w:sz w:val="28"/>
          <w:sz w:val="28"/>
          <w:szCs w:val="28"/>
          <w:rtl w:val="true"/>
          <w:lang w:bidi="fa-IR"/>
        </w:rPr>
        <w:t>و إنّ القرآن لیس هو کتاب علم حتّی نطلب منه الحقائق العلمیة، إنّه خارج عن ذلک البحث وعن الجار و المجرور وضجیج النحویین و الأدباء بما یواصلونه من ذلک، إنّه تفسیر بسیط جدّاً ومختصر کذلک؛ إذ هو یکتفی فی توضیح الآیات وأحیاناً یستعین بآیات القرآن الأخری للاستدلال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 حال، فإنّ هذا التفسیر یعتبر فی ضمن التفاسیر العقلیة التحلیلیة، و أنّ هدفه هو هدایة الناس</w:t>
      </w:r>
      <w:r>
        <w:rPr>
          <w:rFonts w:eastAsia="IRNazanin" w:cs="IRNazanin"/>
          <w:color w:val="111111"/>
          <w:sz w:val="28"/>
          <w:szCs w:val="28"/>
          <w:rtl w:val="true"/>
          <w:lang w:bidi="fa-IR"/>
        </w:rPr>
        <w:t xml:space="preserve">. </w:t>
      </w:r>
      <w:r>
        <w:rPr>
          <w:rStyle w:val="FootnoteAnchor"/>
          <w:rtl w:val="true"/>
        </w:rPr>
        <w:footnoteReference w:id="1004"/>
      </w:r>
    </w:p>
    <w:p>
      <w:pPr>
        <w:pStyle w:val="Heading4"/>
        <w:numPr>
          <w:ilvl w:val="3"/>
          <w:numId w:val="1"/>
        </w:numPr>
        <w:rPr/>
      </w:pPr>
      <w:bookmarkStart w:id="1115" w:name="__RefHeading___Toc634661_581953129"/>
      <w:bookmarkStart w:id="1116" w:name="_Toc426"/>
      <w:bookmarkEnd w:id="1115"/>
      <w:r>
        <w:rPr/>
        <w:t>7</w:t>
      </w:r>
      <w:r>
        <w:rPr>
          <w:rtl w:val="true"/>
        </w:rPr>
        <w:t xml:space="preserve">. </w:t>
      </w:r>
      <w:r>
        <w:rPr>
          <w:rtl w:val="true"/>
        </w:rPr>
        <w:t>التحریر و التنویر</w:t>
      </w:r>
      <w:bookmarkEnd w:id="1116"/>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طاهر، والمعروف بابن عاشور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الاتّجاه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تربوی وأدبی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فی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والمؤلّف هو فقیه معروف بین الفقهاء المعاصرین علی المذهب المالکی، وأشعری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عُهد إلیه منصب مفتی المالکیة فی تونس، ویعدّ من دعاة الإصلاح الاجتماعی و الدینیّ فی تلک الدیار، وله فی هذا المجال مقالات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فی اللحاظ العلمی متخصّص فی اللغة و الأدب، وکان عضو فی مجمع اللغة العربیة فی مصر، والمجمع العلمی العربی فی دمشق، مع نهوضه بأعباء منصب القضاء لمدة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التفسیر هو أحد أحسن التفاسیر فی العصر الحاضر یقع فی ثلاثین جزء، و أنّ منهجه التفسیری هو المنهج العقلی والاجتهادی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شدید الابتعاد عن الروایات الضعیفة و الإسرائلیات، ومن جملتها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هاروت وماروت المختلفین فیما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ومارس فی تفسیره الاستدلال الواضح ومنطق القرآن، و قد استفاد المؤلّف من نظریات القرآن وبیاناته القیمة فی ما یرتبط بمتطلّبات المجتمع و التربیة، وکذلک فیما یهمّ من الموضوعات الأخلاقیة و السیاسیة، کما أنّه عالج الشبهات المعاصرة بالقرآن الکریم ودحضها، ولم یغفل عن ذکر النکات البلاغیة و الأدبیة بما یتناسب مع الآیات و الأهداف المترتبة علی السور، و قد رعاها بالاهتمام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منهج المؤلّف العملی فی التفسیر،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 اسم السورة وفضیلتها، وترتیب نزولها و الهدف و الغرض من السورة، ومحتویات السوره، ثمّ یقوم بتفسیر الآیة جملةً بجملةٍ</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وبین المؤلّف فی بدایة التفسیر هدفه من التألیف، وذکر أنّ أهمّ أهدافه فی ذلک هو بیان وجوه إعجاز القرآن، ونکاته البلاغیة و الترابط و التناسب القائم بین الآیات</w:t>
      </w:r>
    </w:p>
    <w:p>
      <w:pPr>
        <w:pStyle w:val="BookText"/>
        <w:rPr/>
      </w:pPr>
      <w:r>
        <w:rPr>
          <w:rFonts w:ascii="IRNazanin" w:hAnsi="IRNazanin" w:eastAsia="IRNazanin"/>
          <w:color w:val="111111"/>
          <w:sz w:val="28"/>
          <w:sz w:val="28"/>
          <w:szCs w:val="28"/>
          <w:rtl w:val="true"/>
          <w:lang w:bidi="fa-IR"/>
        </w:rPr>
        <w:t xml:space="preserve">بعضها ببعض </w:t>
      </w:r>
      <w:r>
        <w:rPr>
          <w:rStyle w:val="FootnoteAnchor"/>
          <w:rtl w:val="true"/>
        </w:rPr>
        <w:footnoteReference w:id="1005"/>
      </w:r>
      <w:r>
        <w:rPr>
          <w:rFonts w:ascii="IRNazanin" w:hAnsi="IRNazanin" w:eastAsia="IRNazanin"/>
          <w:color w:val="111111"/>
          <w:sz w:val="28"/>
          <w:sz w:val="28"/>
          <w:szCs w:val="28"/>
          <w:rtl w:val="true"/>
          <w:lang w:bidi="fa-IR"/>
        </w:rPr>
        <w:t>وسمّی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المعنی السدید وتنویر العقل الجدید من تفسیر الکتاب المجید، واختصره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التحریر و التنویر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ولتفسیر التحریر و التنویر عشر مقدّمات قیمات فی موضوعات علوم القرآن،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و التأویل، المقدّمات و العلوم المطلوبة فی علم التفسیر، صحّة التفسیر بغیر المأثور، وکذلک التفسیر بالرأی ومفهوم ذلک، غرض المفسّر فی التفسیر و الأهداف التی یتوّخاها من ذلک، و القراءات، و قصص القرآن، اسم القرآن و الآیات و السور وترتیبها، المعانی المختلفة والاحتمالیة بحمل القرآن، و إعجاز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إنّ منهج المؤلّف التفسیری منهج اجتهادی، فهو یستفید من الآیات و الروایات ویمارس تحلیلها عقلیاً لیستنبط بعد ذلک نظریته الخاصّة، کما و یعتنی فی معرفة المفردات و المفهوم اللغوی و النکات البلاغیة و الأدبیة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أولی المؤلّف اهتماماته فی الموضوعات المعاصرة؛ وذلک لأنَّ عصره طرح علوماً تجریبیةً کثیرةً، فمثلا فی ذیل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اسْتَوی إِلَی السَّماءِ فَسَوّاهُنَّ سَبْعَ سَماواتٍ وَ هُوَ بِکُلِّ شَیْ‌ءٍ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006"/>
      </w:r>
      <w:r>
        <w:rPr>
          <w:rFonts w:ascii="IRNazanin" w:hAnsi="IRNazanin" w:eastAsia="IRNazanin"/>
          <w:color w:val="111111"/>
          <w:sz w:val="28"/>
          <w:sz w:val="28"/>
          <w:szCs w:val="28"/>
          <w:rtl w:val="true"/>
          <w:lang w:bidi="fa-IR"/>
        </w:rPr>
        <w:t>فقد طرح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السماوات و الأرض، وذلک بعد بحثه الأدبی المفصّل حول مفردة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یلاحظ تبیینه فی أقوال الصحابة و التابعین، ثمّ طرحه الآراء المختلفة وجمعه الآیات المختلفة وباستفادته من آراء علماء الفلک وما یرونه من بدایة خلقة السماء أوّلاً، أم الأرض أوّلاً</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تلقّی بالقبول نظریة خلق السماء قبل الأرض وانفصال الأرض عن السیارات و الکواکب السماویة</w:t>
      </w:r>
      <w:r>
        <w:rPr>
          <w:rFonts w:eastAsia="IRNazanin" w:cs="IRNazanin"/>
          <w:color w:val="111111"/>
          <w:sz w:val="28"/>
          <w:szCs w:val="28"/>
          <w:rtl w:val="true"/>
          <w:lang w:bidi="fa-IR"/>
        </w:rPr>
        <w:t xml:space="preserve">. </w:t>
      </w:r>
      <w:r>
        <w:rPr>
          <w:rStyle w:val="FootnoteAnchor"/>
          <w:rtl w:val="true"/>
        </w:rPr>
        <w:footnoteReference w:id="1007"/>
      </w:r>
      <w:bookmarkStart w:id="1117" w:name="pg5285_67627"/>
    </w:p>
    <w:p>
      <w:pPr>
        <w:pStyle w:val="BookText"/>
        <w:rPr/>
      </w:pPr>
      <w:bookmarkEnd w:id="1117"/>
      <w:r>
        <w:rPr>
          <w:rFonts w:ascii="IRNazanin" w:hAnsi="IRNazanin" w:eastAsia="IRNazanin"/>
          <w:color w:val="111111"/>
          <w:sz w:val="28"/>
          <w:sz w:val="28"/>
          <w:szCs w:val="28"/>
          <w:rtl w:val="true"/>
          <w:lang w:bidi="fa-IR"/>
        </w:rPr>
        <w:t>وفی الموضوعات الفقهیة وآیات الأحکام یقوم بطرح المسائل الفقهیة بشکل ملخّص ویبدی نظریته الاجتهادیة ویثبتها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المجال الکلامی یصوّب رأی الأشاعرة، مع أنّه أحیاناً فی المجال الاستدلالی یمارس الحرّیة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یری عدم کفایة أدلّة المفسّرین الأشاعرة علی رؤیة الله وینقدها ویرّدها عقلیاً، إلاّ أنّه فی النهایة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ولکون أن الأصحاب یرونه جائزاً، فإنّ الإیمان به بشکل إجمالی واجب</w:t>
      </w:r>
      <w:r>
        <w:rPr>
          <w:rFonts w:eastAsia="IRNazanin" w:cs="IRNazanin"/>
          <w:color w:val="111111"/>
          <w:sz w:val="28"/>
          <w:szCs w:val="28"/>
          <w:rtl w:val="true"/>
          <w:lang w:bidi="fa-IR"/>
        </w:rPr>
        <w:t xml:space="preserve">. </w:t>
      </w:r>
      <w:r>
        <w:rPr>
          <w:rStyle w:val="FootnoteAnchor"/>
          <w:rtl w:val="true"/>
        </w:rPr>
        <w:footnoteReference w:id="1008"/>
      </w:r>
    </w:p>
    <w:p>
      <w:pPr>
        <w:pStyle w:val="BookText"/>
        <w:rPr/>
      </w:pPr>
      <w:r>
        <w:rPr>
          <w:rFonts w:ascii="IRNazanin" w:hAnsi="IRNazanin" w:eastAsia="IRNazanin"/>
          <w:color w:val="111111"/>
          <w:sz w:val="28"/>
          <w:sz w:val="28"/>
          <w:szCs w:val="28"/>
          <w:rtl w:val="true"/>
          <w:lang w:bidi="fa-IR"/>
        </w:rPr>
        <w:t>و هذا التفسیر متأثّر بتفسیر الکشّاف و المحرّر الوجیز، و التفسیر الکبیر و روح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موضوع الترابط بین السور، فهو متأثّر فی التفسیر الکبیر للفخر الرازی و تفسیر الدرر فی تناسب الآیات و السور لبرهان الدین البقاعی</w:t>
      </w:r>
      <w:r>
        <w:rPr>
          <w:rFonts w:eastAsia="IRNazanin" w:cs="IRNazanin"/>
          <w:color w:val="111111"/>
          <w:sz w:val="28"/>
          <w:szCs w:val="28"/>
          <w:rtl w:val="true"/>
          <w:lang w:bidi="fa-IR"/>
        </w:rPr>
        <w:t>.</w:t>
      </w:r>
    </w:p>
    <w:p>
      <w:pPr>
        <w:pStyle w:val="Heading4"/>
        <w:numPr>
          <w:ilvl w:val="3"/>
          <w:numId w:val="1"/>
        </w:numPr>
        <w:rPr/>
      </w:pPr>
      <w:bookmarkStart w:id="1118" w:name="__RefHeading___Toc634663_581953129"/>
      <w:bookmarkStart w:id="1119" w:name="_Toc427"/>
      <w:bookmarkEnd w:id="1118"/>
      <w:r>
        <w:rPr/>
        <w:t>8</w:t>
      </w:r>
      <w:r>
        <w:rPr>
          <w:rtl w:val="true"/>
        </w:rPr>
        <w:t xml:space="preserve">. </w:t>
      </w:r>
      <w:r>
        <w:rPr>
          <w:rtl w:val="true"/>
        </w:rPr>
        <w:t>زهرة التفاسیر</w:t>
      </w:r>
      <w:bookmarkEnd w:id="1119"/>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 زهرة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الاتّجاه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المؤلّف من علماء الإسلام، ومفسّری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ذُکرت له أسماء أکثر من أربعین کتاباً، کما وإنّه ختم حیاته وودّع هذه الدار الفانیة و هو فی حالة انشغاله فی تفسیره الآیة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وللمؤلف فی زمانه مقالات علمیة واجتماعیة وافرة قام بتحریرها ونشرها فی المجالات الکثیرة</w:t>
      </w:r>
      <w:r>
        <w:rPr>
          <w:rFonts w:eastAsia="IRNazanin" w:cs="IRNazanin"/>
          <w:color w:val="111111"/>
          <w:sz w:val="28"/>
          <w:szCs w:val="28"/>
          <w:rtl w:val="true"/>
          <w:lang w:bidi="fa-IR"/>
        </w:rPr>
        <w:t>.</w:t>
      </w:r>
      <w:bookmarkStart w:id="1120" w:name="pg5285_67628"/>
    </w:p>
    <w:p>
      <w:pPr>
        <w:pStyle w:val="BookText"/>
        <w:rPr/>
      </w:pPr>
      <w:bookmarkEnd w:id="1120"/>
      <w:r>
        <w:rPr>
          <w:rFonts w:ascii="Amiri" w:hAnsi="Amiri" w:eastAsia="Amiri" w:cs="Amiri"/>
          <w:color w:val="111111"/>
          <w:sz w:val="28"/>
          <w:sz w:val="28"/>
          <w:szCs w:val="28"/>
          <w:rtl w:val="true"/>
          <w:lang w:bidi="ar-SA"/>
        </w:rPr>
        <w:t>إنّ هذا التفسیر منظّم جدّاً و قد صَدَّرَ کلّ آیة عنواناً خاصاً بها من أجل إیضاح المراد، ثمّ انّه یورد أدلّته المختلفة لغرض إثبات کلّ موضوع بأسلوب استدلالیّ منظّم کذلک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إنّ الأمور التی یطرحها فإنّ أکثرها بصورة مقسّمة علی محاورها وبعبارات صریحة وسَلِسَة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والمؤلف هو شدید التأکید علی هدایة وتربیة المجتمع ولأجل هذا الأمر صار یوضّح الموضوعات التی هی مورد حاجة المجتمع بلغة سلسة ومنطق شفّاف</w:t>
      </w:r>
      <w:r>
        <w:rPr>
          <w:rFonts w:eastAsia="IRNazanin" w:cs="IRNazanin"/>
          <w:color w:val="111111"/>
          <w:sz w:val="28"/>
          <w:szCs w:val="28"/>
          <w:rtl w:val="true"/>
          <w:lang w:bidi="fa-IR"/>
        </w:rPr>
        <w:t>.</w:t>
      </w:r>
    </w:p>
    <w:p>
      <w:pPr>
        <w:pStyle w:val="Heading3"/>
        <w:numPr>
          <w:ilvl w:val="2"/>
          <w:numId w:val="1"/>
        </w:numPr>
        <w:rPr/>
      </w:pPr>
      <w:bookmarkStart w:id="1121" w:name="__RefHeading___Toc634665_581953129"/>
      <w:bookmarkStart w:id="1122" w:name="_Toc428"/>
      <w:bookmarkEnd w:id="1121"/>
      <w:r>
        <w:rPr>
          <w:rtl w:val="true"/>
        </w:rPr>
        <w:t>سائر تفاسیر أهل السُنّة فی القرن ال</w:t>
      </w:r>
      <w:r>
        <w:rPr>
          <w:rtl w:val="true"/>
        </w:rPr>
        <w:t>-</w:t>
      </w:r>
      <w:r>
        <w:rPr/>
        <w:t>14</w:t>
      </w:r>
      <w:r>
        <w:rPr>
          <w:rtl w:val="true"/>
        </w:rPr>
        <w:t>ق</w:t>
      </w:r>
      <w:bookmarkEnd w:id="1122"/>
    </w:p>
    <w:p>
      <w:pPr>
        <w:pStyle w:val="BookText"/>
        <w:rPr/>
      </w:pPr>
      <w:r>
        <w:rPr>
          <w:rFonts w:ascii="IRNazanin" w:hAnsi="IRNazanin" w:eastAsia="IRNazanin"/>
          <w:color w:val="111111"/>
          <w:sz w:val="28"/>
          <w:sz w:val="28"/>
          <w:szCs w:val="28"/>
          <w:rtl w:val="true"/>
          <w:lang w:bidi="fa-IR"/>
        </w:rPr>
        <w:t xml:space="preserve">تفسیر مراح لبید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النووی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تألیف الشیخ محمّد بن عمر النووی الحاوی</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 هذا التفسیر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المنیر کمعالم التنزیل المفسّر عن وجوه محاسن التأویل، هکذا جاء 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والمؤلّف هو من أهل السُنّة شافعی الفقه وأشعری العقیدة، من المتصوفة، کما هو من فقهاء الشافعیة، وله مؤلّفات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وفاته فی مکّة، و قد استفاد المؤلّف من کتاب الفتوحات المکّیة لمحیی‌الدین بن عربی؛ و أمّا المُشاهد فی تفسیره، فهو تبیین ظواهر الآیات اعتماداً علی القواعد اللفظیة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التفسیر الفرید للقرآن المجید، لمحمّد عبد المنعم الجمال ألّفه فی سنة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هو من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التفسیر کتب باللغة العربیة فی أربعة مجلّدات، بذل المؤلّف جهده من أجل الجمع بین العلم و الدین، واهتم فی هذا التفسیر بشکل خاصّ بجانب اللغة و العلم الحدیث</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الإکلیل علی مدارک التنزیل، تألیف محمّد عبد الحقّ الله أبادی</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من أهل السنّة وحنفی الفقه وأشعری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التفسیر ألّف باللغة العربیة وفی</w:t>
      </w:r>
    </w:p>
    <w:p>
      <w:pPr>
        <w:pStyle w:val="BookText"/>
        <w:rPr/>
      </w:pPr>
      <w:r>
        <w:rPr>
          <w:rFonts w:ascii="IRNazanin" w:hAnsi="IRNazanin" w:eastAsia="IRNazanin"/>
          <w:color w:val="111111"/>
          <w:sz w:val="28"/>
          <w:sz w:val="28"/>
          <w:szCs w:val="28"/>
          <w:rtl w:val="true"/>
          <w:lang w:bidi="fa-IR"/>
        </w:rPr>
        <w:t>سبعة مجلّدات وفق الاتّجاه البیانی، و هو فی الواقع خلاصة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الکشّاف للزمخشری، مع إضافة بعض الموضوعات الأدبیة، وآراء النحویین و القراءات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تیسیر الکریم الرحمن فی تفسیر کلام المنّان، تألیف عبد الرحمن بن ناصر آل سعدی</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من أهل السُنّة وحنبلی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التفسیر فی سبعة مجلّدات، طُبع فی دمشق فی سنة</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کُتب وفق المنهج الروائی، إلاّ أنّه کثیر البساطة بدلیل أنّ المفسّر اکتفی بتوضیح الآیة ولفظها والاستفادة من أقوال السلف</w:t>
      </w:r>
      <w:r>
        <w:rPr>
          <w:rFonts w:eastAsia="IRNazanin" w:cs="IRNazanin"/>
          <w:color w:val="111111"/>
          <w:sz w:val="28"/>
          <w:szCs w:val="28"/>
          <w:rtl w:val="true"/>
          <w:lang w:bidi="fa-IR"/>
        </w:rPr>
        <w:t>.</w:t>
      </w:r>
      <w:bookmarkStart w:id="1123" w:name="pg5285_67631"/>
    </w:p>
    <w:p>
      <w:pPr>
        <w:pStyle w:val="Heading2"/>
        <w:numPr>
          <w:ilvl w:val="1"/>
          <w:numId w:val="1"/>
        </w:numPr>
        <w:rPr/>
      </w:pPr>
      <w:bookmarkStart w:id="1124" w:name="__RefHeading___Toc634667_581953129"/>
      <w:bookmarkStart w:id="1125" w:name="_Toc429"/>
      <w:bookmarkEnd w:id="1123"/>
      <w:bookmarkEnd w:id="1124"/>
      <w:r>
        <w:rPr/>
        <w:t>15</w:t>
      </w:r>
      <w:r>
        <w:rPr>
          <w:rtl w:val="true"/>
        </w:rPr>
        <w:t xml:space="preserve">- </w:t>
      </w:r>
      <w:r>
        <w:rPr>
          <w:rtl w:val="true"/>
        </w:rPr>
        <w:t>الدرس الخامس عشر</w:t>
      </w:r>
      <w:bookmarkEnd w:id="1125"/>
    </w:p>
    <w:p>
      <w:pPr>
        <w:pStyle w:val="Heading3"/>
        <w:numPr>
          <w:ilvl w:val="2"/>
          <w:numId w:val="1"/>
        </w:numPr>
        <w:rPr/>
      </w:pPr>
      <w:bookmarkStart w:id="1126" w:name="__RefHeading___Toc634669_581953129"/>
      <w:bookmarkStart w:id="1127" w:name="_Toc430"/>
      <w:bookmarkEnd w:id="1126"/>
      <w:r>
        <w:rPr>
          <w:rtl w:val="true"/>
        </w:rPr>
        <w:t>اشارة</w:t>
      </w:r>
      <w:bookmarkEnd w:id="1127"/>
    </w:p>
    <w:p>
      <w:pPr>
        <w:pStyle w:val="BookText"/>
        <w:rPr/>
      </w:pPr>
      <w:r>
        <w:rPr>
          <w:rFonts w:ascii="IRNazanin" w:hAnsi="IRNazanin" w:eastAsia="IRNazanin"/>
          <w:color w:val="111111"/>
          <w:sz w:val="28"/>
          <w:sz w:val="28"/>
          <w:szCs w:val="28"/>
          <w:rtl w:val="true"/>
          <w:lang w:bidi="fa-IR"/>
        </w:rPr>
        <w:t>الموضوعات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التفسیر العصری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التفسیر العصری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خصوصیة التفسیر العصری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آفات التفسیر العصری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الوحدة الموضوعیة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الموضوعی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البنائی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التعریف بأهمّ تفاسیر الشیعة وأهل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الأهداف</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التعرّف علی مفهوم التفسیر العصری وخصوصیاته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معرفة التفاسیر العصریة و المناهج الحدیثة فی التفسیر</w:t>
      </w:r>
      <w:r>
        <w:rPr>
          <w:rFonts w:eastAsia="IRNazanin" w:cs="IRNazanin"/>
          <w:color w:val="111111"/>
          <w:sz w:val="28"/>
          <w:szCs w:val="28"/>
          <w:rtl w:val="true"/>
          <w:lang w:bidi="fa-IR"/>
        </w:rPr>
        <w:t>.</w:t>
      </w:r>
      <w:bookmarkStart w:id="1128" w:name="pg5285_67632"/>
    </w:p>
    <w:p>
      <w:pPr>
        <w:pStyle w:val="Heading3"/>
        <w:numPr>
          <w:ilvl w:val="2"/>
          <w:numId w:val="1"/>
        </w:numPr>
        <w:rPr/>
      </w:pPr>
      <w:bookmarkStart w:id="1129" w:name="__RefHeading___Toc634671_581953129"/>
      <w:bookmarkStart w:id="1130" w:name="_Toc431"/>
      <w:bookmarkEnd w:id="1128"/>
      <w:bookmarkEnd w:id="1129"/>
      <w:r>
        <w:rPr>
          <w:rtl w:val="true"/>
        </w:rPr>
        <w:t>مفهوم التفسیر العصری</w:t>
      </w:r>
      <w:bookmarkEnd w:id="1130"/>
    </w:p>
    <w:p>
      <w:pPr>
        <w:pStyle w:val="BookText"/>
        <w:rPr/>
      </w:pPr>
      <w:r>
        <w:rPr>
          <w:rFonts w:ascii="IRNazanin" w:hAnsi="IRNazanin" w:eastAsia="IRNazanin"/>
          <w:color w:val="111111"/>
          <w:sz w:val="28"/>
          <w:sz w:val="28"/>
          <w:szCs w:val="28"/>
          <w:rtl w:val="true"/>
          <w:lang w:bidi="fa-IR"/>
        </w:rPr>
        <w:t>التفسیر العصری مفهوم معاصر یدور فی 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العصر الحاضر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یشمل الثقافة و السیاسة، ویناقش قضایا مستقبل العالم و التحضّر، وتوسعة العلوم و المصانع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إنطلاقاً من توجیهات القرآن، فالمفسّر یمارس طریقة حدیثة فی استخراج أحکام موضوعات الحوادث الواقعة و الأمور التی یحتاج إلیها المجتمع المعاصر من خلال استفاداته العقلائیة و المنطقیة الجلیة من القرآن الکریم، ویجیب بها علی تساؤلات العصر وشبهاته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یری عفّت الشرقاوی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التفسیر العصری طریقة حدیثة فی طرح موضوعات العالم المستقبلیة والاعتقادیة وبأسلوب جدید یناسب الفکر الإسلامی المعاصر وحیاته واستمراره، وبهذه الطریقة، فإنّ المفسّر المعاصر سوف لا یجیب علی المسائل بالصورة الکلاسیکیة القدیمة المتعارفة بین الماضین وبنفس الأسلوب الکلامی الذی تداولوه</w:t>
      </w:r>
      <w:r>
        <w:rPr>
          <w:rFonts w:eastAsia="IRNazanin" w:cs="IRNazanin"/>
          <w:color w:val="111111"/>
          <w:sz w:val="28"/>
          <w:szCs w:val="28"/>
          <w:rtl w:val="true"/>
          <w:lang w:bidi="fa-IR"/>
        </w:rPr>
        <w:t xml:space="preserve">. </w:t>
      </w:r>
      <w:r>
        <w:rPr>
          <w:rStyle w:val="FootnoteAnchor"/>
          <w:rtl w:val="true"/>
        </w:rPr>
        <w:footnoteReference w:id="1009"/>
      </w:r>
    </w:p>
    <w:p>
      <w:pPr>
        <w:pStyle w:val="BookText"/>
        <w:rPr/>
      </w:pPr>
      <w:r>
        <w:rPr>
          <w:rFonts w:ascii="IRNazanin" w:hAnsi="IRNazanin" w:eastAsia="IRNazanin"/>
          <w:color w:val="111111"/>
          <w:sz w:val="28"/>
          <w:sz w:val="28"/>
          <w:szCs w:val="28"/>
          <w:rtl w:val="true"/>
          <w:lang w:bidi="fa-IR"/>
        </w:rPr>
        <w:t>ویعتقد السید محمّد علی أیازی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التفسیر العصری هو طریقة جدیده فی مجال طرح موضوعات العالم المستقبلی والاعتقادی، فالمفسّر حال رعایته لمعلوماته التی حصل علیها، وما یحتاج إلیه عصره یدرک أنّ مرادات القرآن تحتاج إلی شرح مناسب</w:t>
      </w:r>
      <w:r>
        <w:rPr>
          <w:rFonts w:eastAsia="IRNazanin" w:cs="IRNazanin"/>
          <w:color w:val="111111"/>
          <w:sz w:val="28"/>
          <w:szCs w:val="28"/>
          <w:rtl w:val="true"/>
          <w:lang w:bidi="fa-IR"/>
        </w:rPr>
        <w:t xml:space="preserve">. </w:t>
      </w:r>
      <w:r>
        <w:rPr>
          <w:rStyle w:val="FootnoteAnchor"/>
          <w:rtl w:val="true"/>
        </w:rPr>
        <w:footnoteReference w:id="1010"/>
      </w:r>
    </w:p>
    <w:p>
      <w:pPr>
        <w:pStyle w:val="BookText"/>
        <w:rPr/>
      </w:pPr>
      <w:r>
        <w:rPr>
          <w:rFonts w:ascii="IRNazanin" w:hAnsi="IRNazanin" w:eastAsia="IRNazanin"/>
          <w:color w:val="111111"/>
          <w:sz w:val="28"/>
          <w:sz w:val="28"/>
          <w:szCs w:val="28"/>
          <w:rtl w:val="true"/>
          <w:lang w:bidi="fa-IR"/>
        </w:rPr>
        <w:t>ویری البعض الآخر أنّ تجدید التراث الدینی والانفتاح الفکری للمیراث الثقافی وفقاً للاحتیاجات و المتطلبّات المعاصره هو یشکل المعالم المشخصّة للتفسیر العصری</w:t>
      </w:r>
      <w:r>
        <w:rPr>
          <w:rFonts w:eastAsia="IRNazanin" w:cs="IRNazanin"/>
          <w:color w:val="111111"/>
          <w:sz w:val="28"/>
          <w:szCs w:val="28"/>
          <w:rtl w:val="true"/>
          <w:lang w:bidi="fa-IR"/>
        </w:rPr>
        <w:t xml:space="preserve">. </w:t>
      </w:r>
      <w:r>
        <w:rPr>
          <w:rStyle w:val="FootnoteAnchor"/>
          <w:rtl w:val="true"/>
        </w:rPr>
        <w:footnoteReference w:id="1011"/>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فإنّ طرح مرادات القرآن وفقاً للحاجات المعاصرة و الإجابة علی الشبهات المطروحة بطریقة و أسلوب حدیث هو من أهمّ ممیزات التفسیر العصری</w:t>
      </w:r>
      <w:r>
        <w:rPr>
          <w:rFonts w:eastAsia="IRNazanin" w:cs="IRNazanin"/>
          <w:color w:val="111111"/>
          <w:sz w:val="28"/>
          <w:szCs w:val="28"/>
          <w:rtl w:val="true"/>
          <w:lang w:bidi="fa-IR"/>
        </w:rPr>
        <w:t>.</w:t>
      </w:r>
      <w:bookmarkStart w:id="1131" w:name="pg5285_67633"/>
    </w:p>
    <w:p>
      <w:pPr>
        <w:pStyle w:val="BookText"/>
        <w:rPr/>
      </w:pPr>
      <w:bookmarkEnd w:id="1131"/>
      <w:r>
        <w:rPr>
          <w:rFonts w:ascii="IRNazanin" w:hAnsi="IRNazanin" w:eastAsia="IRNazanin"/>
          <w:color w:val="111111"/>
          <w:sz w:val="28"/>
          <w:sz w:val="28"/>
          <w:szCs w:val="28"/>
          <w:rtl w:val="true"/>
          <w:lang w:bidi="fa-IR"/>
        </w:rPr>
        <w:t>ولیس المراد من التفسیر العصری هو إجراء تجمیلات ظاهریة علی الکلمات و التغییر فی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أنّ مثل هذا التحرّک فی مجاله جید ویستدعی الثناء، إلاّ أنّ المهم فی التفسیر العصری هو الکشف عن رؤی القرآن فی مجال التحوّل و التغییر الاجتماعی و الثقافی و التی عندها تکون حاجات کلّ عصر وما فیه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 ومقبولات ومرفوضات فی أساط المجتمع الإسلامی هی تحت ظلال مرادات القرآن وأحکامه واضحة وجلیة</w:t>
      </w:r>
      <w:r>
        <w:rPr>
          <w:rFonts w:eastAsia="IRNazanin" w:cs="IRNazanin"/>
          <w:color w:val="111111"/>
          <w:sz w:val="28"/>
          <w:szCs w:val="28"/>
          <w:rtl w:val="true"/>
          <w:lang w:bidi="fa-IR"/>
        </w:rPr>
        <w:t xml:space="preserve">. </w:t>
      </w:r>
      <w:r>
        <w:rPr>
          <w:rStyle w:val="FootnoteAnchor"/>
          <w:rtl w:val="true"/>
        </w:rPr>
        <w:footnoteReference w:id="1012"/>
      </w:r>
    </w:p>
    <w:p>
      <w:pPr>
        <w:pStyle w:val="Heading3"/>
        <w:numPr>
          <w:ilvl w:val="2"/>
          <w:numId w:val="1"/>
        </w:numPr>
        <w:rPr/>
      </w:pPr>
      <w:bookmarkStart w:id="1132" w:name="__RefHeading___Toc634673_581953129"/>
      <w:bookmarkStart w:id="1133" w:name="_Toc432"/>
      <w:bookmarkEnd w:id="1132"/>
      <w:r>
        <w:rPr>
          <w:rtl w:val="true"/>
        </w:rPr>
        <w:t>خصوصیات التفسیر العصری</w:t>
      </w:r>
      <w:bookmarkEnd w:id="1133"/>
    </w:p>
    <w:p>
      <w:pPr>
        <w:pStyle w:val="Heading4"/>
        <w:numPr>
          <w:ilvl w:val="3"/>
          <w:numId w:val="1"/>
        </w:numPr>
        <w:rPr/>
      </w:pPr>
      <w:bookmarkStart w:id="1134" w:name="__RefHeading___Toc634675_581953129"/>
      <w:bookmarkStart w:id="1135" w:name="_Toc433"/>
      <w:bookmarkEnd w:id="1134"/>
      <w:r>
        <w:rPr>
          <w:rtl w:val="true"/>
        </w:rPr>
        <w:t>اشارة</w:t>
      </w:r>
      <w:bookmarkEnd w:id="1135"/>
    </w:p>
    <w:p>
      <w:pPr>
        <w:pStyle w:val="BookText"/>
        <w:rPr/>
      </w:pPr>
      <w:r>
        <w:rPr>
          <w:rFonts w:ascii="IRNazanin" w:hAnsi="IRNazanin" w:eastAsia="IRNazanin"/>
          <w:color w:val="111111"/>
          <w:sz w:val="28"/>
          <w:sz w:val="28"/>
          <w:szCs w:val="28"/>
          <w:rtl w:val="true"/>
          <w:lang w:bidi="fa-IR"/>
        </w:rPr>
        <w:t>یطلق العصر الحاضر علی بدایة القرن الرابع عشر، الذی یشترک فی کثیر من الخصوصیات مع القرن الخامس عشر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بینا بعض تلک الخصوصیات عند الحدیث عن تفاسیر القرن الرابع عشر و التی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العلوم التجریبیة و الصناعة وحلول الأزمات المعنویة، وتواجد المستشرقین و المادّیین، والغزو الاستعماری الواسع علی بلاد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ذکرها الذهبی وآیة الله معرفة مایدور حول أهمّ الخصوصیات التی علیها التفسیر فی العصر الحاضر، و قد بیناها جیداً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أمور أخری تتّضح عند مراجعة نقاط الدرس الماضی وهی عبارة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العناصر المتشرکه فی التفاسیر المعاصرة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الأزمات الحاصلة من تفسیر الماضین، والاتّجاهات المبتدعة و المستحدثة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الدرس الذی هو بعنوان التفسیر العصری، ومن أجل اکتشاف خصوصیات أخری تواصل خصوصیات القرن الرابع عشر سنتعرّف 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الإجابة علی الشبهات و المتطلّبات الفکریة للقرن الحاضر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الاهتمام بالعقل و النزعة العقلیة فی التفسیر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الاهتمام ببعد الهدایة و التربیة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الاهتمام بالبعد الاجتماعی</w:t>
      </w:r>
      <w:r>
        <w:rPr>
          <w:rFonts w:eastAsia="IRNazanin" w:cs="IRNazanin"/>
          <w:color w:val="111111"/>
          <w:sz w:val="28"/>
          <w:szCs w:val="28"/>
          <w:rtl w:val="true"/>
          <w:lang w:bidi="fa-IR"/>
        </w:rPr>
        <w:t>.</w:t>
      </w:r>
      <w:bookmarkStart w:id="1136" w:name="pg5285_67634"/>
    </w:p>
    <w:p>
      <w:pPr>
        <w:pStyle w:val="BookText"/>
        <w:rPr/>
      </w:pPr>
      <w:bookmarkEnd w:id="1136"/>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الحرکة الجهادیة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التأکید علی الوحدة الموضوعیة للقرآن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التأکید علی الوحدة الموضوعیة لسور 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الأسالیب التفسیریة الجدیدة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الموضوعی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البنائی</w:t>
      </w:r>
      <w:r>
        <w:rPr>
          <w:rFonts w:eastAsia="IRNazanin" w:cs="IRNazanin"/>
          <w:color w:val="111111"/>
          <w:sz w:val="28"/>
          <w:szCs w:val="28"/>
          <w:rtl w:val="true"/>
          <w:lang w:bidi="fa-IR"/>
        </w:rPr>
        <w:t>.</w:t>
      </w:r>
    </w:p>
    <w:p>
      <w:pPr>
        <w:pStyle w:val="Heading4"/>
        <w:numPr>
          <w:ilvl w:val="3"/>
          <w:numId w:val="1"/>
        </w:numPr>
        <w:rPr/>
      </w:pPr>
      <w:bookmarkStart w:id="1137" w:name="__RefHeading___Toc634677_581953129"/>
      <w:bookmarkStart w:id="1138" w:name="_Toc434"/>
      <w:bookmarkEnd w:id="1137"/>
      <w:r>
        <w:rPr/>
        <w:t>1</w:t>
      </w:r>
      <w:r>
        <w:rPr>
          <w:rtl w:val="true"/>
        </w:rPr>
        <w:t xml:space="preserve">. </w:t>
      </w:r>
      <w:r>
        <w:rPr>
          <w:rtl w:val="true"/>
        </w:rPr>
        <w:t>الإجابة علی شبهات العصر</w:t>
      </w:r>
      <w:bookmarkEnd w:id="1138"/>
    </w:p>
    <w:p>
      <w:pPr>
        <w:pStyle w:val="BookText"/>
        <w:rPr/>
      </w:pPr>
      <w:r>
        <w:rPr>
          <w:rFonts w:ascii="IRNazanin" w:hAnsi="IRNazanin" w:eastAsia="IRNazanin"/>
          <w:color w:val="111111"/>
          <w:sz w:val="28"/>
          <w:sz w:val="28"/>
          <w:szCs w:val="28"/>
          <w:rtl w:val="true"/>
          <w:lang w:bidi="fa-IR"/>
        </w:rPr>
        <w:t>إنّ أهم أولویة ینهض بحملها التفسیر العصری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الطرح الواضح و الشفّاف لرؤی القرآن الکریم فیما یرتبط بالتحوّلات و التغیرات الاجتماعیة و الفکریة، والإجابة علی شبهات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التساؤلات التی تواجه الدینی کثیرة، وهی تقلق الإنسان المعاصر ولم تجدلها المدارس الفکریة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الدینیة و الأدیان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ماعدی الإسلام جواباً، و هذه التساؤلات هی حقوق الإنسان، و حرّیة الفکر و البیان، وحقوق المرأة، وعلاقة الدین بالحکم، وحقوق الأقلّیات، والعلاقات الدولیة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تحتاج إلی أجوبة تفتح الذهن علی آفاقها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هذا الدور مقدور لمفسرّی القرآن الکریم وبإمکانهم القیام بهذه المهمّة فی هذا المیدان لکونهم یمثّلون المراجع الفکریة و الدینیة للمجتمع الإسلامی مع مراعاة القدرة و الإیمان الملازم، بأنّ القرآن متکفّل فی أطروحاته حلول المتطلّبات السالفة أعلاه وبشکل جید وجلّی</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إنّ من بین التفاسیر التی تصدّت للإجابة علی تلک التساؤلات العصریة یمکننا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تفسیرالمیزان للعلاّمة الطباطبائی، و تفسیر الأمثل لمکارم الشیرازی، و تفسیر الکاشف لمحمّد جواد مغنیة، وإلی حدٍّما تفسیر الفرقان للدکتور الصادقی؛ و أمّا</w:t>
      </w:r>
      <w:bookmarkStart w:id="1139" w:name="pg5285_67635"/>
    </w:p>
    <w:p>
      <w:pPr>
        <w:pStyle w:val="BookText"/>
        <w:rPr/>
      </w:pPr>
      <w:bookmarkEnd w:id="1139"/>
      <w:r>
        <w:rPr>
          <w:rFonts w:ascii="IRNazanin" w:hAnsi="IRNazanin" w:eastAsia="IRNazanin"/>
          <w:color w:val="111111"/>
          <w:sz w:val="28"/>
          <w:sz w:val="28"/>
          <w:szCs w:val="28"/>
          <w:rtl w:val="true"/>
          <w:lang w:bidi="fa-IR"/>
        </w:rPr>
        <w:t>من تفاسیر إخواتنا من أهل السنّة فیمکن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المنیر لوهبه الزحیلی، و تفسیر الشعراوی لمحمّد متولّی الشعراوی، و التفسیر الحدیث لعزّة الدروزة</w:t>
      </w:r>
      <w:r>
        <w:rPr>
          <w:rFonts w:eastAsia="IRNazanin" w:cs="IRNazanin"/>
          <w:color w:val="111111"/>
          <w:sz w:val="28"/>
          <w:szCs w:val="28"/>
          <w:rtl w:val="true"/>
          <w:lang w:bidi="fa-IR"/>
        </w:rPr>
        <w:t>.</w:t>
      </w:r>
    </w:p>
    <w:p>
      <w:pPr>
        <w:pStyle w:val="Heading4"/>
        <w:numPr>
          <w:ilvl w:val="3"/>
          <w:numId w:val="1"/>
        </w:numPr>
        <w:rPr/>
      </w:pPr>
      <w:bookmarkStart w:id="1140" w:name="__RefHeading___Toc634679_581953129"/>
      <w:bookmarkStart w:id="1141" w:name="_Toc435"/>
      <w:bookmarkEnd w:id="1140"/>
      <w:r>
        <w:rPr/>
        <w:t>2</w:t>
      </w:r>
      <w:r>
        <w:rPr>
          <w:rtl w:val="true"/>
        </w:rPr>
        <w:t xml:space="preserve">. </w:t>
      </w:r>
      <w:r>
        <w:rPr>
          <w:rtl w:val="true"/>
        </w:rPr>
        <w:t>الاهتمام بالنزعة العقلیة فی التفسیر</w:t>
      </w:r>
      <w:bookmarkEnd w:id="1141"/>
    </w:p>
    <w:p>
      <w:pPr>
        <w:pStyle w:val="BookText"/>
        <w:rPr/>
      </w:pPr>
      <w:r>
        <w:rPr>
          <w:rFonts w:ascii="Amiri" w:hAnsi="Amiri" w:eastAsia="Amiri" w:cs="Amiri"/>
          <w:color w:val="111111"/>
          <w:sz w:val="28"/>
          <w:sz w:val="28"/>
          <w:szCs w:val="28"/>
          <w:rtl w:val="true"/>
          <w:lang w:bidi="ar-SA"/>
        </w:rPr>
        <w:t>إنّ من أهمّ الأمور التفسیریة الموجودة فی القرن الخامس عشر هی الاهتمام بالعقل و النزعة العقلیة؛ إذ أنّ الدین الإسلامی بشکل عامّ و القرآن الکریم بشکل خاصّ أعطی وزناً وقیمةً للمفکّرین وعقلاء العالم، واعتبر فلسفة التعذیب فی جهنّم هی لعدم استعمال العقلاء عقلهم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هذا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کُنّا نَسْمَعُ أَوْ نَعْقِلُ ما کُنّا فِی أَصْحابِ السَّعِیرِ</w:t>
      </w:r>
      <w:r>
        <w:rPr>
          <w:rFonts w:eastAsia="Amiri" w:cs="Amiri" w:ascii="Amiri" w:hAnsi="Amiri"/>
          <w:color w:val="111111"/>
          <w:sz w:val="28"/>
          <w:szCs w:val="28"/>
          <w:rtl w:val="true"/>
          <w:lang w:bidi="ar-SA"/>
        </w:rPr>
        <w:t xml:space="preserve">) . </w:t>
      </w:r>
      <w:r>
        <w:rPr>
          <w:rStyle w:val="FootnoteAnchor"/>
          <w:rtl w:val="true"/>
        </w:rPr>
        <w:footnoteReference w:id="1013"/>
      </w:r>
    </w:p>
    <w:p>
      <w:pPr>
        <w:pStyle w:val="BookText"/>
        <w:rPr/>
      </w:pPr>
      <w:r>
        <w:rPr>
          <w:rFonts w:ascii="IRNazanin" w:hAnsi="IRNazanin" w:eastAsia="IRNazanin"/>
          <w:color w:val="111111"/>
          <w:sz w:val="28"/>
          <w:sz w:val="28"/>
          <w:szCs w:val="28"/>
          <w:rtl w:val="true"/>
          <w:lang w:bidi="fa-IR"/>
        </w:rPr>
        <w:t>و أمّا ما هو المقصود من النزعة العقلیة فی التفسیر؟</w:t>
      </w:r>
    </w:p>
    <w:p>
      <w:pPr>
        <w:pStyle w:val="BookText"/>
        <w:rPr/>
      </w:pPr>
      <w:r>
        <w:rPr>
          <w:rFonts w:ascii="IRNazanin" w:hAnsi="IRNazanin" w:eastAsia="IRNazanin"/>
          <w:color w:val="111111"/>
          <w:sz w:val="28"/>
          <w:sz w:val="28"/>
          <w:szCs w:val="28"/>
          <w:rtl w:val="true"/>
          <w:lang w:bidi="fa-IR"/>
        </w:rPr>
        <w:t>فهذا ما أختلفت فیه الآراء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العقل البرهانی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یعنی إثبات الحقائق الدینیة من خلال البراهین و الأدلّة العقلیة و المنطقیة و الوهم و التخیل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العقل الذی یثبت بالمبادیء و العلوم المتعارفة أصل وجود مبدأ العالم وصفاته وأسمائه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هذا و إنّ طرح مثل هذا النوع من الاهتمام بالنزعة العقلیة فی التفسیر هو فی الحقیقة جواب ودحض لقول القائلین إنّ القرآن خالٍ من الاستدلالات و البراهین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جملة التفاسیر التی تبنت هذا النوع یمکن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تسنیم، لمؤلّفه آیة الله جوادی آملی، و تفسیر المیزان للعلامّة الطباطبائی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العقل الفطری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المبادیء القرآنیة تحکی منطق ورؤی عقلاء العالم وتنطبق</w:t>
      </w:r>
    </w:p>
    <w:p>
      <w:pPr>
        <w:pStyle w:val="BookText"/>
        <w:rPr/>
      </w:pPr>
      <w:r>
        <w:rPr>
          <w:rFonts w:ascii="IRNazanin" w:hAnsi="IRNazanin" w:eastAsia="IRNazanin"/>
          <w:color w:val="111111"/>
          <w:sz w:val="28"/>
          <w:sz w:val="28"/>
          <w:szCs w:val="28"/>
          <w:rtl w:val="true"/>
          <w:lang w:bidi="fa-IR"/>
        </w:rPr>
        <w:t>مع ما فطرت علیه العقول السلیمة، والعقل الفطری،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المشترک بین الناس جمیعاً، والذی فطروا علیه من المعرفه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والتی هی مورد قبول کلّ العقلاء، ومن أجل فهم معانی اللفظ و العبارة و الجملة الواردة فی القرآن أو الحدیث،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تقول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یَدُ اللّهِ فَوْقَ أَیْدِیهِمْ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014"/>
      </w:r>
      <w:r>
        <w:rPr>
          <w:rFonts w:ascii="IRNazanin" w:hAnsi="IRNazanin" w:eastAsia="IRNazanin"/>
          <w:color w:val="111111"/>
          <w:sz w:val="28"/>
          <w:sz w:val="28"/>
          <w:szCs w:val="28"/>
          <w:rtl w:val="true"/>
          <w:lang w:bidi="fa-IR"/>
        </w:rPr>
        <w:t>فإنّ العقل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اللفظة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المسلّم لن یقصد بیدالله أنّها عضو خاصّ له خسمة أصابع؛ و ذلک لأنّ الله سبحانه لیس بجسم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المراد من ذلک أنّ قدرة الله فوق قدرتهم</w:t>
      </w:r>
      <w:r>
        <w:rPr>
          <w:rFonts w:eastAsia="IRNazanin" w:cs="IRNazanin"/>
          <w:color w:val="111111"/>
          <w:sz w:val="28"/>
          <w:szCs w:val="28"/>
          <w:rtl w:val="true"/>
          <w:lang w:bidi="fa-IR"/>
        </w:rPr>
        <w:t xml:space="preserve">. </w:t>
      </w:r>
      <w:r>
        <w:rPr>
          <w:rStyle w:val="FootnoteAnchor"/>
          <w:rtl w:val="true"/>
        </w:rPr>
        <w:footnoteReference w:id="1015"/>
      </w:r>
    </w:p>
    <w:p>
      <w:pPr>
        <w:pStyle w:val="BookText"/>
        <w:rPr/>
      </w:pPr>
      <w:r>
        <w:rPr>
          <w:rFonts w:ascii="IRNazanin" w:hAnsi="IRNazanin" w:eastAsia="IRNazanin"/>
          <w:color w:val="111111"/>
          <w:sz w:val="28"/>
          <w:sz w:val="28"/>
          <w:szCs w:val="28"/>
          <w:rtl w:val="true"/>
          <w:lang w:bidi="fa-IR"/>
        </w:rPr>
        <w:t>ولهذا السبب نجد أنّ المفسّرین فی هذا العصر الحاضر فی کثیر من الموضوعات الکلامیة و الفلسفیة،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الجبر والاختیار الواضح فی بعده العقلی، یرون أنّ الجبر مرفوض من قبل العقل حتّی من قبل مفسّری أهل السنّة المعاصرین، ومن جملتهم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الشعراوی، والمراغی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کونهم علی المذهب الأشعری عقائدیاً، إلاّ أنّهم لایستنبطون العقیدة الجبریة من آیات القرآن ویرونها مردودة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أحیاناً فإنّ مفهوم النزعة العقلیة لا تعارض فیما بین التعالیم القرآنیة و العلوم بالمعنی العامّ، و إنّما هو یراها فقط مع بعض الموضوعات الاعتقادیة، بل فی خصوص الإجابة علی الشبهات الحدیثة المعتمدة علی التفکیر المعاصر</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فإنّ الإجابة تکون من خلال التفاسیر المعتمدة علی الأدلّة الواضحة و المنطق السدید، والتی تُصبُّ فی بیان مفهوم الحُرّیة الفکریة فی القول و القلم، و حقوق المرأة، وموضوع الحجاب</w:t>
      </w:r>
      <w:r>
        <w:rPr>
          <w:rFonts w:eastAsia="IRNazanin" w:cs="IRNazanin"/>
          <w:color w:val="111111"/>
          <w:sz w:val="28"/>
          <w:szCs w:val="28"/>
          <w:rtl w:val="true"/>
          <w:lang w:bidi="fa-IR"/>
        </w:rPr>
        <w:t xml:space="preserve">.... </w:t>
      </w:r>
      <w:r>
        <w:rPr>
          <w:rStyle w:val="FootnoteAnchor"/>
          <w:rtl w:val="true"/>
        </w:rPr>
        <w:footnoteReference w:id="1016"/>
      </w:r>
    </w:p>
    <w:p>
      <w:pPr>
        <w:pStyle w:val="BookText"/>
        <w:rPr/>
      </w:pPr>
      <w:r>
        <w:rPr>
          <w:rFonts w:ascii="IRNazanin" w:hAnsi="IRNazanin" w:eastAsia="IRNazanin"/>
          <w:color w:val="111111"/>
          <w:sz w:val="28"/>
          <w:sz w:val="28"/>
          <w:szCs w:val="28"/>
          <w:rtl w:val="true"/>
          <w:lang w:bidi="fa-IR"/>
        </w:rPr>
        <w:t>و هذا المعنی منطبق مع نظریة التفسیر العقلی والاجتهادی ویعتبر حقیقة واحدة، والتی یمارس المفسّر فیها الاستعانة بالأدلّة المختلفة العقلیة وأحیاناً النقلیة أنزه فی الدلالة العقلیة الرشیدة و الرأی الصحیح</w:t>
      </w:r>
      <w:r>
        <w:rPr>
          <w:rFonts w:eastAsia="IRNazanin" w:cs="IRNazanin"/>
          <w:color w:val="111111"/>
          <w:sz w:val="28"/>
          <w:szCs w:val="28"/>
          <w:rtl w:val="true"/>
          <w:lang w:bidi="fa-IR"/>
        </w:rPr>
        <w:t xml:space="preserve">. </w:t>
      </w:r>
      <w:r>
        <w:rPr>
          <w:rStyle w:val="FootnoteAnchor"/>
          <w:rtl w:val="true"/>
        </w:rPr>
        <w:footnoteReference w:id="101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الاهتمام ببعد الهدایة و التربیة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الکریم هو کتاب هدایة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 لِلنّاسِ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هو أقوم طریق للهدایة الإنسانیة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الْقُرْآنَ یَهْدِی لِلَّتِی هِیَ أَقْوَمُ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إنّ الهدف من نزول هذا الکتاب العظیم هو الهدایة و التربیة، و سعادة الإنسان فی الدارین الفانیة و الأبدیة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المفسّر بذل الجهد الرسالی فی سبیل تحقیق الأهداف الإلهیة لإنقاذ الإنسانیة وعلی الخصوص الإنسان المعاصر من بحر الأزمات و أمواج الفتن المعنویة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المهمّة تتحقّق عندما تکون التفاسیر متکفّلة بمسؤولیة الهدایة و التربیة فیما تطرحه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 حال فإنّها تمثّل الدور الأساسی و الوظیفة الرئیسة لکلّ مفسر، ولعلّ ما بین التفاسیر المتقدّمة التی اهتمّت بهذه المسؤولیة فی الهدایة و التربیة هی التفاسیر الإشاریة و العرفانیة</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العصر الحاضر، فبسبب اتّساع وتزاید الأزمات النفسیة و المعنویة عند الفرد و المجتمع، فإننّا نجد أغلب المفسّرین یولون اهتماماً جدّیاً وسعیاً حثیثاً فی هدایة المجتمع ویذکّرون الناس بمواعظ القرآن وتعالیمه، من أجل تربیتهم وهدایتهم، ویمکننا فی هذا الصعید الإشارة إلی بعض تلک التفاسیر، فمن التفاسیر الشیعیة نذکر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المیزان للطباطبائی و الأمثل لمکارم شیرازی، و من هدی القرآن للسید محمّدتقی المدّرسی و روشن محسن مصطفی، و تفسیر آسان لمحمّد جواد نجفی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تفاسیر</w:t>
      </w:r>
    </w:p>
    <w:p>
      <w:pPr>
        <w:pStyle w:val="BookText"/>
        <w:rPr/>
      </w:pPr>
      <w:r>
        <w:rPr>
          <w:rFonts w:ascii="IRNazanin" w:hAnsi="IRNazanin" w:eastAsia="IRNazanin"/>
          <w:color w:val="111111"/>
          <w:sz w:val="28"/>
          <w:sz w:val="28"/>
          <w:szCs w:val="28"/>
          <w:rtl w:val="true"/>
          <w:lang w:bidi="fa-IR"/>
        </w:rPr>
        <w:t>إخوانهم أهل السنّة نذکر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المنیر لوهبه الزحیلی، و تفسیر الشعراوی، و تفسیر أیسر التفاسیر لأبی بکر الجزایری، و زهرة التفاسیر لمحمّد أبو زهرة وغیرها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الاهتمام بالبُعدِ الاجتماعی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واحدة من الخصوصیات التفسیریة المعاصرة من مطلع القرن الرابع عشر، هو تفسیر القرآن الکریم انطلاقاً من متطلّبات الوضع الاجتماعی وحاجات المجتمع 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فالمفسّر لا یکتفی فی تفسیره بنقل الروایات و ذکر أقوال الصحابة و التابعین، ویتکیء علی آراء السلف و المفردات اللغویة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یمارس تفسیره علی أساس سدّ الثغور الاجتماعیة من خلال إغنائهم بالمفاهیم و الحلول القرآنیة لمشکلاتهم الاجتماعیة وتعریفهم بالدین الذی یحییهم بشکل جدید یتناسب مع زمانهم الذی یعیشونه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یطرح هذا النوع من التفسیر، و هذا الفکر المستوحی من القرآن بأسلوب عصری جذّاب من أجل هدایة الناس عموماً و الشباب خصوصاً نحو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ویسخّر العلم و الفن و التحضّر الاجتماعی فی خدمة القرآن، وبذلک یکون التوفیق تفسیر ینطلق من حاجات المجتمع یمکن أن یحمل المفسّر إلی نقد الأسالیب التفسیریة القدیمة المتعارفة و الإتیان برؤی تتماشی مع التقدّم العلمی الذی علیه المجتمع المعاصرله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الطرف المقابل فإنّ إیجابیة هذا التحوّل فی الأسلوب هو أنّ المفسّر سیبعد عن أذهان الناس القضایا الخرافیة و الأمور الواهمیة، ویفشّی بینهم الموضوعات و المفاهیم، والعقائد العقلیة و المنطقیة، والواقعیة؛ وذلک من خلال مایثبته لهم من إعجازات القرآن العلمیة، وبالتالی إثبات صلاحیة القرآن لکلّ زمان و قدرته علی قیادة الحیاة فی کلّ أبعادها إلی السعادة و السلام</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مثل هذا الاتّجاه التفسیری یستطیع المفسّرون من التقدّم خطوة إلی الأمام فی إیجاد التحوّل فی الطرق و الأسالیب التفسیریة القدیمة الموروثة</w:t>
      </w:r>
      <w:r>
        <w:rPr>
          <w:rFonts w:eastAsia="IRNazanin" w:cs="IRNazanin"/>
          <w:color w:val="111111"/>
          <w:sz w:val="28"/>
          <w:szCs w:val="28"/>
          <w:rtl w:val="true"/>
          <w:lang w:bidi="fa-IR"/>
        </w:rPr>
        <w:t xml:space="preserve">. </w:t>
      </w:r>
      <w:r>
        <w:rPr>
          <w:rStyle w:val="FootnoteAnchor"/>
          <w:rtl w:val="true"/>
        </w:rPr>
        <w:footnoteReference w:id="1018"/>
      </w:r>
    </w:p>
    <w:p>
      <w:pPr>
        <w:pStyle w:val="BookText"/>
        <w:rPr/>
      </w:pPr>
      <w:r>
        <w:rPr>
          <w:rFonts w:ascii="IRNazanin" w:hAnsi="IRNazanin" w:eastAsia="IRNazanin"/>
          <w:color w:val="111111"/>
          <w:sz w:val="28"/>
          <w:sz w:val="28"/>
          <w:szCs w:val="28"/>
          <w:rtl w:val="true"/>
          <w:lang w:bidi="fa-IR"/>
        </w:rPr>
        <w:t>ومع التأمّل فی الأمور المتقدّمة یمکننا استخلاص ثلاثة معالم تشخیصیة للبعد الاجتماعی فی التفسیر، أو لنقل الاتّجاه الاجتماعی فی التفسیر، وهی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تلبیة مُتطلّبات الفرد و المجتمع فی الحاجات المختلفة للشباب و العوائل، والحکومة و النظام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الإجابة علی شبهات العصر وتساؤلاته،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و المساواة، وحُرّیة الفکر و القلم، وحقوق الإنسان و الإرتداد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الاهتمام بالبعد العلمی للقرآن و التوفیق بینه و بین النظریات الثابتة فی العلوم التجربیة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الحرکة الجهادیة بناءً علی ظاهرة الثورات الإسلامیة التی حصلت فی القرن الرابع عشر سواءً التحرریة، کالتی حصلت فی دول شمال أفریقیا و الشرق الأوسط عموماً وإلی أندونسیا، والتی هی من أجل التحرّر من الاستعمار أیاً کان، أو السیاسیة وأبرزها إقامة الجمهوریة الإسلامیة فی إیران، وما سبقها وما لحق بها من الثورات و النهضات والانقلابات وما تمخّض عن الصحوة الإسلامیة </w:t>
      </w:r>
      <w:r>
        <w:rPr>
          <w:rStyle w:val="FootnoteAnchor"/>
          <w:rtl w:val="true"/>
        </w:rPr>
        <w:footnoteReference w:id="1019"/>
      </w:r>
      <w:r>
        <w:rPr>
          <w:rFonts w:ascii="IRNazanin" w:hAnsi="IRNazanin" w:eastAsia="IRNazanin"/>
          <w:color w:val="111111"/>
          <w:sz w:val="28"/>
          <w:sz w:val="28"/>
          <w:szCs w:val="28"/>
          <w:rtl w:val="true"/>
          <w:lang w:bidi="fa-IR"/>
        </w:rPr>
        <w:t>من أحزاب وحرکات وتنظیمات جهادیة ثوریة وحالات استشهادیة أقضّتْ مضاجع الاستکبار و الصهیونیة و الأذناب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تلک المحفّزات و العوامل الرسالیة حملة المفکرین الإسلامیین، وعلی الخصوص المفسّرین منهم إلی الاهتمام الجادّ فی التصدّی لمهمّة تفسیر آیات القرآن الکریم تفسیراً ثوریاً جهادیا هادفاً ینطلق من کلّ عبارة قرآنیة لها علاقتها بذلک</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أبرز من کتب فی ذلک العلاّمة محمّد جواد مغنیة فی تفسیر الکاشف و المبین، وآیة الله جوادی أملی فی تفسیر تسنیم، و آیة الله محمّد باقر الحکیم فی التفسیر الموضوعی للقصص القرآنی، والعلاّمة المدرسی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هدی القرآن، والعلاّمة مُحمّد حسین 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هدی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الوحدة الموضوعیة فی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عنوان لکتاب واحد له أجزاء، مترابطة بعضها بالبعض الآخر، هذا هو اعتقاد کلّ المتقدّمین من العلماء، و من جملتهم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الطبرسی صاحب مجمع البیان فإنّه یری أنّ کلّ السور مرتبطة بعضها ببعض فیما تطرحه، وما نقل عن ابن عربی من أنّ ارتباط آیات القرآن بعضها ببعض هو مثل إجراء کلمة واحدة لها معانی منظمة ووسیعة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ویعتقد الشیخ محمود شلتوت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جمیع ما هو موجود فی القرآن و إنّ اختلفت أماکن النزول و الأحکام، والسور المتعدّدة إلاّ أنّه یملک وحدة، وفی العمل غیر قابل للتفکیک، ولا یمکن الأخذ ببعضه و التخلّی عن البعض الآخر</w:t>
      </w:r>
      <w:r>
        <w:rPr>
          <w:rFonts w:eastAsia="IRNazanin" w:cs="IRNazanin"/>
          <w:color w:val="111111"/>
          <w:sz w:val="28"/>
          <w:szCs w:val="28"/>
          <w:rtl w:val="true"/>
          <w:lang w:bidi="fa-IR"/>
        </w:rPr>
        <w:t xml:space="preserve">. </w:t>
      </w:r>
      <w:r>
        <w:rPr>
          <w:rStyle w:val="FootnoteAnchor"/>
          <w:rtl w:val="true"/>
        </w:rPr>
        <w:footnoteReference w:id="1020"/>
      </w:r>
    </w:p>
    <w:p>
      <w:pPr>
        <w:pStyle w:val="BookText"/>
        <w:rPr/>
      </w:pPr>
      <w:r>
        <w:rPr>
          <w:rFonts w:ascii="IRNazanin" w:hAnsi="IRNazanin" w:eastAsia="IRNazanin"/>
          <w:color w:val="111111"/>
          <w:sz w:val="28"/>
          <w:sz w:val="28"/>
          <w:szCs w:val="28"/>
          <w:rtl w:val="true"/>
          <w:lang w:bidi="fa-IR"/>
        </w:rPr>
        <w:t>و هکذا الشیخ محمّد عبده فی تفسیر المنار فإنّه أکّد ذلک</w:t>
      </w:r>
      <w:r>
        <w:rPr>
          <w:rFonts w:eastAsia="IRNazanin" w:cs="IRNazanin"/>
          <w:color w:val="111111"/>
          <w:sz w:val="28"/>
          <w:szCs w:val="28"/>
          <w:rtl w:val="true"/>
          <w:lang w:bidi="fa-IR"/>
        </w:rPr>
        <w:t xml:space="preserve">. </w:t>
      </w:r>
      <w:r>
        <w:rPr>
          <w:rStyle w:val="FootnoteAnchor"/>
          <w:rtl w:val="true"/>
        </w:rPr>
        <w:footnoteReference w:id="1021"/>
      </w:r>
    </w:p>
    <w:p>
      <w:pPr>
        <w:pStyle w:val="BookText"/>
        <w:rPr/>
      </w:pPr>
      <w:r>
        <w:rPr>
          <w:rFonts w:ascii="IRNazanin" w:hAnsi="IRNazanin" w:eastAsia="IRNazanin"/>
          <w:color w:val="111111"/>
          <w:sz w:val="28"/>
          <w:sz w:val="28"/>
          <w:szCs w:val="28"/>
          <w:rtl w:val="true"/>
          <w:lang w:bidi="fa-IR"/>
        </w:rPr>
        <w:t>و یری العلاّمة الطباطبائی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هناک وحدة حاکمة علی کلّ القرآن، ویقول فی ذیل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أُحْکِمَتْ آیاتُهُ ثُمَّ فُصِّلَتْ مِنْ لَدُنْ حَکِیمٍ 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022"/>
      </w:r>
      <w:r>
        <w:rPr>
          <w:rFonts w:ascii="IRNazanin" w:hAnsi="IRNazanin" w:eastAsia="IRNazanin"/>
          <w:color w:val="111111"/>
          <w:sz w:val="28"/>
          <w:sz w:val="28"/>
          <w:szCs w:val="28"/>
          <w:rtl w:val="true"/>
          <w:lang w:bidi="fa-IR"/>
        </w:rPr>
        <w:t>إنّ التوحید هو أساس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الوحدة حاکمة علی کلّ السور القرآنیة و قد وزّع علی الموضوعات المتنوّعة فی السور المختلفة لتفصیل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هو حال سائر المعارف القرآنیه فإنّها تعود إلی نفس هذا الأصل</w:t>
      </w:r>
      <w:r>
        <w:rPr>
          <w:rFonts w:eastAsia="IRNazanin" w:cs="IRNazanin"/>
          <w:color w:val="111111"/>
          <w:sz w:val="28"/>
          <w:szCs w:val="28"/>
          <w:rtl w:val="true"/>
          <w:lang w:bidi="fa-IR"/>
        </w:rPr>
        <w:t xml:space="preserve">. </w:t>
      </w:r>
      <w:r>
        <w:rPr>
          <w:rStyle w:val="FootnoteAnchor"/>
          <w:rtl w:val="true"/>
        </w:rPr>
        <w:footnoteReference w:id="102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الوحدة الموضوعیة لسور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الأمور التی أکّدت علیها التفاسیر المعاصرة تأکیداً جادّاً هی وحدة الهدف لکلّ سورة و أنّ آیاتها مترابطة فیما</w:t>
      </w:r>
      <w:bookmarkStart w:id="1142" w:name="pg5285_67641"/>
    </w:p>
    <w:p>
      <w:pPr>
        <w:pStyle w:val="BookText"/>
        <w:rPr/>
      </w:pPr>
      <w:bookmarkEnd w:id="1142"/>
      <w:r>
        <w:rPr>
          <w:rFonts w:ascii="IRNazanin" w:hAnsi="IRNazanin" w:eastAsia="IRNazanin"/>
          <w:color w:val="111111"/>
          <w:sz w:val="28"/>
          <w:sz w:val="28"/>
          <w:szCs w:val="28"/>
          <w:rtl w:val="true"/>
          <w:lang w:bidi="fa-IR"/>
        </w:rPr>
        <w:t>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تلک التفاسیر التی لها قدم السبق فی هذا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تفسیرالمیزان، و تفسیر الأمثل، و تفسیر المنار، و تفسیر التحریر و التنویر</w:t>
      </w:r>
      <w:r>
        <w:rPr>
          <w:rFonts w:eastAsia="IRNazanin" w:cs="IRNazanin"/>
          <w:color w:val="111111"/>
          <w:sz w:val="28"/>
          <w:szCs w:val="28"/>
          <w:rtl w:val="true"/>
          <w:lang w:bidi="fa-IR"/>
        </w:rPr>
        <w:t>....</w:t>
      </w:r>
    </w:p>
    <w:p>
      <w:pPr>
        <w:pStyle w:val="Heading3"/>
        <w:numPr>
          <w:ilvl w:val="2"/>
          <w:numId w:val="1"/>
        </w:numPr>
        <w:rPr/>
      </w:pPr>
      <w:bookmarkStart w:id="1143" w:name="__RefHeading___Toc634681_581953129"/>
      <w:bookmarkStart w:id="1144" w:name="_Toc436"/>
      <w:bookmarkEnd w:id="1143"/>
      <w:r>
        <w:rPr>
          <w:rtl w:val="true"/>
        </w:rPr>
        <w:t>آفات التفاسیر العصریة</w:t>
      </w:r>
      <w:bookmarkEnd w:id="1144"/>
    </w:p>
    <w:p>
      <w:pPr>
        <w:pStyle w:val="BookText"/>
        <w:rPr/>
      </w:pPr>
      <w:r>
        <w:rPr>
          <w:rFonts w:ascii="IRNazanin" w:hAnsi="IRNazanin" w:eastAsia="IRNazanin"/>
          <w:color w:val="111111"/>
          <w:sz w:val="28"/>
          <w:sz w:val="28"/>
          <w:szCs w:val="28"/>
          <w:rtl w:val="true"/>
          <w:lang w:bidi="fa-IR"/>
        </w:rPr>
        <w:t>من الملفت للنظر وجودآ فتین کبیرتین فی التفاسیر المعاصرة، وهما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ممارسة التفسیر الظاهری أو الموروث المتعارف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الانهزام الذاتی أو فقدان الهُویة أمام النزعة التجدیدیة و الفرضیات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بعض التفاسیر تنظر إلی صورة القضایا الظاهریة فقط؛ أمّا فی مواجهة التحوّلات الاجتماعیة وحاجات المجتمع، فهی تکتفی فی تفسیرها الظواهر فیما تعرضه، و تمارس نوعاً ما تغییراً فی الکلمات، أو هی تُجری مجری التفسیر الموروث و المتعارف فی طریقة تکرار آراء المتقدّمین،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قتادة و السدّی، و عکورمة و أمثالهم؛ أما عن عمق و محتوی المتطلّبات العقلائیة لاحتیاجات المجتمع، فهی فی 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الجانب الآخر مع وجود التقدم العلمی و الحداثة فی البحوث العلمیة و الدینیة تجد بعض المفسّرین یبتلی بالإفراط و ینهزم أمام الفرضیات العلمیة أو یفقد هویته الذاتیة، ویندفع فی تأویل الکثیر من الآیات تأویلا علمیاً، ولا یبقی رطبا إلاّ یابساً إلاّ حمّله القرآن، مثل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المیکروبات بالجن وطیر الأبابیل بمرض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 الطرف الآخر یقوم بتأویل الحقائق القرآنیة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الملائکة، ومعجزات الأنبیاء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بتأویلات غیر صحیحة، ویعرّف هذه المفاهیم بأشیاء أخری لا تتماشی مع محتوی القرآن</w:t>
      </w:r>
      <w:r>
        <w:rPr>
          <w:rFonts w:eastAsia="IRNazanin" w:cs="IRNazanin"/>
          <w:color w:val="111111"/>
          <w:sz w:val="28"/>
          <w:szCs w:val="28"/>
          <w:rtl w:val="true"/>
          <w:lang w:bidi="fa-IR"/>
        </w:rPr>
        <w:t>.</w:t>
      </w:r>
    </w:p>
    <w:p>
      <w:pPr>
        <w:pStyle w:val="Heading3"/>
        <w:numPr>
          <w:ilvl w:val="2"/>
          <w:numId w:val="1"/>
        </w:numPr>
        <w:rPr/>
      </w:pPr>
      <w:bookmarkStart w:id="1145" w:name="__RefHeading___Toc634683_581953129"/>
      <w:bookmarkStart w:id="1146" w:name="_Toc437"/>
      <w:bookmarkEnd w:id="1145"/>
      <w:r>
        <w:rPr>
          <w:rtl w:val="true"/>
        </w:rPr>
        <w:t>التفسیر الموضوعی</w:t>
      </w:r>
      <w:bookmarkEnd w:id="1146"/>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خصوصیات التفسیر فی هذا العصر الحاضر هو اتّساع أفق التفسیر الموضوعی، ولا یخفی أنّ التفسیر بمعناه الاصطلاحی المعروف و الذی تمتد جذوره</w:t>
      </w:r>
    </w:p>
    <w:p>
      <w:pPr>
        <w:pStyle w:val="BookText"/>
        <w:rPr/>
      </w:pPr>
      <w:r>
        <w:rPr>
          <w:rFonts w:ascii="IRNazanin" w:hAnsi="IRNazanin" w:eastAsia="IRNazanin"/>
          <w:color w:val="111111"/>
          <w:sz w:val="28"/>
          <w:sz w:val="28"/>
          <w:szCs w:val="28"/>
          <w:rtl w:val="true"/>
          <w:lang w:bidi="fa-IR"/>
        </w:rPr>
        <w:t>القدیمة و القویة أربعة عشر قرناً هو التفسیر المتعارف علیه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الترتیبی، أمّا فی عرف و اصطلاح التفسیر، فلم یکن لاسم التفسیر الموضوعی بین الماضین، و إن وجد إلاّ لوناً باهتاً للعیان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نستفیده أنّ تسمیة التفسیر الموضوعی هی من المصطلحات المستحدثة و التی أطلقت فی بعض التفاسیر المعاصره؛ أمّا أنّ هذا النوع من التفسیر هل کان موجوداً فیما سبق أم لا؟ فإنّنا نواجه رأیین، 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أنّ هذا الاسم لم یذکر فی التفاسیر القدیمة، و إن ذکر فهو ضئیل جدّاً، ولکن یمکن بعد البحث و التحقیق العثور علی حرکة مشابهة فی الزمن السالف لما علیه التفسیر الموضوعی المعاصر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التفسیر الموضوعی بشکل عامّ هو اصطلاح مستحدث وظاهرة جدیدة و البحث عن أصلها التاریخی هو أمر عبثی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یبدوا لنا هو صحة الرأی الأوّل؛ وذلک لأنَّ التفسیر الموضوعی فی معناه هو جمع الآیات المشابة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اللفظ و المحتوی، والتّی تتمحور حول مضمون موضوع واحد جمعها فی مکان واحد وممارسة البحث و التحقیق حولها، أو بتعبیر آخر جمع الآیات المتنوّعة فی الموضوع الواحد من کلّ القرآن، والتی نزلت فی حوادث وظروف مختلفة، جمعها واستنباط نظریة القرآن حول ذلک الموضوع حتی تتّضح أبعاده</w:t>
      </w:r>
      <w:r>
        <w:rPr>
          <w:rFonts w:eastAsia="IRNazanin" w:cs="IRNazanin"/>
          <w:color w:val="111111"/>
          <w:sz w:val="28"/>
          <w:szCs w:val="28"/>
          <w:rtl w:val="true"/>
          <w:lang w:bidi="fa-IR"/>
        </w:rPr>
        <w:t xml:space="preserve">. </w:t>
      </w:r>
      <w:r>
        <w:rPr>
          <w:rStyle w:val="FootnoteAnchor"/>
          <w:rtl w:val="true"/>
        </w:rPr>
        <w:footnoteReference w:id="1024"/>
      </w:r>
      <w:r>
        <w:rPr>
          <w:rFonts w:ascii="IRNazanin" w:hAnsi="IRNazanin" w:eastAsia="IRNazanin"/>
          <w:color w:val="111111"/>
          <w:sz w:val="28"/>
          <w:sz w:val="28"/>
          <w:szCs w:val="28"/>
          <w:rtl w:val="true"/>
          <w:lang w:bidi="fa-IR"/>
        </w:rPr>
        <w:t>و هذا النوع من التفسیر له سابقته الطویلة</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التعریف 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التفسیر الموضوعی له سابقته فی متون التفاسیر القدیمة فی سالف الزمان، وکذلک یمکن إرجاعه إلی زمان تألیف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فإنّ باکورته التاریخیة تحدّد فی القرن الثانی للهجرة المبارکة،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أحکام القرآن، تألیف محمّد بن سائب الکلبی،</w:t>
      </w:r>
      <w:r>
        <w:rPr>
          <w:rFonts w:eastAsia="IRNazanin" w:cs="IRNazanin"/>
          <w:color w:val="111111"/>
          <w:sz w:val="28"/>
          <w:szCs w:val="28"/>
          <w:rtl w:val="true"/>
          <w:lang w:bidi="fa-IR"/>
        </w:rPr>
        <w:t>(</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1147" w:name="pg5285_67643"/>
    </w:p>
    <w:p>
      <w:pPr>
        <w:pStyle w:val="Heading3"/>
        <w:numPr>
          <w:ilvl w:val="2"/>
          <w:numId w:val="1"/>
        </w:numPr>
        <w:rPr/>
      </w:pPr>
      <w:bookmarkStart w:id="1148" w:name="__RefHeading___Toc634685_581953129"/>
      <w:bookmarkStart w:id="1149" w:name="_Toc438"/>
      <w:bookmarkEnd w:id="1147"/>
      <w:bookmarkEnd w:id="1148"/>
      <w:r>
        <w:rPr>
          <w:rtl w:val="true"/>
        </w:rPr>
        <w:t>أقسام التفسیر الموضوعی</w:t>
      </w:r>
      <w:bookmarkEnd w:id="1149"/>
    </w:p>
    <w:p>
      <w:pPr>
        <w:pStyle w:val="BookText"/>
        <w:rPr/>
      </w:pPr>
      <w:r>
        <w:rPr>
          <w:rFonts w:ascii="IRNazanin" w:hAnsi="IRNazanin" w:eastAsia="IRNazanin"/>
          <w:color w:val="111111"/>
          <w:sz w:val="28"/>
          <w:sz w:val="28"/>
          <w:szCs w:val="28"/>
          <w:rtl w:val="true"/>
          <w:lang w:bidi="fa-IR"/>
        </w:rPr>
        <w:t>یقسم التفسیر الموضوعی إلی قسمین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الموضوعی الاتّحادی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یتمحور حول موضوع واحد ومستقلّ قرآنیاً، فیدور حوله البحث،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التوحید، والمعاد و الإمامة، والعصمة، والإنسان، والملائکة، وغیرها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الموضوعی الارتباطی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القسم هناک موضوعان یرتبط أحدهما بالآخر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و العمل الصالح، فیمارس البحث عنهما وتجمع آیاتهما بعضها إلی البعض الآخر؛ لأجل الحصول علی نظریة القرآن فی أبعادها المختلفة بشکل واضح</w:t>
      </w:r>
      <w:r>
        <w:rPr>
          <w:rFonts w:eastAsia="IRNazanin" w:cs="IRNazanin"/>
          <w:color w:val="111111"/>
          <w:sz w:val="28"/>
          <w:szCs w:val="28"/>
          <w:rtl w:val="true"/>
          <w:lang w:bidi="fa-IR"/>
        </w:rPr>
        <w:t>.</w:t>
      </w:r>
    </w:p>
    <w:p>
      <w:pPr>
        <w:pStyle w:val="Heading3"/>
        <w:numPr>
          <w:ilvl w:val="2"/>
          <w:numId w:val="1"/>
        </w:numPr>
        <w:rPr/>
      </w:pPr>
      <w:bookmarkStart w:id="1150" w:name="__RefHeading___Toc634687_581953129"/>
      <w:bookmarkStart w:id="1151" w:name="_Toc439"/>
      <w:bookmarkEnd w:id="1150"/>
      <w:r>
        <w:rPr>
          <w:rtl w:val="true"/>
        </w:rPr>
        <w:t>بعض التفاسیر الاتّحادیة</w:t>
      </w:r>
      <w:bookmarkEnd w:id="1151"/>
    </w:p>
    <w:p>
      <w:pPr>
        <w:pStyle w:val="BookText"/>
        <w:rPr/>
      </w:pPr>
      <w:r>
        <w:rPr>
          <w:rFonts w:ascii="IRNazanin" w:hAnsi="IRNazanin" w:eastAsia="IRNazanin"/>
          <w:color w:val="111111"/>
          <w:sz w:val="28"/>
          <w:sz w:val="28"/>
          <w:szCs w:val="28"/>
          <w:rtl w:val="true"/>
          <w:lang w:bidi="fa-IR"/>
        </w:rPr>
        <w:t>النبوّة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الإمامة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الحکومة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الأخلاق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الیزدی</w:t>
      </w:r>
      <w:r>
        <w:rPr>
          <w:rFonts w:eastAsia="IRNazanin" w:cs="IRNazanin"/>
          <w:color w:val="111111"/>
          <w:sz w:val="28"/>
          <w:szCs w:val="28"/>
          <w:rtl w:val="true"/>
          <w:lang w:bidi="fa-IR"/>
        </w:rPr>
        <w:t>.</w:t>
      </w:r>
    </w:p>
    <w:p>
      <w:pPr>
        <w:pStyle w:val="Heading3"/>
        <w:numPr>
          <w:ilvl w:val="2"/>
          <w:numId w:val="1"/>
        </w:numPr>
        <w:rPr/>
      </w:pPr>
      <w:bookmarkStart w:id="1152" w:name="__RefHeading___Toc634689_581953129"/>
      <w:bookmarkStart w:id="1153" w:name="_Toc440"/>
      <w:bookmarkEnd w:id="1152"/>
      <w:r>
        <w:rPr>
          <w:rtl w:val="true"/>
        </w:rPr>
        <w:t>بعض التفاسیر الارتباطیة</w:t>
      </w:r>
      <w:bookmarkEnd w:id="1153"/>
    </w:p>
    <w:p>
      <w:pPr>
        <w:pStyle w:val="BookText"/>
        <w:rPr/>
      </w:pPr>
      <w:r>
        <w:rPr>
          <w:rFonts w:ascii="IRNazanin" w:hAnsi="IRNazanin" w:eastAsia="IRNazanin"/>
          <w:color w:val="111111"/>
          <w:sz w:val="28"/>
          <w:sz w:val="28"/>
          <w:szCs w:val="28"/>
          <w:rtl w:val="true"/>
          <w:lang w:bidi="fa-IR"/>
        </w:rPr>
        <w:t>التوحید و الشرک فی القرآن، جعفر السبحانی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المجتمع و التاریخ من وجهة نظر القرآن الکریم، مصباح الیزدی،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الخاقانی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آفرینش و رستاخیز،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الخلق و البعث،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شینیا مالینو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دوستخواه</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و انجام جهان،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بدایة ونهایة، العالم محمّد أمین رضوی</w:t>
      </w:r>
      <w:r>
        <w:rPr>
          <w:rFonts w:eastAsia="IRNazanin" w:cs="IRNazanin"/>
          <w:color w:val="111111"/>
          <w:sz w:val="28"/>
          <w:szCs w:val="28"/>
          <w:rtl w:val="true"/>
          <w:lang w:bidi="fa-IR"/>
        </w:rPr>
        <w:t>.</w:t>
      </w:r>
      <w:bookmarkStart w:id="1154" w:name="pg5285_67644"/>
    </w:p>
    <w:p>
      <w:pPr>
        <w:pStyle w:val="Heading3"/>
        <w:numPr>
          <w:ilvl w:val="2"/>
          <w:numId w:val="1"/>
        </w:numPr>
        <w:rPr/>
      </w:pPr>
      <w:bookmarkStart w:id="1155" w:name="__RefHeading___Toc634691_581953129"/>
      <w:bookmarkStart w:id="1156" w:name="_Toc441"/>
      <w:bookmarkEnd w:id="1154"/>
      <w:bookmarkEnd w:id="1155"/>
      <w:r>
        <w:rPr>
          <w:rtl w:val="true"/>
        </w:rPr>
        <w:t>أشهر التفاسیر الموضوعیة</w:t>
      </w:r>
      <w:bookmarkEnd w:id="1156"/>
    </w:p>
    <w:p>
      <w:pPr>
        <w:pStyle w:val="BookText"/>
        <w:rPr/>
      </w:pPr>
      <w:r>
        <w:rPr>
          <w:rFonts w:ascii="IRNazanin" w:hAnsi="IRNazanin" w:eastAsia="IRNazanin"/>
          <w:color w:val="111111"/>
          <w:sz w:val="28"/>
          <w:sz w:val="28"/>
          <w:szCs w:val="28"/>
          <w:rtl w:val="true"/>
          <w:lang w:bidi="fa-IR"/>
        </w:rPr>
        <w:t>پیام قرآن، فی عشرة مجلّدات، تألیف آیة الله مکارم شیرازی ومساعدیه، و طبع باللغة العربیة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نفحات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منشور جاوید قرآن، فی اثنی عشر مجلّداً، تألیف آیة الله جعفر سبحانی، وطبع باللغة العربیة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موضوعی قرآن مجید، فی أربعة عشر مجلّداً، تألیف آیة الله جوادی أملی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معارف القرآن، فی ثلاثة مجلّدات، تألیف محمّد تقی مصباح الیزدی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التفسیر الموضوعی للقرآن الکریم، فی اثنی عشر مجلّداً، تألیف سمیح عاطف الزین</w:t>
      </w:r>
      <w:r>
        <w:rPr>
          <w:rFonts w:eastAsia="IRNazanin" w:cs="IRNazanin"/>
          <w:color w:val="111111"/>
          <w:sz w:val="28"/>
          <w:szCs w:val="28"/>
          <w:rtl w:val="true"/>
          <w:lang w:bidi="fa-IR"/>
        </w:rPr>
        <w:t>.</w:t>
      </w:r>
    </w:p>
    <w:p>
      <w:pPr>
        <w:pStyle w:val="Heading3"/>
        <w:numPr>
          <w:ilvl w:val="2"/>
          <w:numId w:val="1"/>
        </w:numPr>
        <w:rPr/>
      </w:pPr>
      <w:bookmarkStart w:id="1157" w:name="__RefHeading___Toc634693_581953129"/>
      <w:bookmarkStart w:id="1158" w:name="_Toc442"/>
      <w:bookmarkEnd w:id="1157"/>
      <w:r>
        <w:rPr>
          <w:rtl w:val="true"/>
        </w:rPr>
        <w:t>التفسیر البنائی للقرآن الکریم</w:t>
      </w:r>
      <w:bookmarkEnd w:id="1158"/>
    </w:p>
    <w:p>
      <w:pPr>
        <w:pStyle w:val="BookText"/>
        <w:rPr/>
      </w:pPr>
      <w:r>
        <w:rPr>
          <w:rFonts w:ascii="IRNazanin" w:hAnsi="IRNazanin" w:eastAsia="IRNazanin"/>
          <w:color w:val="111111"/>
          <w:sz w:val="28"/>
          <w:sz w:val="28"/>
          <w:szCs w:val="28"/>
          <w:rtl w:val="true"/>
          <w:lang w:bidi="fa-IR"/>
        </w:rPr>
        <w:t>وهکذا مثلما تقدّم فی خصوصیات التفسیر العصری من اهتمام المفسّر بالوحدة الموضوعیة للقرآن الکریم، و الوحدة الموضوعیة لسور القرآن، والترابط القائم بین الآیات و السور، وجود الهدف لکلّ سور القرآن الکریم، وتقسیم کل سورة من السور الی أقسام متنوّعة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هذه الموضوعات أعلاه کانت تبحث بشکل نظری ومبنائی فی التفاسیر الترتیبیة أو بعناوین خاصّة ومستقلّة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مضافاً إلی ذلک، فإنّه فی العصر الحاضر ابتکرت طریقة جدیدة فی التفسیر، والتی هی لیست عدیمة الشبه بما طرح، و إنّما هی تبحث بصورة ما فی مجموعة من آیات القرآن؛ لأجل استیضاح تقاربها وترابطها فیما بینها، و إنّ لها عنصراً مشترکاً هو یکون المحور الأصلی للبحث فی تلک الآیات التی تدور علی ذلک الموضوع و المفهوم المشترک</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الطریقة فی الاستفادة من القرآن مع وجودها بین المتقدّمین بشکل جزئی جدّاً إلاّ أنّها فی العصر الحاضر طرحت بشکل مستقلّ، وتحت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البنائی</w:t>
      </w:r>
    </w:p>
    <w:p>
      <w:pPr>
        <w:pStyle w:val="BookText"/>
        <w:rPr/>
      </w:pPr>
      <w:r>
        <w:rPr>
          <w:rFonts w:ascii="IRNazanin" w:hAnsi="IRNazanin" w:eastAsia="IRNazanin"/>
          <w:color w:val="111111"/>
          <w:sz w:val="28"/>
          <w:sz w:val="28"/>
          <w:szCs w:val="28"/>
          <w:rtl w:val="true"/>
          <w:lang w:bidi="fa-IR"/>
        </w:rPr>
        <w:t>للقرآن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النوع من المنهجیة التفسیریة الحدیثه لیست هی تفسیراً موضوعیاً یمارس المفسّر فیه الاستفادة من التعالیم و الآیات المتنوعة فی القرآن من خلال البحث عن موضوع واحد وخاصّ، کما لیست هی تفسیراً ترتیبیاً یبدأ بالتفسیر من أوّل القرآن أو أوّل السورة بشکل ترتیب الآیات و السور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قام الأدیب و المحقّق القرآنی المعاصر الدکتور محمود البستانی </w:t>
      </w:r>
      <w:r>
        <w:rPr>
          <w:rStyle w:val="FootnoteAnchor"/>
          <w:rtl w:val="true"/>
        </w:rPr>
        <w:footnoteReference w:id="1025"/>
      </w:r>
      <w:r>
        <w:rPr>
          <w:rFonts w:ascii="IRNazanin" w:hAnsi="IRNazanin" w:eastAsia="IRNazanin"/>
          <w:color w:val="111111"/>
          <w:sz w:val="28"/>
          <w:sz w:val="28"/>
          <w:szCs w:val="28"/>
          <w:rtl w:val="true"/>
          <w:lang w:bidi="fa-IR"/>
        </w:rPr>
        <w:t>ببرمجة هذه الطریقة التفسیریة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المنهج البنائی فی التفسیر، کما وله تفسیره المکوّن من خمسة مجلّدات تحت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البنائی للقرآن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یمکن القول بتعریف واحد وبسیط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التفسیر البنائی هو سیر فی متن القرآن وضمن سوره المبارکة للحصول علی هدف واحد من خلال البناء اللغوی الخاصّ لها ارتباطها بین نص الآیات وموضوعاتها وعناصرها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فإنّ السورة الواحدة من القرآن هی نصّ واحد له ارتباطه بکلّ المقاطع و الموضوعات و العناصر و الأدوات ارتباطاً کاملاً ومنسجماً</w:t>
      </w:r>
      <w:r>
        <w:rPr>
          <w:rFonts w:eastAsia="IRNazanin" w:cs="IRNazanin"/>
          <w:color w:val="111111"/>
          <w:sz w:val="28"/>
          <w:szCs w:val="28"/>
          <w:rtl w:val="true"/>
          <w:lang w:bidi="fa-IR"/>
        </w:rPr>
        <w:t xml:space="preserve">. </w:t>
      </w:r>
      <w:r>
        <w:rPr>
          <w:rStyle w:val="FootnoteAnchor"/>
          <w:rtl w:val="true"/>
        </w:rPr>
        <w:footnoteReference w:id="1026"/>
      </w:r>
    </w:p>
    <w:p>
      <w:pPr>
        <w:pStyle w:val="BookText"/>
        <w:rPr/>
      </w:pPr>
      <w:r>
        <w:rPr>
          <w:rFonts w:ascii="IRNazanin" w:hAnsi="IRNazanin" w:eastAsia="IRNazanin"/>
          <w:color w:val="111111"/>
          <w:sz w:val="28"/>
          <w:sz w:val="28"/>
          <w:szCs w:val="28"/>
          <w:rtl w:val="true"/>
          <w:lang w:bidi="fa-IR"/>
        </w:rPr>
        <w:t xml:space="preserve">وفی هذه المنهجیة یسعی المفسّر للکشف عن المحور الأساسی للآیات، والذی له ارتباطه بجمیعها، وبمعرفة هذا المحور فإنّ فلسفة الکثیر من المسائل ستتضح ومنها ما هو حول تنظیم القرآن الکریم فی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ولماذا لکلّ سورة موضوعاتها المشخّصة لها؟ ولماذا احیاناً تتکرر نفس هذه الموضوعات فی سورة أخری؟ ولماذا تکرار الموضوع فی سورة أخری یجعل السیاق المطروح فیها متغایراً مع سابقتها؟ ولماذا توضع کذا آیة بأمر النبی صلّی الله علیه و آله فی الموضع الکذائی الخاصّ من السورة الفلانیة؟</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وکنموذج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نرید البحث فی آیات سورة مریم علیها السّلام نجد بین آیاتها</w:t>
      </w:r>
    </w:p>
    <w:p>
      <w:pPr>
        <w:pStyle w:val="BookText"/>
        <w:rPr/>
      </w:pPr>
      <w:r>
        <w:rPr>
          <w:rFonts w:ascii="IRNazanin" w:hAnsi="IRNazanin" w:eastAsia="IRNazanin"/>
          <w:color w:val="111111"/>
          <w:sz w:val="28"/>
          <w:sz w:val="28"/>
          <w:szCs w:val="28"/>
          <w:rtl w:val="true"/>
          <w:lang w:bidi="fa-IR"/>
        </w:rPr>
        <w:t>مفهوماً وعنصراً واحداً مشترکاً یمکن اصطیاده و هو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تکرّرت مفردة الرحمة فیها وخصوصاً الرحمن بشکل کثیر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رَحْمَتِ رَبِّکَ عَبْدَهُ زَکَرِیّا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لِنَجْعَلَهُ آیَةً لِلنّاسِ وَ رَحْمَةً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نبی الله عیسی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وَهَبْنا لَهُمْ مِنْ رَحْمَتِنا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إلی إبراهیم وإسحاق ویعقوب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وَهَبْنا لَهُ مِنْ رَحْمَتِنا أَخاهُ هارُونَ نَبِیًّا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إلی موسی وهارون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أَعُوذُ بِالرَّحْمنِ مِنْکَ إِنْ کُنْتَ تَقِیًّا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نَذَرْتُ لِلرَّحْمنِ صَوْماً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الشَّیْطانَ کانَ لِلرَّحْمنِ عَصِیًّا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تُتْلی عَلَیْهِمْ آیاتُ الرَّحْمنِ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عَدْنٍ الَّتِی وَعَدَ الرَّحْمنُ عِبادَهُ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أَیُّهُمْ أَشَدُّ عَلَی الرَّحْمنِ عِتِیًّا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فَلْیَمْدُدْ لَهُ الرَّحْمنُ مَدًّا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اتَّخَذَ عِنْدَ الرَّحْمنِ عَهْداً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نَحْشُرُ الْمُتَّقِینَ إِلَی الرَّحْمنِ وَفْداً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اتَّخَذَ عِنْدَ الرَّحْمنِ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اتَّخَذَ الرَّحْمنُ وَلَداً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دَعَوْا لِلرَّحْمنِ وَلَداً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یَنْبَغِی لِلرَّحْمنِ أَنْ یَتَّخِذَ وَلَداً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آتِی الرَّحْمنِ عَبْداً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سَیَجْعَلُ لَهُمُ الرَّحْمنُ وُدًّا</w:t>
      </w:r>
      <w:r>
        <w:rPr>
          <w:rFonts w:eastAsia="Amiri" w:cs="Amiri" w:ascii="Amiri" w:hAnsi="Amiri"/>
          <w:color w:val="111111"/>
          <w:sz w:val="28"/>
          <w:szCs w:val="28"/>
          <w:rtl w:val="true"/>
          <w:lang w:bidi="ar-SA"/>
        </w:rPr>
        <w:t>)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استعملت مفردة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بصورة مکرّرة لصالح الشخصیات المعظّمة، مثل</w:t>
      </w:r>
      <w:r>
        <w:rPr>
          <w:rFonts w:eastAsia="IRNazanin" w:cs="IRNazanin"/>
          <w:color w:val="111111"/>
          <w:sz w:val="28"/>
          <w:szCs w:val="28"/>
          <w:rtl w:val="true"/>
          <w:lang w:bidi="fa-IR"/>
        </w:rPr>
        <w:t>:</w:t>
      </w:r>
      <w:bookmarkStart w:id="1159" w:name="pg5285_67647"/>
    </w:p>
    <w:p>
      <w:pPr>
        <w:pStyle w:val="BookText"/>
        <w:rPr/>
      </w:pPr>
      <w:bookmarkEnd w:id="1159"/>
      <w:r>
        <w:rPr>
          <w:rFonts w:ascii="IRNazanin" w:hAnsi="IRNazanin" w:eastAsia="IRNazanin"/>
          <w:color w:val="111111"/>
          <w:sz w:val="28"/>
          <w:sz w:val="28"/>
          <w:szCs w:val="28"/>
          <w:rtl w:val="true"/>
          <w:lang w:bidi="fa-IR"/>
        </w:rPr>
        <w:t>زکریا، و عیسی، وإبراهیم و إسحاق، و یعقوب، وموسی و هارون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استعمل بشکل مکرّر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مفهم صفة الرحمة، و هو الاسم الخاصّ للبارئ تعالی</w:t>
      </w:r>
      <w:r>
        <w:rPr>
          <w:rFonts w:eastAsia="IRNazanin" w:cs="IRNazanin"/>
          <w:color w:val="111111"/>
          <w:sz w:val="28"/>
          <w:szCs w:val="28"/>
          <w:rtl w:val="true"/>
          <w:lang w:bidi="fa-IR"/>
        </w:rPr>
        <w:t>.</w:t>
      </w:r>
    </w:p>
    <w:p>
      <w:pPr>
        <w:pStyle w:val="Heading3"/>
        <w:numPr>
          <w:ilvl w:val="2"/>
          <w:numId w:val="1"/>
        </w:numPr>
        <w:rPr/>
      </w:pPr>
      <w:bookmarkStart w:id="1160" w:name="__RefHeading___Toc634695_581953129"/>
      <w:bookmarkStart w:id="1161" w:name="_Toc443"/>
      <w:bookmarkEnd w:id="1160"/>
      <w:r>
        <w:rPr>
          <w:rtl w:val="true"/>
        </w:rPr>
        <w:t>التعریف بأشهر التفاسیر فی القرن ال</w:t>
      </w:r>
      <w:r>
        <w:rPr>
          <w:rtl w:val="true"/>
        </w:rPr>
        <w:t>-</w:t>
      </w:r>
      <w:r>
        <w:rPr/>
        <w:t>15</w:t>
      </w:r>
      <w:bookmarkEnd w:id="1161"/>
    </w:p>
    <w:p>
      <w:pPr>
        <w:pStyle w:val="Heading4"/>
        <w:numPr>
          <w:ilvl w:val="3"/>
          <w:numId w:val="1"/>
        </w:numPr>
        <w:rPr/>
      </w:pPr>
      <w:bookmarkStart w:id="1162" w:name="__RefHeading___Toc634697_581953129"/>
      <w:bookmarkStart w:id="1163" w:name="_Toc444"/>
      <w:bookmarkEnd w:id="1162"/>
      <w:r>
        <w:rPr>
          <w:rtl w:val="true"/>
        </w:rPr>
        <w:t>تفاسیر الشیعة</w:t>
      </w:r>
      <w:r>
        <w:rPr>
          <w:rtl w:val="true"/>
        </w:rPr>
        <w:t>:</w:t>
      </w:r>
      <w:bookmarkEnd w:id="1163"/>
    </w:p>
    <w:p>
      <w:pPr>
        <w:pStyle w:val="Heading5"/>
        <w:numPr>
          <w:ilvl w:val="4"/>
          <w:numId w:val="1"/>
        </w:numPr>
        <w:rPr/>
      </w:pPr>
      <w:bookmarkStart w:id="1164" w:name="__RefHeading___Toc634699_581953129"/>
      <w:bookmarkStart w:id="1165" w:name="_Toc445"/>
      <w:bookmarkEnd w:id="1164"/>
      <w:r>
        <w:rPr>
          <w:rtl w:val="true"/>
        </w:rPr>
        <w:t>تفسیر المیزان</w:t>
      </w:r>
      <w:r>
        <w:rPr>
          <w:rtl w:val="true"/>
        </w:rPr>
        <w:t>:</w:t>
      </w:r>
      <w:bookmarkEnd w:id="1165"/>
    </w:p>
    <w:p>
      <w:pPr>
        <w:pStyle w:val="Heading6"/>
        <w:numPr>
          <w:ilvl w:val="5"/>
          <w:numId w:val="1"/>
        </w:numPr>
        <w:rPr/>
      </w:pPr>
      <w:bookmarkStart w:id="1166" w:name="__RefHeading___Toc634701_581953129"/>
      <w:bookmarkStart w:id="1167" w:name="_Toc446"/>
      <w:bookmarkEnd w:id="1166"/>
      <w:r>
        <w:rPr>
          <w:rtl w:val="true"/>
        </w:rPr>
        <w:t>اشارة</w:t>
      </w:r>
      <w:bookmarkEnd w:id="1167"/>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السید محمّد حسین الطباطبائی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القرآن بالقرآن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عُرف المؤلّف بالعلاّمة الطباطبائی، و هو من البیوتات الأصیلة فی سلسلة السادات المعروفین بالقاضی من نسل الحسن المثنّی ابن الإمام الحسن المجتبی علیه السّلام بن الإمام علی بن أبی طالب علیه السّلام</w:t>
      </w:r>
      <w:r>
        <w:rPr>
          <w:rFonts w:eastAsia="IRNazanin" w:cs="IRNazanin"/>
          <w:color w:val="111111"/>
          <w:sz w:val="28"/>
          <w:szCs w:val="28"/>
          <w:rtl w:val="true"/>
          <w:lang w:bidi="fa-IR"/>
        </w:rPr>
        <w:t xml:space="preserve">. </w:t>
      </w:r>
      <w:r>
        <w:rPr>
          <w:rStyle w:val="FootnoteAnchor"/>
          <w:rtl w:val="true"/>
        </w:rPr>
        <w:footnoteReference w:id="1027"/>
      </w:r>
      <w:r>
        <w:rPr>
          <w:rFonts w:ascii="IRNazanin" w:hAnsi="IRNazanin" w:eastAsia="IRNazanin"/>
          <w:color w:val="111111"/>
          <w:sz w:val="28"/>
          <w:sz w:val="28"/>
          <w:szCs w:val="28"/>
          <w:rtl w:val="true"/>
          <w:lang w:bidi="fa-IR"/>
        </w:rPr>
        <w:t>و قد کان من علماء الشیعة الکبار فی العصر الحاضر، فهو فقیه وفیلسوف، وعارف ومن المفسّرین الکبار فی الفترة المعاصرة، ومضافاً إلی ذلک فإنّه مطلّع علی عدّة علوم أخری وإلی حدّ التخصّص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الریاضیات و الخطّ، و الهندسة المعماریة</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 مؤلّفات کثیرة فی العلوم المختلفة،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الفقه، والفلسفة،</w:t>
      </w:r>
    </w:p>
    <w:p>
      <w:pPr>
        <w:pStyle w:val="BookText"/>
        <w:rPr/>
      </w:pPr>
      <w:r>
        <w:rPr>
          <w:rFonts w:ascii="IRNazanin" w:hAnsi="IRNazanin" w:eastAsia="IRNazanin"/>
          <w:color w:val="111111"/>
          <w:sz w:val="28"/>
          <w:sz w:val="28"/>
          <w:szCs w:val="28"/>
          <w:rtl w:val="true"/>
          <w:lang w:bidi="fa-IR"/>
        </w:rPr>
        <w:t>و الأخلاق و العرفان، و السیاسة، العقائد و التفسیر</w:t>
      </w:r>
      <w:r>
        <w:rPr>
          <w:rFonts w:eastAsia="IRNazanin" w:cs="IRNazanin"/>
          <w:color w:val="111111"/>
          <w:sz w:val="28"/>
          <w:szCs w:val="28"/>
          <w:rtl w:val="true"/>
          <w:lang w:bidi="fa-IR"/>
        </w:rPr>
        <w:t xml:space="preserve">. </w:t>
      </w:r>
      <w:r>
        <w:rPr>
          <w:rStyle w:val="FootnoteAnchor"/>
          <w:rtl w:val="true"/>
        </w:rPr>
        <w:footnoteReference w:id="1028"/>
      </w:r>
    </w:p>
    <w:p>
      <w:pPr>
        <w:pStyle w:val="BookText"/>
        <w:rPr/>
      </w:pPr>
      <w:r>
        <w:rPr>
          <w:rFonts w:ascii="IRNazanin" w:hAnsi="IRNazanin" w:eastAsia="IRNazanin"/>
          <w:color w:val="111111"/>
          <w:sz w:val="28"/>
          <w:sz w:val="28"/>
          <w:szCs w:val="28"/>
          <w:rtl w:val="true"/>
          <w:lang w:bidi="fa-IR"/>
        </w:rPr>
        <w:t>و لیس هناک شکّ أنّ أهمّ مؤلّفاته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المیزان، والذی له مکانة مهمّة جدّاً بین تفاسیر العالم الإسلامی، و قد اختصّت هذه المکانة به و هو فی نوعه فرید، والعلاّمه یعدُّ من مفاخر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التفسیر من عصر التدوین وإلی الآن اجتاز مراحلا تطوّریة مرّ ذکرها فی الدروس المتقدّمة إلاّ أنّه یحتاج إلی تحوّل وتغیر أساسی لیکون حاضر الجواب لمتطلّبات العصر مع کونه یحفظ رؤی المتقدّمین، والتفاسیر من زمان الطبری وتبیان الشیخ الطوسی بلحاظ اللون و المنهج لم یحصل علیها کثیراً من التغییر، ما عدی ما حصل نسبیاً فی القرن الرابع عشر فی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المنار علی صعید منهج البحث و النَظم و التحلیل عما علیه التفاسیر المتعارفة فی طریقتها الموروثة إلاّ أنّها لم تتناول أبعاداً مختلفة، لکنَّ تفسیر المیزان قد أبدع علی صعید المنهج و الشمولیة، فهو رائع بلحاظ المحتوی العلمی، والنقد و التحلیل والاستدلال العقلی و المنطقی الموافق للموازین العلمیة و المنطبق علیها، کما إنّه متنوع البحوث و الموضوعات؛ ولذا یعتبر فی نوعه فریداً لا نظیر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إنّ من أهمّ ممیزات المیزان منهجه فی تفسیر القرآن بالقرآن وبشکل جامع لهذا المنهج فی الإجراء و التطبیق فی کلّ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ومضافاً إلی ذلک فإنّ منهجه اجتهادی کذلک، فهو یعرض الآراء ویحقق وینقد، وبعد ذلک یستدلّ علی الرأی الذی یختاره بأنواع الأدلّة و البراهین</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وللعلاّمة الطباطبائی رحمه الله کتاب فی القرآن یحمل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فی الإسلام، یعرض فیه بعض آرائه فی موضوعات علوم القرآن</w:t>
      </w:r>
      <w:r>
        <w:rPr>
          <w:rFonts w:eastAsia="IRNazanin" w:cs="IRNazanin"/>
          <w:color w:val="111111"/>
          <w:sz w:val="28"/>
          <w:szCs w:val="28"/>
          <w:rtl w:val="true"/>
          <w:lang w:bidi="fa-IR"/>
        </w:rPr>
        <w:t>.</w:t>
      </w:r>
      <w:bookmarkStart w:id="1168" w:name="pg5285_67649"/>
    </w:p>
    <w:p>
      <w:pPr>
        <w:pStyle w:val="Heading6"/>
        <w:numPr>
          <w:ilvl w:val="5"/>
          <w:numId w:val="1"/>
        </w:numPr>
        <w:rPr/>
      </w:pPr>
      <w:bookmarkStart w:id="1169" w:name="__RefHeading___Toc634703_581953129"/>
      <w:bookmarkStart w:id="1170" w:name="_Toc447"/>
      <w:bookmarkEnd w:id="1168"/>
      <w:bookmarkEnd w:id="1169"/>
      <w:r>
        <w:rPr>
          <w:rtl w:val="true"/>
        </w:rPr>
        <w:t>ترجمة المیزان</w:t>
      </w:r>
      <w:bookmarkEnd w:id="1170"/>
    </w:p>
    <w:p>
      <w:pPr>
        <w:pStyle w:val="BookText"/>
        <w:rPr/>
      </w:pPr>
      <w:r>
        <w:rPr>
          <w:rFonts w:ascii="IRNazanin" w:hAnsi="IRNazanin" w:eastAsia="IRNazanin"/>
          <w:color w:val="111111"/>
          <w:sz w:val="28"/>
          <w:sz w:val="28"/>
          <w:szCs w:val="28"/>
          <w:rtl w:val="true"/>
          <w:lang w:bidi="fa-IR"/>
        </w:rPr>
        <w:t>فقد تُرجم هذا التفسیر مرّتین الأولی ناقصة؛ إذ اقتصرت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مجلّدات، و قد کانت علی ید مجموعة من‌العلماء، ومن جملتهم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مکارم الشیرازی و مصباح‌یزدی وکرامی و محمّد جواد حجّتی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والترجمة الثانیة تمّت بشکل کامل وجید قام بها السید محمّد باقر موسوی الهمدانی، کما وترجم إلی الإنجلیزیة و الأردیة مضافاً إلی الفارسیة</w:t>
      </w:r>
      <w:r>
        <w:rPr>
          <w:rFonts w:eastAsia="IRNazanin" w:cs="IRNazanin"/>
          <w:color w:val="111111"/>
          <w:sz w:val="28"/>
          <w:szCs w:val="28"/>
          <w:rtl w:val="true"/>
          <w:lang w:bidi="fa-IR"/>
        </w:rPr>
        <w:t>.</w:t>
      </w:r>
    </w:p>
    <w:p>
      <w:pPr>
        <w:pStyle w:val="Heading6"/>
        <w:numPr>
          <w:ilvl w:val="5"/>
          <w:numId w:val="1"/>
        </w:numPr>
        <w:rPr/>
      </w:pPr>
      <w:bookmarkStart w:id="1171" w:name="__RefHeading___Toc634705_581953129"/>
      <w:bookmarkStart w:id="1172" w:name="_Toc448"/>
      <w:bookmarkEnd w:id="1171"/>
      <w:r>
        <w:rPr>
          <w:rtl w:val="true"/>
        </w:rPr>
        <w:t>فهارس المیزان</w:t>
      </w:r>
      <w:bookmarkEnd w:id="1172"/>
    </w:p>
    <w:p>
      <w:pPr>
        <w:pStyle w:val="BookText"/>
        <w:rPr/>
      </w:pPr>
      <w:r>
        <w:rPr>
          <w:rFonts w:ascii="IRNazanin" w:hAnsi="IRNazanin" w:eastAsia="IRNazanin"/>
          <w:color w:val="111111"/>
          <w:sz w:val="28"/>
          <w:sz w:val="28"/>
          <w:szCs w:val="28"/>
          <w:rtl w:val="true"/>
          <w:lang w:bidi="fa-IR"/>
        </w:rPr>
        <w:t>ولهذا التفسیر فهارس متعدّدة من جملتها الفهرس الموضوعی الذی طبع بجهود مؤسسة النشر التابعة لجماعة المدرسین فی قمّ، والفهرس الآخر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المیزان،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إلیاس کلانتری، و هو فی ثلاثة 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الأعلام و الأمثال، والموضوعات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والطباطبائی ومنهجه فی تفسیره المیزان، للأستاذ علی الأوسی، و هو مساعد جید جدّاً للتعرّف علی بحوث المیزان</w:t>
      </w:r>
      <w:r>
        <w:rPr>
          <w:rFonts w:eastAsia="IRNazanin" w:cs="IRNazanin"/>
          <w:color w:val="111111"/>
          <w:sz w:val="28"/>
          <w:szCs w:val="28"/>
          <w:rtl w:val="true"/>
          <w:lang w:bidi="fa-IR"/>
        </w:rPr>
        <w:t>.</w:t>
      </w:r>
    </w:p>
    <w:p>
      <w:pPr>
        <w:pStyle w:val="Heading6"/>
        <w:numPr>
          <w:ilvl w:val="5"/>
          <w:numId w:val="1"/>
        </w:numPr>
        <w:rPr/>
      </w:pPr>
      <w:bookmarkStart w:id="1173" w:name="__RefHeading___Toc634707_581953129"/>
      <w:bookmarkStart w:id="1174" w:name="_Toc449"/>
      <w:bookmarkEnd w:id="1173"/>
      <w:r>
        <w:rPr>
          <w:rtl w:val="true"/>
        </w:rPr>
        <w:t>مصادر المیزان</w:t>
      </w:r>
      <w:bookmarkEnd w:id="1174"/>
    </w:p>
    <w:p>
      <w:pPr>
        <w:pStyle w:val="Heading6"/>
        <w:numPr>
          <w:ilvl w:val="5"/>
          <w:numId w:val="1"/>
        </w:numPr>
        <w:rPr/>
      </w:pPr>
      <w:bookmarkStart w:id="1175" w:name="__RefHeading___Toc634709_581953129"/>
      <w:bookmarkStart w:id="1176" w:name="_Toc450"/>
      <w:bookmarkEnd w:id="1175"/>
      <w:r>
        <w:rPr>
          <w:rtl w:val="true"/>
        </w:rPr>
        <w:t>اشارة</w:t>
      </w:r>
      <w:bookmarkEnd w:id="1176"/>
    </w:p>
    <w:p>
      <w:pPr>
        <w:pStyle w:val="BookText"/>
        <w:rPr/>
      </w:pPr>
      <w:r>
        <w:rPr>
          <w:rStyle w:val="FootnoteAnchor"/>
          <w:rtl w:val="true"/>
        </w:rPr>
        <w:footnoteReference w:id="10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العلاّمة الطباطبائی طرح نظریات رائعة وبدیعة إلاّ أنّ هذا لا یعنی أّنّه لم یستفد من مصادر أخری خصوصاً نظریات المفسّرین المتقدّمین، کما أنّه قد استفاد من عدد من 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التفسیریة و الحدیث، والتاریخ و السیرة، واللغة، وکتب أخری، والتی سنکتفی بالإشارة إلی بعضها</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استفاد من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تفسیراً و هذه أسماء بعضها علی النحو المقبل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w:t>
      </w:r>
      <w:bookmarkStart w:id="1177" w:name="pg5285_67650"/>
    </w:p>
    <w:p>
      <w:pPr>
        <w:pStyle w:val="BookText"/>
        <w:rPr/>
      </w:pPr>
      <w:bookmarkEnd w:id="1177"/>
      <w:r>
        <w:rPr>
          <w:rFonts w:ascii="IRNazanin" w:hAnsi="IRNazanin" w:eastAsia="IRNazanin"/>
          <w:color w:val="111111"/>
          <w:sz w:val="28"/>
          <w:sz w:val="28"/>
          <w:szCs w:val="28"/>
          <w:rtl w:val="true"/>
          <w:lang w:bidi="fa-IR"/>
        </w:rPr>
        <w:t>المنسوبة إلی ابن عباس، جامع البیان للطبری، مجمع البیان للطبرسی، الکشاف للزمخشری، و التفسیر الکبیر للفخر الرازی، وتفسیر البیضاوی، والمفردات للراغب الأصفهانی، والدرّ المنثور للسیوطی، وتفسیر البرهان للبحرانی، ونور الثقلین للحویزی، وروح المعانی للآلوسی، وتفسیر المنار للشیخ محمّد عبده، والجواهر للطنطاوی، والجامع لأحکام القرآن للقرطبی، وتفسیر الصافی، وتفسیر العیاشی، وتفسیر فرات الکوفی، وتفسیر القمّی وغیرها</w:t>
      </w:r>
      <w:r>
        <w:rPr>
          <w:rFonts w:eastAsia="IRNazanin" w:cs="IRNazanin"/>
          <w:color w:val="111111"/>
          <w:sz w:val="28"/>
          <w:szCs w:val="28"/>
          <w:rtl w:val="true"/>
          <w:lang w:bidi="fa-IR"/>
        </w:rPr>
        <w:t xml:space="preserve">. </w:t>
      </w:r>
      <w:r>
        <w:rPr>
          <w:rStyle w:val="FootnoteAnchor"/>
          <w:rtl w:val="true"/>
        </w:rPr>
        <w:footnoteReference w:id="1030"/>
      </w:r>
    </w:p>
    <w:p>
      <w:pPr>
        <w:pStyle w:val="Heading6"/>
        <w:numPr>
          <w:ilvl w:val="5"/>
          <w:numId w:val="1"/>
        </w:numPr>
        <w:rPr/>
      </w:pPr>
      <w:bookmarkStart w:id="1178" w:name="__RefHeading___Toc634711_581953129"/>
      <w:bookmarkStart w:id="1179" w:name="_Toc451"/>
      <w:bookmarkEnd w:id="1178"/>
      <w:r>
        <w:rPr>
          <w:rtl w:val="true"/>
        </w:rPr>
        <w:t>کتب اللغة</w:t>
      </w:r>
      <w:bookmarkEnd w:id="1179"/>
    </w:p>
    <w:p>
      <w:pPr>
        <w:pStyle w:val="BookText"/>
        <w:rPr/>
      </w:pPr>
      <w:r>
        <w:rPr>
          <w:rFonts w:ascii="IRNazanin" w:hAnsi="IRNazanin" w:eastAsia="IRNazanin"/>
          <w:color w:val="111111"/>
          <w:sz w:val="28"/>
          <w:sz w:val="28"/>
          <w:szCs w:val="28"/>
          <w:rtl w:val="true"/>
          <w:lang w:bidi="fa-IR"/>
        </w:rPr>
        <w:t>إنّ أکثر ما استفاده صاحب المیزان فی توضیح المفردات القرآنیة هو من الکتب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المفردات للراغب، ومجمع البیان للطبرسی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هذا فإنّه استفاد کذلک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الصحاح فی اللغة للجوهری، والمصباح المنیر للفیومی، والقاموس المحیط للفیروز أبادی</w:t>
      </w:r>
      <w:r>
        <w:rPr>
          <w:rFonts w:eastAsia="IRNazanin" w:cs="IRNazanin"/>
          <w:color w:val="111111"/>
          <w:sz w:val="28"/>
          <w:szCs w:val="28"/>
          <w:rtl w:val="true"/>
          <w:lang w:bidi="fa-IR"/>
        </w:rPr>
        <w:t>.</w:t>
      </w:r>
    </w:p>
    <w:p>
      <w:pPr>
        <w:pStyle w:val="Heading6"/>
        <w:numPr>
          <w:ilvl w:val="5"/>
          <w:numId w:val="1"/>
        </w:numPr>
        <w:rPr/>
      </w:pPr>
      <w:bookmarkStart w:id="1180" w:name="__RefHeading___Toc634713_581953129"/>
      <w:bookmarkStart w:id="1181" w:name="_Toc452"/>
      <w:bookmarkEnd w:id="1180"/>
      <w:r>
        <w:rPr>
          <w:rtl w:val="true"/>
        </w:rPr>
        <w:t>المصادر الحدیثیة</w:t>
      </w:r>
      <w:bookmarkEnd w:id="1181"/>
    </w:p>
    <w:p>
      <w:pPr>
        <w:pStyle w:val="BookText"/>
        <w:rPr/>
      </w:pPr>
      <w:r>
        <w:rPr>
          <w:rFonts w:ascii="IRNazanin" w:hAnsi="IRNazanin" w:eastAsia="IRNazanin"/>
          <w:color w:val="111111"/>
          <w:sz w:val="28"/>
          <w:sz w:val="28"/>
          <w:szCs w:val="28"/>
          <w:rtl w:val="true"/>
          <w:lang w:bidi="fa-IR"/>
        </w:rPr>
        <w:t>مع أنّ منهج العلاّمة الطباطبایی فی تفسیر المیزان هو تفسیر القرآن بالقرآن، إلاّ أنّه لا یعنی عدم اعتماده علی الأحادیث أو أنّه لم یستفد منها، فقد استفاد المیزان بشکل واسع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وکثیر من 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وإلی الحدّ الذی جعل الدکتور علی الأوسی یعدّد أسماء مائة مصدر حدیثی لتفسیر المیزان</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الکتب الأربعة الرئیسیة عند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ومن لا یحضره الفقیه، والتهذیب، والاستبصار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الکتب الحدیثیة للشیخ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إکمال الدین، و الاعتقادات، والأمالی، والتوحید، وثواب الأعمال، والخصال، وعلل الشرایع، ومعانی الأخبار، وعیون أخبار الرضا</w:t>
      </w:r>
      <w:r>
        <w:rPr>
          <w:rFonts w:eastAsia="IRNazanin" w:cs="IRNazanin"/>
          <w:color w:val="111111"/>
          <w:sz w:val="28"/>
          <w:szCs w:val="28"/>
          <w:rtl w:val="true"/>
          <w:lang w:bidi="fa-IR"/>
        </w:rPr>
        <w:t>.</w:t>
      </w:r>
      <w:bookmarkStart w:id="1182" w:name="pg5285_67651"/>
    </w:p>
    <w:p>
      <w:pPr>
        <w:pStyle w:val="BookText"/>
        <w:rPr/>
      </w:pPr>
      <w:bookmarkEnd w:id="1182"/>
      <w:r>
        <w:rPr>
          <w:rFonts w:ascii="IRNazanin" w:hAnsi="IRNazanin" w:eastAsia="IRNazanin"/>
          <w:color w:val="111111"/>
          <w:sz w:val="28"/>
          <w:sz w:val="28"/>
          <w:szCs w:val="28"/>
          <w:rtl w:val="true"/>
          <w:lang w:bidi="fa-IR"/>
        </w:rPr>
        <w:t>وعن صحاح وسنن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 والبخاری، وسنن أبی داود، والترمذی، والنسائی، والبیهقی، وکتب الشیخ المفید،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 والإرشاد، والأمالی، وشرح العقائد، الغیبة، وهکذا من الکتب المعروفة،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 وبعض شروحه،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ابن میثم وابن ابی الحدید و الصحیفة السجادیة، وصحیفة الإمام الرضا علیه السّلام، والغیبة للنعمانی، وکامل الزیارات، وعدّة الداعی، وبحار الأنوار للعلاّمة المجلسی، وسائل الشیعة للحر العاملی، والوافی للفیض الکاشانی والاحتجاج للطبرسی، وعشرات المصادر الحدیثیة الأخری</w:t>
      </w:r>
      <w:r>
        <w:rPr>
          <w:rFonts w:eastAsia="IRNazanin" w:cs="IRNazanin"/>
          <w:color w:val="111111"/>
          <w:sz w:val="28"/>
          <w:szCs w:val="28"/>
          <w:rtl w:val="true"/>
          <w:lang w:bidi="fa-IR"/>
        </w:rPr>
        <w:t xml:space="preserve">. </w:t>
      </w:r>
      <w:r>
        <w:rPr>
          <w:rStyle w:val="FootnoteAnchor"/>
          <w:rtl w:val="true"/>
        </w:rPr>
        <w:footnoteReference w:id="1031"/>
      </w:r>
    </w:p>
    <w:p>
      <w:pPr>
        <w:pStyle w:val="Heading6"/>
        <w:numPr>
          <w:ilvl w:val="5"/>
          <w:numId w:val="1"/>
        </w:numPr>
        <w:rPr/>
      </w:pPr>
      <w:bookmarkStart w:id="1183" w:name="__RefHeading___Toc634715_581953129"/>
      <w:bookmarkStart w:id="1184" w:name="_Toc453"/>
      <w:bookmarkEnd w:id="1183"/>
      <w:r>
        <w:rPr>
          <w:rtl w:val="true"/>
        </w:rPr>
        <w:t>الکتب المقدّسة عند سائر الأدیان</w:t>
      </w:r>
      <w:bookmarkEnd w:id="1184"/>
    </w:p>
    <w:p>
      <w:pPr>
        <w:pStyle w:val="BookText"/>
        <w:rPr/>
      </w:pPr>
      <w:r>
        <w:rPr>
          <w:rFonts w:ascii="IRNazanin" w:hAnsi="IRNazanin" w:eastAsia="IRNazanin"/>
          <w:color w:val="111111"/>
          <w:sz w:val="28"/>
          <w:sz w:val="28"/>
          <w:szCs w:val="28"/>
          <w:rtl w:val="true"/>
          <w:lang w:bidi="fa-IR"/>
        </w:rPr>
        <w:t>والعلاّمة الطباطبائی کذلک روی بعض النصوص عن الکتب المقدّسة عند الأدیان الأخری فی مجال الاستشهاد ولزم التوضیح، کالتوراة، والأناجیل، والأوستا للزرادسیین، قاموس الکتاب المقدّس، ورسائل بپولس و ویدا و هو من کتب البراهما الهندوس</w:t>
      </w:r>
      <w:r>
        <w:rPr>
          <w:rFonts w:eastAsia="IRNazanin" w:cs="IRNazanin"/>
          <w:color w:val="111111"/>
          <w:sz w:val="28"/>
          <w:szCs w:val="28"/>
          <w:rtl w:val="true"/>
          <w:lang w:bidi="fa-IR"/>
        </w:rPr>
        <w:t>.</w:t>
      </w:r>
    </w:p>
    <w:p>
      <w:pPr>
        <w:pStyle w:val="Heading6"/>
        <w:numPr>
          <w:ilvl w:val="5"/>
          <w:numId w:val="1"/>
        </w:numPr>
        <w:rPr/>
      </w:pPr>
      <w:bookmarkStart w:id="1185" w:name="__RefHeading___Toc634717_581953129"/>
      <w:bookmarkStart w:id="1186" w:name="_Toc454"/>
      <w:bookmarkEnd w:id="1185"/>
      <w:r>
        <w:rPr>
          <w:rtl w:val="true"/>
        </w:rPr>
        <w:t>المصادر التاریخیة</w:t>
      </w:r>
      <w:bookmarkEnd w:id="1186"/>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بما أنّ القرآن الکریم عرض بعض الوقائع و الأمور التاریخیة، وکذلک ذکره بعض النکات المهمّة فی علم التاریخ، فإنّ العلامة الطباطبائی استعان بأکثر من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مصدراً قدیماً وجدیداً له علاقته بالتاریخ، ومن 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الطبری، وتاریخ الیعقوبی، وسیرة ابن هشام، وسیرة الحلبی، والکامل فی التاریخ، والبدایة و النهایة، والآثار الباقیة، ومروج الذهب للمسعودی، والملل و النحل للشهرستانی، وتاریخ التمدّن الإسلامی لغو ستوف لوبون الفرنسی وغیرها</w:t>
      </w:r>
      <w:r>
        <w:rPr>
          <w:rFonts w:eastAsia="IRNazanin" w:cs="IRNazanin"/>
          <w:color w:val="111111"/>
          <w:sz w:val="28"/>
          <w:szCs w:val="28"/>
          <w:rtl w:val="true"/>
          <w:lang w:bidi="fa-IR"/>
        </w:rPr>
        <w:t>.</w:t>
      </w:r>
      <w:bookmarkStart w:id="1187" w:name="pg5285_67652"/>
    </w:p>
    <w:p>
      <w:pPr>
        <w:pStyle w:val="Heading6"/>
        <w:numPr>
          <w:ilvl w:val="5"/>
          <w:numId w:val="1"/>
        </w:numPr>
        <w:rPr/>
      </w:pPr>
      <w:bookmarkStart w:id="1188" w:name="__RefHeading___Toc634719_581953129"/>
      <w:bookmarkStart w:id="1189" w:name="_Toc455"/>
      <w:bookmarkEnd w:id="1187"/>
      <w:bookmarkEnd w:id="1188"/>
      <w:r>
        <w:rPr>
          <w:rtl w:val="true"/>
        </w:rPr>
        <w:t>المصادر الأخری</w:t>
      </w:r>
      <w:bookmarkEnd w:id="1189"/>
    </w:p>
    <w:p>
      <w:pPr>
        <w:pStyle w:val="BookText"/>
        <w:rPr/>
      </w:pPr>
      <w:r>
        <w:rPr>
          <w:rFonts w:ascii="IRNazanin" w:hAnsi="IRNazanin" w:eastAsia="IRNazanin"/>
          <w:color w:val="111111"/>
          <w:sz w:val="28"/>
          <w:sz w:val="28"/>
          <w:szCs w:val="28"/>
          <w:rtl w:val="true"/>
          <w:lang w:bidi="fa-IR"/>
        </w:rPr>
        <w:t>ومضافاً إلی ما ذکرناه من المصادر المتقدّمة فإنّ العلاّمة الطباطبائی استفاد من مصادر متنوّعة أخری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إحیاء علوم الدین لأبی حامد الغزالی، وکتب ابن عربی، وفجر الاسلام لأحمد أمین وکذلک من دائرة المعارف ومن المجلاّت و الصحف</w:t>
      </w:r>
      <w:r>
        <w:rPr>
          <w:rFonts w:eastAsia="IRNazanin" w:cs="IRNazanin"/>
          <w:color w:val="111111"/>
          <w:sz w:val="28"/>
          <w:szCs w:val="28"/>
          <w:rtl w:val="true"/>
          <w:lang w:bidi="fa-IR"/>
        </w:rPr>
        <w:t xml:space="preserve">. </w:t>
      </w:r>
      <w:r>
        <w:rPr>
          <w:rStyle w:val="FootnoteAnchor"/>
          <w:rtl w:val="true"/>
        </w:rPr>
        <w:footnoteReference w:id="1032"/>
      </w:r>
    </w:p>
    <w:p>
      <w:pPr>
        <w:pStyle w:val="Heading6"/>
        <w:numPr>
          <w:ilvl w:val="5"/>
          <w:numId w:val="1"/>
        </w:numPr>
        <w:rPr/>
      </w:pPr>
      <w:bookmarkStart w:id="1190" w:name="__RefHeading___Toc634721_581953129"/>
      <w:bookmarkStart w:id="1191" w:name="_Toc456"/>
      <w:bookmarkEnd w:id="1190"/>
      <w:r>
        <w:rPr>
          <w:rtl w:val="true"/>
        </w:rPr>
        <w:t>المناهج والاتّجاهات التفسیریة فی المیزان</w:t>
      </w:r>
      <w:bookmarkEnd w:id="1191"/>
    </w:p>
    <w:p>
      <w:pPr>
        <w:pStyle w:val="BookText"/>
        <w:rPr/>
      </w:pPr>
      <w:r>
        <w:rPr>
          <w:rFonts w:ascii="IRNazanin" w:hAnsi="IRNazanin" w:eastAsia="IRNazanin"/>
          <w:color w:val="111111"/>
          <w:sz w:val="28"/>
          <w:sz w:val="28"/>
          <w:szCs w:val="28"/>
          <w:rtl w:val="true"/>
          <w:lang w:bidi="fa-IR"/>
        </w:rPr>
        <w:t>مع إنّ المیزان قد اشتهر بمنهج تفسیر القرآن بالقرآن، إلاّ أنّه 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أهمّ المناهج والاتّجاهات التفسیریة موجودة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القرآن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المنهج الغالب علی هذا التفسیر هو تفسیر القرآن بالقرآن وبالمعنی الواقعی بالکامل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فلقد مال قسم من المفسّرین القُدامی و الجُدد إلی هذا المنهج، ومن جملتهم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تیمیة، ابن کثیر، ومحمّد أمین المالکی الشنقیطی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أضواء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وعبد الکریم الخطیب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التفسیر القرآنی للقرآن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أنهّم فی میدان الواقع و الممارسة لم یحضُ بالتوفیق بما حضی به العلامة الطباطبائی إلاّ بنسبة ضئیلة لا تذکر، وعلی أی حالٍ فإنّ العلاّمة الطباطبائی فی المیزان قد مارس هذا النهج فی صور متنوّعة ومن 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الإجمال و التفصیل أو المطلق و المقید فی آیتین، الاستفادة من ذیل الآیة لتفسیر الآیة نفسها، والاستفادة من الآیات التالیة لتفسیر الآیة التی سبقتهن، والاستفادة من الآیات المشابهة فی اللفظ و المحتوی لتوضیح آیةٍ ما، وهکذا فی موارد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طرح البعض أربعة صور أخری مارسها المیزان فی تفسیر القرآن بالقرآن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الاستعانة ببعض الآیات لأجل توضیح بعض آیة مبهمة ومجملة</w:t>
      </w:r>
      <w:r>
        <w:rPr>
          <w:rFonts w:eastAsia="IRNazanin" w:cs="IRNazanin"/>
          <w:color w:val="111111"/>
          <w:sz w:val="28"/>
          <w:szCs w:val="28"/>
          <w:rtl w:val="true"/>
          <w:lang w:bidi="fa-IR"/>
        </w:rPr>
        <w:t>.</w:t>
      </w:r>
      <w:bookmarkStart w:id="1192" w:name="pg5285_67653"/>
    </w:p>
    <w:p>
      <w:pPr>
        <w:pStyle w:val="BookText"/>
        <w:rPr/>
      </w:pPr>
      <w:bookmarkEnd w:id="119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لأجل الحصول علی معنیً معین لآیةٍ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وجود معانی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یستفید من القرائن الموجودة فی الآیة نفسها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لأجل توضیح المعنی و المقصود لآیةٍ ما یستعین بالآیات الأخر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الاستعانة بالقرآن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بالآیات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تعیین المعنی الاصطلاحی الخاصّ، والذی جاء فی عدّة آیات،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إعطاء مفهوم الدعاء و الاستجابة، والتوبة، والرزق، والعبادة، والجهاد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القسم فی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وبنوع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التفسیر الموضوعی نفسه، والذی سیأتی توضیحه</w:t>
      </w:r>
      <w:r>
        <w:rPr>
          <w:rFonts w:eastAsia="IRNazanin" w:cs="IRNazanin"/>
          <w:color w:val="111111"/>
          <w:sz w:val="28"/>
          <w:szCs w:val="28"/>
          <w:rtl w:val="true"/>
          <w:lang w:bidi="fa-IR"/>
        </w:rPr>
        <w:t>.</w:t>
      </w:r>
    </w:p>
    <w:p>
      <w:pPr>
        <w:pStyle w:val="Heading6"/>
        <w:numPr>
          <w:ilvl w:val="5"/>
          <w:numId w:val="1"/>
        </w:numPr>
        <w:rPr/>
      </w:pPr>
      <w:bookmarkStart w:id="1193" w:name="__RefHeading___Toc634723_581953129"/>
      <w:bookmarkStart w:id="1194" w:name="_Toc457"/>
      <w:bookmarkEnd w:id="1193"/>
      <w:r>
        <w:rPr>
          <w:rtl w:val="true"/>
        </w:rPr>
        <w:t>المناهج الأخری</w:t>
      </w:r>
      <w:bookmarkEnd w:id="1194"/>
    </w:p>
    <w:p>
      <w:pPr>
        <w:pStyle w:val="BookText"/>
        <w:rPr/>
      </w:pPr>
      <w:r>
        <w:rPr>
          <w:rFonts w:ascii="IRNazanin" w:hAnsi="IRNazanin" w:eastAsia="IRNazanin"/>
          <w:color w:val="111111"/>
          <w:sz w:val="28"/>
          <w:sz w:val="28"/>
          <w:szCs w:val="28"/>
          <w:rtl w:val="true"/>
          <w:lang w:bidi="fa-IR"/>
        </w:rPr>
        <w:t>المنهج الروائی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المنهجیة المتّبعة فی المیزان هی ممارسة تفسیر مجموعة من الآیات، ثمّ یأتی بعد ذلک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الروائی، والذی یطرح فیه العلامة الطباطبائی رحمه الله باهتمام بالغ الروایات الواصلة، ثمّ ینظر إلیها نظرة تحلیلیة ناقدة، ولا یکتفی بالنقل المحض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المنهج الاجتهادی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التفسیر لسبب استدلاله بالأدلّة المتنوعة القرآنیة، والروائیة، والعقلیة، وحتّی البحوث اللغویة، والأدبیة و البیانیة یمکن القول عنه أنه أفضل التفاسیر فی المنهج الاجتهادی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فإنّ هذا التفسیر قد استفاد من الاتّجاهات الفلسفیة، والاجتماعیة، والعلمیة، والعرفانیة، والکلامیة</w:t>
      </w:r>
      <w:r>
        <w:rPr>
          <w:rFonts w:eastAsia="IRNazanin" w:cs="IRNazanin"/>
          <w:color w:val="111111"/>
          <w:sz w:val="28"/>
          <w:szCs w:val="28"/>
          <w:rtl w:val="true"/>
          <w:lang w:bidi="fa-IR"/>
        </w:rPr>
        <w:t xml:space="preserve">. </w:t>
      </w:r>
      <w:r>
        <w:rPr>
          <w:rStyle w:val="FootnoteAnchor"/>
          <w:rtl w:val="true"/>
        </w:rPr>
        <w:footnoteReference w:id="1033"/>
      </w:r>
    </w:p>
    <w:p>
      <w:pPr>
        <w:pStyle w:val="Heading6"/>
        <w:numPr>
          <w:ilvl w:val="5"/>
          <w:numId w:val="1"/>
        </w:numPr>
        <w:rPr/>
      </w:pPr>
      <w:bookmarkStart w:id="1195" w:name="__RefHeading___Toc634725_581953129"/>
      <w:bookmarkStart w:id="1196" w:name="_Toc458"/>
      <w:bookmarkEnd w:id="1195"/>
      <w:r>
        <w:rPr>
          <w:rtl w:val="true"/>
        </w:rPr>
        <w:t>التفسیر الموضوعی فی المیزان</w:t>
      </w:r>
      <w:bookmarkEnd w:id="1196"/>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إحدی خصوصیات تفسیر المیزان هی استفادته من الآیات المختلفة فی سلسلة</w:t>
      </w:r>
      <w:bookmarkStart w:id="1197" w:name="pg5285_67654"/>
    </w:p>
    <w:p>
      <w:pPr>
        <w:pStyle w:val="BookText"/>
        <w:rPr/>
      </w:pPr>
      <w:bookmarkEnd w:id="1197"/>
      <w:r>
        <w:rPr>
          <w:rFonts w:ascii="IRNazanin" w:hAnsi="IRNazanin" w:eastAsia="IRNazanin"/>
          <w:color w:val="111111"/>
          <w:sz w:val="28"/>
          <w:sz w:val="28"/>
          <w:szCs w:val="28"/>
          <w:rtl w:val="true"/>
          <w:lang w:bidi="fa-IR"/>
        </w:rPr>
        <w:t>من الموضوعات التی حقّقها، و هذا العمل کذلک یعدّ نوعاً من أنواع تفسیر القرآن بالقرآن، و هو أیضاً یعتبر تفسیراً موضوعیاً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کلّ الآیات ذات العلاقة بالإحباط أو الشفاعة أو الکفر و الإیمان، وخرج بنتیجة فی إعطاء معنی الإحباط و الشفاعة و الإیمان و الکفر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المصادیق فی التفسیر الموضوعی قصص القرآن الامتیازات المهمّة التی هی فی تفسیر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ممارسته الموضوعیة مع قصص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جاء فی القرآن ذکر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 من أسماء الأنبیاء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تکرّر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فی موارد متعدّدة، ونحن لا نعلم أنّ هناک تفسیر من التفاسیر المتقدّمة علی المیزان جمع کل الآیات المرتبطة بموسی علیه السّلام وحقق فیها بحثاً موضوعیاً</w:t>
      </w:r>
      <w:r>
        <w:rPr>
          <w:rFonts w:eastAsia="IRNazanin" w:cs="IRNazanin"/>
          <w:color w:val="111111"/>
          <w:sz w:val="28"/>
          <w:szCs w:val="28"/>
          <w:rtl w:val="true"/>
          <w:lang w:bidi="fa-IR"/>
        </w:rPr>
        <w:t xml:space="preserve">. </w:t>
      </w:r>
      <w:r>
        <w:rPr>
          <w:rStyle w:val="FootnoteAnchor"/>
          <w:rtl w:val="true"/>
        </w:rPr>
        <w:footnoteReference w:id="1034"/>
      </w:r>
      <w:r>
        <w:rPr>
          <w:rFonts w:ascii="IRNazanin" w:hAnsi="IRNazanin" w:eastAsia="IRNazanin"/>
          <w:color w:val="111111"/>
          <w:sz w:val="28"/>
          <w:sz w:val="28"/>
          <w:szCs w:val="28"/>
          <w:rtl w:val="true"/>
          <w:lang w:bidi="fa-IR"/>
        </w:rPr>
        <w:t>إنّ میزة تفسیر المیزان هذه هی فی جمع الآیات المتعلّقة بقصة نبی الله موسی علیه السّلام من أماکن متنوعة من القرآن وبإنشائه نظاماً للجمع و التفسیر و الحصول علی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ولأجل هذا فإن عمله یعتبر من أفضل المصادر عن من یرید التحقیق فی 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ومضافاً الی ذلک فإنه قام بممارسة المقارنة بین القرآن وکتب العهدین مشخصاً موارد التحریف فیها</w:t>
      </w:r>
      <w:r>
        <w:rPr>
          <w:rFonts w:eastAsia="IRNazanin" w:cs="IRNazanin"/>
          <w:color w:val="111111"/>
          <w:sz w:val="28"/>
          <w:szCs w:val="28"/>
          <w:rtl w:val="true"/>
          <w:lang w:bidi="fa-IR"/>
        </w:rPr>
        <w:t>.</w:t>
      </w:r>
    </w:p>
    <w:p>
      <w:pPr>
        <w:pStyle w:val="Heading6"/>
        <w:numPr>
          <w:ilvl w:val="5"/>
          <w:numId w:val="1"/>
        </w:numPr>
        <w:rPr/>
      </w:pPr>
      <w:bookmarkStart w:id="1198" w:name="__RefHeading___Toc634727_581953129"/>
      <w:bookmarkStart w:id="1199" w:name="_Toc459"/>
      <w:bookmarkEnd w:id="1198"/>
      <w:r>
        <w:rPr>
          <w:rtl w:val="true"/>
        </w:rPr>
        <w:t>الروایات فی المیزان</w:t>
      </w:r>
      <w:bookmarkEnd w:id="1199"/>
    </w:p>
    <w:p>
      <w:pPr>
        <w:pStyle w:val="BookText"/>
        <w:rPr/>
      </w:pPr>
      <w:r>
        <w:rPr>
          <w:rFonts w:ascii="IRNazanin" w:hAnsi="IRNazanin" w:eastAsia="IRNazanin"/>
          <w:color w:val="111111"/>
          <w:sz w:val="28"/>
          <w:sz w:val="28"/>
          <w:szCs w:val="28"/>
          <w:rtl w:val="true"/>
          <w:lang w:bidi="fa-IR"/>
        </w:rPr>
        <w:t>مع أنّ العلاّمة الطباطبائی تبنّی منهج تفسیر الآیة بالآیة بین بوضوح مهمّة الروایات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کانت الروایات عند التفسیر تنسجم مع الآیات وتتماشی مع مراداتها فإنّها مقبولة، ولکن الروایات التی لا تنسجم مع الآیة أو مضمون الآیات فإما هو لا یذکرها أو إذا کانت قابلة للتوجیه وجهها، أو إذا هی غیر جیدة بشکل واضح فإنّه ینقلها ویردّ علیها</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فمثلاً فیما یعود إلی أبناء آدم علیه السّلام أکان زواجهم من بعضهم أم لا؟ فقد جاءت فی ذلک روایات متعارضة قسم منها یقول بتزاوجهم من بعضهم، والقسم الآخر یقبّح ذلک</w:t>
      </w:r>
      <w:r>
        <w:rPr>
          <w:rFonts w:eastAsia="IRNazanin" w:cs="IRNazanin"/>
          <w:color w:val="111111"/>
          <w:sz w:val="28"/>
          <w:szCs w:val="28"/>
          <w:rtl w:val="true"/>
          <w:lang w:bidi="fa-IR"/>
        </w:rPr>
        <w:t>.</w:t>
      </w:r>
      <w:bookmarkStart w:id="1200" w:name="pg5285_67655"/>
    </w:p>
    <w:p>
      <w:pPr>
        <w:pStyle w:val="BookText"/>
        <w:rPr/>
      </w:pPr>
      <w:bookmarkEnd w:id="1200"/>
      <w:r>
        <w:rPr>
          <w:rFonts w:ascii="IRNazanin" w:hAnsi="IRNazanin" w:eastAsia="IRNazanin"/>
          <w:color w:val="111111"/>
          <w:sz w:val="28"/>
          <w:sz w:val="28"/>
          <w:szCs w:val="28"/>
          <w:rtl w:val="true"/>
          <w:lang w:bidi="fa-IR"/>
        </w:rPr>
        <w:t>فالروایات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الموضوع متناقضة، إلاّ أنّ العلامة الطباطبائی باستعانته بالآیات الأخری استطاع تشخیص الموقف من هذه الروایات وتوضیحها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یری أن ظاهر الآیات یفید أنّ النسل الحالی للبشر ینتهی إلی شخصین 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وحوّاء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یوجد ثالث لهما و هذا حکم تشریعی یمکن أنْ یحلّل فی مرحلة ویحرّم فی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لا یقبل البعض ما قاله، ولکنّه یقصد أنّ هذین القسمین من الروایات المتعارضة المتناقضة عند عرضهما علی القرآن المجید نجد أن قسماً منها ینسجم مع ظاهر القرآن ویقبله، والقسم الثانی یردّه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قام به الطباطبائی هو فی الحقیقة تطبیق لأمر المعصومین علیهم السّلام فی أنّ الروایات الموافقة للقرآن هی التی یؤخذ بها، و أنّ المتعارضة مع القرآن هی التی تطرح عرض الحائط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یدور حول معصیة الأنبیاء علیهم السّلام، یقوم بضمّ الآیات إلی بعضها، ثمّ یخرج بمحصلة کلیة هی عصمة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یخص الروایات التی ترید إثبات المعصیة إلی أحد من الأنبیاء، یقول هذه الروایات باطلة؛ لأنّها تخالف القرآن</w:t>
      </w:r>
      <w:r>
        <w:rPr>
          <w:rFonts w:eastAsia="IRNazanin" w:cs="IRNazanin"/>
          <w:color w:val="111111"/>
          <w:sz w:val="28"/>
          <w:szCs w:val="28"/>
          <w:rtl w:val="true"/>
          <w:lang w:bidi="fa-IR"/>
        </w:rPr>
        <w:t xml:space="preserve">. </w:t>
      </w:r>
      <w:r>
        <w:rPr>
          <w:rStyle w:val="FootnoteAnchor"/>
          <w:rtl w:val="true"/>
        </w:rPr>
        <w:footnoteReference w:id="1035"/>
      </w:r>
    </w:p>
    <w:p>
      <w:pPr>
        <w:pStyle w:val="Heading6"/>
        <w:numPr>
          <w:ilvl w:val="5"/>
          <w:numId w:val="1"/>
        </w:numPr>
        <w:rPr/>
      </w:pPr>
      <w:bookmarkStart w:id="1201" w:name="__RefHeading___Toc634729_581953129"/>
      <w:bookmarkStart w:id="1202" w:name="_Toc460"/>
      <w:bookmarkEnd w:id="1201"/>
      <w:r>
        <w:rPr>
          <w:rtl w:val="true"/>
        </w:rPr>
        <w:t>السیاق فی المیزان</w:t>
      </w:r>
      <w:bookmarkEnd w:id="1202"/>
    </w:p>
    <w:p>
      <w:pPr>
        <w:pStyle w:val="BookText"/>
        <w:rPr/>
      </w:pPr>
      <w:r>
        <w:rPr>
          <w:rFonts w:ascii="IRNazanin" w:hAnsi="IRNazanin" w:eastAsia="IRNazanin"/>
          <w:color w:val="111111"/>
          <w:sz w:val="28"/>
          <w:sz w:val="28"/>
          <w:szCs w:val="28"/>
          <w:rtl w:val="true"/>
          <w:lang w:bidi="fa-IR"/>
        </w:rPr>
        <w:t>لقد اهتمّ العلاّمة رحمه الله أثناء تفسیره الآیة بالآیة بالسیاق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ویعتبر السیاق معلماً للکشف عن المعنی اللفظی فی ذلک المورد، سواءً العلامات اللفظیة أو القرائن الحالیة</w:t>
      </w:r>
      <w:r>
        <w:rPr>
          <w:rFonts w:eastAsia="IRNazanin" w:cs="IRNazanin"/>
          <w:color w:val="111111"/>
          <w:sz w:val="28"/>
          <w:szCs w:val="28"/>
          <w:rtl w:val="true"/>
          <w:lang w:bidi="fa-IR"/>
        </w:rPr>
        <w:t xml:space="preserve">. </w:t>
      </w:r>
      <w:r>
        <w:rPr>
          <w:rStyle w:val="FootnoteAnchor"/>
          <w:rtl w:val="true"/>
        </w:rPr>
        <w:footnoteReference w:id="1036"/>
      </w:r>
      <w:r>
        <w:rPr>
          <w:rFonts w:ascii="IRNazanin" w:hAnsi="IRNazanin" w:eastAsia="IRNazanin"/>
          <w:color w:val="111111"/>
          <w:sz w:val="28"/>
          <w:sz w:val="28"/>
          <w:szCs w:val="28"/>
          <w:rtl w:val="true"/>
          <w:lang w:bidi="fa-IR"/>
        </w:rPr>
        <w:t>وأن من اللازم للشخص الذی یرید استعمال منهج تفسیر القرآن بالقرآن أن یکون متمسّکاً بسیاق الآیات باعتبار أنّه من أدواته العملیة</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والعلاّمة رحمه الله هو صاحب نظر صائب فی الکشف عن ارتباط الآیات فیما بینها، فهو</w:t>
      </w:r>
      <w:bookmarkStart w:id="1203" w:name="pg5285_67656"/>
    </w:p>
    <w:p>
      <w:pPr>
        <w:pStyle w:val="BookText"/>
        <w:rPr/>
      </w:pPr>
      <w:bookmarkEnd w:id="1203"/>
      <w:r>
        <w:rPr>
          <w:rFonts w:ascii="IRNazanin" w:hAnsi="IRNazanin" w:eastAsia="IRNazanin"/>
          <w:color w:val="111111"/>
          <w:sz w:val="28"/>
          <w:sz w:val="28"/>
          <w:szCs w:val="28"/>
          <w:rtl w:val="true"/>
          <w:lang w:bidi="fa-IR"/>
        </w:rPr>
        <w:t>یمارس تقسیم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الطبیعی الممکن أن لا یقبل ذلک شخص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یطرح ثمان آیات فی مکان واحد ویبحثها فی عدّة صفحات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المورد نراه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سورة هل أتی عندما نقرأها نفهم أنّها من أوّلها وإلی آخرها نازلة فی مکان واحد، ولکنّ سورة أخری عند قراءتها نفهم منها أنّها مجزّأة فی نزولها</w:t>
      </w:r>
      <w:r>
        <w:rPr>
          <w:rFonts w:eastAsia="IRNazanin" w:cs="IRNazanin"/>
          <w:color w:val="111111"/>
          <w:sz w:val="28"/>
          <w:szCs w:val="28"/>
          <w:rtl w:val="true"/>
          <w:lang w:bidi="fa-IR"/>
        </w:rPr>
        <w:t>.</w:t>
      </w:r>
    </w:p>
    <w:p>
      <w:pPr>
        <w:pStyle w:val="Heading6"/>
        <w:numPr>
          <w:ilvl w:val="5"/>
          <w:numId w:val="1"/>
        </w:numPr>
        <w:rPr/>
      </w:pPr>
      <w:bookmarkStart w:id="1204" w:name="__RefHeading___Toc634731_581953129"/>
      <w:bookmarkStart w:id="1205" w:name="_Toc461"/>
      <w:bookmarkEnd w:id="1204"/>
      <w:r>
        <w:rPr>
          <w:rtl w:val="true"/>
        </w:rPr>
        <w:t>فضائل السور</w:t>
      </w:r>
      <w:bookmarkEnd w:id="1205"/>
    </w:p>
    <w:p>
      <w:pPr>
        <w:pStyle w:val="BookText"/>
        <w:rPr/>
      </w:pPr>
      <w:r>
        <w:rPr>
          <w:rFonts w:ascii="IRNazanin" w:hAnsi="IRNazanin" w:eastAsia="IRNazanin"/>
          <w:color w:val="111111"/>
          <w:sz w:val="28"/>
          <w:sz w:val="28"/>
          <w:szCs w:val="28"/>
          <w:rtl w:val="true"/>
          <w:lang w:bidi="fa-IR"/>
        </w:rPr>
        <w:t>لا ینقل العلاّمة فی تفسیره روایات فضائل السور لکون البعض منها من المجعولات أو الضعیف، ولکنّه بدلاً عن ذلک یعنون لکلّ سورة أهدافها وأغراضها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یشخّص لکلّ سورة مجموعة من الآیات لها غرضها وهدفها، وبعد هذا الأفق الفکری الذی یطرحه یمارس تفسیره آیة آیة، فمثلاً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مجموعة هذه الآیات لها هدف أو عدّة أهداف</w:t>
      </w:r>
      <w:r>
        <w:rPr>
          <w:rFonts w:eastAsia="IRNazanin" w:cs="IRNazanin"/>
          <w:color w:val="111111"/>
          <w:sz w:val="28"/>
          <w:szCs w:val="28"/>
          <w:rtl w:val="true"/>
          <w:lang w:bidi="fa-IR"/>
        </w:rPr>
        <w:t>.</w:t>
      </w:r>
    </w:p>
    <w:p>
      <w:pPr>
        <w:pStyle w:val="Heading6"/>
        <w:numPr>
          <w:ilvl w:val="5"/>
          <w:numId w:val="1"/>
        </w:numPr>
        <w:rPr/>
      </w:pPr>
      <w:bookmarkStart w:id="1206" w:name="__RefHeading___Toc634733_581953129"/>
      <w:bookmarkStart w:id="1207" w:name="_Toc462"/>
      <w:bookmarkEnd w:id="1206"/>
      <w:r>
        <w:rPr>
          <w:rtl w:val="true"/>
        </w:rPr>
        <w:t>الإسرائیلیات</w:t>
      </w:r>
      <w:bookmarkEnd w:id="1207"/>
    </w:p>
    <w:p>
      <w:pPr>
        <w:pStyle w:val="BookText"/>
        <w:rPr/>
      </w:pPr>
      <w:r>
        <w:rPr>
          <w:rFonts w:ascii="IRNazanin" w:hAnsi="IRNazanin" w:eastAsia="IRNazanin"/>
          <w:color w:val="111111"/>
          <w:sz w:val="28"/>
          <w:sz w:val="28"/>
          <w:szCs w:val="28"/>
          <w:rtl w:val="true"/>
          <w:lang w:bidi="fa-IR"/>
        </w:rPr>
        <w:t>والأمر الآخر هو جرحه ونقده الروایات الإسرائیلیة، والعلاّمة الطباطبائی بمنهجه تفسیر القرآن بالقرآن، والذی یبین فیه مفهوم کلّ آیة، فإنّ الإسرائیلیات تصیر موضع النقد، ویکون بطلانها واضحاً</w:t>
      </w:r>
      <w:r>
        <w:rPr>
          <w:rFonts w:eastAsia="IRNazanin" w:cs="IRNazanin"/>
          <w:color w:val="111111"/>
          <w:sz w:val="28"/>
          <w:szCs w:val="28"/>
          <w:rtl w:val="true"/>
          <w:lang w:bidi="fa-IR"/>
        </w:rPr>
        <w:t>.</w:t>
      </w:r>
    </w:p>
    <w:p>
      <w:pPr>
        <w:pStyle w:val="Heading5"/>
        <w:numPr>
          <w:ilvl w:val="4"/>
          <w:numId w:val="1"/>
        </w:numPr>
        <w:rPr/>
      </w:pPr>
      <w:bookmarkStart w:id="1208" w:name="__RefHeading___Toc634735_581953129"/>
      <w:bookmarkStart w:id="1209" w:name="_Toc463"/>
      <w:bookmarkEnd w:id="1208"/>
      <w:r>
        <w:rPr>
          <w:rtl w:val="true"/>
        </w:rPr>
        <w:t xml:space="preserve">تفسیر نمونه </w:t>
      </w:r>
      <w:r>
        <w:rPr>
          <w:rtl w:val="true"/>
        </w:rPr>
        <w:t>(</w:t>
      </w:r>
      <w:r>
        <w:rPr>
          <w:rtl w:val="true"/>
        </w:rPr>
        <w:t>الأمثل</w:t>
      </w:r>
      <w:r>
        <w:rPr>
          <w:rtl w:val="true"/>
        </w:rPr>
        <w:t>)</w:t>
      </w:r>
      <w:bookmarkEnd w:id="1209"/>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مکارم الشیرازی ومساعدوه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الولادة</w:t>
      </w: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الفارسیة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إلی العربیة</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الإتجاه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 هذا التفسیر آیة الله الشیخ ناصر مکارم الشیرازی وثلّة مساعدیه من المحقّقین، ذوی الأفکار النّیرة، و هو من مراجع التقلید فی هذا الوقت الراهن، وله مؤلّفات فقهیة، أصولیة، عقائدیة، وتفسیریة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ألفّه استجابة للمتطلّبات الاجتماعیة فی العصر الحاضر، و من هذا المنطلق کتب فی مقدّمة تفسیره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لکلّ عصر خصائصه وضروراته ومتطلبّاته، و هی تنطلق من الأوضاع الاجتماعیة و المتغیرات الفکریة، والمستجدّات الثقافیة الطارئة علی مفاصل الحیاة فی ذلک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ولکلّ عصر مشاکل وملابساته الناتجة عن تغییر المجتمعات و الثقافات، و هو تغیر لاینفکّ عن مسیرة المجتمع التاریخیة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المفکّر الفاعل فی الحیاة الاجتماعیة هو ذلک الذی یفهم الضرورات و المتطلّبات، و إدرک المشاکل و الملابسات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 هو الذی استوعب مسائل عصره</w:t>
      </w:r>
      <w:r>
        <w:rPr>
          <w:rFonts w:eastAsia="IRNazanin" w:cs="IRNazanin"/>
          <w:color w:val="111111"/>
          <w:sz w:val="28"/>
          <w:szCs w:val="28"/>
          <w:rtl w:val="true"/>
          <w:lang w:bidi="fa-IR"/>
        </w:rPr>
        <w:t xml:space="preserve">. </w:t>
      </w:r>
      <w:r>
        <w:rPr>
          <w:rStyle w:val="FootnoteAnchor"/>
          <w:rtl w:val="true"/>
        </w:rPr>
        <w:footnoteReference w:id="1037"/>
      </w:r>
    </w:p>
    <w:p>
      <w:pPr>
        <w:pStyle w:val="BookText"/>
        <w:rPr/>
      </w:pPr>
      <w:r>
        <w:rPr>
          <w:rFonts w:ascii="IRNazanin" w:hAnsi="IRNazanin" w:eastAsia="IRNazanin"/>
          <w:color w:val="111111"/>
          <w:sz w:val="28"/>
          <w:sz w:val="28"/>
          <w:szCs w:val="28"/>
          <w:rtl w:val="true"/>
          <w:lang w:bidi="fa-IR"/>
        </w:rPr>
        <w:t>مصادر هذا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جاء ذکر مصادر هذه التفسیر فی أول تفسیره،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عشر تفسیراً وأهمّها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 المیزان، نور الثقلین، الصافی، الجامع لأحکام القرآن، روح المعانی، التفسیر الکبیر، المنار، تفسیر المراغی و غیرها</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اهتمّ تفسیر و الأمثل ببحوث العلوم التجریبیة اهتماماً خاصّاً وواضحاً، و هو یطرح آراء المفسّرین الآخرین و یستدلّ علی الرأی الذی یختاره، ویعوّل فی ذلک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واللغة و الأدلّة العقلیة ومنهج المؤلّف فی طرحه لرؤاه التفسیریة وإلی الحدّ ممّا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الجمع بین الأقوال، ومضافاً علیها فی آخر تفسیر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میزات هذا التفسیر ذکره فی بدایة کلّ سورة مکّیة ومدنیة مع عدد آیاتها، کما ویذکر أهداف السورة وأقسامها، ثم یبین فضلها</w:t>
      </w:r>
      <w:r>
        <w:rPr>
          <w:rFonts w:eastAsia="IRNazanin" w:cs="IRNazanin"/>
          <w:color w:val="111111"/>
          <w:sz w:val="28"/>
          <w:szCs w:val="28"/>
          <w:rtl w:val="true"/>
          <w:lang w:bidi="fa-IR"/>
        </w:rPr>
        <w:t>.</w:t>
      </w:r>
      <w:bookmarkStart w:id="1210" w:name="pg5285_67658"/>
    </w:p>
    <w:p>
      <w:pPr>
        <w:pStyle w:val="BookText"/>
        <w:rPr/>
      </w:pPr>
      <w:bookmarkEnd w:id="1210"/>
      <w:r>
        <w:rPr>
          <w:rFonts w:ascii="IRNazanin" w:hAnsi="IRNazanin" w:eastAsia="IRNazanin"/>
          <w:color w:val="111111"/>
          <w:sz w:val="28"/>
          <w:sz w:val="28"/>
          <w:szCs w:val="28"/>
          <w:rtl w:val="true"/>
          <w:lang w:bidi="fa-IR"/>
        </w:rPr>
        <w:t>و أمّا منهجه العملی فی التفسیر،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نلاحظه فی کیفیة عرض الآیة، یقوم بترجمتها، و إذا کان لها شأن نزول یذکره، ثمّ یقسّم الآیة إلی أقسام وعناویین تنسجم مع عصر تفسیر الآیة، ویجیب علی تساؤلاته، قد تناول البحوث اللغویة و الأدبیة بشکل مختصر جدّاً وأحیاناً یشیر إلی ذلک فی الهامش، ثم یطرح الآراء ویقوم بالجمع بینها أو نقدها و البحث فیها، وفی حالة وجود روایات تفسیریة للآیة ینقلها وفی النهایة یذکر تحت عنوان نکات البحث الاجتماعی، الاخلاقی، التربوی، الفقهی، والعلمی، وأمثال ذلک، مع ذکره للنکات الأخلاقیة و العلمیة، الاجتماعیة و غیرها، و هذا یصبّ فی التفسیر الموضوعی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أی حال فإنّ هذا التفسیر هو من أشهر التفاسیر وأکثرها رواجاً فی هذا العصر الحاضر وإلی الآن قد طبع عدّة طبعات کما هو مورد استفادة الخواصّ و العوام لسهولته ویسره للناطقین بالفارسیة، و قد کتب فی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 و قد ترجم الی العربیة 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الأمثل، فی عشرین مجلّداً، وترجم کذلک إلی اللغة الأردیة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وعلاوة علی ذلک فإن للمؤلف تفسیر موضوعی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قرآن، فی عشرة مجلّدات، وترجم الی اللغة العربیة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نفحات القرآن، والأخلاق فی القرآن وهم مترجم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أخلاق در قرآن، فی مجلّدین</w:t>
      </w:r>
      <w:r>
        <w:rPr>
          <w:rFonts w:eastAsia="IRNazanin" w:cs="IRNazanin"/>
          <w:color w:val="111111"/>
          <w:sz w:val="28"/>
          <w:szCs w:val="28"/>
          <w:rtl w:val="true"/>
          <w:lang w:bidi="fa-IR"/>
        </w:rPr>
        <w:t>.</w:t>
      </w:r>
    </w:p>
    <w:p>
      <w:pPr>
        <w:pStyle w:val="Heading5"/>
        <w:numPr>
          <w:ilvl w:val="4"/>
          <w:numId w:val="1"/>
        </w:numPr>
        <w:rPr/>
      </w:pPr>
      <w:bookmarkStart w:id="1211" w:name="__RefHeading___Toc634737_581953129"/>
      <w:bookmarkStart w:id="1212" w:name="_Toc464"/>
      <w:bookmarkEnd w:id="1211"/>
      <w:r>
        <w:rPr>
          <w:rtl w:val="true"/>
        </w:rPr>
        <w:t>من وحی القرآن</w:t>
      </w:r>
      <w:bookmarkEnd w:id="1212"/>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حسین فضل‌الله، فقیه لبنانی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حیاته</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الإتجاه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وتربوی</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فی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bookmarkStart w:id="1213" w:name="pg5285_67659"/>
    </w:p>
    <w:p>
      <w:pPr>
        <w:pStyle w:val="BookText"/>
        <w:rPr/>
      </w:pPr>
      <w:bookmarkEnd w:id="1213"/>
      <w:r>
        <w:rPr>
          <w:rFonts w:ascii="IRNazanin" w:hAnsi="IRNazanin" w:eastAsia="IRNazanin"/>
          <w:color w:val="111111"/>
          <w:sz w:val="28"/>
          <w:sz w:val="28"/>
          <w:szCs w:val="28"/>
          <w:rtl w:val="true"/>
          <w:lang w:bidi="fa-IR"/>
        </w:rPr>
        <w:t>المؤلّف هو السید محمّد حسین فضل الله الحسنی، من علماء الشیعة المجاهدین فی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 بآرائه المکافحة و المخالفة للاحتلال الإسرائیلی و التواجد الاستعماری بشکل واضح و 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من مؤلّفاته هذا التفسیر و الذی شمل کلّ آیات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أوضح السید محمّدحسین فضل الله فی هذا التفسیر النکات الاجتماعیة و التربویة، و أمّا البحوث الأدبیة و البلاغیة، والفقهیة، فهی التی نالت أقلّ قدراً فی بحوثه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ردّ فیه علی کثیر من الشبهات المعاصره التی شغلت الساحة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علاوة علی ما أشرنا فی خصوص الاتّجاه، ثمّة اتّجاه آخر یشاهد فی هذا التفسیر، و هو الجنوح إلی علم الکلام و العقائد؛ وذلک من خلال طرحه الشبهات و الردّ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ممیزات التفسیر تجنّبه الإسرائیلیات بقدر ما استطاع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وللمؤلّف کتاب معروف آخر هو الحوار فی القرآن و الإسلام ومنطق القوّة، أیضاً یخصّان القرآن الکریم</w:t>
      </w:r>
      <w:r>
        <w:rPr>
          <w:rFonts w:eastAsia="IRNazanin" w:cs="IRNazanin"/>
          <w:color w:val="111111"/>
          <w:sz w:val="28"/>
          <w:szCs w:val="28"/>
          <w:rtl w:val="true"/>
          <w:lang w:bidi="fa-IR"/>
        </w:rPr>
        <w:t>.</w:t>
      </w:r>
    </w:p>
    <w:p>
      <w:pPr>
        <w:pStyle w:val="Heading5"/>
        <w:numPr>
          <w:ilvl w:val="4"/>
          <w:numId w:val="1"/>
        </w:numPr>
        <w:rPr/>
      </w:pPr>
      <w:bookmarkStart w:id="1214" w:name="__RefHeading___Toc634739_581953129"/>
      <w:bookmarkStart w:id="1215" w:name="_Toc465"/>
      <w:bookmarkEnd w:id="1214"/>
      <w:r>
        <w:rPr>
          <w:rtl w:val="true"/>
        </w:rPr>
        <w:t>الکاشف</w:t>
      </w:r>
      <w:bookmarkEnd w:id="1215"/>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مغنیة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الإتّجاه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وحرکی جهادی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والمؤلّف هو من العلماء الکبار فی لبنان، درس فی الحوزة العلمیه فی النجف الاشرف وبعد إتمامه عُین قاضیاً للشرع فی بیروت، ولکن بعد مدّة انعزل لبعض الأمور السیاسیة و الحکومیة، وانشغل بالتألیف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وللمؤلّف تفسیران واحد مفصّل، و هو الکاشف، والآخر مختصر، واسمه المبین؛ و أما تفسیر الکاشف فهو یعنی بالاتّجاه</w:t>
      </w:r>
      <w:bookmarkStart w:id="1216" w:name="pg5285_67660"/>
    </w:p>
    <w:p>
      <w:pPr>
        <w:pStyle w:val="BookText"/>
        <w:rPr/>
      </w:pPr>
      <w:bookmarkEnd w:id="1216"/>
      <w:r>
        <w:rPr>
          <w:rFonts w:ascii="IRNazanin" w:hAnsi="IRNazanin" w:eastAsia="IRNazanin"/>
          <w:color w:val="111111"/>
          <w:sz w:val="28"/>
          <w:sz w:val="28"/>
          <w:szCs w:val="28"/>
          <w:rtl w:val="true"/>
          <w:lang w:bidi="fa-IR"/>
        </w:rPr>
        <w:t>الاجتماعی، ویلحظ حاجات المجتمع و العصر، و قد عالج الکثیر من شبهات عصره الحاضر وردّ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التفسیر أخذت البحوث اللغویة و الأدبیة حیزاً صغیراً و امتاز الکتاب بالطابع الأدبی، والعبارات السهلة المیسرة</w:t>
      </w:r>
      <w:r>
        <w:rPr>
          <w:rFonts w:eastAsia="IRNazanin" w:cs="IRNazanin"/>
          <w:color w:val="111111"/>
          <w:sz w:val="28"/>
          <w:szCs w:val="28"/>
          <w:rtl w:val="true"/>
          <w:lang w:bidi="fa-IR"/>
        </w:rPr>
        <w:t>.</w:t>
      </w:r>
    </w:p>
    <w:p>
      <w:pPr>
        <w:pStyle w:val="Heading5"/>
        <w:numPr>
          <w:ilvl w:val="4"/>
          <w:numId w:val="1"/>
        </w:numPr>
        <w:rPr/>
      </w:pPr>
      <w:bookmarkStart w:id="1217" w:name="__RefHeading___Toc634741_581953129"/>
      <w:bookmarkStart w:id="1218" w:name="_Toc466"/>
      <w:bookmarkEnd w:id="1217"/>
      <w:r>
        <w:rPr>
          <w:rtl w:val="true"/>
        </w:rPr>
        <w:t>الفرقان فی تفسیر القرآن بالقرآن و السنّة</w:t>
      </w:r>
      <w:bookmarkEnd w:id="1218"/>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الصادقی الطهرانی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القرآن بالقرآن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الاتّجاه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المؤلّف هو الدکتور الشیخ محمّد الصادقی، له مؤلّفات کثیرة فی البحوث القرآنیة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کتب ترجمةً للقرآن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اللغة الفارسیة کذلک ضمن نتساطه القرانی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التفسیر الذی نتحدّث عنه هو حصیلة محاضراته علی طلبته فی الحوزة العلمیة، فی قمّ و النجف الأشرف</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یخصّ لحاظ المنهج یشیر المؤلّف أنّه اقتفی أثر العلاّمة الطباطبائی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 أمکن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تطبیق منهج تفسیر القرآن بالقرآن، و أنّ سعی المؤلّف قائم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و هو یبذل جهده ما استطاع الاستمداد من القرآن نفسه فی عملیة إزاحة الغبار الحائل علی القرآن، ثمّ من الروایات، وکذلک بمعیة التحلیل والاستدلال العقلی و العلمی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ومضافاً إلی ذلک فإنّ المؤلّف لاهتماماته بمتطلبات المجتمع وتربیته مارس بحوثه بالاتّجاه الاجتماعی و التربوی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یخصّ البحوث الأدبیة، فإنّه طرح النکات الأدبیة و اللغویة بشکل مختصر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اهتمّ لمؤلف بالأحادیث التی تنسجم مع ظواهر القرآن؛ ولهذا السبب ترفّع عن ذکر الروایات الإسرائیلیة و المجعولة و الضعیفة، کما و قد تناول البحوث الفقهیة بشکل موسّع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البحوث الکلامیة، فقد جنّدها للدفاع عن عقائد الشیعة ممارساً فیها الاستدلال و التحلیل و البیان المنطقی، و أنّ واحداً من أهمّ البحوث التی لها ارتباط بالقرآن فی العصر الحاضر، هو ما ینطبق وما لا ینطبق من النظریات العلمیة مع آیات القرآن الکریم، والذی کان یقف وراء إفراط البعض وتقصیر الآخرین، غیر أنّ المؤلّف یعتقد بوجود إشارات علمیة فی القرآن الکریم، ویشترط فی تطبیق تلک الإشارات علی النظریات العلمیة الثابة بالدلیل القاطع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ویقول فی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فی غنیً عن العلوم التجریبیة، ولا یمکننا تحمیل القرآن أی نظریة علمیة 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اعتبر بعض المفسّرین بلغوا حدّ الإفراط فی تحمیل القرآن ما لا یحتمله من النظریات العلمیة، ومن هذا المنطلق، ویشین عملهم، ویعتب علی الشیخ الطنطاوی فی هذا الصعید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المورد کتب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عدداً کثیراً من المفسّرین المتأثرین بالغرب و المنبهرین بالعلوم الحدیثة نسوا أنّ القرآن هو علم الله ومن المحال أن یتزلزل، بینما العلوم البشریة هی فی تبدّل وتزلزل دائمی، و أنّ الوصول إلی الخطاب الصواب و الصحیح هو عن طریق الأصح</w:t>
      </w:r>
      <w:r>
        <w:rPr>
          <w:rFonts w:eastAsia="IRNazanin" w:cs="IRNazanin"/>
          <w:color w:val="111111"/>
          <w:sz w:val="28"/>
          <w:szCs w:val="28"/>
          <w:rtl w:val="true"/>
          <w:lang w:bidi="fa-IR"/>
        </w:rPr>
        <w:t xml:space="preserve">. </w:t>
      </w:r>
      <w:r>
        <w:rPr>
          <w:rStyle w:val="FootnoteAnchor"/>
          <w:rtl w:val="true"/>
        </w:rPr>
        <w:footnoteReference w:id="1038"/>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وللمؤلّف مقدّمات طویلة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القرآن، ومرجعیة القرآن، والنسخ، وصیانة القرآن عن التحریف، والتفسیر بالمأثور، والظاهر و الباطن، والترجمة و التفسیر و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یلاحظ أنّ المؤلّف یقف مدافعاً بشکل جادّ فی الآیات المتعلّقة بفضائل</w:t>
      </w:r>
      <w:bookmarkStart w:id="1219" w:name="pg5285_67662"/>
    </w:p>
    <w:p>
      <w:pPr>
        <w:pStyle w:val="BookText"/>
        <w:rPr/>
      </w:pPr>
      <w:bookmarkEnd w:id="1219"/>
      <w:r>
        <w:rPr>
          <w:rFonts w:ascii="IRNazanin" w:hAnsi="IRNazanin" w:eastAsia="IRNazanin"/>
          <w:color w:val="111111"/>
          <w:sz w:val="28"/>
          <w:sz w:val="28"/>
          <w:szCs w:val="28"/>
          <w:rtl w:val="true"/>
          <w:lang w:bidi="fa-IR"/>
        </w:rPr>
        <w:t>أهل‌البیت علیهم السّلام، فیشاهد أنّه یعرض فضائلهم ومناقبهم فی وقفته من خلال القرآن و الروایات نفسها، ومن جملة ذلک ما طرحه فی ذیل الآیة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أَوْرَثْنَا الْکِتابَ الَّذِینَ اصْطَفَیْنا مِنْ عِبادِنا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تفسیر هذه الآیة الکریمة یری أنّها مرتبطة بأهل‌البیت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المنطلق یقوم بنقد رأی المخالفین ونقده</w:t>
      </w:r>
      <w:r>
        <w:rPr>
          <w:rFonts w:eastAsia="IRNazanin" w:cs="IRNazanin"/>
          <w:color w:val="111111"/>
          <w:sz w:val="28"/>
          <w:szCs w:val="28"/>
          <w:rtl w:val="true"/>
          <w:lang w:bidi="fa-IR"/>
        </w:rPr>
        <w:t>.</w:t>
      </w:r>
    </w:p>
    <w:p>
      <w:pPr>
        <w:pStyle w:val="Heading5"/>
        <w:numPr>
          <w:ilvl w:val="4"/>
          <w:numId w:val="1"/>
        </w:numPr>
        <w:rPr/>
      </w:pPr>
      <w:bookmarkStart w:id="1220" w:name="__RefHeading___Toc634743_581953129"/>
      <w:bookmarkStart w:id="1221" w:name="_Toc467"/>
      <w:bookmarkEnd w:id="1220"/>
      <w:r>
        <w:rPr>
          <w:rtl w:val="true"/>
        </w:rPr>
        <w:t>التفسیر الأثری الجامع</w:t>
      </w:r>
      <w:bookmarkEnd w:id="1221"/>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هادی 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حیاتة</w:t>
      </w:r>
      <w:r>
        <w:rPr>
          <w:rFonts w:eastAsia="IRNazanin" w:cs="IRNazanin"/>
          <w:color w:val="111111"/>
          <w:sz w:val="28"/>
          <w:szCs w:val="28"/>
          <w:rtl w:val="true"/>
          <w:lang w:bidi="fa-IR"/>
        </w:rPr>
        <w:t>:</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روائی وتحلیلی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علماء الشیعة المعاصرین، وُلِدَ فی کربلاء المقدّسة ودرس فیها وفی مدینة النجف الأشرف، و درّس وحقّق فی موضوعات العلوم الدینیة فی المراحل الإجتهادیة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الأساتذة البارزین فی الحوزة العلمیة فی مدینة قّم، وله مؤلّفات متعدّدة فی مجالات متنوّعة من العلوم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والمؤلّف فی کتابه القیم التمهید فی علوم القرآن، والمکوّن من ستّة، مجلّدات، مارس أوسع عمل ممکن أن یکون لأحد من علماء الشیعة فی صعید علوم القرآن، ثمّ و اصله بکتابه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و المفسّرون فی ثوبه القشیب، فی مجلّدین، وشبهات وردود؛ إذْ طرح فیه ألف شبهة وردّ علیها و هی تدور حول الموضوعات المقدسة للقرآن الکریم</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التفسیر الأثری الجامع </w:t>
      </w:r>
      <w:r>
        <w:rPr>
          <w:rStyle w:val="FootnoteAnchor"/>
          <w:rtl w:val="true"/>
        </w:rPr>
        <w:footnoteReference w:id="1039"/>
      </w:r>
      <w:r>
        <w:rPr>
          <w:rFonts w:ascii="IRNazanin" w:hAnsi="IRNazanin" w:eastAsia="IRNazanin"/>
          <w:color w:val="111111"/>
          <w:sz w:val="28"/>
          <w:sz w:val="28"/>
          <w:szCs w:val="28"/>
          <w:rtl w:val="true"/>
          <w:lang w:bidi="fa-IR"/>
        </w:rPr>
        <w:t>نلاحظ فی هذا التفسیر تطرح مجموعة روایات الشیعة</w:t>
      </w:r>
      <w:bookmarkStart w:id="1222" w:name="pg5285_67663"/>
    </w:p>
    <w:p>
      <w:pPr>
        <w:pStyle w:val="BookText"/>
        <w:rPr/>
      </w:pPr>
      <w:bookmarkEnd w:id="1222"/>
      <w:r>
        <w:rPr>
          <w:rFonts w:ascii="IRNazanin" w:hAnsi="IRNazanin" w:eastAsia="IRNazanin"/>
          <w:color w:val="111111"/>
          <w:sz w:val="28"/>
          <w:sz w:val="28"/>
          <w:szCs w:val="28"/>
          <w:rtl w:val="true"/>
          <w:lang w:bidi="fa-IR"/>
        </w:rPr>
        <w:t>وأهلِ السنة فی تفسیر القرآن الکریم وبما أنّ الروایات التفسیریة تشتمل مشکلات وملاحظات کثیرة و التی لم یشخصّ الصحیح منها عن السقیم، فإنّ المؤلّف بذل جهده من أجل التعریف بالصحیح و السقیم من تلک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کتب فی مقدّمته عن هذا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بین أیدیکم محاولة، مبلغ الجهد، لمعرفة الصحیح من الضعیف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التفسیر یشتمل علی ثلاثین مجلّداً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هو أقرب من 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طبع المجلّد الأوّل منه، وله مقدّمة قیمة جدّاً فی فهم وتفسیر القرآن، تضمُّ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القرآن، اسماء القرآن، ومفردات القرآن واشتقاقاتها، والسیر التدوینیّ للتفسیر، التفسیر و التأویل، الظاهر و الباطن وخصوصیة کلّ واحد منهما وأنواع التأویل، التفسیر بالرأی، لغة القرآن و البناء اللفظی و المحتوائی للقرآن الکریم، الأسلوب الخطابی فی القرآن، حجیة الظواهر القرآنیة، السیاق، عدم أمکانیة تحریف القرآن، السیر التاریخیّ للتفسیر الأثری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المرحلة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فی عصر الصحابة و التابعین، مکانة الحدیث فی تفسیر القرآن آفات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الوضع، والجعل، والکذب و الإسرائیلیات، أسباب النزول، والحروف المقطعة هی مفتاح معرفة الحدیث ثمّ شرع فی تفسیر سورة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إنّ منهج المؤلّف هو المنهج الروائی و التحلیلی، وفی بدایة تفسیر الآیات یقوم بتوضیحها وشرحها، ثّم ینقل الروایات التفسیریة ویمارس البحث و التحلیل عند لزوم الأمر ذلک</w:t>
      </w:r>
      <w:r>
        <w:rPr>
          <w:rFonts w:eastAsia="IRNazanin" w:cs="IRNazanin"/>
          <w:color w:val="111111"/>
          <w:sz w:val="28"/>
          <w:szCs w:val="28"/>
          <w:rtl w:val="true"/>
          <w:lang w:bidi="fa-IR"/>
        </w:rPr>
        <w:t>.</w:t>
      </w:r>
    </w:p>
    <w:p>
      <w:pPr>
        <w:pStyle w:val="Heading5"/>
        <w:numPr>
          <w:ilvl w:val="4"/>
          <w:numId w:val="1"/>
        </w:numPr>
        <w:rPr/>
      </w:pPr>
      <w:bookmarkStart w:id="1223" w:name="__RefHeading___Toc634745_581953129"/>
      <w:bookmarkStart w:id="1224" w:name="_Toc468"/>
      <w:bookmarkEnd w:id="1223"/>
      <w:r>
        <w:rPr>
          <w:rtl w:val="true"/>
        </w:rPr>
        <w:t>سائر تفاسیر الشیعة فی القرن ال</w:t>
      </w:r>
      <w:r>
        <w:rPr>
          <w:rtl w:val="true"/>
        </w:rPr>
        <w:t>-</w:t>
      </w:r>
      <w:r>
        <w:rPr/>
        <w:t>15</w:t>
      </w:r>
      <w:bookmarkEnd w:id="1224"/>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مخزن العرفان، تألیف السیدة المجتهدة، نصرت أمین، والمعروفة بالسیدة الأصفهانیة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التفسیر کتب باللغة الفارسیة فی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 و قد طرحت فیه آراء العرفاء وفلاسفة الحکمة المتعالیة، و قد استفادت المؤلّفة من روایات الأئمّة الأطهار علیهم السّلام کثیراً ولکّنها لم تتعرّض إلی الموضوعات الأدبیة و القراءات واختلافها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 جاوید،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السهل الخالد تألیف میرزا محمّد ثقفی الطهرانی</w:t>
      </w: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علماء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التفسیر کتب باللغة الفارسیة وفی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 وبأسلوب بسیط لم یتعرّض فیه إلی البحوث الفنیة و الأدبیة، واهتمَّ بالموضوعات الأخلاقیة، وبعضها مترجمة عن تفسیر الصافی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نوین،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الجدید تألیف محمّد تقی شریعتی</w:t>
      </w: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من دعاة إحیاء الفکر الإسلامی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التفسیر یقع فی مجلّد واحد، ویشمل الجزء الأخیر من القرآن الکریم، لا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کتب باللغة الفارسیة وبالاتّجاه الاجتماعی وبمعیة التحلیل والاستدلال فی الموضوعات العلمیة، وتوضیح اللغات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أطیب البیان، للسید عبدالحسین طیب الأصفهانی</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من علماء الشیعة المعاصرین، و قد کتبه فی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اللغة الفارسیة، ویتناسب مع مستوی أفکار وفهم عامّة النّاس، بالمنهج الروائی والاتّجاه الکلامی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البیان فی تفسیر القرآن، تألیف السید أبوالقاسم الخوئی</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المرجع الشیعی الکبیر فی العصر 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السید فی صدد تألیف تفسیر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وللأسف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یکتب إلاّ مجلّداً واحداً، فقط و هذا المجلّد اشتمل علی أهمّ الموضوعات فی بحوث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أغناه بآراء علماء الشیعة وأرائه النقدیة التحلیلیة القیمة جدّاً نسبة إلی من سبقه، وفی مواصلة ذلک شرع فی تفسیر سورة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والتفسیر من اللحاظ العلمی والاجتهادی قلیل النظیر فی نوعه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طبع هذا الکتاب باللغة العربیة عشرات المرّات و تُرجم إلی الفارسیة بواسطة محمّد صادق النجفی، وهاشم هریسی تحت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قرآن</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مواهب الرحمن فی تفسیر القرآن، تألیف السید عبدالأعلی الموسوی السبزواری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من المجتهدین المعاصرین وأحد مراجع الشیعة، و قد قام بکتابة هذا التفسیر وفق المنهج الاجتهادی إلاّ أنّه لم یکمله، و جدیر بالذکر أنّه دوّن باللغة العربیة وطُبع فی عشرة 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أنوار درخشان،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الأنوار الساطعة، تألیف السید محمّدحسین الهمدانی و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أغا نجفی</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التفسیر کتب باللغة الفارسیة وطبع بشکل کامل فی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 و قد استخدم المؤلّف المنهج الاجتهادی بالاتّجاه العرفانی و الفلسفی فی کتابته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آسان،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السهل تألیف محمّدجواد النجفی</w:t>
      </w: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العلماء المعاصرین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مؤلّفات متنوعة فقهیة تاریخیة، و قد کتب التفسیر باللغة الفارسیة وبالاتّجاه الاجتماعی و التربوی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مناهج البیان فی تفسیر القرآن، تألیف محمّدباقر ملکی میانجی</w:t>
      </w: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العلماء المعاصرین 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التفسیر کتب باللغة العربیة، و قد طُبع منه لحدّ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مجلّدات، مجلّدان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الجزء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والأربع مجلّدات لتفسیر بدایة القرآن من سورة الحمد وحتّی الآیة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سوره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التفسیر ألّف فی الاتّجاه الاجتماعی و الکلامی</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التفسیر لکتاب‌الله المنیر، تألیف محمّد الخفاجی الکرمی الهویزی</w:t>
      </w:r>
      <w:r>
        <w:rPr>
          <w:rFonts w:eastAsia="IRNazanin" w:cs="IRNazanin"/>
          <w:color w:val="111111"/>
          <w:sz w:val="28"/>
          <w:szCs w:val="28"/>
          <w:rtl w:val="true"/>
          <w:lang w:bidi="fa-IR"/>
        </w:rPr>
        <w:t>(</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علماء الأهواز المعاصرین، فقیه و زاهد و تقی</w:t>
      </w:r>
      <w:r>
        <w:rPr>
          <w:rFonts w:eastAsia="IRNazanin" w:cs="IRNazanin"/>
          <w:color w:val="111111"/>
          <w:sz w:val="28"/>
          <w:szCs w:val="28"/>
          <w:rtl w:val="true"/>
          <w:lang w:bidi="fa-IR"/>
        </w:rPr>
        <w:t xml:space="preserve">. </w:t>
      </w:r>
      <w:r>
        <w:rPr>
          <w:rStyle w:val="FootnoteAnchor"/>
          <w:rtl w:val="true"/>
        </w:rPr>
        <w:footnoteReference w:id="1040"/>
      </w:r>
      <w:r>
        <w:rPr>
          <w:rFonts w:ascii="IRNazanin" w:hAnsi="IRNazanin" w:eastAsia="IRNazanin"/>
          <w:color w:val="111111"/>
          <w:sz w:val="28"/>
          <w:sz w:val="28"/>
          <w:szCs w:val="28"/>
          <w:rtl w:val="true"/>
          <w:lang w:bidi="fa-IR"/>
        </w:rPr>
        <w:t>لقد کتب هذا التفسیر باللغة العربیة فی ثمانیة مجلّدات، ویشمل کلّ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الملاحظ علیه أنّه توجد فیه عبارات غیر مألوفة فاقدة لمستوی الکتابه العصریة کما ینبغی، کما أنّه لم یتضح منهجه التفسیری، و فی کثیر من الموارد یکتفی فقط بتوضیح بسیط حول الآیة ویترک الموضوع إلی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روشن،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حسن المصطفوی، و هو من المفسّرین المعاصرین و صاحب کتاب التحقیق فی کلمات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کتب هذا التفسیر فی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 وبالاتّجاه الاجتماعی و التربوی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طرح فیه الموضوعات الأخلاقیة و الإرشادات الهادیة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القرآن إلی الأذهان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الحسینی الشیرازی</w:t>
      </w:r>
      <w:r>
        <w:rPr>
          <w:rFonts w:eastAsia="IRNazanin" w:cs="IRNazanin"/>
          <w:color w:val="111111"/>
          <w:sz w:val="28"/>
          <w:szCs w:val="28"/>
          <w:rtl w:val="true"/>
          <w:lang w:bidi="fa-IR"/>
        </w:rPr>
        <w:t>(</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علماء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ومراجعها فی العصر الحاضر، وصاحب مؤلّفات کثیرة، و هو أحد الشخصیات العلمیة کثیرة الانشغال بالتألیف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التفسیر کتب باللغة العربیة فی عشرة مجلّدات وبالاتّجاه الاجتماعی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کوثر، تألیف یعقوب الجعفری، و هو محقّق قرآنی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کتب هذا التفسیر باللغة الفارسیة والاتّجاه الاجتماعی مع ذکر نکات بدیعة و علمیة 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استفاد المؤلف من تفاسیر التبیان ومجمع البیان، والکشّاف، والتفسیر الکبیر للفخر الرازی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طُبع من هذا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لحد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 مجلّدات، ویحتمل بلوغه عشرة مجلّدات، ثمّ إنّ المؤلّف له کتاب أخر فی موضوعات علوم القرآن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علوم قرآن، وله کتاب أخر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تاریخ القرآن، وله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علوم القرآن، وترجمة رسم المصحف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نور، لمحسن قراءتی الکاشانی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المولود فی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المحقّقین المجدّین و المبلّغین المعاصرین الناجحین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التفسیر کتب باللغة الفارسیة، و بالأسلوب السهل الیسیر، حیث یخرج الکتاب بمحصلات من الآیات، و قد ألّفه فی عشر مجلّدات</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هدی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تقی المدرسی، و هو من العلماء و الکتاب المعاصرین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کتب تفسیره، فی ثمانیة عشر مجلّداً باللغة العربیة وبالاتّجاه الاجتماعی، کما وتُرجم إلی اللغة الفارسیة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القرآن الکریم، تألیف محمّد علی التسخیری، ومحمّد سعید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ألّف باللغة العربیة فی ثلاثة مجلّدات بالاتجاه الاجتماعی، وبالتأکید علی الأبعاد التربویة و الإرشادات القرآنیة الهادیة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تسنیم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النابغة الحکیم آیة الله أستاذنا عبد الله جوادی أملی المولولد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والمؤلّف هو من الفلاسفة و المفسّرین للبارزین فی العصر الحاضر، و قد طبع من هذا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لحدّ الآن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حتّی الأیة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الغیب و الشهادة، تألیف محمّد علی بازوری، و هو من علماء سوریه، والتفسیر کتب باللغة العربیة، وفی ثمانیة مجلّدات وبالاتّجاه الاجتماعی و التربوی مع أنّه تشاهد فیه الجنوح الفلسفی و العرفانی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البصائر، تألیف یعسوب الدین رستکاری الجویباری، و قد کتبه فی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 و طبع منه إلی الآن</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 و المؤلف له نظریاته الخاصّة و الشاذة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الکاشف، تألیف اثنین من محقّقی القرآن المعاصرین،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محمّدباقر مجتبی وعبد الکریم بی أزار شیرازی، و هذا التفسیر کتب باللغة الفارسیة وبالاتّجاه الاجتماعی و العلمی وعلی أساس الإرتباط بین آیات القرآن وسوره، و قد خرج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الآن</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 حتّی سورة النحل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راهنما، تألیف أکبر هاشمی رفسنجانی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وبمعونة جمع من المحقّقین فی مرکز الثقافة و المعارف القرآنیة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طبع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الآن</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 وکتب باللغة 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 المنهج الموضوعی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اهتّم التفسیر فی فقراته بموضوعات متنوّعة وخرج بمحصّلات ونکات من الآیات التی تمّ تفسیرها</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التفسیر المعین، لمحمّد هویدی البغدادی، و قد کتب باللغة العربیة، فی مجلّد</w:t>
      </w:r>
    </w:p>
    <w:p>
      <w:pPr>
        <w:pStyle w:val="BookText"/>
        <w:rPr/>
      </w:pPr>
      <w:r>
        <w:rPr>
          <w:rFonts w:ascii="IRNazanin" w:hAnsi="IRNazanin" w:eastAsia="IRNazanin"/>
          <w:color w:val="111111"/>
          <w:sz w:val="28"/>
          <w:sz w:val="28"/>
          <w:szCs w:val="28"/>
          <w:rtl w:val="true"/>
          <w:lang w:bidi="fa-IR"/>
        </w:rPr>
        <w:t>واحد وبسبک موضوعی ومنهج روائی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أنوار العرفان، لمحمّد هویدی البغدادی، کتبه باللغة العربیة، فی مجلّد واحد وبأسلوب موضوعی ومنهج روائی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الوجیز فی تفسیر الکتاب العزیز، للمحقّق اللبنانی، قد ألّف فی کرّاسات صغیرة باللغة 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منهج البیان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بن الحسن الرضوی، و هو من علماء کراتشی الباکستان، کتبه باللغة العربیة، و قد طُبع منه حالیاً مجلّداً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أحسن الحدیث، تألیف علی أکبر قریشی</w:t>
      </w: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من أذربایجان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والمؤلّف هو صاحب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واژگانی،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ثقافة الألفاظ، و هو قاموس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التفسیر کتب بلغة بسیطة سهلة 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 یتناسب مع أفهام عامّة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تطهیر باجاری قرآن، لعلی صفائی حائری الشهیر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صاد</w:t>
      </w:r>
      <w:r>
        <w:rPr>
          <w:rFonts w:eastAsia="IRNazanin" w:cs="IRNazanin"/>
          <w:color w:val="111111"/>
          <w:sz w:val="28"/>
          <w:szCs w:val="28"/>
          <w:rtl w:val="true"/>
          <w:lang w:bidi="fa-IR"/>
        </w:rPr>
        <w:t>)(</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یقع فی مجلّدین، المجلّد الأوّل استوعب سورة البقره وفی المجلّد الثانی فسّر السور التالیه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المسد و النصر، والکوثر، والهمزة، والفیل و الماعون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مارس المؤلّف تفسیره آیات القرآن بالاتّجاه الاجتماعی و التربوی</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دانشجو،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طلاّب الجامعة، تألیف الدکتور محمّد علی رضائی 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بسماعدة عدّة من أساتذة الحوزة و الجامعة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التفسیر کتب فی اللغة الفارسیة، علی مستوی طلبة الجامعات، فی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ویشمل منهجه العملی فی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الترجمة و الظاهرة الکلّیة لکلّ آیة، وشأن النزول ونکات وإشارات، والتعلیمات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کتب التفسیر بالأسلوب البسیط و السهل متجنّباً البحوث الأدبیة المجهدة و القراءات وما شابه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التفسیر مقدّمة فی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وهی تدور حول المناهج التفسیریة، ومصادر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امتاز به هذا الکتاب وجود التنسیق و التلائم فی العمل الجماعی المکّرس له، ویشمل التفسیر سورة الحمد و البقرة</w:t>
      </w:r>
      <w:r>
        <w:rPr>
          <w:rFonts w:eastAsia="IRNazanin" w:cs="IRNazanin"/>
          <w:color w:val="111111"/>
          <w:sz w:val="28"/>
          <w:szCs w:val="28"/>
          <w:rtl w:val="true"/>
          <w:lang w:bidi="fa-IR"/>
        </w:rPr>
        <w:t>.</w:t>
      </w:r>
      <w:bookmarkStart w:id="1225" w:name="pg5285_67669"/>
    </w:p>
    <w:p>
      <w:pPr>
        <w:pStyle w:val="Heading5"/>
        <w:numPr>
          <w:ilvl w:val="4"/>
          <w:numId w:val="1"/>
        </w:numPr>
        <w:rPr/>
      </w:pPr>
      <w:bookmarkStart w:id="1226" w:name="__RefHeading___Toc634747_581953129"/>
      <w:bookmarkStart w:id="1227" w:name="_Toc469"/>
      <w:bookmarkEnd w:id="1225"/>
      <w:bookmarkEnd w:id="1226"/>
      <w:r>
        <w:rPr>
          <w:rtl w:val="true"/>
        </w:rPr>
        <w:t>سائر تفاسیر فی أهل السنة القرن ال</w:t>
      </w:r>
      <w:r>
        <w:rPr>
          <w:rtl w:val="true"/>
        </w:rPr>
        <w:t>-</w:t>
      </w:r>
      <w:r>
        <w:rPr/>
        <w:t>15</w:t>
      </w:r>
      <w:bookmarkEnd w:id="1227"/>
    </w:p>
    <w:p>
      <w:pPr>
        <w:pStyle w:val="Heading6"/>
        <w:numPr>
          <w:ilvl w:val="5"/>
          <w:numId w:val="1"/>
        </w:numPr>
        <w:rPr/>
      </w:pPr>
      <w:bookmarkStart w:id="1228" w:name="__RefHeading___Toc634749_581953129"/>
      <w:bookmarkStart w:id="1229" w:name="_Toc470"/>
      <w:bookmarkEnd w:id="1228"/>
      <w:r>
        <w:rPr>
          <w:rtl w:val="true"/>
        </w:rPr>
        <w:t>اشارة</w:t>
      </w:r>
      <w:bookmarkEnd w:id="1229"/>
    </w:p>
    <w:p>
      <w:pPr>
        <w:pStyle w:val="BookText"/>
        <w:rPr/>
      </w:pPr>
      <w:r>
        <w:rPr>
          <w:rFonts w:ascii="IRNazanin" w:hAnsi="IRNazanin" w:eastAsia="IRNazanin"/>
          <w:color w:val="111111"/>
          <w:sz w:val="28"/>
          <w:sz w:val="28"/>
          <w:szCs w:val="28"/>
          <w:rtl w:val="true"/>
          <w:lang w:bidi="fa-IR"/>
        </w:rPr>
        <w:t xml:space="preserve">تهذیب التفسیر، تألیف عبدالقادر شیبة الحمد، و هو من أهل السنّة وأحد أساتذة الجامعة الإسلامیة فی المدینة المنورة، و هو فی خمس مجلّدات فی سنة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وبالاتّجاه الاجتماعی و التربوی وبأسلوب 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وصل بتفسیره إلی الجزء السابع من القرآن ولم یکمله، و قد أولی الروایات اهتماماً خاصّاً، وغالباً ماکان ینقل روایاته عن الکتب الروائیة المعروفة عند أهل السنّة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البخاری و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أیسر التفاسیر، تألیف أبو بکر جابر الجزائری، و هو علی مذهب أحمد بن حنبل، ومعاصر وواعظ فی المسجد النبوی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کتب تفسیره هذا فی خمس مجلّدات فی تاریخ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والتفسیر بالاتّجاه التربوی، واقتصر علی الموضوعات الأخلاقیة فی القرآن، و إنّ منهجه هو المنهج الروائی، ویقع الکتاب فی مستوی مختصراً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جامع آیات الأحکام، إنّ هذا التفسیر الفقهی هو تألیف زین العابدین قربانی، من مدینة لاهیجان، من موالید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قد نصّب إماماً لجمعة مدینة رشت فی فترة من صیانه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کتب هذا التفسیر فی اثنی عشر مجلّداً، ویشمل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الطهارة وإلی کتاب الدیات جریاً علی نظم الکتب الفقهیة، واستغرق مدّة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مارس المؤلّف البحث الفقهی المقارن بین الشیعة وأهل السنّة معتمداً بذلک علی مصادرهم التفسیریة، وفی بعض الأمور المطلوبة یدافع عن مذهب أهل‌البیت علیهم السّلام، مع عادلة مفیدة ضمن بحوث الردّ علی شبهات العصر الحدیثة</w:t>
      </w:r>
      <w:r>
        <w:rPr>
          <w:rFonts w:eastAsia="IRNazanin" w:cs="IRNazanin"/>
          <w:color w:val="111111"/>
          <w:sz w:val="28"/>
          <w:szCs w:val="28"/>
          <w:rtl w:val="true"/>
          <w:lang w:bidi="fa-IR"/>
        </w:rPr>
        <w:t>.</w:t>
      </w:r>
    </w:p>
    <w:p>
      <w:pPr>
        <w:pStyle w:val="Heading6"/>
        <w:numPr>
          <w:ilvl w:val="5"/>
          <w:numId w:val="1"/>
        </w:numPr>
        <w:rPr/>
      </w:pPr>
      <w:bookmarkStart w:id="1230" w:name="__RefHeading___Toc634751_581953129"/>
      <w:bookmarkStart w:id="1231" w:name="_Toc471"/>
      <w:bookmarkEnd w:id="1230"/>
      <w:r>
        <w:rPr>
          <w:rtl w:val="true"/>
        </w:rPr>
        <w:t>التفسیر المنیر</w:t>
      </w:r>
      <w:bookmarkEnd w:id="1231"/>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الدکتور وهبة الزُحَیلی</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تاریخ التألیف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1232" w:name="pg5285_67670"/>
    </w:p>
    <w:p>
      <w:pPr>
        <w:pStyle w:val="BookText"/>
        <w:rPr/>
      </w:pPr>
      <w:bookmarkEnd w:id="1232"/>
      <w:r>
        <w:rPr>
          <w:rFonts w:ascii="IRNazanin" w:hAnsi="IRNazanin" w:eastAsia="IRNazanin"/>
          <w:color w:val="111111"/>
          <w:sz w:val="28"/>
          <w:sz w:val="28"/>
          <w:szCs w:val="28"/>
          <w:rtl w:val="true"/>
          <w:lang w:bidi="fa-IR"/>
        </w:rPr>
        <w:t>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الاتّجاه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المؤلف حنفی المذهب، وفی تفسیره عرض آراء السلف وتفسیر الماضین، و ضمَّن تفسیره نظریات جدیدة تلاحظ فی فقرات التفسیر، وله مؤلّفات قرآنیة أخری ومن 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القواعد الحسان فی تفسیر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ألّف تفسیر المنیر فی سنة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 ولهذا التفسیر مقدّمة تشمل بحوث علوم القرآن، ومن 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القرآن وبیان أسمائه، وأسباب النزول وجمع القرآن، والمکی و المدنی، ورسم الخط و کتابة القرآن، والإعجاز العربیة وترجمة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والتفسیر منظّم ولکلّ بحث عنوان خاصّ به، بل حتی الآیات جعل لها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مارس فی مضمون التفسیر بیان الإعراب و البلاغة، والمفردات وأسباب النزول، والتفسیر و البیان، والبحوث الموضوعیة، وبیان البحوث الفقهیه، کما وفی الکتاب عنوان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الحیاة أو الأحکام یعالج فیه الموضوعات الاجتماعیة، وکذلک الأحکام الدینیة الضروریة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اعتمد هذا التفسیر علی المنهجّ الاجتهادی فیما یطرحه، کما ویستدلّ علی ما یختاره من الآراء</w:t>
      </w:r>
      <w:r>
        <w:rPr>
          <w:rFonts w:eastAsia="IRNazanin" w:cs="IRNazanin"/>
          <w:color w:val="111111"/>
          <w:sz w:val="28"/>
          <w:szCs w:val="28"/>
          <w:rtl w:val="true"/>
          <w:lang w:bidi="fa-IR"/>
        </w:rPr>
        <w:t>.</w:t>
      </w:r>
    </w:p>
    <w:p>
      <w:pPr>
        <w:pStyle w:val="Heading6"/>
        <w:numPr>
          <w:ilvl w:val="5"/>
          <w:numId w:val="1"/>
        </w:numPr>
        <w:rPr/>
      </w:pPr>
      <w:bookmarkStart w:id="1233" w:name="__RefHeading___Toc634753_581953129"/>
      <w:bookmarkStart w:id="1234" w:name="_Toc472"/>
      <w:bookmarkEnd w:id="1233"/>
      <w:r>
        <w:rPr>
          <w:rtl w:val="true"/>
        </w:rPr>
        <w:t>الأساس فی التفسیر</w:t>
      </w:r>
      <w:bookmarkEnd w:id="123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سعید حَوّی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العربیة</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الاتّجاه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w:t>
      </w:r>
      <w:bookmarkStart w:id="1235" w:name="pg5285_67671"/>
    </w:p>
    <w:p>
      <w:pPr>
        <w:pStyle w:val="BookText"/>
        <w:rPr/>
      </w:pPr>
      <w:bookmarkEnd w:id="1235"/>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فی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استهدف المؤلّف من تفسیره سدّ الحاجة المعاصرة لزمانه؛ ولأجل ذلک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ثلاثة أسس یلزم توفرّها لأجل فهم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الأساس فی التفسیر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الأساس فی السنّة وفقه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الأساس فی قواعد المعرفة وضوابط فهم النصوص و المتون</w:t>
      </w:r>
      <w:r>
        <w:rPr>
          <w:rFonts w:eastAsia="IRNazanin" w:cs="IRNazanin"/>
          <w:color w:val="111111"/>
          <w:sz w:val="28"/>
          <w:szCs w:val="28"/>
          <w:rtl w:val="true"/>
          <w:lang w:bidi="fa-IR"/>
        </w:rPr>
        <w:t xml:space="preserve">. </w:t>
      </w:r>
      <w:r>
        <w:rPr>
          <w:rStyle w:val="FootnoteAnchor"/>
          <w:rtl w:val="true"/>
        </w:rPr>
        <w:footnoteReference w:id="1041"/>
      </w:r>
    </w:p>
    <w:p>
      <w:pPr>
        <w:pStyle w:val="BookText"/>
        <w:rPr/>
      </w:pPr>
      <w:r>
        <w:rPr>
          <w:rFonts w:ascii="IRNazanin" w:hAnsi="IRNazanin" w:eastAsia="IRNazanin"/>
          <w:color w:val="111111"/>
          <w:sz w:val="28"/>
          <w:sz w:val="28"/>
          <w:szCs w:val="28"/>
          <w:rtl w:val="true"/>
          <w:lang w:bidi="fa-IR"/>
        </w:rPr>
        <w:t xml:space="preserve">ویعدّ المفسّر من مؤیدی نظریة الوحدة الموضوعیة فی القرآن الکریم، و أنّ أساس تفسیره هو ما بینه فی المقدّمة من قول حیث یشکل منهجیته، ففی بدایة تفسیره السورة یمارس تقسیمها إلی عدّة أقسام، وتقسیم الآیات إلی عدّة فقرات، ثمّ یقوم بتفسیر الفقرات المختلفة، </w:t>
      </w:r>
      <w:r>
        <w:rPr>
          <w:rStyle w:val="FootnoteAnchor"/>
          <w:rtl w:val="true"/>
        </w:rPr>
        <w:footnoteReference w:id="1042"/>
      </w:r>
      <w:r>
        <w:rPr>
          <w:rFonts w:ascii="IRNazanin" w:hAnsi="IRNazanin" w:eastAsia="IRNazanin"/>
          <w:color w:val="111111"/>
          <w:sz w:val="28"/>
          <w:sz w:val="28"/>
          <w:szCs w:val="28"/>
          <w:rtl w:val="true"/>
          <w:lang w:bidi="fa-IR"/>
        </w:rPr>
        <w:t>وفی تفسیر الآیات یبین فلسفة الأحکام باهتمام، وهکذا اهتّم بأسباب النزول، والروایات، ومعانی الحروف، وتوضیح المفردات لکل آیة، وإعطاء المفهوم العامّ لکلّ آیة، وذکر الفوائد و النکات المفیدة، وذکر أقوال المفسّرین، وفتاوی فقهاء أهل السنّة، وبیان سیاق الأیات</w:t>
      </w:r>
      <w:r>
        <w:rPr>
          <w:rFonts w:eastAsia="IRNazanin" w:cs="IRNazanin"/>
          <w:color w:val="111111"/>
          <w:sz w:val="28"/>
          <w:szCs w:val="28"/>
          <w:rtl w:val="true"/>
          <w:lang w:bidi="fa-IR"/>
        </w:rPr>
        <w:t>.</w:t>
      </w:r>
    </w:p>
    <w:p>
      <w:pPr>
        <w:pStyle w:val="Heading6"/>
        <w:numPr>
          <w:ilvl w:val="5"/>
          <w:numId w:val="1"/>
        </w:numPr>
        <w:rPr/>
      </w:pPr>
      <w:bookmarkStart w:id="1236" w:name="__RefHeading___Toc634755_581953129"/>
      <w:bookmarkStart w:id="1237" w:name="_Toc473"/>
      <w:bookmarkEnd w:id="1236"/>
      <w:r>
        <w:rPr>
          <w:rtl w:val="true"/>
        </w:rPr>
        <w:t>تفسیر الشعراوی</w:t>
      </w:r>
      <w:bookmarkEnd w:id="1237"/>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متولّی الشعراوی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الاتّجاه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بلغ هذا التفسیر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فی الآیة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الأنبیاء، والشیخ محمّد متولّی الشعراوی شخصیة بارزه ومن علماء مصر المرموقین ویعتبر هذا التفسیر هو حاصل عمره العلمی وسعیه واجتهاده فی عمل التفسیر، کما إنّه یعتقد أنّ هدف نزول القرآن لم یکن هو اکتشاف أسرار عالم الطبیعة، و إنّما هو جاء بأحکام تکمُنُ فیها أسراراً لأجل تطوّر الثقافة و الحضارة، وتوسّع العقل البشری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والمشاهد فی هذا التفسیر وجود نکات أدبیة، وتفسیر القرآن بالقرآن، والاستدلال بالآیات القرآنیة بشکل واسع وکثیر، والربط بین الآیات و الأبعاد الاجتماعیة، وکذلک التذکیر بالنکات الأخلاقیة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تعرّض الشعراوی فی مقدمته القصیرة إلی أنّ القرآن هو وحیّ إلهی، و أنّ القرآن معجز، وأنّه خالد، ولعلّ من الممکن القول أنّ أهمّ ما اعتمده المفسّر فی تفسیره وشرحه هو علی المفاهیم اللغویة و آیات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جدیر بالذکر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ألمحنا سلفاً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المؤلّف من علماء المسلمین ومفسّریهم الکبار، وله أکثر من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مؤلّفاً، ذکر أسماءها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یلفت النظر فی هذا التفسیر هو أنّ العلامة الشعراوی تُوفی و هو منشغل بآخر آیة فسّرها الآیة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النمل، فغادر هذه الدار الفانیة أثناء انشغاله فی تفسیرها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المؤلّف یکتب المقالات العلمیة والاجتماعیة کثیرة ذات البُعد الرصین وتنشر فی مجلات کثیرة فی العالم الإسلامی بین فترة و آخری</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تفسیر الشعراوی کثیر النظم و الترتیب؛ إذ هو یصدّر لکلّ آیة عنواناً خاصّا لأجل تجلیة مرادها، ثمّ هو من أجل اثبات أی موضوع یعتمد المنهج الاستدلالی ویطرح الأدلّة المتنوّعة بشکل منظم، فهو یقسّم الأمور و النکات عند طرحها و یستعمل العبارات المنطقیة السهلة فی عملیة التفسیر</w:t>
      </w:r>
      <w:r>
        <w:rPr>
          <w:rFonts w:eastAsia="IRNazanin" w:cs="IRNazanin"/>
          <w:color w:val="111111"/>
          <w:sz w:val="28"/>
          <w:szCs w:val="28"/>
          <w:rtl w:val="true"/>
          <w:lang w:bidi="fa-IR"/>
        </w:rPr>
        <w:t>.</w:t>
      </w:r>
      <w:bookmarkStart w:id="1238" w:name="pg5285_67673"/>
    </w:p>
    <w:p>
      <w:pPr>
        <w:pStyle w:val="Heading5"/>
        <w:numPr>
          <w:ilvl w:val="4"/>
          <w:numId w:val="1"/>
        </w:numPr>
        <w:rPr/>
      </w:pPr>
      <w:bookmarkStart w:id="1239" w:name="__RefHeading___Toc634757_581953129"/>
      <w:bookmarkStart w:id="1240" w:name="_Toc474"/>
      <w:bookmarkEnd w:id="1238"/>
      <w:bookmarkEnd w:id="1239"/>
      <w:r>
        <w:rPr>
          <w:rtl w:val="true"/>
        </w:rPr>
        <w:t>المحصّلة</w:t>
      </w:r>
      <w:bookmarkEnd w:id="12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هذا الدرس تعرّفنا علی علّة رکود التفسیر فی القرن الثالث عشر، کان من أسبابه وانشغال العلماء بالمواجهة للنزعة الأخباریة المتأحجة، وهکذا اطّلعنا فی مرورنا علی تقریر التفاسیر فی القرن الثالث عشر، علی تفسیر 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الجوهر الثمین و الوجیز، وفتح القدیر للشوکانی، وروح المعانی للألوسی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أنّها أهمّ تفاسیر هذا القرن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العصر الحاضر طُرحت خصوصیات ومناهج مختلفة فی التفسیر و التی فی نوعها فریدة لا نظیر لها، ومن 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البیانی بالأسلوب الجدید، تألیف التفسیر الترتیبی علی أساس ترتیب النزول، والتطوّر فی تألیف التفاسیر العلمیه، والتفاسیر الفقهیة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أوسع القرون فی تدوین التفسیر، و قد کتبت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اجتماعیة، وتفسیر القرآن بالقرآن ویعدّ هذا الأخیر تفسیر أهمّ تفاسیر القرآن بالقرآن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ویعتبر أهمّ التفاسیر الاجتماعیة عند الشیعة هو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پرتوی از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وحی القرآن، والکاشف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المنار وفی ظلال القرآن، ومحاسن التأویل للقاسمی، وتفسیر المراغی، وتفسیر الشعراوی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القرن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تُشاهد خصوصیات التفسیر العصری، ووحدة الموضوع، وتدوین التفسیر الموضوعی، والتفسیر البنائی الذی صار موضع بحث</w:t>
      </w:r>
      <w:r>
        <w:rPr>
          <w:rFonts w:eastAsia="IRNazanin" w:cs="IRNazanin"/>
          <w:color w:val="111111"/>
          <w:sz w:val="28"/>
          <w:szCs w:val="28"/>
          <w:rtl w:val="true"/>
          <w:lang w:bidi="fa-IR"/>
        </w:rPr>
        <w:t>.</w:t>
      </w:r>
    </w:p>
    <w:p>
      <w:pPr>
        <w:pStyle w:val="Heading5"/>
        <w:numPr>
          <w:ilvl w:val="4"/>
          <w:numId w:val="1"/>
        </w:numPr>
        <w:rPr/>
      </w:pPr>
      <w:bookmarkStart w:id="1241" w:name="__RefHeading___Toc634759_581953129"/>
      <w:bookmarkStart w:id="1242" w:name="_Toc475"/>
      <w:bookmarkEnd w:id="1241"/>
      <w:r>
        <w:rPr>
          <w:rtl w:val="true"/>
        </w:rPr>
        <w:t>الأسئلة</w:t>
      </w:r>
      <w:bookmarkEnd w:id="12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هو صاحب تفسیر الجوهر الثمین، وما هو منهجه؟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اکتب ما تعرفه عن علّة رکود التفسیر فی القرن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عرّف بعض التفاسیر العرفانیة التی کتبت فی القرن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اکتب العناصر المشترکة للتفسیر فی العصر الحاضر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بأی نهج کتبت تفاسیر العصر الحاضر، وذلک من خلال رؤیة آیة الله معرفة و الذهبی؟</w:t>
      </w:r>
      <w:bookmarkStart w:id="1243" w:name="pg5285_67674"/>
    </w:p>
    <w:p>
      <w:pPr>
        <w:pStyle w:val="BookText"/>
        <w:rPr/>
      </w:pPr>
      <w:bookmarkEnd w:id="1243"/>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وضّح التفسیر البیانی فی العصر الحدیث مع ذکر مراحله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تفسیرین ترتیبیین حسب نزول آیات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هی أقسام التفسیر الموضوعی؟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اسم أهمّ تفسیر موضوعی فی العصر الحاضر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 تفسیر طنطاوی، وحدّد منهجه التفسیری فیه، وما هو الإشکال علیه؟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خمسة مصادر اعتمد علیها تفسیر المیزان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أهمّ منهج اعتمد علیه العلاّمة الطباطبائی فی تفسیره؟ وما هو معنی السیاق؟</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هی المیزات الأربع التی استخرجت من تفسیر المیزان؟</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مَن یعود تفسیر القرآن و العقل؟ وما هی خصوصیته ومنهجّه؟</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تفسیرین من التفاسیر التی تبنّت تفسیر القرآن بالقرآن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أربعة تفاسیر اعتمدت الاتّجاه الاجتماعی مع ذکر أسماء مؤلّفیها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خمسة تفاسیر کتبت باللغة الفارسیة فی العصر الحاضر، مع ذکر اسماء مؤلّفیها</w:t>
      </w:r>
      <w:r>
        <w:rPr>
          <w:rFonts w:eastAsia="IRNazanin" w:cs="IRNazanin"/>
          <w:color w:val="111111"/>
          <w:sz w:val="28"/>
          <w:szCs w:val="28"/>
          <w:rtl w:val="true"/>
          <w:lang w:bidi="fa-IR"/>
        </w:rPr>
        <w:t>.</w:t>
      </w:r>
    </w:p>
    <w:p>
      <w:pPr>
        <w:pStyle w:val="Heading5"/>
        <w:numPr>
          <w:ilvl w:val="4"/>
          <w:numId w:val="1"/>
        </w:numPr>
        <w:rPr/>
      </w:pPr>
      <w:bookmarkStart w:id="1244" w:name="__RefHeading___Toc634761_581953129"/>
      <w:bookmarkStart w:id="1245" w:name="_Toc476"/>
      <w:bookmarkEnd w:id="1244"/>
      <w:r>
        <w:rPr>
          <w:rtl w:val="true"/>
        </w:rPr>
        <w:t>تمارین</w:t>
      </w:r>
      <w:bookmarkEnd w:id="12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صنّف تفاسیر القرن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ه إلی الاتّجاه الاجتماعی و العرفانی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استخرج خمس خصائص لتفسیر المیزان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حدّد التفاسیر التی کتبت بالاتّجاه الاجتماعی فی القرن الخامس عشر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التفاسیر العرفانیة فی القرن الخامس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للتحقیق فی الموضوع</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أجرِ مقارنةً بین تفسیر المیزان وتفسیر أضواء البیان، وبین ما هی قوّة وضعف منهجیهما؟</w:t>
      </w:r>
      <w:bookmarkStart w:id="1246" w:name="pg5285_67675"/>
    </w:p>
    <w:p>
      <w:pPr>
        <w:pStyle w:val="Heading5"/>
        <w:numPr>
          <w:ilvl w:val="4"/>
          <w:numId w:val="1"/>
        </w:numPr>
        <w:rPr/>
      </w:pPr>
      <w:bookmarkStart w:id="1247" w:name="__RefHeading___Toc634763_581953129"/>
      <w:bookmarkStart w:id="1248" w:name="_Toc477"/>
      <w:bookmarkEnd w:id="1246"/>
      <w:bookmarkEnd w:id="1247"/>
      <w:r>
        <w:rPr>
          <w:rtl w:val="true"/>
        </w:rPr>
        <w:t>المصادر</w:t>
      </w:r>
      <w:bookmarkEnd w:id="12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 التفسیرین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اتّجاهات التفسیر فی القرن الرابع عشر، فهد سلیمان رومی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و المفسّرون فی ثوبه القشیب، آیة الله 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اتّجاهات التفسیر فی العصر الراهن، المحتسب</w:t>
      </w:r>
      <w:r>
        <w:rPr>
          <w:rFonts w:eastAsia="IRNazanin" w:cs="IRNazanin"/>
          <w:color w:val="111111"/>
          <w:sz w:val="28"/>
          <w:szCs w:val="28"/>
          <w:rtl w:val="true"/>
          <w:lang w:bidi="fa-IR"/>
        </w:rPr>
        <w:t>.</w:t>
      </w:r>
      <w:bookmarkStart w:id="1249" w:name="pg5285_67677"/>
    </w:p>
    <w:p>
      <w:pPr>
        <w:pStyle w:val="Heading2"/>
        <w:numPr>
          <w:ilvl w:val="1"/>
          <w:numId w:val="1"/>
        </w:numPr>
        <w:rPr/>
      </w:pPr>
      <w:bookmarkStart w:id="1250" w:name="__RefHeading___Toc634765_581953129"/>
      <w:bookmarkStart w:id="1251" w:name="_Toc478"/>
      <w:bookmarkEnd w:id="1249"/>
      <w:bookmarkEnd w:id="1250"/>
      <w:r>
        <w:rPr>
          <w:rtl w:val="true"/>
        </w:rPr>
        <w:t>المصادر</w:t>
      </w:r>
      <w:bookmarkEnd w:id="1251"/>
    </w:p>
    <w:p>
      <w:pPr>
        <w:pStyle w:val="BookText"/>
        <w:rPr/>
      </w:pPr>
      <w:r>
        <w:rPr>
          <w:rStyle w:val="FootnoteAnchor"/>
          <w:rtl w:val="true"/>
        </w:rPr>
        <w:footnoteReference w:id="10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أبی الحدید، شرح نهج البلاغة، دار إحیاء الکتب العربیة، الطبعة الثانیة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الأثیر، علی بن أبی الکرم، الکامل فی التاریخ، 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الأثیر، علی بن محمّد، أسد الغابة فی معرفة الصحابة، دار إحیاء التراث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تیمیة، تقی الدین أحمد، مقدّمة فی أصول التفسیر، دار مکتبة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الجوزی، عبد الرحمن، الموضوعات، دارالفکر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أحمد بن علی، تهذیب التهذیب، مطبعة المجلس، دائرة المعارف النظامیة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هنر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العسقلانی، أحمد بن علی، الإصابة فی تمیز الصحابة، دار إحیاء التراث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تقریب التهذیب، دار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حنبل، أحمد مسند الإمام 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أحمد محمّد شاکر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خلدون، عبد الرحمن، مقدّمة ابن خلدون، دار إحیاء التراث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سعد، محمّد، الطبقات الکبری، دارالفکر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 مناقب آل أبی طالب، مطبعه علمیه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طاووس، السید أحمد بن موسی، التحریر الطاووسی، مکتبة 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عساکر، علی بن حسن، تاریخ دمشق، المجمع العلمی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فارس، أحمد، معجم مقائیس اللغة، انتشارات دفتر تبلیغات أسلامی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الندیم، محمّد بن إسحاق، الفهرست، دارالمعرفة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هشام، أبو محمّد عبدالملک، السیرة النبویه، مصطفی البابی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ریه، الشیخ محمود، اضواء علی السنّة المحمّدیة، دار المعارف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نعیم الأصفهانی، احمد بن عبد الله، حلیة الأولیاء، دار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أمین، فجر الإسلام، دار الکتاب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أدنوی، أحمد بن محمّد، طبقات المفسّرین، مکتبة العلوم و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الأزهری، تهذیب اللغة، دارالفکر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أستادی، رضا، آشنایی با تفاسیر قرآن مجید و مفسران، مؤسسه درراه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البلاذری، أحمد بن یحیی، أنساب الاشراف، مؤسسة الاعلمی للمطبوعات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الطبعة الأولی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البیومی، محمّد رجب، خطوات المنهج البیانی، دار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الحلّی، عبد الحلیم، الرسول المصطفی وفضائل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ونقد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ژرف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الاولی،</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أمین، السّید محسن، أعیان الشیعة، دار التعارف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الأمین، عبد الحسین، الغدیر، دار الکتب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الطبعة الرابعة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الأنصاری، الشیخ مرتضی، الرسائل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الحجریة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الأوسی، علی، روش علّامة طباطبایی در تفسیر المیزان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سید حسین میرجلیلی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بین‌الملل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الطبعة الرابعة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أیازی، السید محمّد علی، المفسّرون حیاتهم و منهجهم، وزارة الثقافة و الإرشاد الاسلامی ایران، الطبعة الأولی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سیر تطوّر تفاسیر شیعة، انتشارات مبین،</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و تفسیر عصری، دفتر نشر فرهنگ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بابایی، علی أکبر، مکاتب تفسیری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پژوهشکده حوزه و دانشگاه قم،</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البحرانی، السید هاشم، البرهان فی تفسیر القرآن، مؤسسة‌الأعلمی للمطبوعات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الطبعة الأولی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البخاری، محمّد بن إسماعیل، صحیح البخاری، بحاشیة السندی، دارالمعرفة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البستانی، محمود، المنهج البنائی فی التفسیر، دار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 الطبعة الأولی،</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بلتاجی، محمّد، دراسات التفسیر، مکتبة الشاب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ربیع الآمال، محمّد عبد الرحمن، الاسرائیلیات فی تفسیر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الترمذی، محمّد بن عیسی، سنن الترمذی، دار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التستری، محمّدتقی، الأخبار الدخیلة، مکتبة الصدوق، مکتبة الحیدری،</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قاموس الرجال، مؤسسة النشر الاسلامی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تهرانی، آقا بزرگ، محمّد محسن الرازی، الذریعه إلی تصانیف الشیعة، دارالأضواء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جعفریان، رسول، از یورش مغولان تا زوال ترکمانان، دفتر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جولد تسهیر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گلدزیهر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مذاهب التفسیر الاسلامی، مترجم عبدالحلیم نجّار، مکتبة الخانجی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حاجی خلیفه، مصطفی بن عبد الله، کشف الظنون عن أسامی الکتب و الفنون، دارالکتاب العلمیه، بیروت</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نیشابوری، أبو عبد الله محمّد بن عبد الله، المستدرک علی الصحیحین، دار الکتب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حجتی، سید محمّد باقر، سه مقاله در تاریخ تفسیر و نحو، بنیاد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الحرّ العاملی، محمّد بن حسن، وسائل الشیعة، دار إحیاء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إبراهیم حسن، تاریخ الإسلام، دار الجبل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 مکتبة النهضة المصریة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الحکیم، محمّد باقر، علوم القرآن، مجمع الفکر الاسلامی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الطبعة الثالثه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الحلّی، حسن بن یوسف، خلاصة الأقوال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الخزاز القمّی، علی بن محمّد، کفایة الأثر، انتشارات بیدار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مطبعة خیام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الخوئی، السید أبو القاسم، البیان، دار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انتشارات 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معجم رجال الحدیث، دار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الداودی، حافظ شمس الدین محمّد، طبقات المفسّرین، دار الکتب العلمیه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الذهبی، محمّد حسین، التفسیر و المفسّرون، دار الکتب الحدیثه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قاهرة،</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الراغب الأصفهانی، ابوالقاسم، حسین بن محمّد، مفردات ألفاظ القرآن، دار الکاتب العربی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ربانی گلپایگانی، علی، فرق و مذاهب، مرکز جهانی علوم 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الرومی، سلیمان فهد، اتّجاهات التفسیر فی القران الرابع عشر، وزارة الثقافة المملکة العربیة السعودیه، الطبعة الاولی،</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 شهری، محمّد، اهل بیت در کتاب و سنت، دار الحدیث،</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میزان الحکمة، مرکز النشر، مکتب الإعلام الاسلامی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الزبیدی، محمّد مرتضی، تاج العروس، دارالفکر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الطبعة‌الأولی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الزرقانی، محمّد عبد العظیم، مناهل العرفان فی علوم‌القرآن، دارالفکر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الزرکشی، بدر الدین، البرهان فی العلوم القرآن، دار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الزرکلی، خیرالدین، الأعلام قاموس تراجم أشهر الرجال و النساء، دارالعلم للملایین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السیوطی، جلال الدین، الإتقان فی علوم القرآن، مکتبة فخر الدین،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الاولی،</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تدریب الراوی، دار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الشاطبی، أبو إسحاق، الموافقات فی أصول الشریعة، المکتبة التجاریة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الشرقاوی، عفت، الفکر الدینی فی مواجهة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اتّجاهات التفسیر فی مصر فی العصر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العودده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ط الثالثة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شحاتة، عبد الله محمود، علوم القرآن و التفسیر، دار الاعتصام، القاهرة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شواخ، دکتر علی شواخ إسحاق، معجم مصنفات القرآن الکریم، دارالکتاب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الشهید الثانی، زین الدین، الدرایة فی علم مصطلح الحدیث، مکتبة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صافی گلپایگانی، لطف الله، منتخب الأثر فی الإمام الثانی عشر، مؤسسه السیدة المعصومة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الصدر، سید حسن، تأسیس الشیعة لعلوم الإسلام، منشورات الأعلمی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الصدوق، محمّد بن علی، الأمالی، مؤسسة الأعلمی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الخصال، انتشارات جامعه مدرسین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توحید، مؤسّسة النشرالإسلامی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جامعه مدرسین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علل الشرایع، مؤسسه بعثت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الطبعة الاولی،</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لایحضره الفقیه، دار الکتب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الصغیر، محمّد حسین علی، المبادیء العامة لتفسیر القرآن الکریم، مرکز النشر، مکتب الإعلام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الصفّار القمّی، محمّد بن حسن، بصائر الدرجات، مؤسسة الأعلمی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جلالیان، حبیب الله، تاریخ تفسیر قرآن کریم، انتشارات اسوه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الطبعة الاولی،</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الطبرسی، أحمد بن علی بن أبی طالب، الاحتجاج، درالنعمان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الطریحی، فخرالدین، مجمع البحرین، المکتبة المرتضویه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الطوسی، محمّد بن حسن، الفهرست، منشورات 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الطوسی، محمّد بن حسن، تهذیب الاحکام، دارالکتب الاسلامیه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الطوسی، محمّد بن حسن، رجال الطوسی، مطبعة الحیدریة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عقیقی بخشایشی، عبدالرحیم، طبقات مفسران شیعة، انتشارات نویداسلام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علوی مهر، حسین، روش‌ها و گرایش‌های تفسیری، انتشارات اسوه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چاپ أول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عمید زنجانی، عبّاسعلی، مبانی و روش‌های تفسیری، وزارت ارشاد اسلامی، چاپ سوم،</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الفیومی، أحمد بن محمّد، مصباح المنیر، دار الهجرة</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القرشی، سید علی اکبر، قاموس القرآن، دار الکتب الاسلامیه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چ</w:t>
      </w:r>
      <w:r>
        <w:rPr>
          <w:rFonts w:eastAsia="IRNazanin" w:cs="IRNazanin"/>
          <w:color w:val="111111"/>
          <w:sz w:val="28"/>
          <w:szCs w:val="28"/>
          <w:lang w:bidi="fa-IR"/>
        </w:rPr>
        <w:t>1371</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القمی، شیخ عباس، سفینة البحار، دار التعارف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کحاله، عمر رضا، معجم المؤلفین، دار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الکشی، ابو عمر ومحمّد، اختیار معرفة الرجال، مؤسسه آل البیت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الکلینی، محمّد بن یعقوب، الکافی، دارالکتب الاسلامیه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چاپ پنجم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المامقانی، عبد الله، تنقیح المقال، چاپ سنگی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المتقی الهندی، علاءالدین علی، کنزالعمال فی سنن الاقوال والافعال، مؤسسة الرسالة،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المجلسی، محمّد باقر، بحار الأنوار، مؤسسة الوفاء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 لبنان،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المحتسب، عبد المجید، اتّجاهات التفسیر فی العصر الراهن، مکتبة النهضة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المرعشی، یوسف عبد الرحمن، فهرس احادیث تفسیر البغوی، دارالنور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لبنان الطبعة الاولی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المزّی، یوسف، تهذیب الکمال، مؤسسة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لبنان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المسعودی، علی بن الحسین، مروج الذهب و معادن الجواهر، دار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 صحیح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النووی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دارالکتاب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مصطفوی، حسن، التحقیق فی کلمات القرآن، وزارة الثقافة الاسلامیه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الطبعة الاولی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خدمات متقابل اسلام و ایران، انتشارات صدرا، چاپ پنجم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معرفة، محمّد هادی، التفسیر و المفسّرون فی ثوبه القشیب، الجامعة الرضویة للعلوم الاسلامیه، الطبعة الاولی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و مفسّران، مؤسسه فرهنگی التمهید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چاپ أوّل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 تفسیر به رأی و هرج و مرج ادبی، مؤسسه مطبوعاتی هدف، قم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الموسوی خوانساری، میرزا محمّد باقر، روضات الجنّات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النجاشی، أبو العبّاس أحمد بن علی، رجال النجّاشی، مکتب الداوری، قم،</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هدی، جاسم ابو طبره، المنهج الأثری فی تفسیر القرآن الکریم، مرکز النشر، مکتب الإعلام الإسلامی، قم، الطبعة الأولی،</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406/12</w:t>
      </w:r>
      <w:r>
        <w:rPr>
          <w:rFonts w:ascii="IRNazanin" w:hAnsi="IRNazanin" w:eastAsia="IRNazanin"/>
          <w:b w:val="false"/>
          <w:b w:val="false"/>
          <w:bCs w:val="false"/>
          <w:i w:val="false"/>
          <w:i w:val="false"/>
          <w:iCs w:val="false"/>
          <w:color w:val="333333"/>
          <w:sz w:val="20"/>
          <w:sz w:val="20"/>
          <w:szCs w:val="20"/>
          <w:rtl w:val="true"/>
        </w:rPr>
        <w:t>؛ التحقیق فی کلمات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دیدگاه رژی بلاشر،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مقاله در تاریخ 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در دوران باستان، کلود جیلیوت، دائرة المعارف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لیدن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سه مقاله در تاریخ 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مقدّمة فی التفسیر،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و المفسّرون فی ثوبه القشیب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فی علوم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درآمدی بر تفسیر قرآن کریم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روش‌ها و گرایش‌های تفسیری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در دوران باستان، جیلیوت، دائرة معارف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مقالة تفسیریة من دائرة المعارف الإسلامیة، آندرو ریپین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أنّ الشیعة یعتقدون بأنّ الإسلام الحقیقی متجلّی فی مذهب أتباع أهل‌البیت علیهم السّلام؛ ذلک لأنهّم یأخذون معتقداتهم من المعصومین علیهم السّلام، والتی هم یأخذونها عن جدّهم رسول‌الله صلّی الله علیه و آله، عن الله تعالی بواسطة العربی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مبانی و روش‌های تفسیری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یقع الکتاب فی خمسة مجلدات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مناهل العرفان فی علوم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الکتاب طبع فی النجف، والناشر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المجمع العلمی العراقی</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و المفسّرون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سنقوم بتعریف لشخصیة ابن عبّاس وسعید بن جبیر، ومجاهد وعِکرمة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الدرس الثالث و الرابع عند الکتابة عن التفسیر فی عصر الصحابة و التابعین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البیان فی تأویل آیة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و المفسّرون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سه مقاله در تاریخ 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و المفسّرون فی ثوبه القشیب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یحیی بن زیاد الأقطع المعروف بیحیی الفراء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تلامذه الکسائی، و قد حضر معرکة فَخ</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الفهرست، ابن الندیم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و المفسّرون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طبقات مفسران 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469/1</w:t>
      </w:r>
      <w:r>
        <w:rPr>
          <w:rFonts w:ascii="IRNazanin" w:hAnsi="IRNazanin" w:eastAsia="IRNazanin"/>
          <w:b w:val="false"/>
          <w:b w:val="false"/>
          <w:bCs w:val="false"/>
          <w:i w:val="false"/>
          <w:i w:val="false"/>
          <w:iCs w:val="false"/>
          <w:color w:val="333333"/>
          <w:sz w:val="20"/>
          <w:sz w:val="20"/>
          <w:szCs w:val="20"/>
          <w:rtl w:val="true"/>
        </w:rPr>
        <w:t>، لعقیقی بخشایشی</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و المفسّرون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ونصّ عبارته 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فاعلم أنّ القرآن نزل بلغة العرب وعلی أسالیب بلاغتهم، فکانوا کلّهم یفهمونه ویعلمون معانیه فی مفرداته وترکیبه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خلدون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فجر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المقدّمة الرابعة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279/85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و المفسّرون فی ثوبه القشیب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؛التفسیر و المفسّرون فی ثوبه القشیب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المعیار و الموازنة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؛التفسیر و المفسّرون فی ثوبه القشیب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مقدِّمة فی أصول 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الإتقان للسیوطی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للزرکشی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 الشیخ معرفة أنّ التلفّظ الصحیح،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و المفسّرون فی ثوبه القشیب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علماء القرن السابع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منطقة أذربایجان، ومعاصر للفخر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له فی دمِشق منصب القضاء وفیها تُوفّی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ویقول فی هذا المورد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وذلک متعذّر إلاّ فی آیات قلائل</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174/4</w:t>
      </w:r>
      <w:r>
        <w:rPr>
          <w:rFonts w:ascii="IRNazanin" w:hAnsi="IRNazanin" w:eastAsia="IRNazanin"/>
          <w:b w:val="false"/>
          <w:b w:val="false"/>
          <w:bCs w:val="false"/>
          <w:i w:val="false"/>
          <w:i w:val="false"/>
          <w:iCs w:val="false"/>
          <w:color w:val="333333"/>
          <w:sz w:val="20"/>
          <w:sz w:val="20"/>
          <w:szCs w:val="20"/>
          <w:rtl w:val="true"/>
        </w:rPr>
        <w:t>، فصل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أمّهات مآخذ التفسیر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الراوی لهذا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جعفر الزبیدی، و هو مطعون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قال البخاری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یصحُّ الأخذ بقول هذا الشخص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روش‌ها و گرایش‌های تفسیری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المنهاج و الاتجاهات التفسیریة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الأمالی للشیخ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100/44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علوم القرآن، محمدباقر الحکیم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الفهرست، ابن الندیم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و المفسّرون فی ثوبه القشیب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977/2</w:t>
      </w:r>
      <w:r>
        <w:rPr>
          <w:rFonts w:ascii="IRNazanin" w:hAnsi="IRNazanin" w:eastAsia="IRNazanin"/>
          <w:b w:val="false"/>
          <w:b w:val="false"/>
          <w:bCs w:val="false"/>
          <w:i w:val="false"/>
          <w:i w:val="false"/>
          <w:iCs w:val="false"/>
          <w:color w:val="333333"/>
          <w:sz w:val="20"/>
          <w:sz w:val="20"/>
          <w:szCs w:val="20"/>
          <w:rtl w:val="true"/>
        </w:rPr>
        <w:t>، أبواب التیمّم،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فیه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هو المتشابه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لهذه الروایات أسانید کثیرة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البیان، لأبی القاسم الخوئی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سفینة البحار، الشیخ عباس القمی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البُراء بن معرور الأنصاری الخزرجی من النُقباء، ومن أوائل الذین بایعوا النبی صلّی الله علیه و آله عند العَقَبة بمنی، ولکنه مات قبل هجرة الرسول صلّی الله علیه و آله إلی المدینة وعندما وصل النبی صلّی الله علیه و آله إلی المدینة، زار قبره وصلّی ودعا له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388/17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212/4</w:t>
      </w:r>
      <w:r>
        <w:rPr>
          <w:rFonts w:ascii="IRNazanin" w:hAnsi="IRNazanin" w:eastAsia="IRNazanin"/>
          <w:b w:val="false"/>
          <w:b w:val="false"/>
          <w:bCs w:val="false"/>
          <w:i w:val="false"/>
          <w:i w:val="false"/>
          <w:iCs w:val="false"/>
          <w:color w:val="333333"/>
          <w:sz w:val="20"/>
          <w:sz w:val="20"/>
          <w:szCs w:val="20"/>
          <w:rtl w:val="true"/>
        </w:rPr>
        <w:t>؛ تفسیر القرآن العظیم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القرآن العظیم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الدقائق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للمحدّث البحرانی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تفسیر نور الثقلین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أمالیی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؛کنز الدقائق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أضواء علی السنة المحمّدیة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الرعایة فی علم الدرایة، الشهید الثانی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مقدّمتان فی علوم القرآن، أحمد عاصمی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الموفقیات فی أصول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واصل مبرّراً قلّة الروایات التفسیریة عن الخلفاء الثلاثة الآخرین، فی أنّ علّة ذلک هی وفاتهم العاجلة، ثمّ أورد روایات فی فضل علی بن أبی‌طالب علیه السّلام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و المفسّرون، للذهبی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غیر هؤلاء الأربعة أشخاص أعلاه فإنّ سائر الأفراد الآخرین، ومن جملتهم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بکر وعمر وعثمان یأتی بأسمائهم، ویقول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بسبب قلّة الروایات التفسیریة عنهم، فإنّنا سوف نترک البحث حولهم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حسین الذهبی، التفسیر و المفسّرون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سبب نقلنا ما جاء أعلاه من بیانات الذهبی هو لِمَا قام به من طعن علی الشیعة فی کتابه، وکذلک حول عدم وجود روایات تفسیریة عن الخلفاء الآخرین، وما أتی به من المبرّرات الکثیرة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المعیار و الموازنة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و المفسّرون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الحاکم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 الخطبة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32981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الشقشقیة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36404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157/40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 القرآن أُنزل علی سبعة أحرف، ما منها حرف إلأوله ظهر وباطن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أنساب الأشراف، للبلاذری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یقوی غیر علی القول بها، ویجب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هذه الجملة قالها رسول الله صلّی الله علیه و آله قبل علی علیه السّلام ولکن بعده، فإن الشخص الوحید القادر علی هذا الکلام،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أبی طالب علیه السّلام، مع أن هذا إلادعّاء طرح بعد الإمام علی علیه السّلام، غیر أنّ المتقمّصین له وقعوا فی الفضیحة ومن جملتهم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عبدالملک، ومقاتل بن سلیمان، وقتادة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العلاّمة الأمینی رحمه الله فی کتاب الغدیر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نقلها بأجمعها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هشام بن عبد الملک ذهب إلی الحجّ فی سنة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وأنّه خطب فی الناس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سلونی، فإنّه لا یوجد أحد أکثر منّی اطلاعاً، فقام له رجل من العراق وسأله عن الأضحیة، فعجز هشام عن الجواب، ونزل مِن علی المنبر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مروج الذهب ومعادن الجوهر المسعودین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الأعلیمی</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و المفسّرون، للذهبی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321/1</w:t>
      </w:r>
      <w:r>
        <w:rPr>
          <w:rFonts w:ascii="IRNazanin" w:hAnsi="IRNazanin" w:eastAsia="IRNazanin"/>
          <w:b w:val="false"/>
          <w:b w:val="false"/>
          <w:bCs w:val="false"/>
          <w:i w:val="false"/>
          <w:i w:val="false"/>
          <w:iCs w:val="false"/>
          <w:color w:val="333333"/>
          <w:sz w:val="20"/>
          <w:sz w:val="20"/>
          <w:szCs w:val="20"/>
          <w:rtl w:val="true"/>
        </w:rPr>
        <w:t>؛ وبحارالانوار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157/40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المفسرون فی ثوبه القشیب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و المفسّرون فی ثوبه القشیب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فرقة إسلامیة لا تری للإنسان اختیاراً، بل تراه مجبوراً تابعاً لما قُدِّر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ینکرون القَدَر، ویقولون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کل إنسان خالق لفعله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المرجئة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فرقة إسلامیة لایحکمون علی أحدمن المسلمین بشئ، بل یرجئون الحکم إلی یوم القیامة، و من أقوالهم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لایضر مع الإیمان معصیة، ولاینفع مع الکفر 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287/36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و المفسّرون فی ثوبه القشیب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الکثیر من الشعراء ذکروا ابن عبّاس فی شعرهم کأحد المدافعین الصامدین فی دفاعهم عن حریم أهل‌البیت علیهم السّلام، ومن جملتهم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الشاعر المعروف، أبو محمد سفیان بن مصعب العبدی الکوفی، والذی طلب منه الإمام الصادق علیه السّلام أن ینشدَه شعراً فی مصاب الإمام الحسین علیه السّلام فانشده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ممّا جاء فیه هذه الأبیات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روی عکرمة فی خبرٍ ما شکّ فیه أحدٌ ولا امتری مرّ ابن عبّاسٍ علی قوم و قد سبُّوا علیاً فاستراع وبکی وقال مغتاظاً لهم أیکم سبّ إله الخلق جلٍّ وعلا؟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معاذ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أیکم سبّ رسول الله ظلماً واجترا؟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قد کان ذا فقال قد سمعتُ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النبیّ المجتبی یقول مَن سبّ علیاً سبّنی وسُبّتی سبُّ الإله واکتفی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229/10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منتهی المقال لأبی 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وتکملة الشعر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کضرائر الحسناء قُلن لوجهها حسداً وبغیاً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لذمیمُ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التحریر الطاووسی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نقله بذلک السند، و هذا التفسیر کذلک هو من تحقیق راشد عبد المنعم الرجال،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النوع السادس و الثلاثون، و قد نقل السیوطی أهمّه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الفهرست، ابن الندیم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مکاتب تفسیری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دیوان طرفة ابن العبد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والدر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قرآن العظیم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التفسیر و المفسّرون فی ثوبه القشیب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لمزید من الاطلاع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وکذلک سه مقاله در تاریخ 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وکذا المصادر فی هامش الصفحة التی سبقتها</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إنّه وُلِد فی مکّة حوالی الثلاثین سنة قبل الهجرة، وفی سنة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تُوفّی فی 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السیرة النبویة لابن 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والغدیر، ج</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و المفسّرون، للذهبی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المعرفة، التفسیر و المفسرون فی ثوبة التشیب، ج</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القرآن العظیم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170/10</w:t>
      </w:r>
      <w:r>
        <w:rPr>
          <w:rFonts w:ascii="IRNazanin" w:hAnsi="IRNazanin" w:eastAsia="IRNazanin"/>
          <w:b w:val="false"/>
          <w:b w:val="false"/>
          <w:bCs w:val="false"/>
          <w:i w:val="false"/>
          <w:i w:val="false"/>
          <w:iCs w:val="false"/>
          <w:color w:val="333333"/>
          <w:sz w:val="20"/>
          <w:sz w:val="20"/>
          <w:szCs w:val="20"/>
          <w:rtl w:val="true"/>
        </w:rPr>
        <w:t>؛ التمهید فی علوم القرآن، لمعرفة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وقصده من التعویذات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النبی صلّی الله علیه و آله کان یستعملها لدفع العین و السحر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 وما بعدها؛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روح الجنان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218/10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القرآن العظیم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التکویر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280/10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القرآن العظیم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روح الجنان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جملة ذلک الترتیب فی السور، فسورة الأنفال،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وضعت بعد سورة یونس، مع الإضافات التفسیریة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التمهید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؛جامع البیان للطبری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الموضوعات لعبد الرحمان بن الجوزی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مقدّمتان فی علوم القرآن، مقدّمة کتاب المبانی فی نظم المعانی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الموضوعات، ابن الجوزی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اللآلی المصنوعة فی الأحادیث الموضوعة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تدریب الراوی فی شرح التقریب، النووی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الموضوعات، ابن الجوزی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اللآلی المصنوعة فی الأحادیث الموضوعة،</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الدرایة وعلم مصطلح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ومقباس الهدایة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الموضوعات، ابن الجوزی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السیوطی فی تدریب الراوی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بین بعض الملاحظات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مقدّمة فی أصول التفسیر، ابن تیمیة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الجوزی عن مؤمّل، و هو عن شخص آخر فی سند بتعبیر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سند ثانی بتعبیر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والأخیر عن شخص فی المدائن، و هذا عن واسط و هو عن رجل فی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عن رجل من بلدة عبّادان، و هو عن جماعة من المتصوّفین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نقلوا عن شیخهم، أنّه سُئل من هو الشخص الذی روی لک هذا الحدیث؟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یروه لی أحد، ولکنّی رأیتُ الناس أعرضوا عن القرآن؛ ولأجل ذلک وضعتُ هذا الحدیث لأجلبَ الناس نحو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أصل الحدیث، فله سند عن الشیخ أبو عبد الله محمّد بن المنتصر، رواه مسنداً إلی زید بن أسلم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ما یشابه روایة ابی هو ما ورد عن الإمام الصادق، والإمام الرضا فی ما یخصّ نزول سورة الأنعام، فی تفسیر العیاشی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و تفسیر القمّی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180/1</w:t>
      </w:r>
      <w:r>
        <w:rPr>
          <w:rFonts w:ascii="IRNazanin" w:hAnsi="IRNazanin" w:eastAsia="IRNazanin"/>
          <w:b w:val="false"/>
          <w:b w:val="false"/>
          <w:bCs w:val="false"/>
          <w:i w:val="false"/>
          <w:i w:val="false"/>
          <w:iCs w:val="false"/>
          <w:color w:val="333333"/>
          <w:sz w:val="20"/>
          <w:sz w:val="20"/>
          <w:szCs w:val="20"/>
          <w:rtl w:val="true"/>
        </w:rPr>
        <w:t>؛ 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154/1</w:t>
      </w:r>
      <w:r>
        <w:rPr>
          <w:rFonts w:ascii="IRNazanin" w:hAnsi="IRNazanin" w:eastAsia="IRNazanin"/>
          <w:b w:val="false"/>
          <w:b w:val="false"/>
          <w:bCs w:val="false"/>
          <w:i w:val="false"/>
          <w:i w:val="false"/>
          <w:iCs w:val="false"/>
          <w:color w:val="333333"/>
          <w:sz w:val="20"/>
          <w:sz w:val="20"/>
          <w:szCs w:val="20"/>
          <w:rtl w:val="true"/>
        </w:rPr>
        <w:t>؛ 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الإمام علی علیه السّلام فی فضیلة سورة المائدة، کما ورد فی مصباح الکفعمی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وسورة یوسف، فی تفسیر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علیه السّلام فی فضیلة سورة الزمر، کما فی 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891/1</w:t>
      </w:r>
      <w:r>
        <w:rPr>
          <w:rFonts w:ascii="IRNazanin" w:hAnsi="IRNazanin" w:eastAsia="IRNazanin"/>
          <w:b w:val="false"/>
          <w:b w:val="false"/>
          <w:bCs w:val="false"/>
          <w:i w:val="false"/>
          <w:i w:val="false"/>
          <w:iCs w:val="false"/>
          <w:color w:val="333333"/>
          <w:sz w:val="20"/>
          <w:sz w:val="20"/>
          <w:szCs w:val="20"/>
          <w:rtl w:val="true"/>
        </w:rPr>
        <w:t>، و ما ورد فی خصوص سوره حم السجدة، عن 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الوسائل نفسه؛ وسورة التغابن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ومجمع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وهناک روایات کثیرة أخری روایة بروایة أبی بن کعب، وکثیر منها فی ثواب الأعمال للشیخ الصدوق فی الصفحات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بحار الأنوار، والتفاسیر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فإنّه یمکن البحث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ولمزید من التحقیق،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الرسول المصطفی صلّی الله علیه و آله وفضائل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الموضوعات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الدرایة وعلم مصطلح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مقباس الهدایة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تدریب الراوی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مضمون روایات من بلغ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من بلغه ثواب عملٍ ما، وقام به من أجل الحصول علی ذلک الثواب، فإنّ الله سبحانه سیعطیه ثواب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و المفسّرون، الذهبی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و المفسّرون فی ثوبه القشیب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الرعایة فی علم الداریة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مقباس الهدایة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وفیات الأعیان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سه مقاله در تاریخ 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حلیة الأولیاء، أبونعیم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الذهبی، التفسیر و المفسّرون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روح الجنان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کوثر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549/10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و المفسّرون فی ثوبه القشیب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و المفسّرون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و المفسّرون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337/1</w:t>
      </w:r>
      <w:r>
        <w:rPr>
          <w:rFonts w:ascii="IRNazanin" w:hAnsi="IRNazanin" w:eastAsia="IRNazanin"/>
          <w:b w:val="false"/>
          <w:b w:val="false"/>
          <w:bCs w:val="false"/>
          <w:i w:val="false"/>
          <w:i w:val="false"/>
          <w:iCs w:val="false"/>
          <w:color w:val="333333"/>
          <w:sz w:val="20"/>
          <w:sz w:val="20"/>
          <w:szCs w:val="20"/>
          <w:rtl w:val="true"/>
        </w:rPr>
        <w:t>؛ سه مقاله در تاریخ 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120/29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جملتهم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الزمخشری فی الکشاف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226/30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و المفسّرون فی ثوبه القشیب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و المفسّرون فی ثوبه القشیب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و المفسّرون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وفیات الأعیان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التهذیب، ابن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المحدّث القمّی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المعارف، ابن قتیبة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وفیات الأعیان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287/36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الذهبی، التفسیر و المفسّرون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مصنّفات القرآن الکریم،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163/2</w:t>
      </w:r>
      <w:r>
        <w:rPr>
          <w:rFonts w:ascii="IRNazanin" w:hAnsi="IRNazanin" w:eastAsia="IRNazanin"/>
          <w:b w:val="false"/>
          <w:b w:val="false"/>
          <w:bCs w:val="false"/>
          <w:i w:val="false"/>
          <w:i w:val="false"/>
          <w:iCs w:val="false"/>
          <w:color w:val="333333"/>
          <w:sz w:val="20"/>
          <w:sz w:val="20"/>
          <w:szCs w:val="20"/>
          <w:rtl w:val="true"/>
        </w:rPr>
        <w:t>، نقلاً عن التفسیر و المفسّرون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مذاهب التفسیر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و المفسّرون، للذهبی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ندیم،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666/5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و المفسّرون فی ثوبه القشیب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الطبقات الکبری ابن سعد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466/3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 روایة أنّ ابن عمر قال لغلامه 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تکذب علی کما کذب عکرمة علی ابن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مقدّمة شرح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تذکرة الحفّاظ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9671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واختیار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177/12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تلقین المیت</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تقریب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مقدّمة فتح الباری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تهذیب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مقدّمة فتح الباری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جملتهم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أعلم التابعین عطاء و سعید بن جبیر، وعکرمه،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وأعلمهم بالتفسیر عکرمة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268/7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سعد، الطبقات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و المفسّرون فی ثوبه القشیب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کتب الشیخ 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یتلخص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التهم الموجّهة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بأمرین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رمیه الکذب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میله إلی رأی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لسبب الروایة التی نقلت عن ابن عمر، والتی قال فیها لمولاه 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لاتکذّب علی کما کذب عکرمة علی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 الثانی فلوهم توهمّوه من سفرته الی المغرب عند تجواله البلاء، و انّ الخوارج هناک آخذواعنه أحادیث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الواضح أنّ هکذا اتشبّنات عزییه انّما تنمّ عن حسد کان یحمله مناوئوه تجاه منزلة الرجل و شموحّه فی الفقه واالعلم، بمعانی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بشأن الروایة عن ابن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انّها ضعیفة الإسناد، فضلاً عن اختلاف المتن وتباین النقل فیهاء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لم تثبُتْ لانها من روایة ابی خلف الجزّار عن یحی البکّاء و البکّاء متروک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ثمّ قال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المحال ان یجّرح العدل بکلام المجروح یقصد به البکّاء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واضاف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اسحاق بن عیسی سأل مالکاً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ابلغک أنّ ابن عمر قال لنافع کذا؟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ولکز بلغنی انّ سعید بن المیب قال ذلک لمولاه 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شرح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قدردّ الشیخ معرفة التهم وما نسب الیه مما لا یلیق وکتب بعد نقده و رده ما استدی علی وثاقته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فلم نجد مغمزاً فی عکرمه مولی ابن عباس الثقة الامین، الامر الذی استنتجه ابن حجر فی التقریب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عکرمة، ثقة ثبت، علم بالتفسیر، لم یثبت تکذیبه عن ابن عمر ولا یثبت عنه بدعة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التفسیر و المفسرون فی توبة التشیب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نُقل روایات کثیرة فی هذا المجال ومن جملتها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جابر بن زید،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عکرمه غلام ابن عبّاس، هذا هو البحر فسلوه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وهکذا روایات إسماعیل بن إبراهیم عن أیوب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وکذلک روایات عن سلمان بن حرب،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وحماد بن زید،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رجل لأیوب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بکر، عکرمه کان یتَّهم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فسکت،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أنا، فلم أکن أتّهمه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أخری عن عمران، أنّه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أعطیک عمامة؟ فأجابه عکرمة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من غیر الأمراء لا أقبل شیئاً</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603/6</w:t>
      </w:r>
      <w:r>
        <w:rPr>
          <w:rFonts w:ascii="IRNazanin" w:hAnsi="IRNazanin" w:eastAsia="IRNazanin"/>
          <w:b w:val="false"/>
          <w:b w:val="false"/>
          <w:bCs w:val="false"/>
          <w:i w:val="false"/>
          <w:i w:val="false"/>
          <w:iCs w:val="false"/>
          <w:color w:val="333333"/>
          <w:sz w:val="20"/>
          <w:sz w:val="20"/>
          <w:szCs w:val="20"/>
          <w:rtl w:val="true"/>
        </w:rPr>
        <w:t>، 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شاء باهلتُهُ أنّها، نزلت فی أزواج النبی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آیة التطهیر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یرِیدُ اللَّهُ لِیذْهِبَ عَنْکُمُ الرِّجْسَ أَهْلَ الْبَیتِ وَیطَهِّرَکُمْ تَطْهِیرًا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تقریب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نقلاً عن موضوع ملحق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و المفسّرون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کثیر، تفسیر القرآن العظیم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القرآن العظیم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الأنفال</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و المفسّرون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 المزّی، تهذیب الکمال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وفیات الأعیان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و المفسّرون فی ثوبه القشیب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روح الجنان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283/10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و المفسّرون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ذکر أنّ وفاة أبی العالیة کان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و المفسّرون، الذهبی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475/1</w:t>
      </w:r>
      <w:r>
        <w:rPr>
          <w:rFonts w:ascii="IRNazanin" w:hAnsi="IRNazanin" w:eastAsia="IRNazanin"/>
          <w:b w:val="false"/>
          <w:b w:val="false"/>
          <w:bCs w:val="false"/>
          <w:i w:val="false"/>
          <w:i w:val="false"/>
          <w:iCs w:val="false"/>
          <w:color w:val="333333"/>
          <w:sz w:val="20"/>
          <w:sz w:val="20"/>
          <w:szCs w:val="20"/>
          <w:rtl w:val="true"/>
        </w:rPr>
        <w:t>؛ تهذیب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فراجع</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374/9</w:t>
      </w:r>
      <w:r>
        <w:rPr>
          <w:rFonts w:ascii="IRNazanin" w:hAnsi="IRNazanin" w:eastAsia="IRNazanin"/>
          <w:b w:val="false"/>
          <w:b w:val="false"/>
          <w:bCs w:val="false"/>
          <w:i w:val="false"/>
          <w:i w:val="false"/>
          <w:iCs w:val="false"/>
          <w:color w:val="333333"/>
          <w:sz w:val="20"/>
          <w:sz w:val="20"/>
          <w:szCs w:val="20"/>
          <w:rtl w:val="true"/>
        </w:rPr>
        <w:t>؛ التفسیر و المفسّرون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وکذلک نُقلت له روایة أخری فی ذیل هذه الآیة</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الذهبی، التفسیر و المفسّرون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299/2</w:t>
      </w:r>
      <w:r>
        <w:rPr>
          <w:rFonts w:ascii="IRNazanin" w:hAnsi="IRNazanin" w:eastAsia="IRNazanin"/>
          <w:b w:val="false"/>
          <w:b w:val="false"/>
          <w:bCs w:val="false"/>
          <w:i w:val="false"/>
          <w:i w:val="false"/>
          <w:iCs w:val="false"/>
          <w:color w:val="333333"/>
          <w:sz w:val="20"/>
          <w:sz w:val="20"/>
          <w:szCs w:val="20"/>
          <w:rtl w:val="true"/>
        </w:rPr>
        <w:t>،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المجلّد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الذهبی، 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448/10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335/7</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بن أسلم العَدوی، مولاهم المدنی مولی عمر بن الخطّاب، تابعی، کان یجالسه کثیراً،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335/7</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مع کامل الأسف فإنّ الذهبی فی التفسیر و المفسّرون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 ینقل عن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علی بن الحسین علیه السّلام کان یأتی مجلس زید بن أسلم، ویجالسه ویترک مجلس قومه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نقل کاذب وباطل دون أدنی شک؛ والسبب هو،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شخص یعتبر علی بن الحسین علیه السّلام من رواة زید بن أسلم بتاتاً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المصادر المختلفة أنّ الإمام علی بن الحسین علیه السّلام عُدّ هو من مشایخه وأساتیذه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ثالثاً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مقام و إمامة الإمام السجاد علیه السّلام ومنزلته التی هو علیها لا تتّفق مع هذا الادّعاء أصلاً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جهة العمر فإنّ الإمام السجاد علیه السّلام یعدّ شیخ وأستاذ زید بن أسلم، لا تلمیذه؛ وذلک لأنّ الامام علیه السّلام استشهد فی</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للهجرة، والحال أنّ زیداً توفّی سنة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مکاتب تفسیری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الماعون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سه مقاله در تاریخ 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و المفسّرون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و قد عرّف آیة الله معرفة مدرسة الکوفة و البصرة و الشام کّلاً علی حدة، أمّا الکثیر من التابعین، فقد عرّفوهم فی مکان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و المفسّرون فی ثوبه القشیب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و المفسّرون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315/8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حجر، تقریب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405/2</w:t>
      </w:r>
      <w:r>
        <w:rPr>
          <w:rFonts w:ascii="IRNazanin" w:hAnsi="IRNazanin" w:eastAsia="IRNazanin"/>
          <w:b w:val="false"/>
          <w:b w:val="false"/>
          <w:bCs w:val="false"/>
          <w:i w:val="false"/>
          <w:i w:val="false"/>
          <w:iCs w:val="false"/>
          <w:color w:val="333333"/>
          <w:sz w:val="20"/>
          <w:sz w:val="20"/>
          <w:szCs w:val="20"/>
          <w:rtl w:val="true"/>
        </w:rPr>
        <w:t>، نقلها فی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وفیات الأعیان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القرآن العظیم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منتهی‌المقال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؛التفسیر و المفسّرون فی ثوبه القشیب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تأسیس الشیعة لعلوم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التابعین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و المفسّرون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و المفسّرون فی ثوبه القشیب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و المفسّرون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مُنتهی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88/10</w:t>
      </w:r>
      <w:r>
        <w:rPr>
          <w:rFonts w:ascii="IRNazanin" w:hAnsi="IRNazanin" w:eastAsia="IRNazanin"/>
          <w:b w:val="false"/>
          <w:b w:val="false"/>
          <w:bCs w:val="false"/>
          <w:i w:val="false"/>
          <w:i w:val="false"/>
          <w:iCs w:val="false"/>
          <w:color w:val="333333"/>
          <w:sz w:val="20"/>
          <w:sz w:val="20"/>
          <w:szCs w:val="20"/>
          <w:rtl w:val="true"/>
        </w:rPr>
        <w:t>؛ التفسیر و المفسّرون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المفسرون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الأمالی، المرتضی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المفسّرین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التستری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ط</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تأسیس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فهرست مشاهیر القرّاء، الشعرانی،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مقاله در تاریخ 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وفیات الأعیان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لابن الندیم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الترجمة الفارسیة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فهرست مشاهیر القرّاء،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مقاله در تاریخ 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الفهرست لابن الندیم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طبقات المفسّرین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251/4</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وهکذا ما مرّ ذکره من نماذج تفسیریة عن مجاهد؛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xml:space="preserve">، ذیل الآیة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البقرة</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القرآن و التفسیر، شحاته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المنهج الأثری، هدی جاسم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و المفسّرون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التحقیق فی کلمات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قاموس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المفردات،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مقائیس اللغة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 الثقلین؛البرهان، ومن تفاسیر أهل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296/10</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جاءت فیه خمسة عشر روایة</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البیان فی تأویل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فقد جاءت فیه ستة عشر روایة</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296/10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81/9</w:t>
      </w:r>
      <w:r>
        <w:rPr>
          <w:rFonts w:ascii="IRNazanin" w:hAnsi="IRNazanin" w:eastAsia="IRNazanin"/>
          <w:b w:val="false"/>
          <w:b w:val="false"/>
          <w:bCs w:val="false"/>
          <w:i w:val="false"/>
          <w:i w:val="false"/>
          <w:iCs w:val="false"/>
          <w:color w:val="333333"/>
          <w:sz w:val="20"/>
          <w:sz w:val="20"/>
          <w:szCs w:val="20"/>
          <w:rtl w:val="true"/>
        </w:rPr>
        <w:t>؛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192/1</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 محمّد بن الحسن الصفار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9/196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133/18</w:t>
      </w:r>
      <w:r>
        <w:rPr>
          <w:rFonts w:ascii="IRNazanin" w:hAnsi="IRNazanin" w:eastAsia="IRNazanin"/>
          <w:b w:val="false"/>
          <w:b w:val="false"/>
          <w:bCs w:val="false"/>
          <w:i w:val="false"/>
          <w:i w:val="false"/>
          <w:iCs w:val="false"/>
          <w:color w:val="333333"/>
          <w:sz w:val="20"/>
          <w:sz w:val="20"/>
          <w:szCs w:val="20"/>
          <w:rtl w:val="true"/>
        </w:rPr>
        <w:t>، ومشابه هذه الروایة ورد عن رسول الله صلّی الله علیه و آله وورد عن الأئمّة الآخرین علیهم السّلام، کذلک فی هذا 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لقد استفدنا فی بعض هذه المباحث من کتاب علوم القرآن، للشهید السید محمّد باقر الحکیم رحمه الله</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54/18</w:t>
      </w:r>
      <w:r>
        <w:rPr>
          <w:rFonts w:ascii="IRNazanin" w:hAnsi="IRNazanin" w:eastAsia="IRNazanin"/>
          <w:b w:val="false"/>
          <w:b w:val="false"/>
          <w:bCs w:val="false"/>
          <w:i w:val="false"/>
          <w:i w:val="false"/>
          <w:iCs w:val="false"/>
          <w:color w:val="333333"/>
          <w:sz w:val="20"/>
          <w:sz w:val="20"/>
          <w:szCs w:val="20"/>
          <w:rtl w:val="true"/>
        </w:rPr>
        <w:t>،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الصافی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 یستطیع أحد أن یدّعی أنّ عنده جمیع القرآن کلّه ظاهره وباطنه غیر الأوصیاء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228/1</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90/26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260/12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روش‌ها و گرایش‌های تفسیری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و المفسّرون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الفرات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202/2</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403/1</w:t>
      </w:r>
      <w:r>
        <w:rPr>
          <w:rFonts w:ascii="IRNazanin" w:hAnsi="IRNazanin" w:eastAsia="IRNazanin"/>
          <w:b w:val="false"/>
          <w:b w:val="false"/>
          <w:bCs w:val="false"/>
          <w:i w:val="false"/>
          <w:i w:val="false"/>
          <w:iCs w:val="false"/>
          <w:color w:val="333333"/>
          <w:sz w:val="20"/>
          <w:sz w:val="20"/>
          <w:szCs w:val="20"/>
          <w:rtl w:val="true"/>
        </w:rPr>
        <w:t>؛ والبرهان فی تفسیر القرآن مع الختلاف یسیر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705/1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وهناک مایشبه لهذه الروایة عن الإمام الرضا علیه السّلام، أنّه قال لأحمد بن محمّد بن أبی نصر البزنطی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علینا إلقاء الأصول وعلیکم التفریع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مغنی اللبیب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حرف الباء، المعنی الحادی عشر</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79/23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337/92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231/18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 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85/18</w:t>
      </w:r>
      <w:r>
        <w:rPr>
          <w:rFonts w:ascii="IRNazanin" w:hAnsi="IRNazanin" w:eastAsia="IRNazanin"/>
          <w:b w:val="false"/>
          <w:b w:val="false"/>
          <w:bCs w:val="false"/>
          <w:i w:val="false"/>
          <w:i w:val="false"/>
          <w:iCs w:val="false"/>
          <w:color w:val="333333"/>
          <w:sz w:val="20"/>
          <w:sz w:val="20"/>
          <w:szCs w:val="20"/>
          <w:rtl w:val="true"/>
        </w:rPr>
        <w:t>،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أضواء علی السنّة المحمّدیة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البلاغة، ابن أبی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249/2</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 القرآن، الحکیم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أضواء علی السنّة المحمدیة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354/46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215/1</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الصافی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383/1</w:t>
      </w:r>
      <w:r>
        <w:rPr>
          <w:rFonts w:ascii="IRNazanin" w:hAnsi="IRNazanin" w:eastAsia="IRNazanin"/>
          <w:b w:val="false"/>
          <w:b w:val="false"/>
          <w:bCs w:val="false"/>
          <w:i w:val="false"/>
          <w:i w:val="false"/>
          <w:iCs w:val="false"/>
          <w:color w:val="333333"/>
          <w:sz w:val="20"/>
          <w:sz w:val="20"/>
          <w:szCs w:val="20"/>
          <w:rtl w:val="true"/>
        </w:rPr>
        <w:t>؛ کنز الدقائق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39/18</w:t>
      </w:r>
      <w:r>
        <w:rPr>
          <w:rFonts w:ascii="IRNazanin" w:hAnsi="IRNazanin" w:eastAsia="IRNazanin"/>
          <w:b w:val="false"/>
          <w:b w:val="false"/>
          <w:bCs w:val="false"/>
          <w:i w:val="false"/>
          <w:i w:val="false"/>
          <w:iCs w:val="false"/>
          <w:color w:val="333333"/>
          <w:sz w:val="20"/>
          <w:sz w:val="20"/>
          <w:szCs w:val="20"/>
          <w:rtl w:val="true"/>
        </w:rPr>
        <w:t>، عن أبی عبد الله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 الله أصحاب القیاس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فإنّهم غیروا کتاب الله وسنّة رسول الله صلّی الله علیه و آله</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علوم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هکذا هی مضمون الروایات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33/18</w:t>
      </w:r>
      <w:r>
        <w:rPr>
          <w:rFonts w:ascii="IRNazanin" w:hAnsi="IRNazanin" w:eastAsia="IRNazanin"/>
          <w:b w:val="false"/>
          <w:b w:val="false"/>
          <w:bCs w:val="false"/>
          <w:i w:val="false"/>
          <w:i w:val="false"/>
          <w:iCs w:val="false"/>
          <w:color w:val="333333"/>
          <w:sz w:val="20"/>
          <w:sz w:val="20"/>
          <w:szCs w:val="20"/>
          <w:rtl w:val="true"/>
        </w:rPr>
        <w:t>، الروایات نقلناها عن تفسیر النعمانی</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والصفحة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وکذلک الصفحة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وجاء فی روایة 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أخطأ، فهو أبعد من السماء</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المقدّمة الخامسة</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بالرأی، مکارم شیرازی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السیوطی، الإتقان فی علوم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482/4</w:t>
      </w:r>
      <w:r>
        <w:rPr>
          <w:rFonts w:ascii="IRNazanin" w:hAnsi="IRNazanin" w:eastAsia="IRNazanin"/>
          <w:b w:val="false"/>
          <w:b w:val="false"/>
          <w:bCs w:val="false"/>
          <w:i w:val="false"/>
          <w:i w:val="false"/>
          <w:iCs w:val="false"/>
          <w:color w:val="333333"/>
          <w:sz w:val="20"/>
          <w:sz w:val="20"/>
          <w:szCs w:val="20"/>
          <w:rtl w:val="true"/>
        </w:rPr>
        <w:t>؛ مبانی و روش‌های تفسیری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روش‌ها و گرایش‌های تفسیری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هذا القرن طُرحت البحوث الکلامیة، وعلی الخصوص حدوث و قدم کلام‌الله؛ أما التفسیر بالاتجّاهات الکلامیة، فقد أخذ البعد التألیفی فی القرن‌الرابع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مفسّری الشیعة لعقیقی بخشایشی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ذکر فی هذا القسم هو من الکتب التالیة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تحلیلی وسیاسی اسلام، الدکتور علی أکبر حسنی؛ سیر تطور تفاسیر شیعة و طبقات مفسّران، لعقیقی بخشایشی</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طبقات المفسّرین، محمّد أدنوی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طبقات مفسران 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الشیخ الطوسی،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وکذلک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الندیم،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بن مِهزیار هذا، هو غیر علی بن مهزیار الذی التقی بالإمام المهدی المنتظر عجّل الله تعالی فرجه الشریف، محمّد بن الحسن العسکری علیه السّلام فی زمان غیبته</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الشیخ الطوسی،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رضا أستادی، آشنایی با تفاسیر قرآن کریم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الشیخ الطوسی،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الندیم،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عقیقی بخشایشی، طبقات مفسران 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457/1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طبقات المفسّرین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اللغة العربیة، دائرة المعارف القرآنیة، لیدن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وواصل معتبراً أنّ أوّل کتاب لغة مدوّن هو للخلیل بن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وأوّل کتاب فی الأدب العربی هو لسیبویه، تلمیذ الخلیل، وبعد وفاته أکمله تلمیذه الأخفش</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هذا التفسیر طبع مرّة بتحقیق السید أحمد الأشکوری، ومرّة أخری بتحقیق السید محمّد رضا حسینی جلالی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ولأجل المطالعة،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حسینی جلالی</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روش‌ها و گرایش‌های تفسیری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رجب البیومی، خطوات المنهج البیانی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اتّجاهات 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873/3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إعجاز القرآن البیانی بین النظریة و التطبیق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عقیقی بخشایشی، طبقات مفسران 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المبادئ العامّة لتفسیر القرآن الکریم،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محمدحسین الصغیر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اتّجاهات 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874/3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و المفسّرون فی ثوبه القشیب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لعقیقی بخشایشی، طبقات مفسران 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تقع وفاة الإمام فی سنة</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تأسیس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68/20</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یقارب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قبل وفاة علی بن إبراهیم</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الزیدیة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القائلون بإمامة زید بن علی، وهم فرق أغلبهم یقولون بإمامة کلّ فاطمی عالم صالح ذی رأی یخرج بالسیف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وشرط الإمامة هو القیام بالسیف، ولذا فهم لا یقبلون إمامة الباقر علیه السّلام</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الجارودیة، 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القائلون بالنصّ علی إمامة علی علیه السّلام وکفر الثلاثة، وکفر کلّ من أنکره</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قبل انحرافه لکون الزیدیة و الجارودیة علی انحراف</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مقدّمة تفسیر القمّی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علی بن إبراهیم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علی بن إبراهیم القمّی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ظنّ</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رضا أستادی، آشنایی با تفاسیر قرآن کریم و مفسّران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بابائی، مکاتب تفسیری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الفرات الکوفی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مقدّمة تفسیر الفرات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رضا أستادی، آشنایی با تفاسیر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مقدّمة تفسیر الفرات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رضا أستادی، آشنایی با تفاسیر قرآن کریم و مفسّران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أیازی، سیر تطوّر تفاسیر 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رضا أستادی، آشنایی با تفسیر قرآن کریم و مفسّران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97/90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المحکم و المتشابه، طبع علی حدَة طباعةً حجریةً، وعلی وجه الدّقة فإنّ هذا التفسیر هو روایة النعمانی</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أخذ هذا القسم من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آشنایی با تفسیر قرآن مجید و مفسّران</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مقدّمة تفسیر الإمام الحسن بن علی العسکری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المقصود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سدّ النبی صلّی الله علیه و آله الأبواب عن مسجده دون باب بیت علی علیه السّلام،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تفسیر الإمام الحسن العسکری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الإمام الحسن العسکری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الذریعة إلی تصانیف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292/4</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 قهبایی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القسم الأخیر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 حواشی الشعرانی</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لأجل مزید من الاطلاع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نور العلم، الدورة الثانیة لسنة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145/1</w:t>
      </w:r>
      <w:r>
        <w:rPr>
          <w:rFonts w:ascii="IRNazanin" w:hAnsi="IRNazanin" w:eastAsia="IRNazanin"/>
          <w:b w:val="false"/>
          <w:b w:val="false"/>
          <w:bCs w:val="false"/>
          <w:i w:val="false"/>
          <w:i w:val="false"/>
          <w:iCs w:val="false"/>
          <w:color w:val="333333"/>
          <w:sz w:val="20"/>
          <w:sz w:val="20"/>
          <w:szCs w:val="20"/>
          <w:rtl w:val="true"/>
        </w:rPr>
        <w:t>، مقالة رضا أستادی</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والمقصود من الکتاب الآخر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الدخیلة</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الأخبار الدخیلة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الخوئی، 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147/12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147/12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و المفسّرون فی ثوبه القشیب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آشنایی با تفاسیر قرآن کریم ومفسّران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مفسّران 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الشیخ الصدوق، الأمالی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توحید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230/47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شهر آشوب،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 الطبرسی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الذریعة إلی تصانیف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الطبعة الرحلیة</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الإمام أبی محمّد الحسن بن علی العسکری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مجلة نور العلم، الدورة الثانیة لسنة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آشنایی با تفاسیر قرآن کریم و مفسّران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خدمات متقابل اسلام و ایران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ولهذا السبب کان الطبری مخالفاً لأحمد ابن حنبل ولا یراه فقیهاً</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و المفسّرون فی ثوبه القشیب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مذاهب التفسیر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تُشاهد فی سند هذا الکتاب هی مخفّفة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471/4</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یوسف</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ذیل الآیات المرتبطه بأهل‌البیت علیهم السّلام، ومن جملتها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311/14</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آشنایی با تفاسیر قرآن کریم و مفسّران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الإسرائیلیات فی تفسیر الطبری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و المفسّرون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و المفسّرون فی ثوبه القشیب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خدمات متقابل اسلام و ایران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أُخذت بعض الموضوعات أعلاه من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آشنایی با تفسیر قرآن مجید و مفسّران</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طبقات المفسّرین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 جملتها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آل‌عمران</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کروایات الکلبی، وأسباط عن السدّی من جملة الرواة الضعاف الذین اعتمد علیهم</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و المفسّرون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طبقات المفسّرین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مناهج 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طبقات المفسّرین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فرق و مذاهب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دراسات 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التبیان للشیخ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المقدّمة</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طبقات مفسران 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590/1</w:t>
      </w:r>
      <w:r>
        <w:rPr>
          <w:rFonts w:ascii="IRNazanin" w:hAnsi="IRNazanin" w:eastAsia="IRNazanin"/>
          <w:b w:val="false"/>
          <w:b w:val="false"/>
          <w:bCs w:val="false"/>
          <w:i w:val="false"/>
          <w:i w:val="false"/>
          <w:iCs w:val="false"/>
          <w:color w:val="333333"/>
          <w:sz w:val="20"/>
          <w:sz w:val="20"/>
          <w:szCs w:val="20"/>
          <w:rtl w:val="true"/>
        </w:rPr>
        <w:t>؛ ابن الندیم،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کلود جیلیوت، تفسیر القرآن فی العصر القدیم، دائرة المعارف القرآنیة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لیدن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cl e Gilliot Exegesis</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the Quran:Classical and Medievah in Enclopaedia of the Quran V:2, pp.120</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آداب اللغة العربیة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طبقات المفسّرین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طبقات مفسّری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 نصر سابور بن أردشیر وزیر شیعی لبهاء الدولة</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ذکر حریق بغداد؛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ظهر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طبقات مفسّران 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حقائق التأویل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مقدّمة حقائق التأویل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و المفسّرون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؛التفسیر و المفسّرون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أثنی الذهبی علی الأمالی للسید المرتضی، وفی آخر بحثه نفی عنه کونه شیعیاً، وعرّفه بأنّه معتزلی</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419/4</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التکویر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مقدّمة الکتاب</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استفدنا فی تعریف هذا التفسیر من تفسیر التبیان للشیخ الطوسی؛ التفسیر و المفسّرون لآیة الله معرفة، وتفاسیر قرآن مجید لآیة الله أستادی</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أجل الاطلاع الأوسع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طبقات مفسّران 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حقائق 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حقائق 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و المفسّرون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وفیات الأعیان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و المفسّرون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مقدّمة الکشف و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الکشف و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الکشف و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الکشف و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و المفسّرون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وسجّل الذهبی إشکاله الثانی علی تفسیر الثعلبی لنقله روایات فضائل السور عن ابی بن کعب، والذی مرّ بیانه فی البحث حول مفسّری الصحابة، ومسألة روایات فضائل السور</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طبقات المفسّرین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کتب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الواحدی فی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المفسّرین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الوسیط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طبقات المفسّرین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النکت و العیون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مقدّمة 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القرآن، السمعانی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طبقات المفسّرین، الأدنوی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لطائف الإشارات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التفسیر و المفسّرون فی ثوبه القشیب، معرفة </w:t>
      </w:r>
      <w:r>
        <w:rPr>
          <w:rFonts w:eastAsia="IRNazanin" w:cs="IRNazanin"/>
          <w:b w:val="false"/>
          <w:bCs w:val="false"/>
          <w:i w:val="false"/>
          <w:iCs w:val="false"/>
          <w:color w:val="333333"/>
          <w:sz w:val="20"/>
          <w:szCs w:val="20"/>
        </w:rPr>
        <w:t>550/2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طبقات مفسران 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طبقات المفسّرین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طبقات المفسّرین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طبقات مفسّرین 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الطبرسی هر لغت احدة اشخاص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الطبرسی الأول و اسمة ابو علی فضل بن حسن المعروف بامین الاسلام و هو مؤلف مجمع البیان، منهم الطبرسی الثانی و هو ابن الطبرسی الاول ابونصر حسن بن فضل بن حسن و هو مؤلف کتاب مکارم الاخلاق، و منهم الطبرسی الثالث و هو ابن الطبرسی الثانی، اسمه علی بی الحسن، مؤلف کتاب مشکاة الانوار، و منهم الطبرسی الرابع و هو ابو منصور احمد بن علی بن ابیطالب من علماء القرن السادس مؤلف کتاب الاحتجاج و الطبرسی الاخیر هو السید السماعیل مؤلف کفایة الموحدین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المقصود بالطبرسی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طبرستان أو هو 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تفرشی، وفی هذا بحث واختلاف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جوامع الجامع، تحقیق الدکتور أبو القاسم کرجی</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مقدّمة 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و المفسّرون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 مقدّمة 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المقدمة</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ملاحظة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اعتبر أهل‌السنّة هذا التفسیر فی جملة التفاسیر الروائیة لسبب سعة استفادة الطبرسی فی مجمع البیان من أقوال الصحابة و التابعین؛ أمّا هو، فلا یرتضی ذلک لکونه مارس البحث و التحقیق و النقد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ومضافاً إلی ذلک فإنّ عصر الطبرسی کان یعدُّ التفسیر الخالی من أقول الصحابة و التابعین هو تفسیر فاقد العلمیة وناقص وضعیف</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 الجنان و روح الجنان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مقدّمة الکتاب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طبقات المفسّرین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طبقات مفسّران 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مقدّمة الکشاف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طبقات المفسّرین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مقدّمة الکشاف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و المفسّرون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662/4</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بعض المواقع یتعامل الزمخشری مثل مفسّری أهل السنّة، ومن جملة ذلک فی ذیل 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الرسول 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یقلُ شیئاً وفی سورة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أَلَمْ نَشْرَحْ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فَرَغْتَ فَانْصَبْ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فانصب علیاً للإمامة، والتی هی من بعض الرافضة، یدنیها ویعتبر استفادة مثل هذه الأشیاء من القرآن بدعة</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فهرس أحادیث تفسیر البغوی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البغوی، معالم التنزیل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معالم التنزیل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291/8</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مقدّمة ابن خلدون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معرفة، التفسیر و المفسّرون فی ثوبه القشیب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المحرّر 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384/4</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مقدّمة تفسیر زاد المسیر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جملتها ذیل الآیة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آشنایی با تفاسیر و مفسّران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زاد المسیر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أیازی، المفسّرون حیاتهم ومنهجهم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طبقات المفسّرین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مقدمة المفردات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الکلام و الفلسفة الخواجه نصیر الدین الطوسی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یورش مغولان تا زوال ترکمانان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دفتر دوم</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المقدّمة، تحقیق حسین درگاهی</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مقدّمة التفسیر</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مقدّمة المحقّق محمّد حسین صفاخواه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محمّد أیازی، سیر تطوّر تفاسیر 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البلابل و القلاقل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350/3</w:t>
      </w:r>
      <w:r>
        <w:rPr>
          <w:rFonts w:ascii="IRNazanin" w:hAnsi="IRNazanin" w:eastAsia="IRNazanin"/>
          <w:b w:val="false"/>
          <w:b w:val="false"/>
          <w:bCs w:val="false"/>
          <w:i w:val="false"/>
          <w:i w:val="false"/>
          <w:iCs w:val="false"/>
          <w:color w:val="333333"/>
          <w:sz w:val="20"/>
          <w:sz w:val="20"/>
          <w:szCs w:val="20"/>
          <w:rtl w:val="true"/>
        </w:rPr>
        <w:t>، وکذلک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المحقّق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جلاء الأذهان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المقدّمة</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آشنایی با تفاسیر قرآن مجید ومفسّران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ریحانة الأدب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و المفسّرون للذهبی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مقدّمة ترجمة التفسیر الکبیر للحلبی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هدیة الأحباب للقمّی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و المفسّرون للذهبی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آشنایی با تفاسیر قرآن مجید و مفسّران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طبقات الشافعیة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مقدّمة التفسیر الکبیر، الحلبی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الوافی بالوفیات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ریدرینک نقلاً عن الحلبی مقدّمة ترجمة التفسیر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الحلبی، مقدّمة ترجمة التفسیر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جملتها فی ذیل آیات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ذیل 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ذیل الآیات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النجم؛</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ص</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مقدّمة التفسیر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وفیات الأعیان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381/3</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و المفسّرون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مقدّمة التفسیر الکبیر، خلیل میس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و المفسّرون فی ثوبه القشیب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مقدّمة تهذیب التفسیر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مقدّمة تهذیب التفسیر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153/16</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126/16</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245/15</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الذهبی، التفسیر و المفسّرون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493/2</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تفسیر القرطبی، مقدّمة محمّد کریم راجح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خلدون، المقدّمة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تفسیر القرطبی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الجامع لأحکام القرآن، القرطبی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مقدّمة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عدّ الذهبی هذا التفسیر فی زمرة التفاسیر الفقهیة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و المفسّرون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تأثّر بعنوان تفسیر الجامع لأحکام القرآن فی تصنیفه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و المفسّرون فی ثوبه القشیب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403/2</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جملتها سورة الکوثر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لأحکام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آشنایی با تفاسیر قرآن کریم و مفسّران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و المفسّرون فی ثوبه القشیب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البیضاوی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وکذلک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نسبة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نَسَف من بلاد ماوراء النهر، بین جیحون و سمرقند</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الذهبی، التفسیر و المفسّرون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ذلک فی ذیل الآیات 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طبقات المفسّرین، الأدنوی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ومفسّران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لباب التأویل فی معانی التنزیل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378/4</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غرائب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224/10</w:t>
      </w:r>
      <w:r>
        <w:rPr>
          <w:rFonts w:ascii="IRNazanin" w:hAnsi="IRNazanin" w:eastAsia="IRNazanin"/>
          <w:b w:val="false"/>
          <w:b w:val="false"/>
          <w:bCs w:val="false"/>
          <w:i w:val="false"/>
          <w:i w:val="false"/>
          <w:iCs w:val="false"/>
          <w:color w:val="333333"/>
          <w:sz w:val="20"/>
          <w:sz w:val="20"/>
          <w:szCs w:val="20"/>
          <w:rtl w:val="true"/>
        </w:rPr>
        <w:t>؛ آشنایی با تفاسیر قرآن کریم و مفسّران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غرائب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آشنایی با تفاسیر قرآن کریم و مفسّران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الأدنوی، طبقات المفسّرین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و المفسّرون فی ثوبه القشیب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؛الکنی و الألقاب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و المفسّرون، للذهبی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179/10</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أخذنا ممّا جاء فی هذا القسم، وما یدور حول التفسیرین فی أکثر المواقع من کتاب التفسیر و المفسّرون فی ثوبه القشیب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و المفسّرون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الجواهر الحسان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طبقات المفسّرین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نظم الدرر للبقاعی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المقدّمة</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292/22</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الأدنوی، طبقات المفسّرین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و المفسّرون فی ثوبه القشیب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569/2</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ابن عربی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طبقات المفسّرین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طبقات المفسّرین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المؤلفین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و المفسّرون فی ثوبه القشیب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طبقات مفسران 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الدوانی، وحید بهبهانی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الأدنوی، طبقات المفسّرین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أیازی، سیر تطوّر تفاسیر 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و المفسّرون فی ثوبه القشیب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346/2</w:t>
      </w:r>
      <w:r>
        <w:rPr>
          <w:rFonts w:ascii="IRNazanin" w:hAnsi="IRNazanin" w:eastAsia="IRNazanin"/>
          <w:b w:val="false"/>
          <w:b w:val="false"/>
          <w:bCs w:val="false"/>
          <w:i w:val="false"/>
          <w:i w:val="false"/>
          <w:iCs w:val="false"/>
          <w:color w:val="333333"/>
          <w:sz w:val="20"/>
          <w:sz w:val="20"/>
          <w:szCs w:val="20"/>
          <w:rtl w:val="true"/>
        </w:rPr>
        <w:t>؛ آشنایی با تفاسیر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مقدّمة تفسیر الصافی؛ التفسیر و المفسّرون فی ثوبه القشیب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337/2</w:t>
      </w:r>
      <w:r>
        <w:rPr>
          <w:rFonts w:ascii="IRNazanin" w:hAnsi="IRNazanin" w:eastAsia="IRNazanin"/>
          <w:b w:val="false"/>
          <w:b w:val="false"/>
          <w:bCs w:val="false"/>
          <w:i w:val="false"/>
          <w:i w:val="false"/>
          <w:iCs w:val="false"/>
          <w:color w:val="333333"/>
          <w:sz w:val="20"/>
          <w:sz w:val="20"/>
          <w:szCs w:val="20"/>
          <w:rtl w:val="true"/>
        </w:rPr>
        <w:t>؛ طبقات مفسّران 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کتب الفیض الکاشانی فی فهرسته مایقرب من مائة مؤلَّف</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و المفسّرون فی ثوبه القشیب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إنّه نقل عن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مصدراً شیعیاً، فهو مضافاً إلی ما نقله عن الکتب الأربعة هناک کتب کثیرة أخری ینقل عنها ومن جملتها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و کتاب سُلَیم بن قیس، و صحیفة الرضا علیه السّلام و مصباح الشریعة، و جامع الأخبار، تحفة الإخوان، و ربیع الأبرار، تفسیر الإمام الحسن العسکری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وکذلک عن مصادر أهل السنّة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و مسند أحمد بن حنبل، و سنن الترمذی و مناقب ابن‌المغازلی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ویمکن القول یقیناً أنّه یوجد بین هذه الروایات منها ما هو ضعیف وصحیح، ومرسل</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مقدّمة تفسیر البرهان، المسمّی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بمرآة الأنوار ومشکاة الأسرار</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483/4</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مقدّمة تفسیر نور الثقلین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آشنایی با تفاسیر و مفسّران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مقدّمة تفسیر نور الثقلین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نشرتة، جامعة المدرّسین بقم المقدّسة</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قامت وزارة الإرشاد الإسلامی بنشره</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و المفسّرون فی ثوبه القشیب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الدقائق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المقدمة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الدقائق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القرآن الکریم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مقدّمة تفسیر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الأدنوی، طبقات المفسّرین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المقدّمة علی تفسیر شبّر، للدکتور حامد حفنی داود</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و المفسّرون فی ثوبه القشیب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 القدیر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أیازی، المفسّرون حیاتهم ومنهجهم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و المفسّرون فی ثوبه القشیب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تفسیر ومفسّران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و المفسّرون فی ثوبه القشیب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 جملتها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وإلی الآن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الغزو الأمریکی لأفغانستان و العراق، واستمرار الاحتلال الإسرائیلی لفلسطین منذ ما یزید علی خمسین سنة</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الفکر الدینی فی مواجهة العصر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و المفسّرون، الذهبی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533/2</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شش گفتار درباره دین و جامعه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دائرة المعارف الدینیة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جهان 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661/7</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دائرة المعارف جهان إسلام، أکسفورد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جهان 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664/7</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دائرة المعارف اسلام</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و المفسّرون فی ثوبه القشیب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445/2</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و المفسّرون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533/2</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المناهج التفسیریة، لآیة الله سبحانی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ذیل کتاب الإیمان و الکفر</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المفسّر معالم حیاته ومنهجه الیوم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نقلاً عن اتّجاهات 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897/3</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المبادئ العامّة لتفسیر القرآن الکریم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الجواهر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و المفسّرون، الذهبی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نهضت‌های دینی اسلامی معاصر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و المفسّرون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449/2</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القرآن و العقل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مقدّمة الکتاب</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96/3</w:t>
      </w:r>
      <w:r>
        <w:rPr>
          <w:rFonts w:ascii="IRNazanin" w:hAnsi="IRNazanin" w:eastAsia="IRNazanin"/>
          <w:b w:val="false"/>
          <w:b w:val="false"/>
          <w:bCs w:val="false"/>
          <w:i w:val="false"/>
          <w:i w:val="false"/>
          <w:iCs w:val="false"/>
          <w:color w:val="333333"/>
          <w:sz w:val="20"/>
          <w:sz w:val="20"/>
          <w:szCs w:val="20"/>
          <w:rtl w:val="true"/>
        </w:rPr>
        <w:t>، أنّ الأجسام الحیة الخفیة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تُسمّی بالمیکروبات، و قد یصحُّ أن تکون نوعاً من الجن</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قد ألّف هذا التفسیر فی ثمان مجلّدات کذلک، والمجلّد الثامن هو لفهارسه</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المراغی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الملّجد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القرآنی للقرآن الکریم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 المجید، اتّجاهات 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التحریر و التنویر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التحریر و التنویر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415/7</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الفکر الدینی فی مواجهة العصر؛ اتّجاهات التفسیر فی العصر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القرآن وتفسیر عصری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التراث و التجدید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بالرأی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دائرة المعارف القرآنیة فی إیران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المقالة، القرآن وإحیاء حقوق المرأة وقیمها</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و المفسّرون فی ثوبه القشیب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روش‌ها و گرایش‌های تفسیری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قد شهدت الصحوة کلّ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تونس، الجزائر، مصر، الیمن، لیبیا</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الإسلام، العقیدة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135/10</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نفحات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؛مفاهیم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توفّی الدکتور محمود البستانی فی عام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م فی مدینة قم، و نقل جثمانه إلی النجف، حیث وُری هناک</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المنهج البنائی فی 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الألقاب فی معرفة الأسرار و الأنساب، کاظم الوردی، نقلاً عن علی الأوسی، منهج العلامة الطباطبائی فی 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مهر تابان، بقلم العلاّمة السید محمّد حسین الحسینی الطهرانی</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الکثیر من الموضوعات التی ذکرناها حول المیزان أخذناها عن کتاب الطباطبائی ومنهجه فی تفسیره المیزان</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الطباطبائی ومنهجه فی تفسیر 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لأجل مزید من الاطلاع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نعم، عندنا کتب فی قصص القرآن، والتی تمّ فیها أحیاناً عمل تحقیقی وعلمی</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آشنایی با تفاسیر قرآن کریم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الطباطبائی ومنهجه فی تفسیر 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الأمثل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الفرقان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تفسیر ومفسّران لآیة الله معرفة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499/2</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قد أسمهم عدّة من فضلاء الحوزة العلمیة فی قمّ المقدّسة فی هذا التفسیر خصوصاً فی جمع الروایات ومساعدة المؤلّف</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توفّی المؤلّف فی سنة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ودفن من قبل مقلّدیه فی مدرسته الشهیرة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مدرسة الشیخ الکرمی</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الأساس فی 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المقدّمة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 التفاسیر التی فی متن الکتاب نعرّفها من المصادر الأصلیة للکتاب، ولکن بسبب تعریفنا لها فی المتن لانحتاج إلی ذکرها فی الفهرس</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image" Target="media/image2.jpeg"/><Relationship Id="rId458" Type="http://schemas.openxmlformats.org/officeDocument/2006/relationships/image" Target="media/image2.jpeg"/><Relationship Id="rId459" Type="http://schemas.openxmlformats.org/officeDocument/2006/relationships/footer" Target="footer452.xml"/><Relationship Id="rId460" Type="http://schemas.openxmlformats.org/officeDocument/2006/relationships/footnotes" Target="footnotes.xml"/><Relationship Id="rId461" Type="http://schemas.openxmlformats.org/officeDocument/2006/relationships/numbering" Target="numbering.xml"/><Relationship Id="rId462" Type="http://schemas.openxmlformats.org/officeDocument/2006/relationships/fontTable" Target="fontTable.xml"/><Relationship Id="rId463" Type="http://schemas.openxmlformats.org/officeDocument/2006/relationships/settings" Target="settings.xml"/><Relationship Id="rId4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471</Pages>
  <Words>46962</Words>
  <Characters>222552</Characters>
  <CharactersWithSpaces>266869</CharactersWithSpaces>
  <Paragraphs>2646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2026-08-19T00:42:36Z</dcterms:created>
  <dc:creator>ghaemiyeh.com</dc:creator>
  <dc:description/>
  <dc:language>en-US</dc:language>
  <cp:lastModifiedBy/>
  <dcterms:modified xsi:type="dcterms:W3CDTF">2026-08-19T04:12:54Z</dcterms:modified>
  <cp:revision>1</cp:revision>
  <dc:subject/>
  <dc:title>المدخل الی تاریخ التفسیر والمفسرین</dc:title>
</cp:coreProperties>
</file>

<file path=docProps/custom.xml><?xml version="1.0" encoding="utf-8"?>
<Properties xmlns="http://schemas.openxmlformats.org/officeDocument/2006/custom-properties" xmlns:vt="http://schemas.openxmlformats.org/officeDocument/2006/docPropsVTypes"/>
</file>