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تقیه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53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453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4538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74540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4542_581953129">
            <w:r>
              <w:rPr>
                <w:webHidden/>
                <w:rStyle w:val="IndexLink"/>
                <w:rtl w:val="true"/>
              </w:rPr>
              <w:t>تقیّه در شریعت اسلام</w:t>
            </w:r>
            <w:r>
              <w:rPr>
                <w:rStyle w:val="IndexLink"/>
                <w:rtl w:val="true"/>
              </w:rPr>
              <w:tab/>
            </w:r>
            <w:r>
              <w:rPr>
                <w:rStyle w:val="IndexLink"/>
              </w:rPr>
              <w:t>18</w:t>
            </w:r>
          </w:hyperlink>
        </w:p>
        <w:p>
          <w:pPr>
            <w:pStyle w:val="Contents2"/>
            <w:tabs>
              <w:tab w:val="clear" w:pos="8743"/>
              <w:tab w:val="right" w:pos="9026" w:leader="dot"/>
            </w:tabs>
            <w:rPr/>
          </w:pPr>
          <w:hyperlink w:anchor="__RefHeading___Toc74544_581953129">
            <w:r>
              <w:rPr>
                <w:webHidden/>
                <w:rStyle w:val="IndexLink"/>
                <w:rtl w:val="true"/>
              </w:rPr>
              <w:t>تقیّه از منظر عامّه</w:t>
            </w:r>
            <w:r>
              <w:rPr>
                <w:rStyle w:val="IndexLink"/>
                <w:rtl w:val="true"/>
              </w:rPr>
              <w:tab/>
            </w:r>
            <w:r>
              <w:rPr>
                <w:rStyle w:val="IndexLink"/>
              </w:rPr>
              <w:t>22</w:t>
            </w:r>
          </w:hyperlink>
        </w:p>
        <w:p>
          <w:pPr>
            <w:pStyle w:val="Contents2"/>
            <w:tabs>
              <w:tab w:val="clear" w:pos="8743"/>
              <w:tab w:val="right" w:pos="9026" w:leader="dot"/>
            </w:tabs>
            <w:rPr/>
          </w:pPr>
          <w:hyperlink w:anchor="__RefHeading___Toc74546_581953129">
            <w:r>
              <w:rPr>
                <w:webHidden/>
                <w:rStyle w:val="IndexLink"/>
                <w:rtl w:val="true"/>
              </w:rPr>
              <w:t>تقیّه از منظر امامیّه</w:t>
            </w:r>
            <w:r>
              <w:rPr>
                <w:rStyle w:val="IndexLink"/>
                <w:rtl w:val="true"/>
              </w:rPr>
              <w:tab/>
            </w:r>
            <w:r>
              <w:rPr>
                <w:rStyle w:val="IndexLink"/>
              </w:rPr>
              <w:t>25</w:t>
            </w:r>
          </w:hyperlink>
        </w:p>
        <w:p>
          <w:pPr>
            <w:pStyle w:val="Contents2"/>
            <w:tabs>
              <w:tab w:val="clear" w:pos="8743"/>
              <w:tab w:val="right" w:pos="9026" w:leader="dot"/>
            </w:tabs>
            <w:rPr/>
          </w:pPr>
          <w:hyperlink w:anchor="__RefHeading___Toc74548_581953129">
            <w:r>
              <w:rPr>
                <w:webHidden/>
                <w:rStyle w:val="IndexLink"/>
                <w:rtl w:val="true"/>
              </w:rPr>
              <w:t>چرا فقط شیعه به تقیّه مشهور شده است ؟</w:t>
            </w:r>
            <w:r>
              <w:rPr>
                <w:rStyle w:val="IndexLink"/>
                <w:rtl w:val="true"/>
              </w:rPr>
              <w:t>!</w:t>
              <w:tab/>
            </w:r>
            <w:r>
              <w:rPr>
                <w:rStyle w:val="IndexLink"/>
              </w:rPr>
              <w:t>26</w:t>
            </w:r>
          </w:hyperlink>
        </w:p>
        <w:p>
          <w:pPr>
            <w:pStyle w:val="Contents2"/>
            <w:tabs>
              <w:tab w:val="clear" w:pos="8743"/>
              <w:tab w:val="right" w:pos="9026" w:leader="dot"/>
            </w:tabs>
            <w:rPr/>
          </w:pPr>
          <w:hyperlink w:anchor="__RefHeading___Toc74550_581953129">
            <w:r>
              <w:rPr>
                <w:webHidden/>
                <w:rStyle w:val="IndexLink"/>
                <w:rtl w:val="true"/>
              </w:rPr>
              <w:t>انواع تقیّه</w:t>
            </w:r>
            <w:r>
              <w:rPr>
                <w:rStyle w:val="IndexLink"/>
                <w:rtl w:val="true"/>
              </w:rPr>
              <w:tab/>
            </w:r>
            <w:r>
              <w:rPr>
                <w:rStyle w:val="IndexLink"/>
              </w:rPr>
              <w:t>30</w:t>
            </w:r>
          </w:hyperlink>
        </w:p>
        <w:p>
          <w:pPr>
            <w:pStyle w:val="Contents3"/>
            <w:tabs>
              <w:tab w:val="clear" w:pos="8459"/>
              <w:tab w:val="right" w:pos="9026" w:leader="dot"/>
            </w:tabs>
            <w:rPr/>
          </w:pPr>
          <w:hyperlink w:anchor="__RefHeading___Toc74552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74554_581953129">
            <w:r>
              <w:rPr>
                <w:webHidden/>
                <w:rStyle w:val="IndexLink"/>
                <w:rtl w:val="true"/>
              </w:rPr>
              <w:t>الف</w:t>
            </w:r>
            <w:r>
              <w:rPr>
                <w:rStyle w:val="IndexLink"/>
                <w:rtl w:val="true"/>
              </w:rPr>
              <w:t xml:space="preserve">: </w:t>
            </w:r>
            <w:r>
              <w:rPr>
                <w:rStyle w:val="IndexLink"/>
                <w:rtl w:val="true"/>
              </w:rPr>
              <w:t>بر حسب کسی که از او تقیّه می شود</w:t>
            </w:r>
            <w:r>
              <w:rPr>
                <w:rStyle w:val="IndexLink"/>
                <w:rtl w:val="true"/>
              </w:rPr>
              <w:t>:</w:t>
              <w:tab/>
            </w:r>
            <w:r>
              <w:rPr>
                <w:rStyle w:val="IndexLink"/>
              </w:rPr>
              <w:t>30</w:t>
            </w:r>
          </w:hyperlink>
        </w:p>
        <w:p>
          <w:pPr>
            <w:pStyle w:val="Contents3"/>
            <w:tabs>
              <w:tab w:val="clear" w:pos="8459"/>
              <w:tab w:val="right" w:pos="9026" w:leader="dot"/>
            </w:tabs>
            <w:rPr/>
          </w:pPr>
          <w:hyperlink w:anchor="__RefHeading___Toc74556_581953129">
            <w:r>
              <w:rPr>
                <w:webHidden/>
                <w:rStyle w:val="IndexLink"/>
                <w:rtl w:val="true"/>
              </w:rPr>
              <w:t>ب</w:t>
            </w:r>
            <w:r>
              <w:rPr>
                <w:rStyle w:val="IndexLink"/>
                <w:rtl w:val="true"/>
              </w:rPr>
              <w:t xml:space="preserve">: </w:t>
            </w:r>
            <w:r>
              <w:rPr>
                <w:rStyle w:val="IndexLink"/>
                <w:rtl w:val="true"/>
              </w:rPr>
              <w:t>بر حسب عمل</w:t>
            </w:r>
            <w:r>
              <w:rPr>
                <w:rStyle w:val="IndexLink"/>
                <w:rtl w:val="true"/>
              </w:rPr>
              <w:t>:</w:t>
              <w:tab/>
            </w:r>
            <w:r>
              <w:rPr>
                <w:rStyle w:val="IndexLink"/>
              </w:rPr>
              <w:t>30</w:t>
            </w:r>
          </w:hyperlink>
        </w:p>
        <w:p>
          <w:pPr>
            <w:pStyle w:val="Contents3"/>
            <w:tabs>
              <w:tab w:val="clear" w:pos="8459"/>
              <w:tab w:val="right" w:pos="9026" w:leader="dot"/>
            </w:tabs>
            <w:rPr/>
          </w:pPr>
          <w:hyperlink w:anchor="__RefHeading___Toc74558_581953129">
            <w:r>
              <w:rPr>
                <w:webHidden/>
                <w:rStyle w:val="IndexLink"/>
                <w:rtl w:val="true"/>
              </w:rPr>
              <w:t>ج</w:t>
            </w:r>
            <w:r>
              <w:rPr>
                <w:rStyle w:val="IndexLink"/>
                <w:rtl w:val="true"/>
              </w:rPr>
              <w:t xml:space="preserve">: </w:t>
            </w:r>
            <w:r>
              <w:rPr>
                <w:rStyle w:val="IndexLink"/>
                <w:rtl w:val="true"/>
              </w:rPr>
              <w:t>بر حسب احکام</w:t>
            </w:r>
            <w:r>
              <w:rPr>
                <w:rStyle w:val="IndexLink"/>
                <w:rtl w:val="true"/>
              </w:rPr>
              <w:t>:</w:t>
              <w:tab/>
            </w:r>
            <w:r>
              <w:rPr>
                <w:rStyle w:val="IndexLink"/>
              </w:rPr>
              <w:t>30</w:t>
            </w:r>
          </w:hyperlink>
        </w:p>
        <w:p>
          <w:pPr>
            <w:pStyle w:val="Contents2"/>
            <w:tabs>
              <w:tab w:val="clear" w:pos="8743"/>
              <w:tab w:val="right" w:pos="9026" w:leader="dot"/>
            </w:tabs>
            <w:rPr/>
          </w:pPr>
          <w:hyperlink w:anchor="__RefHeading___Toc74560_581953129">
            <w:r>
              <w:rPr>
                <w:webHidden/>
                <w:rStyle w:val="IndexLink"/>
              </w:rPr>
              <w:t>1</w:t>
            </w:r>
            <w:r>
              <w:rPr>
                <w:rStyle w:val="IndexLink"/>
                <w:rtl w:val="true"/>
              </w:rPr>
              <w:t>-</w:t>
            </w:r>
            <w:r>
              <w:rPr>
                <w:rStyle w:val="IndexLink"/>
                <w:rtl w:val="true"/>
              </w:rPr>
              <w:t>تقیّه از کافر</w:t>
            </w:r>
            <w:r>
              <w:rPr>
                <w:rStyle w:val="IndexLink"/>
                <w:rtl w:val="true"/>
              </w:rPr>
              <w:tab/>
            </w:r>
            <w:r>
              <w:rPr>
                <w:rStyle w:val="IndexLink"/>
              </w:rPr>
              <w:t>31</w:t>
            </w:r>
          </w:hyperlink>
        </w:p>
        <w:p>
          <w:pPr>
            <w:pStyle w:val="Contents2"/>
            <w:tabs>
              <w:tab w:val="clear" w:pos="8743"/>
              <w:tab w:val="right" w:pos="9026" w:leader="dot"/>
            </w:tabs>
            <w:rPr/>
          </w:pPr>
          <w:hyperlink w:anchor="__RefHeading___Toc74562_581953129">
            <w:r>
              <w:rPr>
                <w:webHidden/>
                <w:rStyle w:val="IndexLink"/>
              </w:rPr>
              <w:t>2</w:t>
            </w:r>
            <w:r>
              <w:rPr>
                <w:rStyle w:val="IndexLink"/>
                <w:rtl w:val="true"/>
              </w:rPr>
              <w:t xml:space="preserve">- </w:t>
            </w:r>
            <w:r>
              <w:rPr>
                <w:rStyle w:val="IndexLink"/>
                <w:rtl w:val="true"/>
              </w:rPr>
              <w:t>تقیّه از مسلمان</w:t>
            </w:r>
            <w:r>
              <w:rPr>
                <w:rStyle w:val="IndexLink"/>
                <w:rtl w:val="true"/>
              </w:rPr>
              <w:tab/>
            </w:r>
            <w:r>
              <w:rPr>
                <w:rStyle w:val="IndexLink"/>
              </w:rPr>
              <w:t>31</w:t>
            </w:r>
          </w:hyperlink>
        </w:p>
        <w:p>
          <w:pPr>
            <w:pStyle w:val="Contents2"/>
            <w:tabs>
              <w:tab w:val="clear" w:pos="8743"/>
              <w:tab w:val="right" w:pos="9026" w:leader="dot"/>
            </w:tabs>
            <w:rPr/>
          </w:pPr>
          <w:hyperlink w:anchor="__RefHeading___Toc74564_581953129">
            <w:r>
              <w:rPr>
                <w:webHidden/>
                <w:rStyle w:val="IndexLink"/>
              </w:rPr>
              <w:t>3</w:t>
            </w:r>
            <w:r>
              <w:rPr>
                <w:rStyle w:val="IndexLink"/>
                <w:rtl w:val="true"/>
              </w:rPr>
              <w:t xml:space="preserve">- </w:t>
            </w:r>
            <w:r>
              <w:rPr>
                <w:rStyle w:val="IndexLink"/>
                <w:rtl w:val="true"/>
              </w:rPr>
              <w:t>تقیّه در عبادت</w:t>
            </w:r>
            <w:r>
              <w:rPr>
                <w:rStyle w:val="IndexLink"/>
                <w:rtl w:val="true"/>
              </w:rPr>
              <w:tab/>
            </w:r>
            <w:r>
              <w:rPr>
                <w:rStyle w:val="IndexLink"/>
              </w:rPr>
              <w:t>33</w:t>
            </w:r>
          </w:hyperlink>
        </w:p>
        <w:p>
          <w:pPr>
            <w:pStyle w:val="Contents2"/>
            <w:tabs>
              <w:tab w:val="clear" w:pos="8743"/>
              <w:tab w:val="right" w:pos="9026" w:leader="dot"/>
            </w:tabs>
            <w:rPr/>
          </w:pPr>
          <w:hyperlink w:anchor="__RefHeading___Toc74566_581953129">
            <w:r>
              <w:rPr>
                <w:webHidden/>
                <w:rStyle w:val="IndexLink"/>
              </w:rPr>
              <w:t>4</w:t>
            </w:r>
            <w:r>
              <w:rPr>
                <w:rStyle w:val="IndexLink"/>
                <w:rtl w:val="true"/>
              </w:rPr>
              <w:t xml:space="preserve">- </w:t>
            </w:r>
            <w:r>
              <w:rPr>
                <w:rStyle w:val="IndexLink"/>
                <w:rtl w:val="true"/>
              </w:rPr>
              <w:t>تقیّه در فتوا</w:t>
            </w:r>
            <w:r>
              <w:rPr>
                <w:rStyle w:val="IndexLink"/>
                <w:rtl w:val="true"/>
              </w:rPr>
              <w:tab/>
            </w:r>
            <w:r>
              <w:rPr>
                <w:rStyle w:val="IndexLink"/>
              </w:rPr>
              <w:t>34</w:t>
            </w:r>
          </w:hyperlink>
        </w:p>
        <w:p>
          <w:pPr>
            <w:pStyle w:val="Contents2"/>
            <w:tabs>
              <w:tab w:val="clear" w:pos="8743"/>
              <w:tab w:val="right" w:pos="9026" w:leader="dot"/>
            </w:tabs>
            <w:rPr/>
          </w:pPr>
          <w:hyperlink w:anchor="__RefHeading___Toc74568_581953129">
            <w:r>
              <w:rPr>
                <w:webHidden/>
                <w:rStyle w:val="IndexLink"/>
              </w:rPr>
              <w:t>5</w:t>
            </w:r>
            <w:r>
              <w:rPr>
                <w:rStyle w:val="IndexLink"/>
                <w:rtl w:val="true"/>
              </w:rPr>
              <w:t xml:space="preserve">- </w:t>
            </w:r>
            <w:r>
              <w:rPr>
                <w:rStyle w:val="IndexLink"/>
                <w:rtl w:val="true"/>
              </w:rPr>
              <w:t>تقیّه در سیاست</w:t>
            </w:r>
            <w:r>
              <w:rPr>
                <w:rStyle w:val="IndexLink"/>
                <w:rtl w:val="true"/>
              </w:rPr>
              <w:tab/>
            </w:r>
            <w:r>
              <w:rPr>
                <w:rStyle w:val="IndexLink"/>
              </w:rPr>
              <w:t>36</w:t>
            </w:r>
          </w:hyperlink>
        </w:p>
        <w:p>
          <w:pPr>
            <w:pStyle w:val="Contents2"/>
            <w:tabs>
              <w:tab w:val="clear" w:pos="8743"/>
              <w:tab w:val="right" w:pos="9026" w:leader="dot"/>
            </w:tabs>
            <w:rPr/>
          </w:pPr>
          <w:hyperlink w:anchor="__RefHeading___Toc74570_581953129">
            <w:r>
              <w:rPr>
                <w:webHidden/>
                <w:rStyle w:val="IndexLink"/>
                <w:rtl w:val="true"/>
              </w:rPr>
              <w:t>نتیجۀ بحث</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99_64326"/>
      <w:bookmarkStart w:id="1" w:name="pg5199_64326"/>
      <w:bookmarkEnd w:id="1"/>
    </w:p>
    <w:p>
      <w:pPr>
        <w:pStyle w:val="Heading2"/>
        <w:numPr>
          <w:ilvl w:val="1"/>
          <w:numId w:val="1"/>
        </w:numPr>
        <w:rPr/>
      </w:pPr>
      <w:bookmarkStart w:id="2" w:name="pg5199_64326"/>
      <w:bookmarkStart w:id="3" w:name="__RefHeading___Toc7453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ترجمه محمد امینی؛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محمد،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۳۸۲۸۰۲۵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53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تقیه</w:t>
      </w:r>
    </w:p>
    <w:p>
      <w:pPr>
        <w:pStyle w:val="BookText"/>
        <w:rPr/>
      </w:pPr>
      <w:r>
        <w:rPr>
          <w:rFonts w:ascii="IRNazanin" w:hAnsi="IRNazanin" w:eastAsia="IRNazanin"/>
          <w:color w:val="111111"/>
          <w:sz w:val="28"/>
          <w:sz w:val="28"/>
          <w:szCs w:val="28"/>
          <w:rtl w:val="true"/>
          <w:lang w:bidi="fa-IR"/>
        </w:rPr>
        <w:t>گروه پژوهش و پاسخ به شبهات، عبدالکریم بهبهانی</w:t>
      </w:r>
    </w:p>
    <w:p>
      <w:pPr>
        <w:pStyle w:val="BookText"/>
        <w:rPr/>
      </w:pPr>
      <w:r>
        <w:rPr>
          <w:rFonts w:ascii="IRNazanin" w:hAnsi="IRNazanin" w:eastAsia="IRNazanin"/>
          <w:color w:val="111111"/>
          <w:sz w:val="28"/>
          <w:sz w:val="28"/>
          <w:szCs w:val="28"/>
          <w:rtl w:val="true"/>
          <w:lang w:bidi="fa-IR"/>
        </w:rPr>
        <w:t>ترجمه محمد امینی</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199_64334"/>
    </w:p>
    <w:p>
      <w:pPr>
        <w:pStyle w:val="Heading2"/>
        <w:numPr>
          <w:ilvl w:val="1"/>
          <w:numId w:val="1"/>
        </w:numPr>
        <w:rPr/>
      </w:pPr>
      <w:bookmarkStart w:id="8" w:name="__RefHeading___Toc74538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 محوریت ولایت فقیه، افق های سیاسی، اجتماعی و فرهنگی جدیدی را</w:t>
      </w:r>
    </w:p>
    <w:p>
      <w:pPr>
        <w:pStyle w:val="BookText"/>
        <w:rPr/>
      </w:pPr>
      <w:r>
        <w:rPr>
          <w:rFonts w:ascii="IRNazanin" w:hAnsi="IRNazanin" w:eastAsia="IRNazanin"/>
          <w:color w:val="111111"/>
          <w:sz w:val="28"/>
          <w:sz w:val="28"/>
          <w:szCs w:val="28"/>
          <w:rtl w:val="true"/>
          <w:lang w:bidi="fa-IR"/>
        </w:rPr>
        <w:t>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w:t>
      </w:r>
    </w:p>
    <w:p>
      <w:pPr>
        <w:pStyle w:val="BookText"/>
        <w:rPr/>
      </w:pPr>
      <w:r>
        <w:rPr>
          <w:rFonts w:ascii="IRNazanin" w:hAnsi="IRNazanin" w:eastAsia="IRNazanin"/>
          <w:color w:val="111111"/>
          <w:sz w:val="28"/>
          <w:sz w:val="28"/>
          <w:szCs w:val="28"/>
          <w:rtl w:val="true"/>
          <w:lang w:bidi="fa-IR"/>
        </w:rPr>
        <w:t>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199_64337"/>
    </w:p>
    <w:p>
      <w:pPr>
        <w:pStyle w:val="Heading2"/>
        <w:numPr>
          <w:ilvl w:val="1"/>
          <w:numId w:val="1"/>
        </w:numPr>
        <w:rPr/>
      </w:pPr>
      <w:bookmarkStart w:id="11" w:name="__RefHeading___Toc74540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199_64346"/>
    </w:p>
    <w:p>
      <w:pPr>
        <w:pStyle w:val="Heading2"/>
        <w:numPr>
          <w:ilvl w:val="1"/>
          <w:numId w:val="1"/>
        </w:numPr>
        <w:rPr/>
      </w:pPr>
      <w:bookmarkStart w:id="14" w:name="__RefHeading___Toc74542_581953129"/>
      <w:bookmarkStart w:id="15" w:name="_Toc5"/>
      <w:bookmarkEnd w:id="13"/>
      <w:bookmarkEnd w:id="14"/>
      <w:r>
        <w:rPr>
          <w:rtl w:val="true"/>
        </w:rPr>
        <w:t>تقیّه در شریعت اسلام</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است که قرآن کریم آن را مطرح و به جواز آن تصریح نموده است؛ چنان که در سورۀ آل عمران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یَتَّخِذِ الْمُؤْمِنُونَ الْکَافِرِینَ أَوْلِیَاء مِن دُوْنِ الْمُؤْمِنِینَ وَمَن یَفْعَلْ ذَلِکَ فَلَیْسَ مِنَ اللّهِ فِی شَیْ‌ءٍ إِلاَّ أن تَتَّقُواْ مِنْهُمْ تُقَاةً وَیُحَذِّرُکُمُ اللّهُ نَفْسَهُ وَإِلَی اللّهِ الْمَصِیرُ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 نباید به جای مؤمنان، کافران را دوست و سرپرست خود انتخاب کنند و هر کس چنین کند، هیچ رابطه ای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او به کلی از خداوند گسسته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از آنان بپرهیزد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هدفهای مهمتری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حذر می 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 مرز آن را مشخّص کرده و ایمان را دارای سه رکن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اظهار زبانی و عمل با اعضا و جوارح، اینها اقتضای طبیعی ایمان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آن جا که یک دین عملی است، واقعگرا می باشد و همۀ مشکلات را بر طرف می کند، پس طبیعی است که چگونگی بر</w:t>
      </w:r>
    </w:p>
    <w:p>
      <w:pPr>
        <w:pStyle w:val="BookText"/>
        <w:rPr/>
      </w:pPr>
      <w:r>
        <w:rPr>
          <w:rFonts w:ascii="IRNazanin" w:hAnsi="IRNazanin" w:eastAsia="IRNazanin"/>
          <w:color w:val="111111"/>
          <w:sz w:val="28"/>
          <w:sz w:val="28"/>
          <w:szCs w:val="28"/>
          <w:rtl w:val="true"/>
          <w:lang w:bidi="fa-IR"/>
        </w:rPr>
        <w:t>خورد با مسائل جدید را در هر حال برای مکلّفین روشن سازد؛ مثلاً اگر انسان مخیّر شد بین مرگ، یا شکنجۀ طاقت فرسا و بین دست کشیدن از برخی لوازم، یا مظاهر ایمان، وظیفۀ او چیست؟</w:t>
      </w:r>
    </w:p>
    <w:p>
      <w:pPr>
        <w:pStyle w:val="BookText"/>
        <w:rPr/>
      </w:pPr>
      <w:r>
        <w:rPr>
          <w:rFonts w:ascii="IRNazanin" w:hAnsi="IRNazanin" w:eastAsia="IRNazanin"/>
          <w:color w:val="111111"/>
          <w:sz w:val="28"/>
          <w:sz w:val="28"/>
          <w:szCs w:val="28"/>
          <w:rtl w:val="true"/>
          <w:lang w:bidi="fa-IR"/>
        </w:rPr>
        <w:t>آیۀ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حالی نمی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 زیرا پایه و ریشۀ‌ایمان است، امّا در مورد رکن دوّم و سوّم، گفتنی است که اگر نجات از مرگ، یا شکنجۀ طاقت فرسا بستگی به این دارد که در ظاهر و به طور موقّت، از اظهار و عمل به اسلام دست برداشت، آیۀ شریفه اجازۀ آن را برای مؤمنان صادر کرده است البتّه با این کار، اصل دین هم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ای دیگر، بر این معنا تأکید نموده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یُؤْمِنُونَ بِآیَاتِ اللّهِ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وَقَلْبُهُ مُطْمَئِنٌّ بِالْإِیمَانِ وَلکِن مَّن شَرَحَ بِالْکُفْرِ صَدْراً فَعَلَیْهِمْ غَضَبٌ مِنَ اللَّهِ وَلَهُمْ عَذَابٌ عَظِیمٌ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دروغ می بندند که به آیات خدا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واقعی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ایمان، کافر شوند، به جز آنان که تحت فشار واقع شده اند، در حالی که قلبشان آرام با ایمان است، آری، آنان که سینۀ خود را برای پذیرش کفر گشوده اند، غضب خدا بر آنان و عذاب عظیمی در انتظار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این دو آیه، زمانی بود که مشرکان، عمّار بن یاسر را مجبور کرده بودند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و از بتها به نیکی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نیز از ترس شکنجه های طاقت فرسای آنان،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انجام دادم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رهایم نکردند تا به شما ناسزا گفتم و بتهای آنان را به نیکی یاد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تو چه گذشت؟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ایمان،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دوباره تو را مجبور کردند، همان سخنان را تکرار کن</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آن نفاقی نیست که قرآن کریم آن را محکوم کرده و بدتر از کفر شمرده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پنهان کردن کفر و کینه و اظهار کردن ایمان و دوستی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ایمان و آشکار نمودن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تقیّه از جمله مصادیق نفاق باشد، چرا خداوند سبحان در دو آیۀ قرآن، آن را مباح شمرده است؟</w:t>
      </w:r>
    </w:p>
    <w:p>
      <w:pPr>
        <w:pStyle w:val="BookText"/>
        <w:rPr/>
      </w:pPr>
      <w:r>
        <w:rPr>
          <w:rFonts w:ascii="IRNazanin" w:hAnsi="IRNazanin" w:eastAsia="IRNazanin"/>
          <w:color w:val="111111"/>
          <w:sz w:val="28"/>
          <w:sz w:val="28"/>
          <w:szCs w:val="28"/>
          <w:rtl w:val="true"/>
          <w:lang w:bidi="fa-IR"/>
        </w:rPr>
        <w:t>همچنین تقیّه با تسلیم شدن و سازش در مسائل دینی، فرق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شدن و سازش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پذیرفتن طرف مقابل و دست کشیدن از اعتقادات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 دین به وسیلۀ آشکار نکردن موقّتی ایمان و اظهار خواسته های دشمن، تا موقعی که دورۀ ضعف به پایان برسد و فرصتی برای تجدید نیرو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تدبیر عقلایی برای پیشگیری است و مؤمن را به تسلیم و سازش نمی کشاند بلکه به جای آن، عناصر پایداری روحی و معنوی را بسیج می کند تا در مقابل فشارهای سهمگین دشمنان، متلاشی و نابود نشود و ایمان خود را در بالاترین درجۀ آن،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کننده به آینده می نگرد و منتظر فرا رسیدن زمان مناسب برای تغییر اوضاع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سازش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از ویژگیهای تقیّه را دارا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تقیّه بر تسلیم، یاس، نومیدی 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می خواهد آنها را بر مؤمن تحمیل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می کشد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علمای اسلام، برای مشروعیّت تقیّه به دو آیۀ یاد شده استدلال کرده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مراغی در تفسیر خود، مصادیق تقیّه را این چنین بر شمرده است</w:t>
      </w:r>
      <w:r>
        <w:rPr>
          <w:rFonts w:eastAsia="IRNazanin" w:cs="IRNazanin"/>
          <w:color w:val="111111"/>
          <w:sz w:val="28"/>
          <w:szCs w:val="28"/>
          <w:rtl w:val="true"/>
          <w:lang w:bidi="fa-IR"/>
        </w:rPr>
        <w:t>:</w:t>
      </w:r>
      <w:bookmarkStart w:id="16" w:name="pg5199_64350"/>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با کفّار، ظالمان و فاسقان و سخن گفتن به آرامی با آنان و لبخند زدن بر روی آنان، و بخشش مال به آنان برای جلوگیری از اذیّت آنان و حفظ ناموس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مؤمن، ناموسش را با آن حفظ کند، صدقه است</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17" w:name="__RefHeading___Toc74544_581953129"/>
      <w:bookmarkStart w:id="18" w:name="_Toc6"/>
      <w:bookmarkEnd w:id="17"/>
      <w:r>
        <w:rPr>
          <w:rtl w:val="true"/>
        </w:rPr>
        <w:t>تقیّه از منظر عامّه</w:t>
      </w:r>
      <w:bookmarkEnd w:id="18"/>
    </w:p>
    <w:p>
      <w:pPr>
        <w:pStyle w:val="BookText"/>
        <w:rPr/>
      </w:pPr>
      <w:r>
        <w:rPr>
          <w:rFonts w:ascii="IRNazanin" w:hAnsi="IRNazanin" w:eastAsia="IRNazanin"/>
          <w:color w:val="111111"/>
          <w:sz w:val="28"/>
          <w:sz w:val="28"/>
          <w:szCs w:val="28"/>
          <w:rtl w:val="true"/>
          <w:lang w:bidi="fa-IR"/>
        </w:rPr>
        <w:t xml:space="preserve">بسیاری از علمای عامّه در کتابهایشان از صحابه و بزرگان دیگر، مطالبی را نقل کرده اند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دارد و در این جا به برخی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تقیّۀ عمّار بن یاسر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تقیّۀ عبد الله بن مسعود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تقیّۀ ابی دردا و ابی موسی اشعری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تقیّۀ ابی هریره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تقیّۀ ابن عباس از معاویه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تقیّۀ سعید بن جبیر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تقیّۀ رجاء بن حیوه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تقیّۀ واصل بن عطاء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تقیّۀ عمرو بن عبید معتزلی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تقیّۀ ابو حنیفه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است که علامۀ قاسمی از یمانی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ترس عرفا از علمای فاسق، پادشاهان ظالم و شیاطین انس است، زیرا در این موقع، به دلیل تصریح قرآن کریم و اجماع مسلمانان، تقیّه جایز است</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 در همۀ نحله ها و در عرصه های مختلف،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جوانب تقیّه، از نظر عامّه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فقهای عامّه در مورد جواز تقیّه در عقیده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فتوای فقهای عامّه در مورد جواز تقیّه در آداب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فتوای فقهای اهل سنّت، در مورد جواز تقیّه در عبادت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فتوای فقهای اهل سنّت، در مورد جواز تقیّه در معاملات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محقّقان معاصر هم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سخن در مورد تقیّه در فقه مذاهب اربعه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عامّه، تقیّه را در مسائل زیادی جایز می دانند؛ مثل جواز تقیّه در صدقه، اقرار، ازدواج، اجاره، مبارات، کفالت، شفعه، عهد و پیمان، تدبیر، رجوع بعد از طلاق، ظهار، نذر، ایلاء، سرقت و فروع شرعی دیگر</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موسی جار الله ترکمانی، گسترده تر از این معنا را صریحاً بیان داشته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عبارت است از نگهداری جان از ناملایمات و 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این معنا در هر چیزی، از نظر دین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راه حفظ زندگی، آبرو، حفظ مال و حمایت از آن، بر همۀ افراد واجب است؛ چه پیشوا باشد، یا غیر پیشوا</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9" w:name="pg5199_64353"/>
    </w:p>
    <w:p>
      <w:pPr>
        <w:pStyle w:val="Heading2"/>
        <w:numPr>
          <w:ilvl w:val="1"/>
          <w:numId w:val="1"/>
        </w:numPr>
        <w:rPr/>
      </w:pPr>
      <w:bookmarkStart w:id="20" w:name="__RefHeading___Toc74546_581953129"/>
      <w:bookmarkStart w:id="21" w:name="_Toc7"/>
      <w:bookmarkEnd w:id="19"/>
      <w:bookmarkEnd w:id="20"/>
      <w:r>
        <w:rPr>
          <w:rtl w:val="true"/>
        </w:rPr>
        <w:t>تقیّه از منظر امامیّه</w:t>
      </w:r>
      <w:bookmarkEnd w:id="21"/>
    </w:p>
    <w:p>
      <w:pPr>
        <w:pStyle w:val="BookText"/>
        <w:rPr/>
      </w:pPr>
      <w:r>
        <w:rPr>
          <w:rFonts w:ascii="IRNazanin" w:hAnsi="IRNazanin" w:eastAsia="IRNazanin"/>
          <w:color w:val="111111"/>
          <w:sz w:val="28"/>
          <w:sz w:val="28"/>
          <w:szCs w:val="28"/>
          <w:rtl w:val="true"/>
          <w:lang w:bidi="fa-IR"/>
        </w:rPr>
        <w:t xml:space="preserve">علمای امامیّه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وجوب آن در بعضی اوقات، علاوه بر دو آیۀ یاد شده به روایات زیادی استناد جسته اند که به حدّ استفاضه می رسد به گونه ای که در کتاب وسائل الشیعه، باب ویژه ای به تقیّه اختصاص داده شده است و در این جا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سپر و نگهدارندۀ مؤمن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تقیّه کنی، دشمان نمی توانند به تو آسیبی برسانند؛ تقیّه، دیواری است مستحکم بین تو و دشمنان خدا و سدّی است که نمی توانند در آن نفوذ کنند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از برترین اعمال مؤمن است تا جان خود و برادرانش را به وسیلۀ آن، از ستمکاران حفظ کند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2" w:name="pg5199_64354"/>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دین من و دین پدران من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دینتان بترسید و آن را با تقیّه بپوشانید</w:t>
      </w:r>
      <w:r>
        <w:rPr>
          <w:rFonts w:eastAsia="IRNazanin" w:cs="IRNazanin"/>
          <w:color w:val="111111"/>
          <w:sz w:val="28"/>
          <w:szCs w:val="28"/>
          <w:rtl w:val="true"/>
          <w:lang w:bidi="fa-IR"/>
        </w:rPr>
        <w:t xml:space="preserve">». </w:t>
      </w:r>
      <w:r>
        <w:rPr>
          <w:rStyle w:val="FootnoteAnchor"/>
          <w:rtl w:val="true"/>
        </w:rPr>
        <w:footnoteReference w:id="37"/>
      </w:r>
    </w:p>
    <w:p>
      <w:pPr>
        <w:pStyle w:val="Heading2"/>
        <w:numPr>
          <w:ilvl w:val="1"/>
          <w:numId w:val="1"/>
        </w:numPr>
        <w:rPr/>
      </w:pPr>
      <w:bookmarkStart w:id="23" w:name="__RefHeading___Toc74548_581953129"/>
      <w:bookmarkStart w:id="24" w:name="_Toc8"/>
      <w:bookmarkEnd w:id="23"/>
      <w:r>
        <w:rPr>
          <w:rtl w:val="true"/>
        </w:rPr>
        <w:t>چرا فقط شیعه به تقیّه مشهور شده است ؟</w:t>
      </w:r>
      <w:r>
        <w:rPr>
          <w:rtl w:val="true"/>
        </w:rPr>
        <w:t>!</w:t>
      </w:r>
      <w:bookmarkEnd w:id="24"/>
    </w:p>
    <w:p>
      <w:pPr>
        <w:pStyle w:val="BookText"/>
        <w:rPr/>
      </w:pPr>
      <w:r>
        <w:rPr>
          <w:rFonts w:ascii="IRNazanin" w:hAnsi="IRNazanin" w:eastAsia="IRNazanin"/>
          <w:color w:val="111111"/>
          <w:sz w:val="28"/>
          <w:sz w:val="28"/>
          <w:szCs w:val="28"/>
          <w:rtl w:val="true"/>
          <w:lang w:bidi="fa-IR"/>
        </w:rPr>
        <w:t xml:space="preserve">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مذاهب دیگر، به تقیّه مشهورتر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همین امر باعث گشته است تا شیعه از دیگر مسلمانان به تقیّه مشهورتر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دشمنی برخی از فرقه ها باعث شد که آن را وسیله ای برای مسخره کردن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آنان فراموش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دستورات قرآن و از ضروریّات دین است که همۀ مسلمانان بر آن اتّفاق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فروع آن، اختلافی وجود داشته باشد، مسألۀ جدیدی نیست؛ زیرا مسلمانان در فروع مسائل شرعی، باهم اختلاف دارند، ولی در اصول، باهم اتّفاق نظر 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عدّه ای، وقتی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نظرات مخالف آنان با مکاتب فقهی دیگر را دستاویزی برای تمسخر و هتّاکی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عامّه توجّه نداشته اند که از جمله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وحدت اسلامی و جلو گیری از تفرقۀ مسلمانان است، در این صورت، شایسته نیست که مذهب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دورانهای سخت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امویان و عبّاسیان باعث شده بود که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همسرانشان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نگه دارند؛ زیرا در آن زمان، متّهم بودن به تشیّع، سخت ترین کیفر را داشت و حتّی پسر از دست پدرش به قاضی شکایت می کرد که چرا پدرش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نقل کرده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معاویه بن ابی سفیان به کارگزارانش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حدیثی در مورد فضایل ابو تراب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روایت کند، خونش حلال است، پس از آن، خطبا بر هر منبری،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کردند و از او برائت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به خاطر وجود شیعیان فراوان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فشار سخت ترین شکنجه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زیاد بن سمیّه را به عنوان حاکم کوفه گماشتند و بصره را به آن ملحق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شیعیان کوفه و بصره را می شناخت و آنان را در زیر هر سنگ و کلوخی که بودند، پیدا کرد و به شهادت رساند و یا از عراق متواری و بی خانمان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شخصیّت مشهوری از آنان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کلّیّۀ کارگزاران خود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حقّ اقامۀ شهادت و گواهی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نامۀ دیگری 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بیّنه قائم شد بر این که کسی علی و خاندانش را دوست دارد، نام او را از دفتر بیت المال حذف کنید و سهم او را قطع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نامۀ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دانستید، بر او سخت بگیرید و خانه اش را خراب کنید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اینها چیزی است که ابن ابی الحدید در شرح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بر آن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این چنین بود تا آن که حسن بن علی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گرفتاری شیعیان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کسی باقی نماند؛ جز این که بر خون خود می ترسید، لذا در بیابانها متواری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خیم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مروان، حکومت را به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عرصه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 تنگ کرد و حجّاج بن یوسف ثقفی را بر آنان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تقرب می جستند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مقابل حجّاج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عاقم کرده و مرا علی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و بیچاره هستم،</w:t>
      </w:r>
    </w:p>
    <w:p>
      <w:pPr>
        <w:pStyle w:val="BookText"/>
        <w:rPr/>
      </w:pPr>
      <w:r>
        <w:rPr>
          <w:rFonts w:ascii="IRNazanin" w:hAnsi="IRNazanin" w:eastAsia="IRNazanin"/>
          <w:color w:val="111111"/>
          <w:sz w:val="28"/>
          <w:sz w:val="28"/>
          <w:szCs w:val="28"/>
          <w:rtl w:val="true"/>
          <w:lang w:bidi="fa-IR"/>
        </w:rPr>
        <w:t>من محتاج هدیۀ امیر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آنچه به آن توسّل پیدا کردی، تو را بر ولایت فلان جا می گمارم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بلایی که در زمان عبّاسیان بر سر شیعه آمد، کمتر از دوران امویان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ادبیات در زمان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به عنوان معلّم فرزندانش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دو فرزند من نزد تو دوست داشتنی ترند، یا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پسران تو 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زبانش را از پشت سر ببرید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بی شماری از شیعیان در قرنهای گذشته با این همه ظلم و استضعاف، رو به رو بوده اند، پس طبیعی است که از بین تسلیم شدن در مقابل دشمن و بین ریشه کن شدن و نابودی، راه میانه ای را برگزینند تا از جهتی، ظلم و کجروی را از خود دور سازند و از جهت دیگر، در معرض از بین رفتن، و نابودی و ریشه کنی قرار نگیرند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ابن تیمیّه گفته است</w:t>
      </w:r>
      <w:r>
        <w:rPr>
          <w:rFonts w:eastAsia="IRNazanin" w:cs="IRNazanin"/>
          <w:color w:val="111111"/>
          <w:sz w:val="28"/>
          <w:szCs w:val="28"/>
          <w:rtl w:val="true"/>
          <w:lang w:bidi="fa-IR"/>
        </w:rPr>
        <w:t>:</w:t>
      </w:r>
      <w:bookmarkStart w:id="25" w:name="pg5199_64358"/>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همان دروغ و نفاق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مطلبی بی دلیل است که عقل آن را نمی پذیرد و کتاب و سنّت آن را تأیید نمی کنند</w:t>
      </w:r>
      <w:r>
        <w:rPr>
          <w:rFonts w:eastAsia="IRNazanin" w:cs="IRNazanin"/>
          <w:color w:val="111111"/>
          <w:sz w:val="28"/>
          <w:szCs w:val="28"/>
          <w:rtl w:val="true"/>
          <w:lang w:bidi="fa-IR"/>
        </w:rPr>
        <w:t>.</w:t>
      </w:r>
    </w:p>
    <w:p>
      <w:pPr>
        <w:pStyle w:val="Heading2"/>
        <w:numPr>
          <w:ilvl w:val="1"/>
          <w:numId w:val="1"/>
        </w:numPr>
        <w:rPr/>
      </w:pPr>
      <w:bookmarkStart w:id="26" w:name="__RefHeading___Toc74550_581953129"/>
      <w:bookmarkStart w:id="27" w:name="_Toc9"/>
      <w:bookmarkEnd w:id="26"/>
      <w:r>
        <w:rPr>
          <w:rtl w:val="true"/>
        </w:rPr>
        <w:t>انواع تقیّه</w:t>
      </w:r>
      <w:bookmarkEnd w:id="27"/>
    </w:p>
    <w:p>
      <w:pPr>
        <w:pStyle w:val="Heading3"/>
        <w:numPr>
          <w:ilvl w:val="2"/>
          <w:numId w:val="1"/>
        </w:numPr>
        <w:rPr/>
      </w:pPr>
      <w:bookmarkStart w:id="28" w:name="__RefHeading___Toc74552_581953129"/>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می توان تقیّه را بر اساس ضوابط مختلف، به شکل زیر تقسیم بندی کرد</w:t>
      </w:r>
      <w:r>
        <w:rPr>
          <w:rFonts w:eastAsia="IRNazanin" w:cs="IRNazanin"/>
          <w:color w:val="111111"/>
          <w:sz w:val="28"/>
          <w:szCs w:val="28"/>
          <w:rtl w:val="true"/>
          <w:lang w:bidi="fa-IR"/>
        </w:rPr>
        <w:t>:</w:t>
      </w:r>
    </w:p>
    <w:p>
      <w:pPr>
        <w:pStyle w:val="Heading3"/>
        <w:numPr>
          <w:ilvl w:val="2"/>
          <w:numId w:val="1"/>
        </w:numPr>
        <w:rPr/>
      </w:pPr>
      <w:bookmarkStart w:id="30" w:name="__RefHeading___Toc74554_581953129"/>
      <w:bookmarkStart w:id="31" w:name="_Toc11"/>
      <w:bookmarkEnd w:id="30"/>
      <w:r>
        <w:rPr>
          <w:rtl w:val="true"/>
        </w:rPr>
        <w:t>الف</w:t>
      </w:r>
      <w:r>
        <w:rPr>
          <w:rtl w:val="true"/>
        </w:rPr>
        <w:t xml:space="preserve">: </w:t>
      </w:r>
      <w:r>
        <w:rPr>
          <w:rtl w:val="true"/>
        </w:rPr>
        <w:t>بر حسب کسی که از او تقیّه می شود</w:t>
      </w:r>
      <w:r>
        <w:rPr>
          <w:rtl w:val="true"/>
        </w:rPr>
        <w:t>:</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مسلمان</w:t>
      </w:r>
      <w:r>
        <w:rPr>
          <w:rFonts w:eastAsia="IRNazanin" w:cs="IRNazanin"/>
          <w:color w:val="111111"/>
          <w:sz w:val="28"/>
          <w:szCs w:val="28"/>
          <w:rtl w:val="true"/>
          <w:lang w:bidi="fa-IR"/>
        </w:rPr>
        <w:t>.</w:t>
      </w:r>
    </w:p>
    <w:p>
      <w:pPr>
        <w:pStyle w:val="Heading3"/>
        <w:numPr>
          <w:ilvl w:val="2"/>
          <w:numId w:val="1"/>
        </w:numPr>
        <w:rPr/>
      </w:pPr>
      <w:bookmarkStart w:id="32" w:name="__RefHeading___Toc74556_581953129"/>
      <w:bookmarkStart w:id="33" w:name="_Toc12"/>
      <w:bookmarkEnd w:id="32"/>
      <w:r>
        <w:rPr>
          <w:rtl w:val="true"/>
        </w:rPr>
        <w:t>ب</w:t>
      </w:r>
      <w:r>
        <w:rPr>
          <w:rtl w:val="true"/>
        </w:rPr>
        <w:t xml:space="preserve">: </w:t>
      </w:r>
      <w:r>
        <w:rPr>
          <w:rtl w:val="true"/>
        </w:rPr>
        <w:t>بر حسب عمل</w:t>
      </w:r>
      <w:r>
        <w:rPr>
          <w:rtl w:val="true"/>
        </w:rPr>
        <w:t>:</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فتوا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سیاست</w:t>
      </w:r>
      <w:r>
        <w:rPr>
          <w:rFonts w:eastAsia="IRNazanin" w:cs="IRNazanin"/>
          <w:color w:val="111111"/>
          <w:sz w:val="28"/>
          <w:szCs w:val="28"/>
          <w:rtl w:val="true"/>
          <w:lang w:bidi="fa-IR"/>
        </w:rPr>
        <w:t>.</w:t>
      </w:r>
    </w:p>
    <w:p>
      <w:pPr>
        <w:pStyle w:val="Heading3"/>
        <w:numPr>
          <w:ilvl w:val="2"/>
          <w:numId w:val="1"/>
        </w:numPr>
        <w:rPr/>
      </w:pPr>
      <w:bookmarkStart w:id="34" w:name="__RefHeading___Toc74558_581953129"/>
      <w:bookmarkStart w:id="35" w:name="_Toc13"/>
      <w:bookmarkEnd w:id="34"/>
      <w:r>
        <w:rPr>
          <w:rtl w:val="true"/>
        </w:rPr>
        <w:t>ج</w:t>
      </w:r>
      <w:r>
        <w:rPr>
          <w:rtl w:val="true"/>
        </w:rPr>
        <w:t xml:space="preserve">: </w:t>
      </w:r>
      <w:r>
        <w:rPr>
          <w:rtl w:val="true"/>
        </w:rPr>
        <w:t>بر حسب احکام</w:t>
      </w:r>
      <w:r>
        <w:rPr>
          <w:rtl w:val="true"/>
        </w:rPr>
        <w:t>:</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تقیّۀ جایز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تقیّۀ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تقیّۀ حرام</w:t>
      </w:r>
      <w:r>
        <w:rPr>
          <w:rFonts w:eastAsia="Amiri" w:cs="Amiri" w:ascii="Amiri" w:hAnsi="Amiri"/>
          <w:color w:val="111111"/>
          <w:sz w:val="28"/>
          <w:szCs w:val="28"/>
          <w:rtl w:val="true"/>
          <w:lang w:bidi="ar-SA"/>
        </w:rPr>
        <w:t>.</w:t>
      </w:r>
      <w:bookmarkStart w:id="36" w:name="pg5199_64359"/>
    </w:p>
    <w:p>
      <w:pPr>
        <w:pStyle w:val="Heading2"/>
        <w:numPr>
          <w:ilvl w:val="1"/>
          <w:numId w:val="1"/>
        </w:numPr>
        <w:rPr/>
      </w:pPr>
      <w:bookmarkStart w:id="37" w:name="__RefHeading___Toc74560_581953129"/>
      <w:bookmarkStart w:id="38" w:name="_Toc14"/>
      <w:bookmarkEnd w:id="36"/>
      <w:bookmarkEnd w:id="37"/>
      <w:r>
        <w:rPr/>
        <w:t>1</w:t>
      </w:r>
      <w:r>
        <w:rPr>
          <w:rtl w:val="true"/>
        </w:rPr>
        <w:t>-</w:t>
      </w:r>
      <w:r>
        <w:rPr>
          <w:rtl w:val="true"/>
        </w:rPr>
        <w:t>تقیّه از کافر</w:t>
      </w:r>
      <w:bookmarkEnd w:id="38"/>
    </w:p>
    <w:p>
      <w:pPr>
        <w:pStyle w:val="BookText"/>
        <w:rPr/>
      </w:pPr>
      <w:r>
        <w:rPr>
          <w:rFonts w:ascii="IRNazanin" w:hAnsi="IRNazanin" w:eastAsia="IRNazanin"/>
          <w:color w:val="111111"/>
          <w:sz w:val="28"/>
          <w:sz w:val="28"/>
          <w:szCs w:val="28"/>
          <w:rtl w:val="true"/>
          <w:lang w:bidi="fa-IR"/>
        </w:rPr>
        <w:t>همه مسلمانان این قسم از تقیّه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قرآن کریم در دو آیه به این نوع از تقیه اشاره فرموده است</w:t>
      </w:r>
      <w:r>
        <w:rPr>
          <w:rFonts w:eastAsia="IRNazanin" w:cs="IRNazanin"/>
          <w:color w:val="111111"/>
          <w:sz w:val="28"/>
          <w:szCs w:val="28"/>
          <w:rtl w:val="true"/>
          <w:lang w:bidi="fa-IR"/>
        </w:rPr>
        <w:t>.</w:t>
      </w:r>
    </w:p>
    <w:p>
      <w:pPr>
        <w:pStyle w:val="Heading2"/>
        <w:numPr>
          <w:ilvl w:val="1"/>
          <w:numId w:val="1"/>
        </w:numPr>
        <w:rPr/>
      </w:pPr>
      <w:bookmarkStart w:id="39" w:name="__RefHeading___Toc74562_581953129"/>
      <w:bookmarkStart w:id="40" w:name="_Toc15"/>
      <w:bookmarkEnd w:id="39"/>
      <w:r>
        <w:rPr/>
        <w:t>2</w:t>
      </w:r>
      <w:r>
        <w:rPr>
          <w:rtl w:val="true"/>
        </w:rPr>
        <w:t xml:space="preserve">- </w:t>
      </w:r>
      <w:r>
        <w:rPr>
          <w:rtl w:val="true"/>
        </w:rPr>
        <w:t>تقیّه از مسلمان</w:t>
      </w:r>
      <w:bookmarkEnd w:id="40"/>
    </w:p>
    <w:p>
      <w:pPr>
        <w:pStyle w:val="BookText"/>
        <w:rPr/>
      </w:pPr>
      <w:r>
        <w:rPr>
          <w:rFonts w:ascii="IRNazanin" w:hAnsi="IRNazanin" w:eastAsia="IRNazanin"/>
          <w:color w:val="111111"/>
          <w:sz w:val="28"/>
          <w:sz w:val="28"/>
          <w:szCs w:val="28"/>
          <w:rtl w:val="true"/>
          <w:lang w:bidi="fa-IR"/>
        </w:rPr>
        <w:t>در مورد جواز، یا عدم جواز این نوع از تقیّه، در میان علمای مسلمین، اختلاف وجود دارد؛ قایلان به عدم جواز، استدلال می کنند که قرآن کریم تنها در مورد تقیّۀ مسلمان از مشرک، تصریح کرده و به قسم دیگر، اشاره ای ندارد، ولی علمای امامیّه، قایل به جواز این نوع از تقیّه بوده و همان دو آیۀ یاد شده را دلیل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نحوۀ استدلال به این دلیل، گفتنی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علم اصول، خصوصیّت مورد، موجب تخصیص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علم تفسیر نیز به عمومیّت لفظ استدلال می شود، نه به خصوصیّت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کریم در تقیّۀ جایز،</w:t>
      </w:r>
    </w:p>
    <w:p>
      <w:pPr>
        <w:pStyle w:val="BookText"/>
        <w:rPr/>
      </w:pPr>
      <w:r>
        <w:rPr>
          <w:rFonts w:ascii="IRNazanin" w:hAnsi="IRNazanin" w:eastAsia="IRNazanin"/>
          <w:color w:val="111111"/>
          <w:sz w:val="28"/>
          <w:sz w:val="28"/>
          <w:szCs w:val="28"/>
          <w:rtl w:val="true"/>
          <w:lang w:bidi="fa-IR"/>
        </w:rPr>
        <w:t>حال مسلمان را در نظر گرفته، یا حال مشرک؟ اگر حال مسلمان را در نظر گرفته پس تقیّه برای حفظ جان مسلمان است؛ بنابر این، تقیّه در مقابل هر ظالمی جایز است، اگر چه آن ظالم، مسلمان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قرآن کریم، معنای اوّل را می رساند؛ یعنی تقیّه برای حفظ جان مسلمان در برابر خطر و نگهداری او از دشمن است و این علّت،</w:t>
      </w:r>
    </w:p>
    <w:p>
      <w:pPr>
        <w:pStyle w:val="BookText"/>
        <w:rPr/>
      </w:pPr>
      <w:r>
        <w:rPr>
          <w:rFonts w:ascii="IRNazanin" w:hAnsi="IRNazanin" w:eastAsia="IRNazanin"/>
          <w:color w:val="111111"/>
          <w:sz w:val="28"/>
          <w:sz w:val="28"/>
          <w:szCs w:val="28"/>
          <w:rtl w:val="true"/>
          <w:lang w:bidi="fa-IR"/>
        </w:rPr>
        <w:t>در تقیّۀ مسلمان از مسلمان هم وجود دارد؛ همچنان که در تقیّۀ مسلمان از مشرک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اهل سنّت به این مطلب اشاره کرده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دارد بر این که تقیّه در برابر کفّاری که غالب هستند، حلال می باشد، ولی مذهب شافعی معتقد است که اگر حالت بین مسلمانان، همان حالت بین مسلمانان و مشرکان باشد، برای حفظ جان، تقیّه حلال می شود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تقیّه یک روش عقلایی همگانی است و معنا ندارد که آن را مختص به یک ظالم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علّت اختلاف بر سر تقیّۀ مسلمانی از مسلمان دیگر، یک مسالۀ عاطفی باشد؛ یعنی وقتی که مکتب خلفا قایل به شرعی بودن حکومت اموی و عبّاسی اند و اطاعت از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امیر خوب و چه امیر گنهکار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 دانند؛ پس طبیعی است که فعّالیّتهای مخالفان این دو حکومت را، فعّالیّتهای غیر شرعی بدانند و تقیّه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شیعیان در راستای مخالفت با آنان بدان عمل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غیر شرعی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از موضوع تقیّه و ادلّه و اقسام آن، خارج می شود و به یک بحث اساسی، در مورد مشروع بودن حکومت، تبدیل می گردد</w:t>
      </w:r>
      <w:bookmarkStart w:id="41" w:name="pg5199_64361"/>
    </w:p>
    <w:p>
      <w:pPr>
        <w:pStyle w:val="BookText"/>
        <w:rPr/>
      </w:pPr>
      <w:bookmarkEnd w:id="41"/>
      <w:r>
        <w:rPr>
          <w:rFonts w:ascii="IRNazanin" w:hAnsi="IRNazanin" w:eastAsia="IRNazanin"/>
          <w:color w:val="111111"/>
          <w:sz w:val="28"/>
          <w:sz w:val="28"/>
          <w:szCs w:val="28"/>
          <w:rtl w:val="true"/>
          <w:lang w:bidi="fa-IR"/>
        </w:rPr>
        <w:t>که این حکومت، مشروعیّت خود را چه زمانی از دست می دهد؟ و یا تکلیف مسلمانان در مقابل انحراف حکومت از خطّ صحیح اسلامی چیست؟</w:t>
      </w:r>
    </w:p>
    <w:p>
      <w:pPr>
        <w:pStyle w:val="BookText"/>
        <w:rPr/>
      </w:pPr>
      <w:r>
        <w:rPr>
          <w:rFonts w:ascii="IRNazanin" w:hAnsi="IRNazanin" w:eastAsia="IRNazanin"/>
          <w:color w:val="111111"/>
          <w:sz w:val="28"/>
          <w:sz w:val="28"/>
          <w:szCs w:val="28"/>
          <w:rtl w:val="true"/>
          <w:lang w:bidi="fa-IR"/>
        </w:rPr>
        <w:t>در غیر این صورت، تقیّه یک روش عقلانی است و بسیاری از علمای مکتب خلفا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از معارف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گرفتم که، یکی از آنان را در میان مردم منتشر کردم، و اما اگر دیگری را منتشر می کردم، سرم را برباد می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آیا این کار تقیّۀ مسلمان از مسلمان نیست؟</w:t>
      </w:r>
      <w:r>
        <w:rPr>
          <w:rFonts w:eastAsia="IRNazanin" w:cs="IRNazanin"/>
          <w:color w:val="111111"/>
          <w:sz w:val="28"/>
          <w:szCs w:val="28"/>
          <w:rtl w:val="true"/>
          <w:lang w:bidi="fa-IR"/>
        </w:rPr>
        <w:t>!</w:t>
      </w:r>
    </w:p>
    <w:p>
      <w:pPr>
        <w:pStyle w:val="Heading2"/>
        <w:numPr>
          <w:ilvl w:val="1"/>
          <w:numId w:val="1"/>
        </w:numPr>
        <w:rPr/>
      </w:pPr>
      <w:bookmarkStart w:id="42" w:name="__RefHeading___Toc74564_581953129"/>
      <w:bookmarkStart w:id="43" w:name="_Toc16"/>
      <w:bookmarkEnd w:id="42"/>
      <w:r>
        <w:rPr/>
        <w:t>3</w:t>
      </w:r>
      <w:r>
        <w:rPr>
          <w:rtl w:val="true"/>
        </w:rPr>
        <w:t xml:space="preserve">- </w:t>
      </w:r>
      <w:r>
        <w:rPr>
          <w:rtl w:val="true"/>
        </w:rPr>
        <w:t>تقیّه در عبادت</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برای دفع خطر ظلم، یا برای مدارا کردن با دیگر مذاهب اسلامی، عبادت را به نحوی بجا آورد که مسلمان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مذهب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تقیّه، از خصوصیّات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بیشتر عبادتهایی که به صورت تقیّه بجا آورده می شوند، به انگیزۀ ترس از ظلم نیست بلکه تنها برای حفظ وحدت مسلمین است</w:t>
      </w:r>
      <w:r>
        <w:rPr>
          <w:rFonts w:eastAsia="IRNazanin" w:cs="IRNazanin"/>
          <w:color w:val="111111"/>
          <w:sz w:val="28"/>
          <w:szCs w:val="28"/>
          <w:rtl w:val="true"/>
          <w:lang w:bidi="fa-IR"/>
        </w:rPr>
        <w:t>.</w:t>
      </w:r>
      <w:bookmarkStart w:id="44" w:name="pg5199_64362"/>
    </w:p>
    <w:p>
      <w:pPr>
        <w:pStyle w:val="BookText"/>
        <w:rPr/>
      </w:pPr>
      <w:bookmarkEnd w:id="44"/>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گاهی این است که خطری حوزۀ اسلام را تهدید می کند، به شکلی که خوف از هم گسستگی وحدت مسلمانان در میان باشد و ترس از این باشد که بر حوزۀ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پراکندگی شان و یا امور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وارد شود، و مراد از تقیّۀ مدارایی این است که در آن، هم صدا شدن همۀ مسلمانان، مهم است و وحدت بین آنها هم با ایجاد دوستی بین مخالفان و جلب ارادت آنان، بدون هیچ گونه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به هشام بن حکم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قبیله ها یشان نماز بخوانید، بیمارانشان را عیادت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شان حاضر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چیزی دوست داشتنی تر از خباء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74566_581953129"/>
      <w:bookmarkStart w:id="46" w:name="_Toc17"/>
      <w:bookmarkEnd w:id="45"/>
      <w:r>
        <w:rPr/>
        <w:t>4</w:t>
      </w:r>
      <w:r>
        <w:rPr>
          <w:rtl w:val="true"/>
        </w:rPr>
        <w:t xml:space="preserve">- </w:t>
      </w:r>
      <w:r>
        <w:rPr>
          <w:rtl w:val="true"/>
        </w:rPr>
        <w:t>تقیّه در فتوا</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فقیه بر خلاف آنچه به نظر خودش صحیح است،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بر حسب حالات مختلف، صور گوناگونی به خود می گیرد؛ گاهی حرام، گاهی جایز و گاهی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بجنوردی در این مورد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مثل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از فتوا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نمود و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فتوا دادن موجب از بین رفتن جانها، یا موجب ریختن آبرویی باشد، در اوّلی جایز نیست که فتوا دهد، اگر چه فتوا موجب هلاکت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اوقات، فتوایی بر خلاف حکم واقعی اوّلی، صادر می شد ، طرف را بعد از آن آگاه می ساختند که آنچه در گذشته گفته اند، خلاف واقع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حفظ جان خودشان بوده و یا به جهت حفظ جان کسی بوده که برای او فتوا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یقطین، در مورد سه بار شستن اعضای وضو، به این مطلب تصریح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فتوا دادن بر خلاف ما 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مشکل است و از حیث فتوا دهنده و قبولی نظریّه اش از نظر عموم و عدم قبولی آن، متفاوت می باشد</w:t>
      </w:r>
      <w:r>
        <w:rPr>
          <w:rFonts w:eastAsia="IRNazanin" w:cs="IRNazanin"/>
          <w:color w:val="111111"/>
          <w:sz w:val="28"/>
          <w:szCs w:val="28"/>
          <w:rtl w:val="true"/>
          <w:lang w:bidi="fa-IR"/>
        </w:rPr>
        <w:t xml:space="preserve">». </w:t>
      </w:r>
      <w:r>
        <w:rPr>
          <w:rStyle w:val="FootnoteAnchor"/>
          <w:rtl w:val="true"/>
        </w:rPr>
        <w:footnoteReference w:id="46"/>
      </w:r>
      <w:bookmarkStart w:id="47" w:name="pg5199_64364"/>
    </w:p>
    <w:p>
      <w:pPr>
        <w:pStyle w:val="Heading2"/>
        <w:numPr>
          <w:ilvl w:val="1"/>
          <w:numId w:val="1"/>
        </w:numPr>
        <w:rPr/>
      </w:pPr>
      <w:bookmarkStart w:id="48" w:name="__RefHeading___Toc74568_581953129"/>
      <w:bookmarkStart w:id="49" w:name="_Toc18"/>
      <w:bookmarkEnd w:id="47"/>
      <w:bookmarkEnd w:id="48"/>
      <w:r>
        <w:rPr/>
        <w:t>5</w:t>
      </w:r>
      <w:r>
        <w:rPr>
          <w:rtl w:val="true"/>
        </w:rPr>
        <w:t xml:space="preserve">- </w:t>
      </w:r>
      <w:r>
        <w:rPr>
          <w:rtl w:val="true"/>
        </w:rPr>
        <w:t>تقیّه در سیاست</w:t>
      </w:r>
      <w:bookmarkEnd w:id="49"/>
    </w:p>
    <w:p>
      <w:pPr>
        <w:pStyle w:val="BookText"/>
        <w:rPr/>
      </w:pPr>
      <w:r>
        <w:rPr>
          <w:rFonts w:ascii="IRNazanin" w:hAnsi="IRNazanin" w:eastAsia="IRNazanin"/>
          <w:color w:val="111111"/>
          <w:sz w:val="28"/>
          <w:sz w:val="28"/>
          <w:szCs w:val="28"/>
          <w:rtl w:val="true"/>
          <w:lang w:bidi="fa-IR"/>
        </w:rPr>
        <w:t>وضعیّت این تقیّه هم روشن است و بیشتر تقیّه ها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تقیّه همیشه جایز نیست و همیشه هم واجب نیست بلکه در برخی از زمانها حرام هم بوده است،</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تقیّۀ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محرّمات و واجباتی است که در نظر شرع و متشرعین نهایت اهمّیّت را دارا هستند؛ مثل ویرانی کعبه و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اسلام و قرآن، تفسیر کردن آن چنان که مذهب را فاسد می نماید و با کفر تطبیق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زمانی که تقیّه کننده از نظر مردم، دارای جایگاه و منزلتی است؛ به شکلی که ارتکاب وی نسبت به برخی 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ترک کردن بعضی از واجبات، از موجبات وهن و هتک حرمت مذهب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اینها مهمتر آن جایی است که اصلی از اصول اسلام، یا مذهب و یا یکی از ضروریّات دین، در معرض از بین رفتن و نابودی و تغییر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جایز نیست؛ مثل این که منحرفان سرکش بخواهند احکام ارث،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دهند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50" w:name="pg5199_64365"/>
    </w:p>
    <w:p>
      <w:pPr>
        <w:pStyle w:val="BookText"/>
        <w:rPr/>
      </w:pPr>
      <w:bookmarkEnd w:id="50"/>
      <w:r>
        <w:rPr>
          <w:rFonts w:ascii="IRNazanin" w:hAnsi="IRNazanin" w:eastAsia="IRNazanin"/>
          <w:color w:val="111111"/>
          <w:sz w:val="28"/>
          <w:sz w:val="28"/>
          <w:szCs w:val="28"/>
          <w:rtl w:val="true"/>
          <w:lang w:bidi="fa-IR"/>
        </w:rPr>
        <w:t>علامۀ مظفّر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از نظر وجوب و عدم وجوب و بر حسب محلهایی که ترس از ضرر در آن جاست، احکامی دارد که در ابواب کتابهای علمای فقه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در هر حالی واجب نیست؛ بلکه گاهی جایز می باشد و یا در بعضی از حالات، خلاف آن واجب است؛ مثل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حق و آشکار کردن آن، برای یاری دین و خدمت به اسلام و جهاد در راه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اموال نادیده گرفته می شوند و جانها ارزش نخواهد داشت</w:t>
      </w:r>
      <w:r>
        <w:rPr>
          <w:rFonts w:eastAsia="IRNazanin" w:cs="IRNazanin"/>
          <w:color w:val="111111"/>
          <w:sz w:val="28"/>
          <w:szCs w:val="28"/>
          <w:rtl w:val="true"/>
          <w:lang w:bidi="fa-IR"/>
        </w:rPr>
        <w:t xml:space="preserve">». </w:t>
      </w:r>
      <w:r>
        <w:rPr>
          <w:rStyle w:val="FootnoteAnchor"/>
          <w:rtl w:val="true"/>
        </w:rPr>
        <w:footnoteReference w:id="48"/>
      </w:r>
    </w:p>
    <w:p>
      <w:pPr>
        <w:pStyle w:val="Heading2"/>
        <w:numPr>
          <w:ilvl w:val="1"/>
          <w:numId w:val="1"/>
        </w:numPr>
        <w:rPr/>
      </w:pPr>
      <w:bookmarkStart w:id="51" w:name="__RefHeading___Toc74570_581953129"/>
      <w:bookmarkStart w:id="52" w:name="_Toc19"/>
      <w:bookmarkEnd w:id="51"/>
      <w:r>
        <w:rPr>
          <w:rtl w:val="true"/>
        </w:rPr>
        <w:t>نتیجۀ بحث</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نظریّۀ کلّی اسلامی است که خدای تعالی، آن را در قرآن کریم تشریع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سنّت شریف نبوی نیز بر آن دلالت دارند؛ همچنان که نصوص فراوانی از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دارند و اصحاب و بزرگان، بدان عمل کرده اند و فقها نیز در عرصه های گوناگون در مورد آن فتوا داده اند و آن تا روز قیامت اصلی ماندگار است؛ همچنان که فخر رازی در تفسیرش بدان تصریح نموده و جایی برای انکار آن، باقی نمانده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تفسیر 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الکشّاف زمخشری؛ احکام القرآن ابن عربی؛ تفسیر کبیر فخر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121/20</w:t>
      </w:r>
      <w:r>
        <w:rPr>
          <w:rFonts w:ascii="IRNazanin" w:hAnsi="IRNazanin" w:eastAsia="IRNazanin"/>
          <w:b w:val="false"/>
          <w:b w:val="false"/>
          <w:bCs w:val="false"/>
          <w:i w:val="false"/>
          <w:i w:val="false"/>
          <w:iCs w:val="false"/>
          <w:color w:val="333333"/>
          <w:sz w:val="20"/>
          <w:sz w:val="20"/>
          <w:szCs w:val="20"/>
          <w:rtl w:val="true"/>
        </w:rPr>
        <w:t>؛ المغنی ابن قدامه؛ الجامع قرطبی؛ انوار التنزیل بیضاوی 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مراجعه به تفسیر دو آیۀ فوق در تفاسیر اهل سنّت، این امر روشن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تفسیر زمخشری؛ تفسیر خازن؛ تفسیر نسفی؛ تفسیر اسماعیل حقی؛ تفسیر طبری؛ تفسیر آلوسی؛ تفسیر محاسن التأویل جمال الدین قاسمی و تفسیر مراغی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تفاسیر، سیره 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چاپ آفاق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کتاب الادب، باب المداراة مع الناس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 باب حفظ العلم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معانی الآثار، طحاوی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الوتر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الاموال، ابی عیینه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الاذکیاء،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عمرو بن عبید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ابو حنیفه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التاویل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دار الفکر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180/10</w:t>
      </w:r>
      <w:r>
        <w:rPr>
          <w:rFonts w:ascii="IRNazanin" w:hAnsi="IRNazanin" w:eastAsia="IRNazanin"/>
          <w:b w:val="false"/>
          <w:b w:val="false"/>
          <w:bCs w:val="false"/>
          <w:i w:val="false"/>
          <w:i w:val="false"/>
          <w:iCs w:val="false"/>
          <w:color w:val="333333"/>
          <w:sz w:val="20"/>
          <w:sz w:val="20"/>
          <w:szCs w:val="20"/>
          <w:rtl w:val="true"/>
        </w:rPr>
        <w:t>؛ احکام القرآن، ابن عربی مالکی؛ المبسوط، سرخسی حنفی؛ بدایع الصنایع، کاشانی حنفی؛ المغنی، ابن قدامه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اشباه و 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المحیط، ابی حیان 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بدایع الصنایع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مجمع الانهر، افندی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چاپ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التقیّه، مرکز الرساله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التقیه، مرکز الرساله؛ بدایع الصنایع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؛الشنیعة فی نقد عقاید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تقیّه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منسوب به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تقیّه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تقیّه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 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دکتر محمّد رشاد سالم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باب العلم ، کتاب العلم، محاسن التأویل، قاسمی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الامر بالمعروف و النهی عن المنکر،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عقائد الامامیّه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6655</Words>
  <Characters>25648</Characters>
  <CharactersWithSpaces>32035</CharactersWithSpaces>
  <Paragraphs>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2026-08-19T00:11:34Z</dcterms:created>
  <dc:creator>ghaemiyeh.com</dc:creator>
  <dc:description/>
  <dc:language>en-US</dc:language>
  <cp:lastModifiedBy/>
  <dcterms:modified xsi:type="dcterms:W3CDTF">2026-08-19T03:41:36Z</dcterms:modified>
  <cp:revision>1</cp:revision>
  <dc:subject/>
  <dc:title>تقیه</dc:title>
</cp:coreProperties>
</file>

<file path=docProps/custom.xml><?xml version="1.0" encoding="utf-8"?>
<Properties xmlns="http://schemas.openxmlformats.org/officeDocument/2006/custom-properties" xmlns:vt="http://schemas.openxmlformats.org/officeDocument/2006/docPropsVTypes"/>
</file>