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الحیاة السیاسیة للامامین العسکریین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9974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9976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159978_774463916">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1159980_774463916">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159982_774463916">
            <w:r>
              <w:rPr>
                <w:webHidden/>
                <w:rStyle w:val="IndexLink"/>
                <w:rtl w:val="true"/>
              </w:rPr>
              <w:t>الجواد علیه السلام أعظم برکة</w:t>
            </w:r>
            <w:r>
              <w:rPr>
                <w:rStyle w:val="IndexLink"/>
                <w:rtl w:val="true"/>
              </w:rPr>
              <w:tab/>
            </w:r>
            <w:r>
              <w:rPr>
                <w:rStyle w:val="IndexLink"/>
              </w:rPr>
              <w:t>8</w:t>
            </w:r>
          </w:hyperlink>
        </w:p>
        <w:p>
          <w:pPr>
            <w:pStyle w:val="Contents3"/>
            <w:tabs>
              <w:tab w:val="clear" w:pos="8459"/>
              <w:tab w:val="right" w:pos="9026" w:leader="dot"/>
            </w:tabs>
            <w:rPr/>
          </w:pPr>
          <w:hyperlink w:anchor="__RefHeading___Toc1159984_774463916">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159986_774463916">
            <w:r>
              <w:rPr>
                <w:webHidden/>
                <w:rStyle w:val="IndexLink"/>
                <w:rtl w:val="true"/>
              </w:rPr>
              <w:t>منهاج المعرفة</w:t>
            </w:r>
            <w:r>
              <w:rPr>
                <w:rStyle w:val="IndexLink"/>
                <w:rtl w:val="true"/>
              </w:rPr>
              <w:t>:</w:t>
              <w:tab/>
            </w:r>
            <w:r>
              <w:rPr>
                <w:rStyle w:val="IndexLink"/>
              </w:rPr>
              <w:t>8</w:t>
            </w:r>
          </w:hyperlink>
        </w:p>
        <w:p>
          <w:pPr>
            <w:pStyle w:val="Contents3"/>
            <w:tabs>
              <w:tab w:val="clear" w:pos="8459"/>
              <w:tab w:val="right" w:pos="9026" w:leader="dot"/>
            </w:tabs>
            <w:rPr/>
          </w:pPr>
          <w:hyperlink w:anchor="__RefHeading___Toc1159988_774463916">
            <w:r>
              <w:rPr>
                <w:webHidden/>
                <w:rStyle w:val="IndexLink"/>
                <w:rtl w:val="true"/>
              </w:rPr>
              <w:t>مؤتمر باریس</w:t>
            </w:r>
            <w:r>
              <w:rPr>
                <w:rStyle w:val="IndexLink"/>
                <w:rtl w:val="true"/>
              </w:rPr>
              <w:t>:</w:t>
              <w:tab/>
            </w:r>
            <w:r>
              <w:rPr>
                <w:rStyle w:val="IndexLink"/>
              </w:rPr>
              <w:t>9</w:t>
            </w:r>
          </w:hyperlink>
        </w:p>
        <w:p>
          <w:pPr>
            <w:pStyle w:val="Contents3"/>
            <w:tabs>
              <w:tab w:val="clear" w:pos="8459"/>
              <w:tab w:val="right" w:pos="9026" w:leader="dot"/>
            </w:tabs>
            <w:rPr/>
          </w:pPr>
          <w:hyperlink w:anchor="__RefHeading___Toc1159990_774463916">
            <w:r>
              <w:rPr>
                <w:webHidden/>
                <w:rStyle w:val="IndexLink"/>
                <w:rtl w:val="true"/>
              </w:rPr>
              <w:t>إعتراف غربی بعلم أهل البیت علیهم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1159992_774463916">
            <w:r>
              <w:rPr>
                <w:webHidden/>
                <w:rStyle w:val="IndexLink"/>
                <w:rtl w:val="true"/>
              </w:rPr>
              <w:t>الإعجاز العلمی وعلوم أهل البیت علیهم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1159994_774463916">
            <w:r>
              <w:rPr>
                <w:webHidden/>
                <w:rStyle w:val="IndexLink"/>
                <w:rtl w:val="true"/>
              </w:rPr>
              <w:t>سند نهج البلاغة</w:t>
            </w:r>
            <w:r>
              <w:rPr>
                <w:rStyle w:val="IndexLink"/>
                <w:rtl w:val="true"/>
              </w:rPr>
              <w:t>:</w:t>
              <w:tab/>
            </w:r>
            <w:r>
              <w:rPr>
                <w:rStyle w:val="IndexLink"/>
              </w:rPr>
              <w:t>12</w:t>
            </w:r>
          </w:hyperlink>
        </w:p>
        <w:p>
          <w:pPr>
            <w:pStyle w:val="Contents3"/>
            <w:tabs>
              <w:tab w:val="clear" w:pos="8459"/>
              <w:tab w:val="right" w:pos="9026" w:leader="dot"/>
            </w:tabs>
            <w:rPr/>
          </w:pPr>
          <w:hyperlink w:anchor="__RefHeading___Toc1159996_774463916">
            <w:r>
              <w:rPr>
                <w:webHidden/>
                <w:rStyle w:val="IndexLink"/>
                <w:rtl w:val="true"/>
              </w:rPr>
              <w:t>ترجمة علوم أهل البیت علیهم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1159998_774463916">
            <w:r>
              <w:rPr>
                <w:webHidden/>
                <w:rStyle w:val="IndexLink"/>
                <w:rtl w:val="true"/>
              </w:rPr>
              <w:t>علم الإمام الجواد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160000_774463916">
            <w:r>
              <w:rPr>
                <w:webHidden/>
                <w:rStyle w:val="IndexLink"/>
                <w:rtl w:val="true"/>
              </w:rPr>
              <w:t>لماذا لقبا بالعسکریین علیهما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160002_774463916">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160004_774463916">
            <w:r>
              <w:rPr>
                <w:webHidden/>
                <w:rStyle w:val="IndexLink"/>
                <w:rtl w:val="true"/>
              </w:rPr>
              <w:t>سجن الإمام موسی بن جعفر 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1160006_774463916">
            <w:r>
              <w:rPr>
                <w:webHidden/>
                <w:rStyle w:val="IndexLink"/>
                <w:rtl w:val="true"/>
              </w:rPr>
              <w:t>سیطرة الإمامین العسکریین علی الساحة الإسلامیة</w:t>
            </w:r>
            <w:r>
              <w:rPr>
                <w:rStyle w:val="IndexLink"/>
                <w:rtl w:val="true"/>
              </w:rPr>
              <w:t>:</w:t>
              <w:tab/>
            </w:r>
            <w:r>
              <w:rPr>
                <w:rStyle w:val="IndexLink"/>
              </w:rPr>
              <w:t>25</w:t>
            </w:r>
          </w:hyperlink>
        </w:p>
        <w:p>
          <w:pPr>
            <w:pStyle w:val="Contents3"/>
            <w:tabs>
              <w:tab w:val="clear" w:pos="8459"/>
              <w:tab w:val="right" w:pos="9026" w:leader="dot"/>
            </w:tabs>
            <w:rPr/>
          </w:pPr>
          <w:hyperlink w:anchor="__RefHeading___Toc1160008_774463916">
            <w:r>
              <w:rPr>
                <w:webHidden/>
                <w:rStyle w:val="IndexLink"/>
                <w:rtl w:val="true"/>
              </w:rPr>
              <w:t>لماذا هذا التصعید</w:t>
            </w:r>
            <w:r>
              <w:rPr>
                <w:rStyle w:val="IndexLink"/>
                <w:rtl w:val="true"/>
              </w:rPr>
              <w:t>:</w:t>
              <w:tab/>
            </w:r>
            <w:r>
              <w:rPr>
                <w:rStyle w:val="IndexLink"/>
              </w:rPr>
              <w:t>25</w:t>
            </w:r>
          </w:hyperlink>
        </w:p>
        <w:p>
          <w:pPr>
            <w:pStyle w:val="Contents3"/>
            <w:tabs>
              <w:tab w:val="clear" w:pos="8459"/>
              <w:tab w:val="right" w:pos="9026" w:leader="dot"/>
            </w:tabs>
            <w:rPr/>
          </w:pPr>
          <w:hyperlink w:anchor="__RefHeading___Toc1160010_774463916">
            <w:r>
              <w:rPr>
                <w:webHidden/>
                <w:rStyle w:val="IndexLink"/>
                <w:rtl w:val="true"/>
              </w:rPr>
              <w:t>أسباب هذا الاستنفار</w:t>
            </w:r>
            <w:r>
              <w:rPr>
                <w:rStyle w:val="IndexLink"/>
                <w:rtl w:val="true"/>
              </w:rPr>
              <w:t>:</w:t>
              <w:tab/>
            </w:r>
            <w:r>
              <w:rPr>
                <w:rStyle w:val="IndexLink"/>
              </w:rPr>
              <w:t>28</w:t>
            </w:r>
          </w:hyperlink>
        </w:p>
        <w:p>
          <w:pPr>
            <w:pStyle w:val="Contents3"/>
            <w:tabs>
              <w:tab w:val="clear" w:pos="8459"/>
              <w:tab w:val="right" w:pos="9026" w:leader="dot"/>
            </w:tabs>
            <w:rPr/>
          </w:pPr>
          <w:hyperlink w:anchor="__RefHeading___Toc1160012_774463916">
            <w:r>
              <w:rPr>
                <w:webHidden/>
                <w:rStyle w:val="IndexLink"/>
                <w:rtl w:val="true"/>
              </w:rPr>
              <w:t>بیعة الأئِمَّة علیهم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1160014_774463916">
            <w:r>
              <w:rPr>
                <w:webHidden/>
                <w:rStyle w:val="IndexLink"/>
                <w:rtl w:val="true"/>
              </w:rPr>
              <w:t>الطائفیة والمذهبیة</w:t>
            </w:r>
            <w:r>
              <w:rPr>
                <w:rStyle w:val="IndexLink"/>
                <w:rtl w:val="true"/>
              </w:rPr>
              <w:t>:</w:t>
              <w:tab/>
            </w:r>
            <w:r>
              <w:rPr>
                <w:rStyle w:val="IndexLink"/>
              </w:rPr>
              <w:t>30</w:t>
            </w:r>
          </w:hyperlink>
        </w:p>
        <w:p>
          <w:pPr>
            <w:pStyle w:val="Contents3"/>
            <w:tabs>
              <w:tab w:val="clear" w:pos="8459"/>
              <w:tab w:val="right" w:pos="9026" w:leader="dot"/>
            </w:tabs>
            <w:rPr/>
          </w:pPr>
          <w:hyperlink w:anchor="__RefHeading___Toc1160016_774463916">
            <w:r>
              <w:rPr>
                <w:webHidden/>
                <w:rStyle w:val="IndexLink"/>
                <w:rtl w:val="true"/>
              </w:rPr>
              <w:t>خطاب للأخوة الإسماعیلیة</w:t>
            </w:r>
            <w:r>
              <w:rPr>
                <w:rStyle w:val="IndexLink"/>
                <w:rtl w:val="true"/>
              </w:rPr>
              <w:t>:</w:t>
              <w:tab/>
            </w:r>
            <w:r>
              <w:rPr>
                <w:rStyle w:val="IndexLink"/>
              </w:rPr>
              <w:t>32</w:t>
            </w:r>
          </w:hyperlink>
        </w:p>
        <w:p>
          <w:pPr>
            <w:pStyle w:val="Contents3"/>
            <w:tabs>
              <w:tab w:val="clear" w:pos="8459"/>
              <w:tab w:val="right" w:pos="9026" w:leader="dot"/>
            </w:tabs>
            <w:rPr/>
          </w:pPr>
          <w:hyperlink w:anchor="__RefHeading___Toc1160018_774463916">
            <w:r>
              <w:rPr>
                <w:webHidden/>
                <w:rStyle w:val="IndexLink"/>
                <w:rtl w:val="true"/>
              </w:rPr>
              <w:t>الإمام المعصوم والتخطیط السیاسی</w:t>
            </w:r>
            <w:r>
              <w:rPr>
                <w:rStyle w:val="IndexLink"/>
                <w:rtl w:val="true"/>
              </w:rPr>
              <w:t>:</w:t>
              <w:tab/>
            </w:r>
            <w:r>
              <w:rPr>
                <w:rStyle w:val="IndexLink"/>
              </w:rPr>
              <w:t>33</w:t>
            </w:r>
          </w:hyperlink>
        </w:p>
        <w:p>
          <w:pPr>
            <w:pStyle w:val="Contents3"/>
            <w:tabs>
              <w:tab w:val="clear" w:pos="8459"/>
              <w:tab w:val="right" w:pos="9026" w:leader="dot"/>
            </w:tabs>
            <w:rPr/>
          </w:pPr>
          <w:hyperlink w:anchor="__RefHeading___Toc1160020_774463916">
            <w:r>
              <w:rPr>
                <w:webHidden/>
                <w:rStyle w:val="IndexLink"/>
                <w:rtl w:val="true"/>
              </w:rPr>
              <w:t>البعد العملی لأهل البیت علیهم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160022_774463916">
            <w:r>
              <w:rPr>
                <w:webHidden/>
                <w:rStyle w:val="IndexLink"/>
                <w:rtl w:val="true"/>
              </w:rPr>
              <w:t>الخطة الأمنیة للإمامین العسکریین</w:t>
            </w:r>
            <w:r>
              <w:rPr>
                <w:rStyle w:val="IndexLink"/>
                <w:rtl w:val="true"/>
              </w:rPr>
              <w:t>(</w:t>
            </w:r>
            <w:r>
              <w:rPr>
                <w:rStyle w:val="IndexLink"/>
                <w:rtl w:val="true"/>
              </w:rPr>
              <w:t>علیهما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1160024_774463916">
            <w:r>
              <w:rPr>
                <w:webHidden/>
                <w:rStyle w:val="IndexLink"/>
                <w:rtl w:val="true"/>
              </w:rPr>
              <w:t>قوة تدبیر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الأمنیة</w:t>
            </w:r>
            <w:r>
              <w:rPr>
                <w:rStyle w:val="IndexLink"/>
                <w:rtl w:val="true"/>
              </w:rPr>
              <w:t>:</w:t>
              <w:tab/>
            </w:r>
            <w:r>
              <w:rPr>
                <w:rStyle w:val="IndexLink"/>
              </w:rPr>
              <w:t>39</w:t>
            </w:r>
          </w:hyperlink>
        </w:p>
        <w:p>
          <w:pPr>
            <w:pStyle w:val="Contents3"/>
            <w:tabs>
              <w:tab w:val="clear" w:pos="8459"/>
              <w:tab w:val="right" w:pos="9026" w:leader="dot"/>
            </w:tabs>
            <w:rPr/>
          </w:pPr>
          <w:hyperlink w:anchor="__RefHeading___Toc1160026_774463916">
            <w:r>
              <w:rPr>
                <w:webHidden/>
                <w:rStyle w:val="IndexLink"/>
                <w:rtl w:val="true"/>
              </w:rPr>
              <w:t>رُسُل الإمام الصادق</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2"/>
            <w:tabs>
              <w:tab w:val="clear" w:pos="8743"/>
              <w:tab w:val="right" w:pos="9026" w:leader="dot"/>
            </w:tabs>
            <w:rPr/>
          </w:pPr>
          <w:hyperlink w:anchor="__RefHeading___Toc1160028_774463916">
            <w:r>
              <w:rPr>
                <w:webHidden/>
                <w:rStyle w:val="IndexLink"/>
                <w:rtl w:val="true"/>
              </w:rPr>
              <w:t>الإمام الهادی علیهِ السلام قائد لا تهزّه العواصف</w:t>
            </w:r>
            <w:r>
              <w:rPr>
                <w:rStyle w:val="IndexLink"/>
                <w:rtl w:val="true"/>
              </w:rPr>
              <w:tab/>
            </w:r>
            <w:r>
              <w:rPr>
                <w:rStyle w:val="IndexLink"/>
              </w:rPr>
              <w:t>43</w:t>
            </w:r>
          </w:hyperlink>
        </w:p>
        <w:p>
          <w:pPr>
            <w:pStyle w:val="Contents3"/>
            <w:tabs>
              <w:tab w:val="clear" w:pos="8459"/>
              <w:tab w:val="right" w:pos="9026" w:leader="dot"/>
            </w:tabs>
            <w:rPr/>
          </w:pPr>
          <w:hyperlink w:anchor="__RefHeading___Toc1160030_774463916">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160032_774463916">
            <w:r>
              <w:rPr>
                <w:webHidden/>
                <w:rStyle w:val="IndexLink"/>
                <w:rtl w:val="true"/>
              </w:rPr>
              <w:t>الإمام المهدی</w:t>
            </w:r>
            <w:r>
              <w:rPr>
                <w:rStyle w:val="IndexLink"/>
                <w:rtl w:val="true"/>
              </w:rPr>
              <w:t>(</w:t>
            </w:r>
            <w:r>
              <w:rPr>
                <w:rStyle w:val="IndexLink"/>
                <w:rtl w:val="true"/>
              </w:rPr>
              <w:t>عج</w:t>
            </w:r>
            <w:r>
              <w:rPr>
                <w:rStyle w:val="IndexLink"/>
                <w:rtl w:val="true"/>
              </w:rPr>
              <w:t xml:space="preserve">) </w:t>
            </w:r>
            <w:r>
              <w:rPr>
                <w:rStyle w:val="IndexLink"/>
                <w:rtl w:val="true"/>
              </w:rPr>
              <w:t>یدیر شؤون الأمة بسریة تامّة</w:t>
            </w:r>
            <w:r>
              <w:rPr>
                <w:rStyle w:val="IndexLink"/>
                <w:rtl w:val="true"/>
              </w:rPr>
              <w:t>:</w:t>
              <w:tab/>
            </w:r>
            <w:r>
              <w:rPr>
                <w:rStyle w:val="IndexLink"/>
              </w:rPr>
              <w:t>46</w:t>
            </w:r>
          </w:hyperlink>
        </w:p>
        <w:p>
          <w:pPr>
            <w:pStyle w:val="Contents3"/>
            <w:tabs>
              <w:tab w:val="clear" w:pos="8459"/>
              <w:tab w:val="right" w:pos="9026" w:leader="dot"/>
            </w:tabs>
            <w:rPr/>
          </w:pPr>
          <w:hyperlink w:anchor="__RefHeading___Toc1160034_774463916">
            <w:r>
              <w:rPr>
                <w:webHidden/>
                <w:rStyle w:val="IndexLink"/>
                <w:rtl w:val="true"/>
              </w:rPr>
              <w:t>إعلان حالة الطواریء خوفاً من المهدی</w:t>
            </w:r>
            <w:r>
              <w:rPr>
                <w:rStyle w:val="IndexLink"/>
                <w:rtl w:val="true"/>
              </w:rPr>
              <w:t>(</w:t>
            </w:r>
            <w:r>
              <w:rPr>
                <w:rStyle w:val="IndexLink"/>
                <w:rtl w:val="true"/>
              </w:rPr>
              <w:t>عج</w:t>
            </w:r>
            <w:r>
              <w:rPr>
                <w:rStyle w:val="IndexLink"/>
                <w:rtl w:val="true"/>
              </w:rPr>
              <w:t>):</w:t>
              <w:tab/>
            </w:r>
            <w:r>
              <w:rPr>
                <w:rStyle w:val="IndexLink"/>
              </w:rPr>
              <w:t>48</w:t>
            </w:r>
          </w:hyperlink>
        </w:p>
        <w:p>
          <w:pPr>
            <w:pStyle w:val="Contents3"/>
            <w:tabs>
              <w:tab w:val="clear" w:pos="8459"/>
              <w:tab w:val="right" w:pos="9026" w:leader="dot"/>
            </w:tabs>
            <w:rPr/>
          </w:pPr>
          <w:hyperlink w:anchor="__RefHeading___Toc1160036_774463916">
            <w:r>
              <w:rPr>
                <w:webHidden/>
                <w:rStyle w:val="IndexLink"/>
                <w:rtl w:val="true"/>
              </w:rPr>
              <w:t>إجراءات أمنیة مشددة قبل ولادة المهدی</w:t>
            </w:r>
            <w:r>
              <w:rPr>
                <w:rStyle w:val="IndexLink"/>
                <w:rtl w:val="true"/>
              </w:rPr>
              <w:t>(</w:t>
            </w:r>
            <w:r>
              <w:rPr>
                <w:rStyle w:val="IndexLink"/>
                <w:rtl w:val="true"/>
              </w:rPr>
              <w:t>عج</w:t>
            </w:r>
            <w:r>
              <w:rPr>
                <w:rStyle w:val="IndexLink"/>
                <w:rtl w:val="true"/>
              </w:rPr>
              <w:t>):</w:t>
              <w:tab/>
            </w:r>
            <w:r>
              <w:rPr>
                <w:rStyle w:val="IndexLink"/>
              </w:rPr>
              <w:t>48</w:t>
            </w:r>
          </w:hyperlink>
        </w:p>
        <w:p>
          <w:pPr>
            <w:pStyle w:val="Contents3"/>
            <w:tabs>
              <w:tab w:val="clear" w:pos="8459"/>
              <w:tab w:val="right" w:pos="9026" w:leader="dot"/>
            </w:tabs>
            <w:rPr/>
          </w:pPr>
          <w:hyperlink w:anchor="__RefHeading___Toc1160038_774463916">
            <w:r>
              <w:rPr>
                <w:webHidden/>
                <w:rStyle w:val="IndexLink"/>
                <w:rtl w:val="true"/>
              </w:rPr>
              <w:t>القیادة الرشیدة للإمامین العسکریین</w:t>
            </w:r>
            <w:r>
              <w:rPr>
                <w:rStyle w:val="IndexLink"/>
                <w:rtl w:val="true"/>
              </w:rPr>
              <w:t>(</w:t>
            </w:r>
            <w:r>
              <w:rPr>
                <w:rStyle w:val="IndexLink"/>
                <w:rtl w:val="true"/>
              </w:rPr>
              <w:t>علیهما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1160040_774463916">
            <w:r>
              <w:rPr>
                <w:webHidden/>
                <w:rStyle w:val="IndexLink"/>
                <w:rtl w:val="true"/>
              </w:rPr>
              <w:t>التمهید لغیبة الإمام المهدی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160042_774463916">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160044_774463916">
            <w:r>
              <w:rPr>
                <w:webHidden/>
                <w:rStyle w:val="IndexLink"/>
                <w:rtl w:val="true"/>
              </w:rPr>
              <w:t>النقطة الثانیة</w:t>
            </w:r>
            <w:r>
              <w:rPr>
                <w:rStyle w:val="IndexLink"/>
                <w:rtl w:val="true"/>
              </w:rPr>
              <w:t xml:space="preserve">: </w:t>
            </w:r>
            <w:r>
              <w:rPr>
                <w:rStyle w:val="IndexLink"/>
                <w:rtl w:val="true"/>
              </w:rPr>
              <w:t>علماء وشیعة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فی زمن الأئمة</w:t>
            </w:r>
            <w:r>
              <w:rPr>
                <w:rStyle w:val="IndexLink"/>
                <w:rtl w:val="true"/>
              </w:rPr>
              <w:t>(</w:t>
            </w:r>
            <w:r>
              <w:rPr>
                <w:rStyle w:val="IndexLink"/>
                <w:rtl w:val="true"/>
              </w:rPr>
              <w:t>علیهم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1160046_774463916">
            <w:r>
              <w:rPr>
                <w:webHidden/>
                <w:rStyle w:val="IndexLink"/>
                <w:rtl w:val="true"/>
              </w:rPr>
              <w:t>هدم قبور الإمامین العسکریین</w:t>
            </w:r>
            <w:r>
              <w:rPr>
                <w:rStyle w:val="IndexLink"/>
                <w:rtl w:val="true"/>
              </w:rPr>
              <w:t>(</w:t>
            </w:r>
            <w:r>
              <w:rPr>
                <w:rStyle w:val="IndexLink"/>
                <w:rtl w:val="true"/>
              </w:rPr>
              <w:t>علیهما السلام</w:t>
            </w:r>
            <w:r>
              <w:rPr>
                <w:rStyle w:val="IndexLink"/>
                <w:rtl w:val="true"/>
              </w:rPr>
              <w:t>):</w:t>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83_31651"/>
      <w:bookmarkStart w:id="1" w:name="pg5083_31651"/>
      <w:bookmarkEnd w:id="1"/>
    </w:p>
    <w:p>
      <w:pPr>
        <w:pStyle w:val="Heading2"/>
        <w:numPr>
          <w:ilvl w:val="1"/>
          <w:numId w:val="1"/>
        </w:numPr>
        <w:rPr/>
      </w:pPr>
      <w:bookmarkStart w:id="2" w:name="pg5083_31651"/>
      <w:bookmarkStart w:id="3" w:name="__RefHeading___Toc115997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السیاسیة للامامین العسکریین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9976_774463916"/>
      <w:bookmarkStart w:id="6" w:name="_Toc2"/>
      <w:bookmarkEnd w:id="5"/>
      <w:r>
        <w:rPr>
          <w:rtl w:val="true"/>
        </w:rPr>
        <w:t>اشارة</w:t>
      </w:r>
      <w:bookmarkStart w:id="7" w:name="pg5083_31661"/>
      <w:bookmarkEnd w:id="6"/>
    </w:p>
    <w:p>
      <w:pPr>
        <w:pStyle w:val="Heading2"/>
        <w:numPr>
          <w:ilvl w:val="1"/>
          <w:numId w:val="1"/>
        </w:numPr>
        <w:rPr/>
      </w:pPr>
      <w:bookmarkStart w:id="8" w:name="__RefHeading___Toc1159978_774463916"/>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سیدة النساء فاطمة</w:t>
      </w:r>
    </w:p>
    <w:p>
      <w:pPr>
        <w:pStyle w:val="BookText"/>
        <w:rPr/>
      </w:pPr>
      <w:r>
        <w:rPr>
          <w:rFonts w:ascii="IRNazanin" w:hAnsi="IRNazanin" w:eastAsia="IRNazanin"/>
          <w:color w:val="111111"/>
          <w:sz w:val="28"/>
          <w:sz w:val="28"/>
          <w:szCs w:val="28"/>
          <w:rtl w:val="true"/>
          <w:lang w:bidi="fa-IR"/>
        </w:rPr>
        <w:t>إلی بضعة سید الأنبیاء فاطمة</w:t>
      </w:r>
    </w:p>
    <w:p>
      <w:pPr>
        <w:pStyle w:val="BookText"/>
        <w:rPr/>
      </w:pPr>
      <w:r>
        <w:rPr>
          <w:rFonts w:ascii="IRNazanin" w:hAnsi="IRNazanin" w:eastAsia="IRNazanin"/>
          <w:color w:val="111111"/>
          <w:sz w:val="28"/>
          <w:sz w:val="28"/>
          <w:szCs w:val="28"/>
          <w:rtl w:val="true"/>
          <w:lang w:bidi="fa-IR"/>
        </w:rPr>
        <w:t>إلی زوجة سید الأوصیاء فاطمة</w:t>
      </w:r>
    </w:p>
    <w:p>
      <w:pPr>
        <w:pStyle w:val="BookText"/>
        <w:rPr/>
      </w:pPr>
      <w:r>
        <w:rPr>
          <w:rFonts w:ascii="IRNazanin" w:hAnsi="IRNazanin" w:eastAsia="IRNazanin"/>
          <w:color w:val="111111"/>
          <w:sz w:val="28"/>
          <w:sz w:val="28"/>
          <w:szCs w:val="28"/>
          <w:rtl w:val="true"/>
          <w:lang w:bidi="fa-IR"/>
        </w:rPr>
        <w:t>إلی القائدة الحامیة والذائدة الساعیة</w:t>
      </w:r>
    </w:p>
    <w:p>
      <w:pPr>
        <w:pStyle w:val="BookText"/>
        <w:rPr/>
      </w:pPr>
      <w:r>
        <w:rPr>
          <w:rFonts w:ascii="IRNazanin" w:hAnsi="IRNazanin" w:eastAsia="IRNazanin"/>
          <w:color w:val="111111"/>
          <w:sz w:val="28"/>
          <w:sz w:val="28"/>
          <w:szCs w:val="28"/>
          <w:rtl w:val="true"/>
          <w:lang w:bidi="fa-IR"/>
        </w:rPr>
        <w:t>إلی التی عصمها الله من الذنوب، وبرأها من العیوب، وأتمنها علی الغیوب</w:t>
      </w:r>
    </w:p>
    <w:p>
      <w:pPr>
        <w:pStyle w:val="BookText"/>
        <w:rPr/>
      </w:pPr>
      <w:r>
        <w:rPr>
          <w:rFonts w:ascii="IRNazanin" w:hAnsi="IRNazanin" w:eastAsia="IRNazanin"/>
          <w:color w:val="111111"/>
          <w:sz w:val="28"/>
          <w:sz w:val="28"/>
          <w:szCs w:val="28"/>
          <w:rtl w:val="true"/>
          <w:lang w:bidi="fa-IR"/>
        </w:rPr>
        <w:t>إلی سیدة الوری والآیة الکبری والحجة العظمی والدعوة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سیدتی أهدی إلیک هذا الجهد المتواضع راجیاً منک القبول</w:t>
      </w:r>
    </w:p>
    <w:p>
      <w:pPr>
        <w:pStyle w:val="BookText"/>
        <w:rPr/>
      </w:pPr>
      <w:r>
        <w:rPr>
          <w:rFonts w:ascii="IRNazanin" w:hAnsi="IRNazanin" w:eastAsia="IRNazanin"/>
          <w:color w:val="111111"/>
          <w:sz w:val="28"/>
          <w:sz w:val="28"/>
          <w:szCs w:val="28"/>
          <w:rtl w:val="true"/>
          <w:lang w:bidi="fa-IR"/>
        </w:rPr>
        <w:t>عبدک الأبق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w:t>
      </w:r>
      <w:bookmarkStart w:id="10" w:name="pg5083_31664"/>
    </w:p>
    <w:p>
      <w:pPr>
        <w:pStyle w:val="Heading2"/>
        <w:numPr>
          <w:ilvl w:val="1"/>
          <w:numId w:val="1"/>
        </w:numPr>
        <w:rPr/>
      </w:pPr>
      <w:bookmarkStart w:id="11" w:name="__RefHeading___Toc1159980_774463916"/>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وصلی الله علی خیر الخلق مُحمَّد وآله الطیبین الطاهرین واللعنة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الکتاب هو عبارة عن محاضرتین ألقاهما سماحة الأُستاذ آیة الله الشیخ مُحمَّد السند فی جوار المرقد الطاهر للإمام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بمناسبة الذکری السنویة لاستشهاد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بیَّن سماحته سبب الاستنفار والتخوُّف من الدولة العباسیة تجاه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هی الدواعی التی جعلت الدولة العباسیة تفرض الإقامة الجبریة علی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أعلنت حالة الطوارئ العسکریة والأمنیة فی وزارتی الدفاع والداخلیة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الأسباب التی جعلت الدولة العباسیة تستعرض استعراضاً عسکریاً ضخماً أمام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کل هذهِ</w:t>
      </w:r>
    </w:p>
    <w:p>
      <w:pPr>
        <w:pStyle w:val="BookText"/>
        <w:rPr/>
      </w:pPr>
      <w:r>
        <w:rPr>
          <w:rFonts w:ascii="IRNazanin" w:hAnsi="IRNazanin" w:eastAsia="IRNazanin"/>
          <w:color w:val="111111"/>
          <w:sz w:val="28"/>
          <w:sz w:val="28"/>
          <w:szCs w:val="28"/>
          <w:rtl w:val="true"/>
          <w:lang w:bidi="fa-IR"/>
        </w:rPr>
        <w:t>التحدیات والمصاعب فإنَّ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یترکوا الأمّة الإسلامیة سدیً، بلْ کانت قیادتهم لکل الدولة الإسلامیة ولیسَ فی سامراء أو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کانت تحت سریة تامّة ولکن استطاعت هذهِ القیادة الإلهیة أنْ تسیطر علی وضع الأمّة الإسلامیة دینیاً واقتصادیاً وسیاسیاً وأمنیاً، حتّی سلمت زمام القیادة والإمامة إلی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بعدما حافظت علیه أمناً من الدولة الحاکمة الظالمة التی کانت تراقب بشدة الوضع لمعرفة ولادته کی یتمّ اعتقاله ومن ثم تصفیته کما فعلت ذلک مع آبائه وأجداده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کل هذهِ الظروف الأمنیة استطاع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یحافظ علی حجة الله والقائم من بعده لقیادة العالم کُلَّه من شماله إلی جنوبه، ومن غربه إلی شرقه؛ حتّی لا تخلو الأرض من حجة فتسیخ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بدأت القیادة الجدیدة بإدارة الأمور ولکن بقیادة خفیة، ومع خفائه هذا أرعب العالم وأرهبهم، کلّ هذا سوف تجده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طیّات هذا الکتاب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نسأل من الله القبول والرضا والتمسُّک بولایة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علی نهجهم وسیرتهم تحت قیادة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13" w:name="pg5083_31668"/>
    </w:p>
    <w:p>
      <w:pPr>
        <w:pStyle w:val="Heading2"/>
        <w:numPr>
          <w:ilvl w:val="1"/>
          <w:numId w:val="1"/>
        </w:numPr>
        <w:rPr/>
      </w:pPr>
      <w:bookmarkStart w:id="14" w:name="__RefHeading___Toc1159982_774463916"/>
      <w:bookmarkStart w:id="15" w:name="_Toc5"/>
      <w:bookmarkEnd w:id="13"/>
      <w:bookmarkEnd w:id="14"/>
      <w:r>
        <w:rPr>
          <w:rtl w:val="true"/>
        </w:rPr>
        <w:t>الجواد علیه السلام أعظم برکة</w:t>
      </w:r>
      <w:bookmarkEnd w:id="15"/>
    </w:p>
    <w:p>
      <w:pPr>
        <w:pStyle w:val="Heading3"/>
        <w:numPr>
          <w:ilvl w:val="2"/>
          <w:numId w:val="1"/>
        </w:numPr>
        <w:rPr/>
      </w:pPr>
      <w:bookmarkStart w:id="16" w:name="__RefHeading___Toc1159984_774463916"/>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وَرَدَ فی حقّ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نعوت خاصّة بهم، وقدْ امتاز کل إمام معصوم بنعت خاصّ، وإنْ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نور واحد، ومن بین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وَرَدَ علی لسان جملة من آبائه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أعظم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یحیی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بمکّة، وکان یقشِّر موزاً ویطعم أبا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المولود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یحی هذا المولود الذی لم یولد فی الإسلام مولود أعظم برکة علی شیعتنا منه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ولتوضیح هذا النعت الشریف لابدَّ أنْ نبیِّن بعض الأمور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59986_774463916"/>
      <w:bookmarkStart w:id="19" w:name="_Toc7"/>
      <w:bookmarkEnd w:id="18"/>
      <w:r>
        <w:rPr>
          <w:rtl w:val="true"/>
        </w:rPr>
        <w:t>منهاج المعرفة</w:t>
      </w:r>
      <w:r>
        <w:rPr>
          <w:rtl w:val="true"/>
        </w:rPr>
        <w: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جملة من علماء الإمامیة الأکابر کالشیخ المفید والسید المرتضی والشیخ الطبرسی وغیرهم، یؤکِّدون ویرکِّزون علی أنَّ دلائل وبراهین إمامة أهل</w:t>
      </w:r>
      <w:bookmarkStart w:id="20" w:name="pg5083_31670"/>
    </w:p>
    <w:p>
      <w:pPr>
        <w:pStyle w:val="BookText"/>
        <w:rPr/>
      </w:pPr>
      <w:bookmarkEnd w:id="20"/>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مختصّة وغیر مقتصرة علی النصّ القرآنی أو النص النبوی أی النص الوحیانی مع شرفیته وعظمته، ولکن لا یظن أحد أنَّ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دلیلها یقتصر حصریاً علی منهج الأمینی فی کتابه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مناهج أُخری کثیرة غیر منهج النصّ کما فی کتاب ملحمة الغدیر لبولس سلامة مع أنَّه مسیحی إلّا أنَّ کتابه هذا بیَّن فیه إمامة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بمنهج وبیان آخر وکمصافقة ومصادقة منظمة الأمم المتحدة علی اتخاذ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قواعد النظام الاداری القانونی للدولة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للتقنین للدولة العصریة بل اتخاذ کل نهج البلاغة مصدراً من مصادر التقنین لدول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فاطمة وترقی مُحمَّد لسلیمان کتانی، وهو منهج آخر فی بیان مقام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منهج النصّ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مناهج أُخری لإمامة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نعبِّر مناهج فی الدلالات علی 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یعنی أنَّ نتیجة هذهِ الدلالات فقط وفقط هی الوصول إلی الیقین والإیمان بإمامة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الأمر أعظم من هذهِ المعرفة، فإنَّ هذهِ المعرفة إذا تکاملت وعرفت تفصیل هذهِ المعرفة فسوف تکون أکمل للجانب الفکری</w:t>
      </w:r>
      <w:r>
        <w:rPr>
          <w:rFonts w:eastAsia="IRNazanin" w:cs="IRNazanin"/>
          <w:color w:val="111111"/>
          <w:sz w:val="28"/>
          <w:szCs w:val="28"/>
          <w:rtl w:val="true"/>
          <w:lang w:bidi="fa-IR"/>
        </w:rPr>
        <w:t>.</w:t>
      </w:r>
    </w:p>
    <w:p>
      <w:pPr>
        <w:pStyle w:val="Heading3"/>
        <w:numPr>
          <w:ilvl w:val="2"/>
          <w:numId w:val="1"/>
        </w:numPr>
        <w:rPr/>
      </w:pPr>
      <w:bookmarkStart w:id="21" w:name="__RefHeading___Toc1159988_774463916"/>
      <w:bookmarkStart w:id="22" w:name="_Toc8"/>
      <w:bookmarkEnd w:id="21"/>
      <w:r>
        <w:rPr>
          <w:rtl w:val="true"/>
        </w:rPr>
        <w:t>مؤتمر باریس</w:t>
      </w:r>
      <w:r>
        <w:rPr>
          <w:rtl w:val="true"/>
        </w:rPr>
        <w:t>:</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عقد السبعینات المیلادیة عقد مؤتمر دولی فی فرنسا حول شخصیة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شارک فیه بکتابة البحوث خمسة وعشرون شخصیة علمیة عالمیة من الجامعات الدولیة، وکان أحد هؤلاء هو السید</w:t>
      </w:r>
      <w:bookmarkStart w:id="23" w:name="pg5083_31672"/>
    </w:p>
    <w:p>
      <w:pPr>
        <w:pStyle w:val="BookText"/>
        <w:rPr/>
      </w:pPr>
      <w:bookmarkEnd w:id="23"/>
      <w:r>
        <w:rPr>
          <w:rFonts w:ascii="IRNazanin" w:hAnsi="IRNazanin" w:eastAsia="IRNazanin"/>
          <w:color w:val="111111"/>
          <w:sz w:val="28"/>
          <w:sz w:val="28"/>
          <w:szCs w:val="28"/>
          <w:rtl w:val="true"/>
          <w:lang w:bidi="fa-IR"/>
        </w:rPr>
        <w:t>موسی الصدر، وقد طبعت مقالاتهم وترجمت باللغة الانجلیزیة واللغة الفرنسیة وطبعت فی کتاب خاص لحیاة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طُبِعَ هذا الکتاب عِدَّة طبعات، وکان هذا الکتاب منهج جدید للتعرُّف علی شخصیة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الشخصیة العلمیة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کروَّاد متمیزین فی البشر ینهل منهم مجتمعات وأجیال وبلدان البشر إینما کانوا</w:t>
      </w:r>
      <w:r>
        <w:rPr>
          <w:rFonts w:eastAsia="IRNazanin" w:cs="IRNazanin"/>
          <w:color w:val="111111"/>
          <w:sz w:val="28"/>
          <w:szCs w:val="28"/>
          <w:rtl w:val="true"/>
          <w:lang w:bidi="fa-IR"/>
        </w:rPr>
        <w:t>.</w:t>
      </w:r>
    </w:p>
    <w:p>
      <w:pPr>
        <w:pStyle w:val="Heading3"/>
        <w:numPr>
          <w:ilvl w:val="2"/>
          <w:numId w:val="1"/>
        </w:numPr>
        <w:rPr/>
      </w:pPr>
      <w:bookmarkStart w:id="24" w:name="__RefHeading___Toc1159990_774463916"/>
      <w:bookmarkStart w:id="25" w:name="_Toc9"/>
      <w:bookmarkEnd w:id="24"/>
      <w:r>
        <w:rPr>
          <w:rtl w:val="true"/>
        </w:rPr>
        <w:t>إعتراف غربی بعلم أهل البیت علیهم السلام</w:t>
      </w:r>
      <w:r>
        <w:rPr>
          <w:rtl w:val="true"/>
        </w:rPr>
        <w:t>:</w:t>
      </w:r>
      <w:bookmarkEnd w:id="25"/>
    </w:p>
    <w:p>
      <w:pPr>
        <w:pStyle w:val="BookText"/>
        <w:rPr/>
      </w:pPr>
      <w:r>
        <w:rPr>
          <w:rFonts w:ascii="IRNazanin" w:hAnsi="IRNazanin" w:eastAsia="IRNazanin"/>
          <w:color w:val="111111"/>
          <w:sz w:val="28"/>
          <w:sz w:val="28"/>
          <w:szCs w:val="28"/>
          <w:rtl w:val="true"/>
          <w:lang w:bidi="fa-IR"/>
        </w:rPr>
        <w:t>فی خطاب للرئیس الأمریکی أوباما ألقاه فی مصر یخاطب فیه المسلمین، اعترف من خلاله أنَّ الذی نقل العلم الحدیث إلی أوروبا ومن أوروبا إلی الأمریکیین ثم إلی شرقها وغربها هو جامع الأزهر، وجامع الأزهر هو جامع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بُنی فی عهد الفاطمیین، وباعتراف من جمیع المسلمین، وکما هو معروف، أنَّ الدولة الفاطمیة کانت دولة شیعیة وتابعة لمدرسة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العبارة التی أطلقها هذا الرئیس لیست صدفةً أو عبطاً؛ لأنَّه خطاب حسّاس بلْ تم إعداده من قبل مراکز دراسات ضخمة فی أمریکا، وفی الواقع هذهِ اعترافات حضاریة من البشر فی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اعتراف خطیر، فإنَّ من الذین أولدوا هذهِ العلوم التجریبیة الحدیثة برمّتها هو جابر بن حیّان الذی هو تلمیذ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وباعتراف منهم، وهذا ما مدوَّن فی الموسوعة البریطانیة الموجودة الآن عندهم، وتعتبر هذهِ الموسوعة من أوثق الموسوعات بلحاظ العلوم الحدیثة</w:t>
      </w:r>
      <w:r>
        <w:rPr>
          <w:rFonts w:eastAsia="IRNazanin" w:cs="IRNazanin"/>
          <w:color w:val="111111"/>
          <w:sz w:val="28"/>
          <w:szCs w:val="28"/>
          <w:rtl w:val="true"/>
          <w:lang w:bidi="fa-IR"/>
        </w:rPr>
        <w:t>.</w:t>
      </w:r>
      <w:bookmarkStart w:id="26" w:name="pg5083_31674"/>
    </w:p>
    <w:p>
      <w:pPr>
        <w:pStyle w:val="Heading3"/>
        <w:numPr>
          <w:ilvl w:val="2"/>
          <w:numId w:val="1"/>
        </w:numPr>
        <w:rPr/>
      </w:pPr>
      <w:bookmarkStart w:id="27" w:name="__RefHeading___Toc1159992_774463916"/>
      <w:bookmarkStart w:id="28" w:name="_Toc10"/>
      <w:bookmarkEnd w:id="26"/>
      <w:bookmarkEnd w:id="27"/>
      <w:r>
        <w:rPr>
          <w:rtl w:val="true"/>
        </w:rPr>
        <w:t>الإعجاز العلمی وعلوم أهل البیت علیهم السلام</w:t>
      </w:r>
      <w:r>
        <w:rPr>
          <w:rtl w:val="true"/>
        </w:rPr>
        <w:t>:</w:t>
      </w:r>
      <w:bookmarkEnd w:id="28"/>
    </w:p>
    <w:p>
      <w:pPr>
        <w:pStyle w:val="BookText"/>
        <w:rPr/>
      </w:pPr>
      <w:r>
        <w:rPr>
          <w:rFonts w:ascii="IRNazanin" w:hAnsi="IRNazanin" w:eastAsia="IRNazanin"/>
          <w:color w:val="111111"/>
          <w:sz w:val="28"/>
          <w:sz w:val="28"/>
          <w:szCs w:val="28"/>
          <w:rtl w:val="true"/>
          <w:lang w:bidi="fa-IR"/>
        </w:rPr>
        <w:t>وإذا أردنا أنْ نعرف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وریادتهم للبشر فلا یمکن حصر هذهِ المعرفة بظاهر النصّ الوحیانی، فإنَّ أحد الدلائل البینة الأُخری التی هی دلائل عقلائیة بشریة برهانیة هی علومهم المأثورة، فإنَّ علومهم معجزة خالدة کما أنَّ القرآن هو معجزة خالدة إلی یومنا هذا، فإنَّ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إنِّی تارکٌ فیکم الثقلین کتاب الله عَزَّ وَجَلَّ، وعترتی</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العترة وعلومهم، فإنَّ إعجاز القرآن لاینحصر فی الإعجاز البلاغی بلْ هناک إعجازات عدیدة منها الإعجاز العلمی أیضاً، فکذلک إعجاز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عدل القرآن بمعنی علوم أهل البیت توازی وتطابق وتتحد مع علوم القرآن وتضاهیها فی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أی لون من الإعجاز القرآنی إذا لمسناه فی القرآن نستطیع أنْ نلتمس نفس ذلک اللون الإعجازی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أردنا أنْ نعرف أنفسنا إلی من ننتمی، وإلی أی جامعة بشریة علمیة‌معینة فلابدَّ لنا أنْ نعرف أننا ننتمی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شتی من العلوم الإنسانیة، والعلوم القانونیة، والمعرفیة، والإیدیولوجیة، علوم فی الجانب الفلسفی، بلْ فی کل العلوم الطبیعیة المادیة مثل جانب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معناه أنَّ التحدی العلمی والإعجاز باقٍ، وعلم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السبل والأبواب المختلفة لا زال فی مرمی التحدّی مع البشر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یجهل الکثیر من السلفیة أو الوهابیة أو العلمانیة، أو من المثقفین عندما</w:t>
      </w:r>
      <w:bookmarkStart w:id="29" w:name="pg5083_31676"/>
    </w:p>
    <w:p>
      <w:pPr>
        <w:pStyle w:val="BookText"/>
        <w:rPr/>
      </w:pPr>
      <w:bookmarkEnd w:id="29"/>
      <w:r>
        <w:rPr>
          <w:rFonts w:ascii="IRNazanin" w:hAnsi="IRNazanin" w:eastAsia="IRNazanin"/>
          <w:color w:val="111111"/>
          <w:sz w:val="28"/>
          <w:sz w:val="28"/>
          <w:szCs w:val="28"/>
          <w:rtl w:val="true"/>
          <w:lang w:bidi="fa-IR"/>
        </w:rPr>
        <w:t>یظنون بأننا نستند فی انتمائنا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نستند فقط إلی النصّ التعبدی أو النص القرآنی أو النبوی، نعم وإنْ کان هذا مستنداً عظیماً ولکن لیسَ منحصراً فیه فقط، فإننا لا ننتمی إلی جهة مجهولة بلْ إلی جهة معروفة بهذا الإعجاز العلمی المستمر مواکبة فی تحدیه لمسیرة العلوم البشریة، فلدیهم أبواباً من العلم فی کل مجالات الحیاة، کعلم النفس، وعلم الأسرة، وعلم المجتمع، وعلم البیئة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فی القرآن الکریم جانب إعجازی أی بلاغی فانظر إلی نهج البلاغة والصحیفة السجادیة، وانظر إلی أی إعجاز بلاغی موجود فیهما، وإن کان إعجاز القرآن أعظم من کلام المخلوق ، وإن کان قد اصطفاه الله</w:t>
      </w:r>
      <w:r>
        <w:rPr>
          <w:rFonts w:eastAsia="IRNazanin" w:cs="IRNazanin"/>
          <w:color w:val="111111"/>
          <w:sz w:val="28"/>
          <w:szCs w:val="28"/>
          <w:rtl w:val="true"/>
          <w:lang w:bidi="fa-IR"/>
        </w:rPr>
        <w:t>.</w:t>
      </w:r>
    </w:p>
    <w:p>
      <w:pPr>
        <w:pStyle w:val="Heading3"/>
        <w:numPr>
          <w:ilvl w:val="2"/>
          <w:numId w:val="1"/>
        </w:numPr>
        <w:rPr/>
      </w:pPr>
      <w:bookmarkStart w:id="30" w:name="__RefHeading___Toc1159994_774463916"/>
      <w:bookmarkStart w:id="31" w:name="_Toc11"/>
      <w:bookmarkEnd w:id="30"/>
      <w:r>
        <w:rPr>
          <w:rtl w:val="true"/>
        </w:rPr>
        <w:t>سند نهج البلاغة</w:t>
      </w:r>
      <w:r>
        <w:rPr>
          <w:rtl w:val="true"/>
        </w:rPr>
        <w:t>:</w:t>
      </w:r>
      <w:bookmarkEnd w:id="31"/>
    </w:p>
    <w:p>
      <w:pPr>
        <w:pStyle w:val="BookText"/>
        <w:rPr/>
      </w:pPr>
      <w:r>
        <w:rPr>
          <w:rFonts w:ascii="IRNazanin" w:hAnsi="IRNazanin" w:eastAsia="IRNazanin"/>
          <w:color w:val="111111"/>
          <w:sz w:val="28"/>
          <w:sz w:val="28"/>
          <w:szCs w:val="28"/>
          <w:rtl w:val="true"/>
          <w:lang w:bidi="fa-IR"/>
        </w:rPr>
        <w:t>إنَّ قدرة منظومة المضمون فی نهج البلاغة هو فوق قدرة البشر، والبعض نراه یسال عن أسانید نهج البلاغة، فإنَّ نهج البلاغة لا یتوقف أو یتکیء علی البشر الرواة کی نصحح أسانیده من خلال مساجلاتنا مع الوهابیة أو السلفیة أو مع المثقفین العلمانیین، فحاشا لنهج البلاغة أنْ یتوقف علی هکذا أمر، کما نقول هذا للقرآن الکریم ، حاشا حجیة القرآن الوحیانیة أنْ یتوقف علی تواتر نقل المسلمین فی إثبات نفسه، فکذلک نهج البلاغة والصحیفة السجادیة بلْ وکذلک کتاب تحف العقول وتوحید المفضل وغیر ذلک من التراث الروائی الحدیثی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أنْ نقول أنَّ وثاقة الرواة من البشر تکون مولِّدة لوثاقة نهج البلاغة، فهو لیس شعراً وخطابةً، بلْ بحث علمی برهانی فوقانی، فالقطع</w:t>
      </w:r>
    </w:p>
    <w:p>
      <w:pPr>
        <w:pStyle w:val="BookText"/>
        <w:rPr/>
      </w:pPr>
      <w:r>
        <w:rPr>
          <w:rFonts w:ascii="IRNazanin" w:hAnsi="IRNazanin" w:eastAsia="IRNazanin"/>
          <w:color w:val="111111"/>
          <w:sz w:val="28"/>
          <w:sz w:val="28"/>
          <w:szCs w:val="28"/>
          <w:rtl w:val="true"/>
          <w:lang w:bidi="fa-IR"/>
        </w:rPr>
        <w:t>والیقین والإعجاز الموجود فیه لا یصل إلیه الرواة الصحاح ولا یصل إلیه حتّی التواتر؛ لأنَّ التواتر غایة ما یوصلنا إلی الصدور فقط بدرجة الیقین الحسی لا بدرجة الیقین الوحیانی الذی هو أرفع من الیقین الحسی، والیقین الحسی بصدور الألفاظ لا یعطیک الیقین بعموم مضمون ما صدر، فعلم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أکبر الدلائل العظیمة علی إمامتهم الإلهیة، ولذلک قالوا وأکَّدوا علی أنْ لو علم الناس محاسن کلامنا لأتبعونا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والمحاسن هنا لیست معناها البلاغة بلْ علو العلوم التی توصل الإنسان إلی برِّ الأمان؛ لأنَّ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الحقیقة أنْ تنتشر، فمثلاً العدالة المطروحة فی الساحة الدولیة فی أبعادها الفطریة لا تتناغم مع التوراة والإنجیل المحرَفَین، ولا تتناغم مع البوذیة، ولا تتناغم حتّی مع مذاهب أهل السُّنّة الإسلامیة، ولکنّها تتناغم فقط مع بنود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مع بنود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بنود رسالة الحقوق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نحن نری فی المعاهد الحقوقیة والقانونیة فی سویسرا عندهم نهج البلاغة وعلی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معرفة ودراسة بهما من الجامعات العربیة والإسلامیة؛ لأنَّ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الشیعة ومن المسلمین ومن العرب؛ لأنَّ لدیهم سعة نور وأُفق بسعة نور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دفع کوفی عنان عندما کَانَ رئیساً لمنظمة الأمم المتّحدة الی الاقتراح بأنْ تکتب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صنفان إمَّا أخٌ لک فی الدین أو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مقرات الأُمم المُتحدة وهو ما کتبه وأملاه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مالک الأشتر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لم یتقصر علی ذلک بلْ رشَّح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مصادر التشریع للبشر هو نهج البلاغة، وحدث تصویت من جمیع</w:t>
      </w:r>
      <w:bookmarkStart w:id="32" w:name="pg5083_31680"/>
    </w:p>
    <w:p>
      <w:pPr>
        <w:pStyle w:val="BookText"/>
        <w:rPr/>
      </w:pPr>
      <w:bookmarkEnd w:id="32"/>
      <w:r>
        <w:rPr>
          <w:rFonts w:ascii="IRNazanin" w:hAnsi="IRNazanin" w:eastAsia="IRNazanin"/>
          <w:color w:val="111111"/>
          <w:sz w:val="28"/>
          <w:sz w:val="28"/>
          <w:szCs w:val="28"/>
          <w:rtl w:val="true"/>
          <w:lang w:bidi="fa-IR"/>
        </w:rPr>
        <w:t xml:space="preserve">الاعضاء فی منظمة الامم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قرابة مئتان دولة وممثلیهم من نخب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ولم یکن هذا الاقتراح ببرکة العرب ولا ببرکة الشیعة بلْ ببرکة عقول البشر، وهذا مما یدلُّ علی المنهج العلمی کیف یجذب عقول البشر والعلماء والنخب الذین لا تمتّ لهم أی صلة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عنان بذلک بلْ قال یجب أنْ یکون نظام التنمیة فی البشر والإدارة والمراقبة للحکومات والعدالة مستمداً من نهج البلاغة</w:t>
      </w:r>
      <w:r>
        <w:rPr>
          <w:rFonts w:eastAsia="IRNazanin" w:cs="IRNazanin"/>
          <w:color w:val="111111"/>
          <w:sz w:val="28"/>
          <w:szCs w:val="28"/>
          <w:rtl w:val="true"/>
          <w:lang w:bidi="fa-IR"/>
        </w:rPr>
        <w:t>.</w:t>
      </w:r>
    </w:p>
    <w:p>
      <w:pPr>
        <w:pStyle w:val="Heading3"/>
        <w:numPr>
          <w:ilvl w:val="2"/>
          <w:numId w:val="1"/>
        </w:numPr>
        <w:rPr/>
      </w:pPr>
      <w:bookmarkStart w:id="33" w:name="__RefHeading___Toc1159996_774463916"/>
      <w:bookmarkStart w:id="34" w:name="_Toc12"/>
      <w:bookmarkEnd w:id="33"/>
      <w:r>
        <w:rPr>
          <w:rtl w:val="true"/>
        </w:rPr>
        <w:t>ترجمة علوم أهل البیت علیهم السلام</w:t>
      </w:r>
      <w:r>
        <w:rPr>
          <w:rtl w:val="true"/>
        </w:rPr>
        <w:t>:</w:t>
      </w:r>
      <w:bookmarkEnd w:id="34"/>
    </w:p>
    <w:p>
      <w:pPr>
        <w:pStyle w:val="BookText"/>
        <w:rPr/>
      </w:pPr>
      <w:r>
        <w:rPr>
          <w:rFonts w:ascii="IRNazanin" w:hAnsi="IRNazanin" w:eastAsia="IRNazanin"/>
          <w:color w:val="111111"/>
          <w:sz w:val="28"/>
          <w:sz w:val="28"/>
          <w:szCs w:val="28"/>
          <w:rtl w:val="true"/>
          <w:lang w:bidi="fa-IR"/>
        </w:rPr>
        <w:t>هناک نجم من أساتذة الجامعة الأمریکیة قدْ استبصر بالإیمان والولاء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الأُستاذ قبل مدّة لاحقته قوی اللوبی الیهودیة فی أمریکا ولفقت علیه أمور قضائیة مفتعلة کی تخرجه من موقعه الذی هو فیه، فهرب إلی أوروبا، والآن له کرسی مهم فی التدریس، علماً أنَّ لدیه بنت قدْ تزوَّجت بأحد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الأُستاذ التقی به أحد السادة المقیمین فی المهجر وهو من الشخصیات المعروفة، وهذهِ الشخصیة نقلت عن ذلک الأُستاذ المستبصر قولاً وهو</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الغرب کثیر القراءة للصحف والکتب والإصدارات المکتوبة أکثر من الشرق الأوسط، وأنتم الشیعة لم تلتفتوا إلی اللغة التی تخاطبون بها الغرب، فصحیح أنَّ المسجد أو الحسینیة مؤثِّرة ولکن الجسر المؤثِّر بالغرب هو الکتاب، فلو تترجمون کلمات وأحادیث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بترجمة عصریة وبلغة غربیة لتلاقفها الغرب بشکل ینبههم لمکانة 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کلامه هذا صحیح ودقیق جداً، فإنَّ انتشار شخصیة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أجدر فی انتشار الإسلام من نشر کلمات العلماء المتعلمین علی موائدهم، فلو طُبعت وبلغة غربیة کل علوم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وبلغات یفهمها الغرب وتنشر هذهِ العلوم فی مراکز النشر العامة والجامعات والمکتبات وفی مراکز الدراسات وفی المحافل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سمعنا بعض الأخبار أنَّه بعد حادثة نهج البلاغة التی أشرنا إلیها قبل قلیل ودور الأمم المتحدة، هناک مؤسسة حقوقیة دولیة قدْ رشَّحت رسالة الحقوق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أکبر تراث تاریخی حقوقی خالد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لنا أنْ نسعی فی إبراز وإبانة وإظهار وتجلیة شخصیة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نبرز ونظهر ونرکِّز علی الشخصیات الشعریة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الشخصیات مع کل الاحترام والتقدیر للعلماء والأعلام والشخصیات المجدة والکفوءة والمخلصة، ولکن لا یمکن أنْ نساوی بین المعصوم وغیره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نری بعض المستشرقین یعترفون هم والفرس والروم أنَّ الفتوحات الإسلامیة لم تکن بقوة ید الجیش الإسلامی بلْ جاءت علی 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بتدبیر من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فمعرفة عظمة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وخلقه وزهده وحکمته ورأفته وغیرها من کمالاته وکمالات أوصیاءه هی تفتح العقول والقلوب لإنتشار نور الإسلام، وعکس ذلک معکوساً وهی إنتشار الشخصیات الظلامیة فإنها تشوه وسدود منیعة أمام إنتشار نور الإسلام </w:t>
      </w:r>
      <w:r>
        <w:rPr>
          <w:rFonts w:eastAsia="IRNazanin" w:cs="IRNazanin"/>
          <w:color w:val="111111"/>
          <w:sz w:val="28"/>
          <w:szCs w:val="28"/>
          <w:rtl w:val="true"/>
          <w:lang w:bidi="fa-IR"/>
        </w:rPr>
        <w:t>.</w:t>
      </w:r>
      <w:bookmarkStart w:id="35" w:name="pg5083_31683"/>
    </w:p>
    <w:p>
      <w:pPr>
        <w:pStyle w:val="Heading2"/>
        <w:numPr>
          <w:ilvl w:val="1"/>
          <w:numId w:val="1"/>
        </w:numPr>
        <w:rPr/>
      </w:pPr>
      <w:bookmarkStart w:id="36" w:name="__RefHeading___Toc1159998_774463916"/>
      <w:bookmarkStart w:id="37" w:name="_Toc13"/>
      <w:bookmarkEnd w:id="35"/>
      <w:bookmarkEnd w:id="36"/>
      <w:r>
        <w:rPr>
          <w:rtl w:val="true"/>
        </w:rPr>
        <w:t>علم الإمام الجواد علیه السلام</w:t>
      </w:r>
      <w:bookmarkEnd w:id="37"/>
    </w:p>
    <w:p>
      <w:pPr>
        <w:pStyle w:val="BookText"/>
        <w:rPr/>
      </w:pPr>
      <w:r>
        <w:rPr>
          <w:rFonts w:ascii="IRNazanin" w:hAnsi="IRNazanin" w:eastAsia="IRNazanin"/>
          <w:color w:val="111111"/>
          <w:sz w:val="28"/>
          <w:sz w:val="28"/>
          <w:szCs w:val="28"/>
          <w:rtl w:val="true"/>
          <w:lang w:bidi="fa-IR"/>
        </w:rPr>
        <w:t>فإذا أردنا أنْ نفتح قلوب البشر لنور الإسلام ونور الإیمان لابدَّ لنا أنْ نبرز شخصیات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نرکِّز علی شخصیة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صغر سنه الشریف لم یبلغ الحلم أقام ملاحم علمیة فی منتدی الخوؤون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أعجز یحیی بن أکثم فقیه أهل السنة، وقاضی قضاة بغداد آنذاک، فقد أحضر المأمون یحیی بن أکثم قاضی قضاة بغداد لامتحان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له من العمر تسع سنین وأشهر، فانبری یحیی إلی المأمون فطلب منه أنْ یأذن له فی امتحان الإمام فأذِن له فی ذلک، واتّجه یحیی صوب الإمام،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یحیی مسألته إلی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محرم قتل صیداً؟</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فی حلٍّ أو حرم، عالماً کان المحرم أم جاهلاً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الروایة المشتملة علی شقوق وأقسام وصور لم تخطر علی بال فقیه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فَذُهِلَ یحیی وتحیَّر، وبان علیه العجز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ونفس هذهِ الحادثة افتعلها المأمون مع أبیه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کحجاج ومحاججة لم یتمُّ فی عهد الإسلام لصغیر السن إلّا علی ید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أمر عظیم حتّی صرَّح بأنَّه أعظم برکة کما مرَّ فی الحدیث الوارد عن 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فی بعض نعوت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شبیه بعیسی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فی سیرة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أحتج الله تعالی وتحدی البشریة لنبی من الأنبیاء فی صغر السن، فکذلک فی دین الإسلام أحتج الله تعالی البشریة علی ید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المحمودی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حدث فإلی من؟ وإنَّما سأله عن الإمام من بعده حتّی یدین بطاعته والولاء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إلی ابنی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الطفولة،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استصغر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الإمام هذهِ الشبهة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عیسی بن مریم قائماً فی دون السن التی یقوم فیها أبو جعفر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بادرة أولی فاجئها الله عَزَّ وَجَلَّ لکل البشر ولیسَ للمسلمین</w:t>
      </w:r>
    </w:p>
    <w:p>
      <w:pPr>
        <w:pStyle w:val="BookText"/>
        <w:rPr/>
      </w:pPr>
      <w:r>
        <w:rPr>
          <w:rFonts w:ascii="IRNazanin" w:hAnsi="IRNazanin" w:eastAsia="IRNazanin"/>
          <w:color w:val="111111"/>
          <w:sz w:val="28"/>
          <w:sz w:val="28"/>
          <w:szCs w:val="28"/>
          <w:rtl w:val="true"/>
          <w:lang w:bidi="fa-IR"/>
        </w:rPr>
        <w:t>فقط بلْ حتّی للنصاری والیهود، وهذهِ منازلة إلهیة مع البشر، حتّی حسده علی ذلک بلْ وصلت إلی حدّ الوشایة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داود السجستانی عند المعتصم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زرقان الصدیق الحمیم لأبی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رجع من عند المعتصم وهو مغتم، فقلت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سارقاً أقرَّ علی نفسه بالسرقة، وسأل الخلیفة تطهیره بإقامة الحدّ علیه، فجمع لذلک، الفقهاء فی مجلسه، وقد أحضر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فسألنا عن القطع فی أی موضع یجب أنْ یقطع؟</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الکرسوع</w:t>
      </w:r>
      <w:r>
        <w:rPr>
          <w:rStyle w:val="FootnoteAnchor"/>
          <w:rtl w:val="true"/>
        </w:rPr>
        <w:footnoteReference w:id="7"/>
      </w:r>
      <w:r>
        <w:rPr>
          <w:rFonts w:ascii="Amiri" w:hAnsi="Amiri" w:eastAsia="Amiri" w:cs="Amiri"/>
          <w:color w:val="111111"/>
          <w:sz w:val="28"/>
          <w:sz w:val="28"/>
          <w:szCs w:val="28"/>
          <w:rtl w:val="true"/>
          <w:lang w:bidi="ar-SA"/>
        </w:rPr>
        <w:t>لقول الله فی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بِوُجُوهِکُمْ وَ أَیْدِیکُمْ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واتفق معی علی ذلک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القطع من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الدلیل علی ذلک؟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أَیْدِیَکُمْ إِلَی الْمَرافِقِ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یا أبا جعفر؟</w:t>
      </w:r>
    </w:p>
    <w:p>
      <w:pPr>
        <w:pStyle w:val="BookText"/>
        <w:rPr/>
      </w:pPr>
      <w:r>
        <w:rPr>
          <w:rFonts w:ascii="Amiri" w:hAnsi="Amiri" w:eastAsia="Amiri" w:cs="Amiri"/>
          <w:color w:val="111111"/>
          <w:sz w:val="28"/>
          <w:sz w:val="28"/>
          <w:szCs w:val="28"/>
          <w:rtl w:val="true"/>
          <w:lang w:bidi="ar-SA"/>
        </w:rPr>
        <w:t>قال قَدْ تکلَّم القوم فیه یا أمیر المؤمنین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مما تکلَّموا به، أی شیء عندک؟</w:t>
      </w:r>
    </w:p>
    <w:p>
      <w:pPr>
        <w:pStyle w:val="BookText"/>
        <w:rPr/>
      </w:pPr>
      <w:r>
        <w:rPr>
          <w:rFonts w:ascii="IRNazanin" w:hAnsi="IRNazanin" w:eastAsia="IRNazanin"/>
          <w:color w:val="111111"/>
          <w:sz w:val="28"/>
          <w:sz w:val="28"/>
          <w:szCs w:val="28"/>
          <w:rtl w:val="true"/>
          <w:lang w:bidi="fa-IR"/>
        </w:rPr>
        <w:t>قال اعفنی عن هذا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بالله لما أخبرتنی بما عندک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أمَّا إذا أقسمتَ علیَّ بالله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أخطأوا فیه السُّنّة، فإنَّ القطع یجب أنْ یکون من مفصل أصول الأصابع فیُترک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والیدین والرکبتین والرجلین، فإذا قطعتْ یده من الکرسوع أو المرفق لم یبقَ لهُ ید یسجد علیها، وقال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 یعنی به هذهِ الأعضاء السبعة التی یسجد علیها فَلا تَدْعُوا مَعَ اللّهِ أَحَداً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وما کان لله لم 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 المعتصم ذلک، فأمر بقطع ید السارق من مفصل الأصابع دون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ابا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المعتصم بعد 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نصیحة أمیر المؤمنین علیَّ واجبة، وأنا أکلمه بما أعلم أنی أدخل به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أمیر المؤمنین فی مجلسهِ فقهاء رعیته وعلماءهم لأمر واقع من أمور الدین فسألهم عن الحکم فیه، فاخبروه بما عندهم من الحکم فی 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حضر المجلس أهل بیته قوّاده ووزرائه وعتّابه وقد تسامع الناس بذلک من وراء بابه، ثم یترک أقاویلهم کلهم، لقولِ رجلٍ یقول شطر هذهِ</w:t>
      </w:r>
    </w:p>
    <w:p>
      <w:pPr>
        <w:pStyle w:val="BookText"/>
        <w:rPr/>
      </w:pPr>
      <w:r>
        <w:rPr>
          <w:rFonts w:ascii="IRNazanin" w:hAnsi="IRNazanin" w:eastAsia="IRNazanin"/>
          <w:color w:val="111111"/>
          <w:sz w:val="28"/>
          <w:sz w:val="28"/>
          <w:szCs w:val="28"/>
          <w:rtl w:val="true"/>
          <w:lang w:bidi="fa-IR"/>
        </w:rPr>
        <w:t>الأمة بإمامته، ویدّعون أنَّه اولی منه بمقامه، ثم یحکم بحکمه دون حکم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فتغیَّر لونه، وأنتبه لما نبهته له، وقال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جزاک الله عن نصیحتک خیراً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38" w:name="pg5083_31695"/>
    </w:p>
    <w:p>
      <w:pPr>
        <w:pStyle w:val="Heading2"/>
        <w:numPr>
          <w:ilvl w:val="1"/>
          <w:numId w:val="1"/>
        </w:numPr>
        <w:rPr/>
      </w:pPr>
      <w:bookmarkStart w:id="39" w:name="__RefHeading___Toc1160000_774463916"/>
      <w:bookmarkStart w:id="40" w:name="_Toc14"/>
      <w:bookmarkEnd w:id="38"/>
      <w:bookmarkEnd w:id="39"/>
      <w:r>
        <w:rPr>
          <w:rtl w:val="true"/>
        </w:rPr>
        <w:t>لماذا لقبا بالعسکریین علیهما السلام</w:t>
      </w:r>
      <w:bookmarkEnd w:id="40"/>
    </w:p>
    <w:p>
      <w:pPr>
        <w:pStyle w:val="Heading3"/>
        <w:numPr>
          <w:ilvl w:val="2"/>
          <w:numId w:val="1"/>
        </w:numPr>
        <w:rPr/>
      </w:pPr>
      <w:bookmarkStart w:id="41" w:name="__RefHeading___Toc1160002_774463916"/>
      <w:bookmarkStart w:id="42" w:name="_Toc15"/>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لقب الإمام الهادی والإمام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بالعسکریین لأنهما کانا یعیشان فی ظل إقامة جبریة عسکریة، فقد کانت سامراء آنذاک أکبر قاعدة عسکریة علی وجه الأرض، حیث فرض علی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إلیها والاقامة الجبریة فیها، والاستدعاء من قبل الدولة العباسیة من المدینة المنورة إلی سامراء، فقد عاشا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رقابة عسکریة خاصّة، وقد کانت سامراء فی ذلک الوقت أکبر دولة عظمی علی وجه الکرة الأرضیة؛ لأنَّ حدودها کانت من المغرب إلی أعماق الصین، حیث أُبیدت دولة الأکاسرة، ودولة القیاصرة، والدولة الرومیة، وقد کانت تسمی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تسر من رآها وذلک باعتبار أنَّ ملاحة الجو فیها کانت أکثر من بغداد، فألزم الإمامین العسکریین بفرض وإجبار وقهر من السلطة العباسیة أنْ تقام علیهما الإقامة الجبریة فی هذهِ القلعة أو القاعدة العسکریة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عصریة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سجینین</w:t>
      </w:r>
    </w:p>
    <w:p>
      <w:pPr>
        <w:pStyle w:val="BookText"/>
        <w:rPr/>
      </w:pPr>
      <w:r>
        <w:rPr>
          <w:rFonts w:ascii="IRNazanin" w:hAnsi="IRNazanin" w:eastAsia="IRNazanin"/>
          <w:color w:val="111111"/>
          <w:sz w:val="28"/>
          <w:sz w:val="28"/>
          <w:szCs w:val="28"/>
          <w:rtl w:val="true"/>
          <w:lang w:bidi="fa-IR"/>
        </w:rPr>
        <w:t>عسکریین، وهذا من مفاخر هذین الإمامین العظیمین، ففی المصطلح السیاسی أنَّ السجین العسکری یختلف عن السجین السیاسی فضلاً عن السجین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السجین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تقوم الدولة بسجنه علی أثر تهمة سواء کانت هذهِ التهمة صادقة أو باطلة ولکن لأجل أنْ تدعی علیه جرم مدنی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السجین الجنائی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جنائیة وهو الذی یسجن لقیامه بجنحة علی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السجین السیاسی فهو لم یرتکب أی مخالفة قانونیة مدنیة فی نظر تلک الدولة، وإنَّما تسجنه لأجل موقفَه السیاسی ویعبِّر عنه سجناء الرأی لخطورته السیاسیة بسبب آرائه وأفکاره علی النظام السیاسی علی الدولة، وهذا النوع أخطر علی الدولة من السجین الجنائی أو السجین المدنی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 فی الاصطلاح الحقوقی والقانونی والسیاسی هو ذلک السجین الذی تستنفر قوی الدولة اتّجاهه، وتعبیء قوتها العسکریة مخافة منه، وهذا النوع هو أخطر من الأقسام السابقة؛ لأنَّه بین لحظة وأُخری قدْ یقلب کل أعمدة وأرکان النظام السیاسی والدولة، ولأجل أنْ تتفادی الدولة خطورته لابدَّ أنْ تقیم علیه سجن عسکری، بحیث تجعله فی قاعدة عسکریة قویة ولا تزج به فی سجن مدنی أو سجن</w:t>
      </w:r>
      <w:bookmarkStart w:id="43" w:name="pg5083_31699"/>
    </w:p>
    <w:p>
      <w:pPr>
        <w:pStyle w:val="BookText"/>
        <w:rPr/>
      </w:pPr>
      <w:bookmarkEnd w:id="43"/>
      <w:r>
        <w:rPr>
          <w:rFonts w:ascii="IRNazanin" w:hAnsi="IRNazanin" w:eastAsia="IRNazanin"/>
          <w:color w:val="111111"/>
          <w:sz w:val="28"/>
          <w:sz w:val="28"/>
          <w:szCs w:val="28"/>
          <w:rtl w:val="true"/>
          <w:lang w:bidi="fa-IR"/>
        </w:rPr>
        <w:t>فی أحد المدن التابعة لهذه الدولة، إذ لاتستطیع السیطرة علیه إلّا من خلال قوة عسکریة مسلحة، وهذا لا یتمُّ إلّا من خلال تلک القاعدة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فالسجین العسکری یعنی أنَّ النظام السیاسی یتوقع من ذلک السجین مباغتة أمنیة عسکریة، وهذا یعنی أنَّ لدیه قدرة‌علی قلب النظام بسرعة وفترة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السیاسی له قدرته ومعطیاته ونفوذه وسیطرته علی الوضع بشکل مرعب جداً</w:t>
      </w:r>
      <w:r>
        <w:rPr>
          <w:rFonts w:eastAsia="IRNazanin" w:cs="IRNazanin"/>
          <w:color w:val="111111"/>
          <w:sz w:val="28"/>
          <w:szCs w:val="28"/>
          <w:rtl w:val="true"/>
          <w:lang w:bidi="fa-IR"/>
        </w:rPr>
        <w:t>.</w:t>
      </w:r>
    </w:p>
    <w:p>
      <w:pPr>
        <w:pStyle w:val="Heading3"/>
        <w:numPr>
          <w:ilvl w:val="2"/>
          <w:numId w:val="1"/>
        </w:numPr>
        <w:rPr/>
      </w:pPr>
      <w:bookmarkStart w:id="44" w:name="__RefHeading___Toc1160004_774463916"/>
      <w:bookmarkStart w:id="45" w:name="_Toc16"/>
      <w:bookmarkEnd w:id="44"/>
      <w:r>
        <w:rPr>
          <w:rtl w:val="true"/>
        </w:rPr>
        <w:t>سجن الإمام موسی بن جعفر 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إذنْ لماذا کل هذا الاستنفار الأمنی والعسکری من الدولة العباسیة تّجاه الإمام الهادی والإمام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ولم تکتف بذلک، کما سجنت جدهما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سجیناً سیاسیاً، ولم یکن سجیناً عسکریاً، نعم تم نقله من سجن إلی سجن، حیث اعتقل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وقادوه إلی سجن البصرة ثم نقلوه إلی سجن بغداد، والغریب فی ذلک أنَّ هارون غیر الرشید قدْ أتی إلی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یعتقل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لیعتذر منه، حیث کان آنذاک فی یثرب فسلَّم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قائلاً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بأبی أنت وأمی یا رسول الله، إنِّی أعتذر إلیک من أمر عزمت علیه إنی أرید أنْ آخذ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فأحبسه لأنی خشیت أنْ یلقی بین أمتک</w:t>
      </w:r>
    </w:p>
    <w:p>
      <w:pPr>
        <w:pStyle w:val="BookText"/>
        <w:rPr/>
      </w:pPr>
      <w:r>
        <w:rPr>
          <w:rFonts w:ascii="IRNazanin" w:hAnsi="IRNazanin" w:eastAsia="IRNazanin"/>
          <w:color w:val="111111"/>
          <w:sz w:val="28"/>
          <w:sz w:val="28"/>
          <w:szCs w:val="28"/>
          <w:rtl w:val="true"/>
          <w:lang w:bidi="fa-IR"/>
        </w:rPr>
        <w:t>حرباً یسفک فیها الدماء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فی المقابل نری أنَّ الإمام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یشکر الله علی استجابة دعائه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إنِّی کنت أسألک أنْ تفرغنی لعبادتک، اللَّهُمَّ وقد فعلت، فلکَ الحمد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فعل ولده غیر المأمون الخؤون العباسی مع الإمام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سجن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مرو إجباراً له حتّی یقبل بولایة العهد، ومن الطبیعی أیضاً کان هذا السجن سجناً سیاسیاً ولیسَ سجناً عسکریاً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کانت هناک إقامة جبریة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قبله کانت للإمام الباقر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هذهِ الإقامة الجبریة کانت فی بیوتهم ولم تکن سجناً سیاسیاً، بحیث لا یستطیع الشیعة آنذاک أنْ یتصلوا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وکذلک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إقامة جبریة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أنَّهم لم یمارسوا أی حرکة سیاسیة معلنة، بلْ ولا فی السطح الباطن الذی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تستطیع السلطة أنْ تدین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تکشف خیوط معینة من التدبیر لدیهم، ولا یخفی أنَّهم کانوا یعیشون حیاة مدنیة وسلمیة إلّا أنَّ السلطة دائماً تتوجَّس منهم خیفة، وهذا دلیل علی استشعارها مدی تمدد وتوسع قدرة وقوة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ودلیل علی عبقریتهم فی قیادة المجتمع آنذاک</w:t>
      </w:r>
      <w:r>
        <w:rPr>
          <w:rFonts w:eastAsia="IRNazanin" w:cs="IRNazanin"/>
          <w:color w:val="111111"/>
          <w:sz w:val="28"/>
          <w:szCs w:val="28"/>
          <w:rtl w:val="true"/>
          <w:lang w:bidi="fa-IR"/>
        </w:rPr>
        <w:t>.</w:t>
      </w:r>
      <w:bookmarkStart w:id="46" w:name="pg5083_31702"/>
    </w:p>
    <w:p>
      <w:pPr>
        <w:pStyle w:val="Heading3"/>
        <w:numPr>
          <w:ilvl w:val="2"/>
          <w:numId w:val="1"/>
        </w:numPr>
        <w:rPr/>
      </w:pPr>
      <w:bookmarkStart w:id="47" w:name="__RefHeading___Toc1160006_774463916"/>
      <w:bookmarkStart w:id="48" w:name="_Toc17"/>
      <w:bookmarkEnd w:id="46"/>
      <w:bookmarkEnd w:id="47"/>
      <w:r>
        <w:rPr>
          <w:rtl w:val="true"/>
        </w:rPr>
        <w:t>سیطرة الإمامین العسکریین علی الساحة الإسلامیة</w:t>
      </w:r>
      <w:r>
        <w:rPr>
          <w:rtl w:val="true"/>
        </w:rPr>
        <w:t>:</w:t>
      </w:r>
      <w:bookmarkEnd w:id="48"/>
    </w:p>
    <w:p>
      <w:pPr>
        <w:pStyle w:val="BookText"/>
        <w:rPr/>
      </w:pPr>
      <w:r>
        <w:rPr>
          <w:rFonts w:ascii="IRNazanin" w:hAnsi="IRNazanin" w:eastAsia="IRNazanin"/>
          <w:color w:val="111111"/>
          <w:sz w:val="28"/>
          <w:sz w:val="28"/>
          <w:szCs w:val="28"/>
          <w:rtl w:val="true"/>
          <w:lang w:bidi="fa-IR"/>
        </w:rPr>
        <w:t>وهذا التعامل من الدولة العباسیة مع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قدرة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 حدِّ أنهما مسیطران علی الساحة الإسلامیة بشکل قوی جداً، وأعظم مما تقدَّم فی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مؤشر وعلامة علی إتساع قدرة وقوة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بلغوا من النفوذ والانتشار والقدرة إلی درجة تختلف عما سبق من عهد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ابن حنبل والبخاری ومسلم ویحیی بن أکثم کلهم کانوا فی زمن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الدولة العباسیة لم یکن لدیها أی تخوُّف من هؤلاء، إذنْ لماذا کل هذا الترکیز والمراقبة علی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9" w:name="__RefHeading___Toc1160008_774463916"/>
      <w:bookmarkStart w:id="50" w:name="_Toc18"/>
      <w:bookmarkEnd w:id="49"/>
      <w:r>
        <w:rPr>
          <w:rtl w:val="true"/>
        </w:rPr>
        <w:t>لماذا هذا التصعید</w:t>
      </w:r>
      <w:r>
        <w:rPr>
          <w:rtl w:val="true"/>
        </w:rPr>
        <w:t>:</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صعَّدت الدولة العباسیة هذا التصعید مع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جعلتهما سجینین عسکریین فی أکبر قاعدة عسکریة علی وجه الأرض یحرسها العسکر بکل قوة وتدبیر واحتیاط، ومن المعروف أنَّ مدینة سامراء فیها وحدات سکنیة وأسواق، ولکن حول هذهِ الوحدات السکنیة سور عسکری، ومع کل هذا قامت هذهِ الدولة بسجن الإمامین العسکریین لأکثر من مرَّة فی سجن علی أوتامش</w:t>
      </w:r>
      <w:r>
        <w:rPr>
          <w:rStyle w:val="FootnoteAnchor"/>
          <w:rtl w:val="true"/>
        </w:rPr>
        <w:footnoteReference w:id="11"/>
      </w:r>
      <w:r>
        <w:rPr>
          <w:rFonts w:ascii="IRNazanin" w:hAnsi="IRNazanin" w:eastAsia="IRNazanin"/>
          <w:color w:val="111111"/>
          <w:sz w:val="28"/>
          <w:sz w:val="28"/>
          <w:szCs w:val="28"/>
          <w:rtl w:val="true"/>
          <w:lang w:bidi="fa-IR"/>
        </w:rPr>
        <w:t>وهو سجن داخلی فی</w:t>
      </w:r>
    </w:p>
    <w:p>
      <w:pPr>
        <w:pStyle w:val="BookText"/>
        <w:rPr/>
      </w:pPr>
      <w:r>
        <w:rPr>
          <w:rFonts w:ascii="IRNazanin" w:hAnsi="IRNazanin" w:eastAsia="IRNazanin"/>
          <w:color w:val="111111"/>
          <w:sz w:val="28"/>
          <w:sz w:val="28"/>
          <w:szCs w:val="28"/>
          <w:rtl w:val="true"/>
          <w:lang w:bidi="fa-IR"/>
        </w:rPr>
        <w:t>القلعة والقاعدة العسکریة لسامراء، بل لما جعلتهما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الإقامة الجبریة فی بیتهما الذی هو داخل هذا السور العسکری جعلت علیهما مراقبین أمنیین فی داخل بیتهما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أوعز المعتمد خواصه بملازمة دار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أحمد بن عبید بن خاقان</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اعتل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جعفر بن علی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اعتل فرکب أبی من ساعته مبادراً إلی دار الخلافة، ثم رجع مستعجلاً ومعه خمسة نفر من خدم أمیر المؤمنین، کلهم من ثقاته وخاصته فمنهم نحریر، وأمرهم بلزوم دار الحسن بن علی، وتعرُّف خبره وحاله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تکتف السلطة بذلک بلْ فرضت الحصار الاقتصادی علی الإمامین أیضاً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الاستنفار الأمنی لم یکن صدفةً أو جزافاً بلْ له أسبابه الخاصّة، بلْ قاموا بإرعاب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بإجراء استعراض عسکری فی محضرهما وعُدَّ بتسعین ألف فارس، حیث استعرض جیش المتوکل أمام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استدعاه المتوکِّل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استحضرتک لنظارة خیولی، وقد کان أمرهم أنْ یلبسوا القجافیق ویحملوا الأسلحة، وقد عرضوا بأحسن زینة وأتمَّ عِدَّة وأعظم هیبة، وکان غرضه أنْ یکسر قلب کل من</w:t>
      </w:r>
    </w:p>
    <w:p>
      <w:pPr>
        <w:pStyle w:val="BookText"/>
        <w:rPr/>
      </w:pPr>
      <w:r>
        <w:rPr>
          <w:rFonts w:ascii="IRNazanin" w:hAnsi="IRNazanin" w:eastAsia="IRNazanin"/>
          <w:color w:val="111111"/>
          <w:sz w:val="28"/>
          <w:sz w:val="28"/>
          <w:szCs w:val="28"/>
          <w:rtl w:val="true"/>
          <w:lang w:bidi="fa-IR"/>
        </w:rPr>
        <w:t>یخرج علیه وکان خوفه من أبی الحسن أنْ یأمر أحداً من أهل بیته أنْ یخرج علی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نظیر المناورات العسکریة الحالیة التی تجریها الدول لأجل وغرض الردع الأمنی من هجوم دول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أعرض علیک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الله سبحانه فإذا بین السماء والأرض والمشرق والمغرب ملائکة الله مدججون فغشی علی الخلیفة، فلما أفاق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ننافسکم فی الدنیا، نحن مشتغلون بأمر الآخرة فلا علیک شیء مما تظن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نُدقِّق فی تحلیل هذهِ القضیة أکثر، حیث أنَّ الدولة العباسیة جعلت هذهِ القاعدة العسکریة العظمی عاصمة لها، الآن فی زماننا هذا متی یجعل رئیس الجمهوریة أو الملک أو رئیس الوزراء عاصمته قاعدة عسکریة لا عاصمة مدنیة؛ إذ الحالة الطبیعیة أنَّ عاصمة الدولة تکون عاصمة مدنیة لاعسکریة، وإنما تکون العاصمة عسکریة حینما یری ویتخوف الحاکم من تقوِّض کیانه، بحیث لا یستطیع أنْ یسیطر علی التغییر الآتی ولا یوجد هناک أی استقرار أمنی، ولا تنفع کل قدراته العسکریة والاستخباراتیة والأمنیة ، والخلفاء العباسیون فی عهد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تخندقوا فی قاعدة عسکریة فی سامراء وجعلوها عاصمة لدولتهم بدلاً من بغداد، وهذا دلیل عل مدی تطاول نفوذ وقدرة إمامة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أصحاب القدرة فی دین الله لا بآلیات عسکریة ولا بآلیات تنظیمیة، بلْ بآلیات نظم إلهی</w:t>
      </w:r>
      <w:r>
        <w:rPr>
          <w:rFonts w:eastAsia="IRNazanin" w:cs="IRNazanin"/>
          <w:color w:val="111111"/>
          <w:sz w:val="28"/>
          <w:szCs w:val="28"/>
          <w:rtl w:val="true"/>
          <w:lang w:bidi="fa-IR"/>
        </w:rPr>
        <w:t>.</w:t>
      </w:r>
      <w:bookmarkStart w:id="51" w:name="pg5083_31708"/>
    </w:p>
    <w:p>
      <w:pPr>
        <w:pStyle w:val="Heading3"/>
        <w:numPr>
          <w:ilvl w:val="2"/>
          <w:numId w:val="1"/>
        </w:numPr>
        <w:rPr/>
      </w:pPr>
      <w:bookmarkStart w:id="52" w:name="__RefHeading___Toc1160010_774463916"/>
      <w:bookmarkStart w:id="53" w:name="_Toc19"/>
      <w:bookmarkEnd w:id="51"/>
      <w:bookmarkEnd w:id="52"/>
      <w:r>
        <w:rPr>
          <w:rtl w:val="true"/>
        </w:rPr>
        <w:t>أسباب هذا الاستنفار</w:t>
      </w:r>
      <w:r>
        <w:rPr>
          <w:rtl w:val="true"/>
        </w:rPr>
        <w:t>:</w:t>
      </w:r>
      <w:bookmarkEnd w:id="53"/>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وجودهم العظیم المتجذر فی الدینوفی الأمَّة الإسلامیة من زمن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السبب لما نراه من توجس السلطة الأمویة أو السلطة العباسیة الخیفة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وبمقتضی توازن القدرة أنَّ</w:t>
      </w:r>
    </w:p>
    <w:p>
      <w:pPr>
        <w:pStyle w:val="BookText"/>
        <w:rPr/>
      </w:pPr>
      <w:r>
        <w:rPr>
          <w:rFonts w:ascii="IRNazanin" w:hAnsi="IRNazanin" w:eastAsia="IRNazanin"/>
          <w:color w:val="111111"/>
          <w:sz w:val="28"/>
          <w:sz w:val="28"/>
          <w:szCs w:val="28"/>
          <w:rtl w:val="true"/>
          <w:lang w:bidi="fa-IR"/>
        </w:rPr>
        <w:t>أی دولة وأی نظام سیاسی یعی المنافس الحقیقی له، ویعی من هو ذو خطر مُحدق علیه، ونری دائماً أنَّ صاحب القوة یعی من یصارعه أو من ینافسه أو من یمکن له القدرة أنْ یدافعه عن موقعیته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 هذه المعطیات والشواهد التاریخیة مترجم من کتب الرجال عند المذاهب الإسلامیة الأُخری لا یعطی فی ترجمته الإنصاف عندما یترجم حیاة الإمام الرضا أو الجواد أو الهادی أو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هل هذا یطمس الحقیقة؟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تعتیمهم علی تألُّق وقممیة وأوج شخصیات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من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وإخفاء عظمة شخصیتهم من قبل کثیر من الکتّاب المسلمین تبیِّن مدی تخوفهم منهم، ومهما حاولوا لا یمکن لهم أنْ یطمسوا حقیقتهم؛ لأنَّ حقیقتهم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وضّاءة وقّادة وتشعّ دائماً بالحقیقة، وإلّا فلماذا لم یستدعِ المأمون غیر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باقی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لم یستدعِ شخصیة غیر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أو من قریش أو من فقهاء المسلمین من المذاهب الأُخری، ولکن نراه یتحسس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لدی الإمام تنظیمات سیاسیة یرعاها أم هی إمامة قرآنیة ناخرة فی عقیدة المسلمین والقرآن، ودائماً هذهِ</w:t>
      </w:r>
      <w:bookmarkStart w:id="54" w:name="pg5083_31710"/>
    </w:p>
    <w:p>
      <w:pPr>
        <w:pStyle w:val="BookText"/>
        <w:rPr/>
      </w:pPr>
      <w:bookmarkEnd w:id="54"/>
      <w:r>
        <w:rPr>
          <w:rFonts w:ascii="IRNazanin" w:hAnsi="IRNazanin" w:eastAsia="IRNazanin"/>
          <w:color w:val="111111"/>
          <w:sz w:val="28"/>
          <w:sz w:val="28"/>
          <w:szCs w:val="28"/>
          <w:rtl w:val="true"/>
          <w:lang w:bidi="fa-IR"/>
        </w:rPr>
        <w:t>الإمامة تنبض بقنوات وجذور قوة وقدرة یعیها المسلمون، ویتعاطفون معها فی کل آن ولحظة إذا أبعد عنهم إرهاب السلطات الحاکمة</w:t>
      </w:r>
      <w:r>
        <w:rPr>
          <w:rFonts w:eastAsia="IRNazanin" w:cs="IRNazanin"/>
          <w:color w:val="111111"/>
          <w:sz w:val="28"/>
          <w:szCs w:val="28"/>
          <w:rtl w:val="true"/>
          <w:lang w:bidi="fa-IR"/>
        </w:rPr>
        <w:t>.</w:t>
      </w:r>
    </w:p>
    <w:p>
      <w:pPr>
        <w:pStyle w:val="Heading3"/>
        <w:numPr>
          <w:ilvl w:val="2"/>
          <w:numId w:val="1"/>
        </w:numPr>
        <w:rPr/>
      </w:pPr>
      <w:bookmarkStart w:id="55" w:name="__RefHeading___Toc1160012_774463916"/>
      <w:bookmarkStart w:id="56" w:name="_Toc20"/>
      <w:bookmarkEnd w:id="55"/>
      <w:r>
        <w:rPr>
          <w:rtl w:val="true"/>
        </w:rPr>
        <w:t>بیعة الأئِمَّة علیهم السلام</w:t>
      </w:r>
      <w:r>
        <w:rPr>
          <w:rtl w:val="true"/>
        </w:rPr>
        <w:t>:</w:t>
      </w:r>
      <w:bookmarkEnd w:id="56"/>
    </w:p>
    <w:p>
      <w:pPr>
        <w:pStyle w:val="BookText"/>
        <w:rPr/>
      </w:pPr>
      <w:r>
        <w:rPr>
          <w:rFonts w:ascii="IRNazanin" w:hAnsi="IRNazanin" w:eastAsia="IRNazanin"/>
          <w:color w:val="111111"/>
          <w:sz w:val="28"/>
          <w:sz w:val="28"/>
          <w:szCs w:val="28"/>
          <w:rtl w:val="true"/>
          <w:lang w:bidi="fa-IR"/>
        </w:rPr>
        <w:t>ولو نلاحظ مبایعة المسلمین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واختلافها عن مبایعة باقی الخلفاء الثلاثة تماماً، فی اختصاصها بکونها بیعة جماهیریة عارمة بلا أنْ یلجئهم أی أحد علیها، ولم تکن محصورة فی ضمن لوبیات أو جماعات خاصّة، بلْ بیعة اندفاعیة من شرایح عموم المسلمین من النخب ومن القاعدة الجماهیریة العامّة، وهذا إنَّما حدث بسبب داعویة وباعثیة تعالیم القرآن للمسلمین ولیسَ بالإرهاب أو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کانت بیعة 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کانت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باندفاع ذاتی من المسلمین، ومن المهاجرین والأنصار الذین کانوا أکثرهم آنذاک، ومن دون أی إرغام أو إرهاب وهم یعلمون أنَّ الحسن هو بن الخلیفة السابق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المقابل نری أنَّ المهاجرین والأنصار استنکروا علی معاویة أشدّ الاستنکار عندما عقد البیعة لولده یزید من بعده تحت وطأة الإرهاب بالسیف والقتل أو التطمیع بالأموال، واعترضوا علیه بأنَّه کیف تجعل الخلافة فی الابن فی حین لم یکن هذا الاعتراض موجوداً فی بیعة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قتل أبوه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بایعه أکثر من أربعین ألفاً، کلهم قدْ کانوا بایعوا أباه علیاً قبل موته علی الموت، وکانوا أطوع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للحسن وأحب</w:t>
      </w:r>
      <w:bookmarkStart w:id="57" w:name="pg5083_31712"/>
    </w:p>
    <w:p>
      <w:pPr>
        <w:pStyle w:val="BookText"/>
        <w:rPr/>
      </w:pPr>
      <w:bookmarkEnd w:id="57"/>
      <w:r>
        <w:rPr>
          <w:rFonts w:ascii="IRNazanin" w:hAnsi="IRNazanin" w:eastAsia="IRNazanin"/>
          <w:color w:val="111111"/>
          <w:sz w:val="28"/>
          <w:sz w:val="28"/>
          <w:szCs w:val="28"/>
          <w:rtl w:val="true"/>
          <w:lang w:bidi="fa-IR"/>
        </w:rPr>
        <w:t>فیه فبقی نحواً من أربعة أشهر خلیفة بالعراق وما وراءها من خراسان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ظاهرة حادثة وملحمة تاریخیة عظیمة تدلُّ علی مدی الرصید الموجود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ثقافة المسلمین وعقیدة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أیضاً کانت بیعة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هلاک معاویة، فإنَّ الکتب التی أتت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العراق والشام فضلاً عن الیمن وأهل مکّة والمدینة، وهذا ما صرَّح به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حدیثه مع الحر بن یزید الریاحی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160014_774463916"/>
      <w:bookmarkStart w:id="59" w:name="_Toc21"/>
      <w:bookmarkEnd w:id="58"/>
      <w:r>
        <w:rPr>
          <w:rtl w:val="true"/>
        </w:rPr>
        <w:t>الطائفیة والمذهبیة</w:t>
      </w:r>
      <w:r>
        <w:rPr>
          <w:rtl w:val="true"/>
        </w:rPr>
        <w:t>:</w:t>
      </w:r>
      <w:bookmarkEnd w:id="59"/>
    </w:p>
    <w:p>
      <w:pPr>
        <w:pStyle w:val="BookText"/>
        <w:rPr/>
      </w:pPr>
      <w:r>
        <w:rPr>
          <w:rFonts w:ascii="IRNazanin" w:hAnsi="IRNazanin" w:eastAsia="IRNazanin"/>
          <w:color w:val="111111"/>
          <w:sz w:val="28"/>
          <w:sz w:val="28"/>
          <w:szCs w:val="28"/>
          <w:rtl w:val="true"/>
          <w:lang w:bidi="fa-IR"/>
        </w:rPr>
        <w:t>إذنْ لماذا کل هذا التحسُّس من السلطة الأمویة والعباسیة تّجاه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المنافس والرقیب الخطیر الذی یستخدم أسلُوب مدنی شفّاف وبلا أی إمکانیات عسکریة وأمنیة وفی قبضته القاعدة الإسلامیة هم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وصلت النوبة إلی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ریعان عمره الشریف، حیث أقامت علیه السلطة العباسیة الإقامة الجبریة فی بغداد بعد استدعائه من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ولدیه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قوة التعاطف من جمیع شرایح المسلمین مع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لو خُلی المسلمون وأنفسهم دون السلطات والأنظمة</w:t>
      </w:r>
    </w:p>
    <w:p>
      <w:pPr>
        <w:pStyle w:val="BookText"/>
        <w:rPr/>
      </w:pPr>
      <w:r>
        <w:rPr>
          <w:rFonts w:ascii="IRNazanin" w:hAnsi="IRNazanin" w:eastAsia="IRNazanin"/>
          <w:color w:val="111111"/>
          <w:sz w:val="28"/>
          <w:sz w:val="28"/>
          <w:szCs w:val="28"/>
          <w:rtl w:val="true"/>
          <w:lang w:bidi="fa-IR"/>
        </w:rPr>
        <w:t>السیاسیة لما کانت هناک طائفیة ولا مذهبیة، بلْ لکان هناک فقط وفقط حب وولاء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وانتصاف لحقوق جمیع الناس وجمیع البشر وعدل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الذی یفتعل المسرحیات الطائفیة والمذهبیة هی السلطات والحکّام؛ لأجل أنْ یبقی استئثارهم بالثروات والقوة واستبدادهم بالحکم ؛ بینما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دعوتهم لأنفسهم بلْ إلی استرداد حقوق واستحقاقات الطبقات المحرومة من شعوب المسلمین بل من البشریة أجمع، ولم تکن لدیهم فرعونیة، ولا دکتاتوریة، ولا استبداد، ولا أنانیة، بلْ هم ترابیون وذو نبل وقیم وخلوص ونزاهة وطهارة، وعِفَّة علم بکیفیة تدبیر العدالة فی المجتمع وازدهار الأمَّة الإسلامیة فهم أصحاب إیثار فی فعالیة نظام حاکمیتهم لا الاستئثار بالاموال والثروات وجعل الحکم وسیلة لذلک کما فی نظام حکم غیرهم ، وهذا ماتشیر إلیه سورة الإنسان والدهر وسر نزولها فی شأن 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السلطات الظالمة والحکّام الظلمة هم من یفتعلون الأزمات الطائفیة والمذهبیة ویخدعون بها الشعوب الإسلامیة بتصویر أن المواجهة مذهبیة وبین الأتباع وبین طوائف ، فیستغفلون جماهیر الناس عن منقذها الحقیقی وعن مخلصها من أیدی المستأثرین خوفاً علی مآربهم الشخصیة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المنقذ الحقیقی للشعوب الإسلامیة وللمشروع الإسلامی هم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لیسَ تعصباً لذواتهم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حرصاً علی المشروع الإلهی لکی یقام فی کل بقاع الکرة الأرضیة کما نص وصرح به القرآن الکریم أن فیء الأرض وثرواتها لابد أن یکون بید الله تعالی ثم بید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بید</w:t>
      </w:r>
      <w:bookmarkStart w:id="60" w:name="pg5083_31716"/>
    </w:p>
    <w:p>
      <w:pPr>
        <w:pStyle w:val="BookText"/>
        <w:rPr/>
      </w:pPr>
      <w:bookmarkEnd w:id="60"/>
      <w:r>
        <w:rPr>
          <w:rFonts w:ascii="Amiri" w:hAnsi="Amiri" w:eastAsia="Amiri" w:cs="Amiri"/>
          <w:color w:val="111111"/>
          <w:sz w:val="28"/>
          <w:sz w:val="28"/>
          <w:szCs w:val="28"/>
          <w:rtl w:val="true"/>
          <w:lang w:bidi="ar-SA"/>
        </w:rPr>
        <w:t>قربی الرسول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لاتکون ثروات الأرض دولة تداول ویتداولها الأغنیاء المستأثرین ،حیث یقول تعالی ما أَفاءَ اللّهُ عَلی رَسُولِهِ مِنْ أَهْلِ الْقُری فَلِلّهِ وَ لِلرَّسُولِ وَ لِذِی الْقُرْبی وَ الْیَتامی وَ الْمَساکِینِ وَ ابْنِ السَّبِیلِ کَیْ لا یَکُونَ دُولَةً بَیْنَ الْأَغْنِیاءِ مِنْکُمْ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160016_774463916"/>
      <w:bookmarkStart w:id="62" w:name="_Toc22"/>
      <w:bookmarkEnd w:id="61"/>
      <w:r>
        <w:rPr>
          <w:rtl w:val="true"/>
        </w:rPr>
        <w:t>خطاب للأخوة الإسماعیلیة</w:t>
      </w:r>
      <w:r>
        <w:rPr>
          <w:rtl w:val="true"/>
        </w:rPr>
        <w:t>:</w:t>
      </w:r>
      <w:bookmarkEnd w:id="62"/>
    </w:p>
    <w:p>
      <w:pPr>
        <w:pStyle w:val="BookText"/>
        <w:rPr/>
      </w:pPr>
      <w:r>
        <w:rPr>
          <w:rFonts w:ascii="IRNazanin" w:hAnsi="IRNazanin" w:eastAsia="IRNazanin"/>
          <w:color w:val="111111"/>
          <w:sz w:val="28"/>
          <w:sz w:val="28"/>
          <w:szCs w:val="28"/>
          <w:rtl w:val="true"/>
          <w:lang w:bidi="fa-IR"/>
        </w:rPr>
        <w:t xml:space="preserve">ومن هنا نُخاطب أُخوتنا من الطائفة الإسماعیلیة بالسؤال 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السلطة العباسیة کانت تتحسَّس من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تتحسَّس من ولد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صاحب حرکات سریّة کالإسماعیلیة والخطابیة ومع ذلک کانت السلطة العباسیة أخوف ما تخاف من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کانت هناک مراقبة شدیدة من قبل السلطة الهارونیة العباسیة، وکانت هناک تقاریر سریة ترفع من المدینة المنورة إلی بغداد حول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أحد التقاریر من المدینة المنورة إلی بغداد حول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المخبر السری التی ترفع للسلطة مباشرة، فقد کانت تقاریر ترفع إلی الخلیفة العباسی مباشرة وبدون واسطة، وهناک تقاریر تأتی إلیه من خلال الحاشیة والحکومة کما هو المتعارف الیوم من وزارتی الدفاع والداخلیة لو صحَّ التعبیر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المخبر السری قال للرشید العباسی</w:t>
      </w:r>
      <w:r>
        <w:rPr>
          <w:rFonts w:eastAsia="IRNazanin" w:cs="IRNazanin"/>
          <w:color w:val="111111"/>
          <w:sz w:val="28"/>
          <w:szCs w:val="28"/>
          <w:rtl w:val="true"/>
          <w:lang w:bidi="fa-IR"/>
        </w:rPr>
        <w:t>:</w:t>
      </w:r>
      <w:bookmarkStart w:id="63" w:name="pg5083_31717"/>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فی الأرض خلیفتین یجبی إلیهما الخراج؟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أسراره فقبض علیه</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العیون السریة کانت تراقب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لماذا کل هذا التحسُّس وکانت هناک فرق أُخری وفقهاء من المذاهب الأُخری، وهذا الخطاب یوجَّه إلی جمیع الفرق الشیعیة الأُخری غیر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أکبر برهان ودلیل علی أنَّ منطقة النفوذ عند هؤلاء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ومصدر قوتهم ونفوذهم هی فی الحقیقة دین الله وتعالیم القرآن، وأنَّ الله عَزَّ وَجَلَّ مکَّنهم من خلافة الأرض بأسباب لدُنیّة</w:t>
      </w:r>
      <w:r>
        <w:rPr>
          <w:rFonts w:eastAsia="IRNazanin" w:cs="IRNazanin"/>
          <w:color w:val="111111"/>
          <w:sz w:val="28"/>
          <w:szCs w:val="28"/>
          <w:rtl w:val="true"/>
          <w:lang w:bidi="fa-IR"/>
        </w:rPr>
        <w:t>.</w:t>
      </w:r>
    </w:p>
    <w:p>
      <w:pPr>
        <w:pStyle w:val="Heading3"/>
        <w:numPr>
          <w:ilvl w:val="2"/>
          <w:numId w:val="1"/>
        </w:numPr>
        <w:rPr/>
      </w:pPr>
      <w:bookmarkStart w:id="64" w:name="__RefHeading___Toc1160018_774463916"/>
      <w:bookmarkStart w:id="65" w:name="_Toc23"/>
      <w:bookmarkEnd w:id="64"/>
      <w:r>
        <w:rPr>
          <w:rtl w:val="true"/>
        </w:rPr>
        <w:t>الإمام المعصوم والتخطیط السیاسی</w:t>
      </w:r>
      <w:r>
        <w:rPr>
          <w:rtl w:val="true"/>
        </w:rPr>
        <w:t>:</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أمر مهم لابدَّ أنْ نلتفت إلیه، وهو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یکونوا واهنین ولا مستکینین ولا متفرّجین علی ما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دورهم مقتصراً علی الإنشاء التعلیمی والتربوی فقط، نعم هذا المسار الثقافی والتعلیمی والتربوی من أعظم المسارات الاستراتیجیة وأعظم من المسار السیاسی والعسکری، وهذا لا نقاش فیه؛ لأنَّ تغییر هویة الشعوب أعظم من تغییر الأنظمة السیاسیة للشعوب؛ لأنَّه إذا أبدلت هویة الشعوبة فسوف تفرز وتولِّد أنظمة جدیدة</w:t>
      </w:r>
    </w:p>
    <w:p>
      <w:pPr>
        <w:pStyle w:val="BookText"/>
        <w:rPr/>
      </w:pPr>
      <w:r>
        <w:rPr>
          <w:rFonts w:ascii="IRNazanin" w:hAnsi="IRNazanin" w:eastAsia="IRNazanin"/>
          <w:color w:val="111111"/>
          <w:sz w:val="28"/>
          <w:sz w:val="28"/>
          <w:szCs w:val="28"/>
          <w:rtl w:val="true"/>
          <w:lang w:bidi="fa-IR"/>
        </w:rPr>
        <w:t>تلقائیاً وتکون تابعة لتلک الهویة الثقافیة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فالتعلیم التربوی والعلمی هو المشروع الأعظم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یؤکِّد علیه مستفیض أحادیث التقیة، وإنَّما الکلام فی شیء آخر، وهو أنَّه هل هذا المسار التعلیمی هو المسار الوحید أم أنَّ هناک مسارات أُخری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لو کان مسار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فی هذا المسار لما وصلت النتیجة فی زمن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الحصار والإقامة الجبریة والسجن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الضروری أنْ یکون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الهرم الجهادی، وأنْ یتواصل مع القاعدة من أتباع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وینفتح بشکل مکشوف وعیانی مع الجماهیر المؤمنة مع وجود کل هذهِ العیون السریة والجواسیس التی تعمل مع السلطة الحاکمة؛ لأنَّ هذا خطأ أمنی، ولکنهم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رعاة فی محل فوقی لمنظومة مجموع کل المسارات، بحیث أنَّ السلطة العباسیة تلمس بکل وضوح أنَّ المسارات الأُخری خیوط أزمتها بید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بید بن حنبل ولا بید یحیی بن أکثم ولا بید باقی علماء مذاهب المسلمین الأُخری؛ ولذلک نری دائماًَ هناک حالة من القمع السیاسی والأمنی والعسکری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علماء المذاهب الإسلامیة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نری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الأزمنة تحت مطرقة القمع السیاسی والأمنی والاستخباراتی، ولکن القضیة أخذت منحیً عسکریاً فی زمن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القدرة لدیهم والتَمرّکُز والنفوذ فی قلوب المسلمین والمؤمنین بلغ ذروته بخلاف بقیة علماء المذاهب الأُخری</w:t>
      </w:r>
      <w:r>
        <w:rPr>
          <w:rFonts w:eastAsia="IRNazanin" w:cs="IRNazanin"/>
          <w:color w:val="111111"/>
          <w:sz w:val="28"/>
          <w:szCs w:val="28"/>
          <w:rtl w:val="true"/>
          <w:lang w:bidi="fa-IR"/>
        </w:rPr>
        <w:t>.</w:t>
      </w:r>
      <w:bookmarkStart w:id="66" w:name="pg5083_31721"/>
    </w:p>
    <w:p>
      <w:pPr>
        <w:pStyle w:val="BookText"/>
        <w:rPr/>
      </w:pPr>
      <w:bookmarkEnd w:id="66"/>
      <w:r>
        <w:rPr>
          <w:rFonts w:ascii="IRNazanin" w:hAnsi="IRNazanin" w:eastAsia="IRNazanin"/>
          <w:color w:val="111111"/>
          <w:sz w:val="28"/>
          <w:sz w:val="28"/>
          <w:szCs w:val="28"/>
          <w:rtl w:val="true"/>
          <w:lang w:bidi="fa-IR"/>
        </w:rPr>
        <w:t>فقد کانت مسیرة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العلن مسیرة روحیة، مسیرة ثقافیة، مسیرة دینیة، مسیرة تربویة، مسیرة معنویة، وهذا هو المسار الأعظم لهم بلا ریب، لکن بقیة المسارات کان توازنها وتعادلها تحت تأثیرهم بنحو غیر مباشر ویوجهونها ویراقبونها عن بعد وبلطافة تامّة، ولو لم تکن أزمة خیوطها بیدهم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 غیرهم؛ لأنَّ بیدهم أَزِمَّة أمور المسلمین، فهل هذا أتی من فراغ؟</w:t>
      </w:r>
      <w:r>
        <w:rPr>
          <w:rFonts w:eastAsia="IRNazanin" w:cs="IRNazanin"/>
          <w:color w:val="111111"/>
          <w:sz w:val="28"/>
          <w:szCs w:val="28"/>
          <w:rtl w:val="true"/>
          <w:lang w:bidi="fa-IR"/>
        </w:rPr>
        <w:t>!.</w:t>
      </w:r>
    </w:p>
    <w:p>
      <w:pPr>
        <w:pStyle w:val="Heading3"/>
        <w:numPr>
          <w:ilvl w:val="2"/>
          <w:numId w:val="1"/>
        </w:numPr>
        <w:rPr/>
      </w:pPr>
      <w:bookmarkStart w:id="67" w:name="__RefHeading___Toc1160020_774463916"/>
      <w:bookmarkStart w:id="68" w:name="_Toc24"/>
      <w:bookmarkEnd w:id="67"/>
      <w:r>
        <w:rPr>
          <w:rtl w:val="true"/>
        </w:rPr>
        <w:t>البعد العملی لأهل البیت علیهم السلام</w:t>
      </w:r>
      <w:r>
        <w:rPr>
          <w:rtl w:val="true"/>
        </w:rPr>
        <w:t>:</w:t>
      </w:r>
      <w:bookmarkEnd w:id="68"/>
    </w:p>
    <w:p>
      <w:pPr>
        <w:pStyle w:val="BookText"/>
        <w:rPr/>
      </w:pPr>
      <w:r>
        <w:rPr>
          <w:rFonts w:ascii="IRNazanin" w:hAnsi="IRNazanin" w:eastAsia="IRNazanin"/>
          <w:color w:val="111111"/>
          <w:sz w:val="28"/>
          <w:sz w:val="28"/>
          <w:szCs w:val="28"/>
          <w:rtl w:val="true"/>
          <w:lang w:bidi="fa-IR"/>
        </w:rPr>
        <w:t>فإنَّ هناک بحوثاً استراتیجیة، وبحوثاً تاریخیة، وبحوثاً حضاریة، تدلُّ بکل وضوح علی کیفیة ماکان یقوم به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وماذا کان مشروعهم، والمعروف أنَّ الفعل مجمل فلابدَّ أنْ یوضّح دلالته بالألفاظ، لکن العکس فی بعض موارد تکون طوائف الألفاظ وطوائف الروایات أو البیانات قدْ لا توضّح إلّا بالعمل بالسیرة العملیة، فمثلاً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لزرارة ألا أعلمک کیف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یقول لحماد بن عیسی أتحسن الصلاة، وغیر ذلک من الشواهد الأُخری، وهذهِ قرینة واضحة علی ما هو المراد من وصایاهم فی کیفیة العمل، فلابدَّ لنا أنْ نلتفت، وأنْ نقرأ السیرة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عمیقة من کل جوانبها ومعطیاتها وبموازنة الشواهد المختلفة فتکون بذلک أکبر شارح لکلماتهم ووصایاهم اللفظیة، فعندما یأتی المخبر السری لهارون العباسی ویذکر القدرة المالیة للإمام موسی بن</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کانوا یشعرون من خلال هذا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قدرة علی إزالة النظام العباسی لو أُتیح له المجال أکثر، وهی الدوافع خلف إعتقاله ونقله من سجن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قدْ یقول قائل وبحسب النظرة السطحیة الظاهریة أنَّ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یبلغوا فی الاشتهار إلی درجة آبائهم کالسجّاد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یکون هذا التوجُّس والخوف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کان سجنهم عسکریاً ولم یکن سیاسیاً؟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الجسم الذی کانوا یبنونه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الإسلامیة لیسَ جسماً ضعیفاً، خاویاً، هجیناً، ولکن جسماً ینطوی ویبتنی علی العضلات والقدرات بشکل کبیر، وقد لاحظت ورصدت الدولة العباسیة فی زمن الهادی وولده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خطورة علیها وقد تصاعدت وتفاقمت هذهِ الخطورة بحیث لا یمکن السکوت علیها، ولذلک جعلوهم فی سجن عسکری وفی قاعدة عسکریة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القلق الأمنی والعسکری الذی کانت تعیشه الدولة العباسیة آنذاک خوفاً ورعباً من قدرة تمادی وتمدد نفوذ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السبب وراء قیامهم بسجن الهادی أو ولده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سجن انفرادی داخل أکبر قاعدة عسکریة، بلْ کانت هناک عدسات مراقبة من علماء وفقهاء البلاط العباسی ومن خبراء أمنیین وکانوا یعیشون معه فی هذا السجن الانفرادی ولم یترکوه لحظة واحدة، وهذا یعنی أنَّ الدولة العباسیة لم تکن مطمئنة من السیطرة علی الوضع حتّی مع سجن</w:t>
      </w:r>
      <w:bookmarkStart w:id="69" w:name="pg5083_31725"/>
    </w:p>
    <w:p>
      <w:pPr>
        <w:pStyle w:val="BookText"/>
        <w:rPr/>
      </w:pPr>
      <w:bookmarkEnd w:id="69"/>
      <w:r>
        <w:rPr>
          <w:rFonts w:ascii="IRNazanin" w:hAnsi="IRNazanin" w:eastAsia="IRNazanin"/>
          <w:color w:val="111111"/>
          <w:sz w:val="28"/>
          <w:sz w:val="28"/>
          <w:szCs w:val="28"/>
          <w:rtl w:val="true"/>
          <w:lang w:bidi="fa-IR"/>
        </w:rPr>
        <w:t>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أرادوا أنْ یسیطروا حتّی علی أنفاسهم صلوات الله علیهم خوفاً من الاتصال غیر المرئی قدْ یُخفی علیهم ملاحقته، وأنَّ مرکز الإدارة ومرکز تدبیر عملیات خطیرة فی العالم الإسلامی یصدر من الهادی أو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کان الاتصال والتعامل والتعاطی بین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 مدرسة أهل البیت بطریقة مشفَّرة وأمنیة بالغة الخفاء علی السلطة وأزلامها</w:t>
      </w:r>
      <w:r>
        <w:rPr>
          <w:rFonts w:eastAsia="IRNazanin" w:cs="IRNazanin"/>
          <w:color w:val="111111"/>
          <w:sz w:val="28"/>
          <w:szCs w:val="28"/>
          <w:rtl w:val="true"/>
          <w:lang w:bidi="fa-IR"/>
        </w:rPr>
        <w:t>.</w:t>
      </w:r>
    </w:p>
    <w:p>
      <w:pPr>
        <w:pStyle w:val="Heading3"/>
        <w:numPr>
          <w:ilvl w:val="2"/>
          <w:numId w:val="1"/>
        </w:numPr>
        <w:rPr/>
      </w:pPr>
      <w:bookmarkStart w:id="70" w:name="__RefHeading___Toc1160022_774463916"/>
      <w:bookmarkStart w:id="71" w:name="_Toc25"/>
      <w:bookmarkEnd w:id="70"/>
      <w:r>
        <w:rPr>
          <w:rtl w:val="true"/>
        </w:rPr>
        <w:t>الخطة الأمنیة للإمامین العسکریین</w:t>
      </w:r>
      <w:r>
        <w:rPr>
          <w:rtl w:val="true"/>
        </w:rPr>
        <w:t>(</w:t>
      </w:r>
      <w:r>
        <w:rPr>
          <w:rtl w:val="true"/>
        </w:rPr>
        <w:t>علیهما السلام</w:t>
      </w:r>
      <w:r>
        <w:rPr>
          <w:rtl w:val="true"/>
        </w:rPr>
        <w:t>):</w:t>
      </w:r>
      <w:bookmarkEnd w:id="71"/>
    </w:p>
    <w:p>
      <w:pPr>
        <w:pStyle w:val="BookText"/>
        <w:rPr/>
      </w:pPr>
      <w:r>
        <w:rPr>
          <w:rFonts w:ascii="IRNazanin" w:hAnsi="IRNazanin" w:eastAsia="IRNazanin"/>
          <w:color w:val="111111"/>
          <w:sz w:val="28"/>
          <w:sz w:val="28"/>
          <w:szCs w:val="28"/>
          <w:rtl w:val="true"/>
          <w:lang w:bidi="fa-IR"/>
        </w:rPr>
        <w:t>ومع کل هذهِ المراقبة العسکریة والمراقبة الشدیدة بدأ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بالتصعید من مستوی التقیة أی من قدراته الأمنیة مع أتباعه فی کل المدن الإسلامیة من نیشابور وخراسان وقم ومصر والمدینة وبغداد، بلْ حتّی الشام،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یدیرها بشکل دقیق وحذر مع إعلان الاستنفار العسکری والسیاسی والاستخباراتی من قبل الدولة العباسیة، فما هذهِ القدرة العلمیة والعقلیة الأمنیة التی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تفوق القدرة العصریة فی زمانهم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جعفر، عن 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بالعسکر، وترصدنا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رکوبه، فخرج توقیعه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یسلمن علیَّ أحد، ولا یشیر إلیَّ بیده، ولا یومئ، فإنکم لا تأمنون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جانبی 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قلت ما تصنع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عندنا فی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فجئت لأراه وأسمع منه أو أری منه دلالة لیسکن قلبی وإنی لولد أبی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 خرج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خادم له، فلما حاذانا نظر إلی الشاب بجنبی، 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أغفاریٌّ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أمک حمدویة؟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ومرَّ، فقلت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رأیته قط وعرفته بوجهه قبل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فینفعک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هذا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دقَّقنا فی هذهِ الروایة فنری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 الناس من التسلیم علیه خوفاً علی شیعته هذا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 کما تقول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حاذانا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یجلس معهم ولم یصاحبهم ولکن کان هذا الشاب یرید دلیل وبرهان علی إمامة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یعطه أکثر مما یرید هذا الشاب خوفاً علی السائل فانظر إلی الدِّقَّة والحذر الأمنی الشدید، بجملتین لا أکثر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أغفاریٌّ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أمک حمدویة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بهذه المعلومات الخفیة أرشد الإمام الشاب إلی طریق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إنَّما یدلُّ علی قدرة الحس أو الجانب الأمنی الذی کان یتمتع به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أُخری تبیِّن لنا کیفیة إیصال الأوامر من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قادة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أبو هاشم الجعفری، عن داود بن الأسود، وَقادِ حمام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سیدی أبو مُحمَّد، فدفع إلیَّ خشبة، کأنَّها رجل باب مدورة طویلة، ملءَ الکف فقال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بهذهِ الخشبة إلی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فمضیت، فلما صرت إلی بعض الطریق عرض لی سقّاءُ معه بغل، فزاحمنی البغل علی</w:t>
      </w:r>
      <w:bookmarkStart w:id="72" w:name="pg5083_31729"/>
    </w:p>
    <w:p>
      <w:pPr>
        <w:pStyle w:val="BookText"/>
        <w:rPr/>
      </w:pPr>
      <w:bookmarkEnd w:id="72"/>
      <w:r>
        <w:rPr>
          <w:rFonts w:ascii="IRNazanin" w:hAnsi="IRNazanin" w:eastAsia="IRNazanin"/>
          <w:color w:val="111111"/>
          <w:sz w:val="28"/>
          <w:sz w:val="28"/>
          <w:szCs w:val="28"/>
          <w:rtl w:val="true"/>
          <w:lang w:bidi="fa-IR"/>
        </w:rPr>
        <w:t>الطریق، فنادانی السقّاء صح علی البغل، فرفست الخشبة التی کانت معی، فضربتُ البغلَ، فانشقت، فنظرت إلی کسرها فإذا فیها کُتبٌ، فبادرت سریعاً فرددت الخشبةَ إلی کُمّی، فجعل السقّاء ینادینی ویشتمنی، ویشتم صاحبی، فلما دنوت من الدار راجعاً أستقبلنی عیسی الخادم عند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ضربت البغلَ، وکسرت رجلَ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ما فی رجل الباب،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احتجت أنْ تعمل عملاً تحتاج أنْ تعتذر منه، إیاک بعدها أنْ تعودَ إلی مثلها، وإذا سمعت لنا شاتماً فامض لسبیلک التی أُمرتَ بها، وإیاک أنْ تجاوب من یشتمنا، أو تعرِفه من أنت، فإننا ببلد سوء، ومصر سوء، وامضِ فی طریقک، فإنَّ أخبارک وأحوالک ترد إلینا، فاعلم ذلک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آلیات الاتصال والتواصل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وکلائه ومن ثم مع أتباعه مستمرة رغم شدة الرقابة فلم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 مستکیناً عن قیادته وإداراته للأمور عبر طرق أمنیة مشفّرة ومعقدة وعجیبة</w:t>
      </w:r>
      <w:r>
        <w:rPr>
          <w:rFonts w:eastAsia="IRNazanin" w:cs="IRNazanin"/>
          <w:color w:val="111111"/>
          <w:sz w:val="28"/>
          <w:szCs w:val="28"/>
          <w:rtl w:val="true"/>
          <w:lang w:bidi="fa-IR"/>
        </w:rPr>
        <w:t>.</w:t>
      </w:r>
    </w:p>
    <w:p>
      <w:pPr>
        <w:pStyle w:val="Heading3"/>
        <w:numPr>
          <w:ilvl w:val="2"/>
          <w:numId w:val="1"/>
        </w:numPr>
        <w:rPr/>
      </w:pPr>
      <w:bookmarkStart w:id="73" w:name="__RefHeading___Toc1160024_774463916"/>
      <w:bookmarkStart w:id="74" w:name="_Toc26"/>
      <w:bookmarkEnd w:id="73"/>
      <w:r>
        <w:rPr>
          <w:rtl w:val="true"/>
        </w:rPr>
        <w:t>قوة تدبیر الإمام الصادق</w:t>
      </w:r>
      <w:r>
        <w:rPr>
          <w:rtl w:val="true"/>
        </w:rPr>
        <w:t>(</w:t>
      </w:r>
      <w:r>
        <w:rPr>
          <w:rtl w:val="true"/>
        </w:rPr>
        <w:t>علیه السلام</w:t>
      </w:r>
      <w:r>
        <w:rPr>
          <w:rtl w:val="true"/>
        </w:rPr>
        <w:t xml:space="preserve">) </w:t>
      </w:r>
      <w:r>
        <w:rPr>
          <w:rtl w:val="true"/>
        </w:rPr>
        <w:t>الأمنیة</w:t>
      </w:r>
      <w:r>
        <w:rPr>
          <w:rtl w:val="true"/>
        </w:rPr>
        <w:t>:</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نلاحظ دور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أسس أکبر جامعة أو حوزة علمیة فی العالم الإسلامی وقد کانت تحاربه أکبر دولة عظمی أنذاک، وقد کانوا یشاغبون ویعرقلون ویعاوقون أمنیاً فی أزقة المدینة فی یومیات وساعات حیاة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کل هذا لم یستطیعوا أنْ یفشِّلوا هذا المشروع الذی هو أحد مشاریع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الدولة العباسیة فی زمن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الوالی أو المحافظ علی المدینة المنورة داود بن علی بن عبدالله بن العباس وهو من أهم أعمدة الدولة العباسیة وهو عمّ السفّاح العباسی، وضمَّ إلیه مکّة والیمن والیمامة، ولما دخل المدینة هدّد الناس، وقال فی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أغرکم الإمهال حتّی حسبتموه الإهمال، هیهات منکم وکیف بکم، والسوط کفی والسیف مشهراً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رسالة واضحة إلی الشخصیة التی یتخوّفون منها بنی العباس وکان هذا الوالی العقل المدبِّر للدولة العباسیة وأحد مؤسسیها، ولا أحد یضاهیه فی الدهاء والإرهاب، فجعلوه محافظاً ولم یجعلوه وزیراً فی العاصمة العباسیة بلْ جعلوه محافظاً وفی المدینة المنورة لأسباب أمنیة خوفاً من أی قطب مناوئ للدولة العباسیة، وهل کان للدولة العباسیة مناوئ لهم غیر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شیطنته وأخطبوطیته، ورغم دهائه وإرهابه لم یستطع أنْ یعاوق ویعرقل ویعطل قدرة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تأسیس هذهِ الجامعة العالمیة الکبری، بلْ کان صلوات الله علیه یصرِّح بتعالیم مناهضة بعدم نصرة الظالم، من قبیل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بالظلم والمعین له والراضی به شرکاء ثلاثتهم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ذلک بإسلوب الحرب الباردة </w:t>
      </w:r>
      <w:r>
        <w:rPr>
          <w:rFonts w:eastAsia="IRNazanin" w:cs="IRNazanin"/>
          <w:color w:val="111111"/>
          <w:sz w:val="28"/>
          <w:szCs w:val="28"/>
          <w:rtl w:val="true"/>
          <w:lang w:bidi="fa-IR"/>
        </w:rPr>
        <w:t>.</w:t>
      </w:r>
      <w:bookmarkStart w:id="75" w:name="pg5083_31733"/>
    </w:p>
    <w:p>
      <w:pPr>
        <w:pStyle w:val="BookText"/>
        <w:rPr/>
      </w:pPr>
      <w:bookmarkEnd w:id="75"/>
      <w:r>
        <w:rPr>
          <w:rFonts w:ascii="IRNazanin" w:hAnsi="IRNazanin" w:eastAsia="IRNazanin"/>
          <w:color w:val="111111"/>
          <w:sz w:val="28"/>
          <w:sz w:val="28"/>
          <w:szCs w:val="28"/>
          <w:rtl w:val="true"/>
          <w:lang w:bidi="fa-IR"/>
        </w:rPr>
        <w:t>وکقوله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علیه من یظلمه، فإذا دعا لم یستجب له ولم یأجره الله علی ظلامته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وقعت فی فترة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أحداث سیاسیة خطیرة فی حیاة الأمَّة وإمامها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زید الشهید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وسقوط الدولة الأمویة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وثورة مُحمَّد بن عبدالله بن الحسن صاحب النفس الزکیة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کان مالک بن أنس یحظی بالتقدیر والاحترام من السلطة، بلْ أعلن الناطق باسم العباسیین فی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یفتی الناس إلّا مالک بن أنس وابن أبی ذئب</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وفی المقابل أمر المنصور بإحراق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أبو جعفر المنصور إلی الحسن بن زید وهو والیه علی الحرمین أنْ أحرق علی جعفر بن مُحمَّد داره، فألقی النار فی دار أبی عبدالله فأخذت النار فی الباب والدهلیز، فخرج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یتخطی النار ویمشی فیها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أعراق الثری أنا ابن إبراهیم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160026_774463916"/>
      <w:bookmarkStart w:id="77" w:name="_Toc27"/>
      <w:bookmarkEnd w:id="76"/>
      <w:r>
        <w:rPr>
          <w:rtl w:val="true"/>
        </w:rPr>
        <w:t>رُسُل الإمام الصادق</w:t>
      </w:r>
      <w:r>
        <w:rPr>
          <w:rtl w:val="true"/>
        </w:rPr>
        <w:t>(</w:t>
      </w:r>
      <w:r>
        <w:rPr>
          <w:rtl w:val="true"/>
        </w:rPr>
        <w:t>علیه السلام</w:t>
      </w:r>
      <w:r>
        <w:rPr>
          <w:rtl w:val="true"/>
        </w:rPr>
        <w:t>):</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هذهِ المرحلة العصیبة بعث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رسله إلی الجزائر وتونس والمغرب ولیبیا یدعوهم إلی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فهناک</w:t>
      </w:r>
    </w:p>
    <w:p>
      <w:pPr>
        <w:pStyle w:val="BookText"/>
        <w:rPr/>
      </w:pPr>
      <w:r>
        <w:rPr>
          <w:rFonts w:ascii="IRNazanin" w:hAnsi="IRNazanin" w:eastAsia="IRNazanin"/>
          <w:color w:val="111111"/>
          <w:sz w:val="28"/>
          <w:sz w:val="28"/>
          <w:szCs w:val="28"/>
          <w:rtl w:val="true"/>
          <w:lang w:bidi="fa-IR"/>
        </w:rPr>
        <w:t>قبیلة تسمی قبیلة کتامی وهی من القبائل الکبیرة الضخمة المنتشرة وإلی الآن بعض أبناء هذهِ القبیلة یتبعون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موجود فی کتابات تأریخیة لکتاب جزائریین قدامی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یستطع هذا المحافظ أو الوالی ولا غیره أنْ یعرقل ویعطّل ویوهن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مهامه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العراق کان عنده مشروع علمی کبیر أسسه فی مسجد الکوفة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جوانب، وفی جانب آخر کانت خیوط التیارات العقائدیة والسیاسیة فی العراق وإیران وجملة کثیرة من البلدان تدار من قبله بشکل وبآخر وبدرجة ونسبة ومراتب مختلفة مع إطلاع محیط شامل علی الأوضاع فی البیئات المختلفة للعالم الإسلامی</w:t>
      </w:r>
      <w:r>
        <w:rPr>
          <w:rFonts w:eastAsia="IRNazanin" w:cs="IRNazanin"/>
          <w:color w:val="111111"/>
          <w:sz w:val="28"/>
          <w:szCs w:val="28"/>
          <w:rtl w:val="true"/>
          <w:lang w:bidi="fa-IR"/>
        </w:rPr>
        <w:t>.</w:t>
      </w:r>
      <w:bookmarkStart w:id="78" w:name="pg5083_31737"/>
    </w:p>
    <w:p>
      <w:pPr>
        <w:pStyle w:val="Heading2"/>
        <w:numPr>
          <w:ilvl w:val="1"/>
          <w:numId w:val="1"/>
        </w:numPr>
        <w:rPr/>
      </w:pPr>
      <w:bookmarkStart w:id="79" w:name="__RefHeading___Toc1160028_774463916"/>
      <w:bookmarkStart w:id="80" w:name="_Toc28"/>
      <w:bookmarkEnd w:id="78"/>
      <w:bookmarkEnd w:id="79"/>
      <w:r>
        <w:rPr>
          <w:rtl w:val="true"/>
        </w:rPr>
        <w:t>الإمام الهادی علیهِ السلام قائد لا تهزّه العواصف</w:t>
      </w:r>
      <w:bookmarkEnd w:id="80"/>
    </w:p>
    <w:p>
      <w:pPr>
        <w:pStyle w:val="Heading3"/>
        <w:numPr>
          <w:ilvl w:val="2"/>
          <w:numId w:val="1"/>
        </w:numPr>
        <w:rPr/>
      </w:pPr>
      <w:bookmarkStart w:id="81" w:name="__RefHeading___Toc1160030_774463916"/>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مع کل هذه المضایقات العسکریة التی کانت حول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یشغله هذا عن مهامه کإمام لأمّته، بلْ له نشاط برکانی متفجِّر فی ملفات عدیدة، بلْ بقی یدیر شوؤن الأمة وأتباعه علمیاً وتربویاً ونفسیاً وأخلاقیاً وأمنیاً، ولو یفرض أن قائداً علیه کل هذهِ المضایقات العسکریة والأمنیة والسیاسیة والاقتصادیة، بلْ الإعلامیة العلمیة فسوف نراه یعیش فی حالة إرباک وتشتت فی أفکاره وأعماله، وبالتالی سوف یصبح لدیه نوع من الوهن والاستکانة والنکول والجمود والیأس، فی حین لانراه ولانشاهده عند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کثرة المحن والشدائد والفتن التی قامت بها السلطة العباسیة فی مواجهته فضلاً عن باقی أئمة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کل ذلک إدارته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وتدبیره لما یحدث فی الأمة والمؤمنین من حوادث وإهتزازات فیما بینهم کما فی قضیة الفضل بن شاذان، حیث قام بفتنة عقائدیة مع أنَّه من کبار الصحابة الأجلاء ولکن لکل جواد کبوة، حیث حدثت هذهِ الفتنة الخاطئة فی نیشابور وهنا عالج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بتدبیره وسیاسته هذهِ القضیة فانقلبت إلی 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 القضیة مذکورة بشکل مفصَّل فی کتاب رجال الکشّی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وموقف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ألَّف الفیلسوف إسحاق الکندی</w:t>
      </w:r>
    </w:p>
    <w:p>
      <w:pPr>
        <w:pStyle w:val="BookText"/>
        <w:rPr/>
      </w:pPr>
      <w:r>
        <w:rPr>
          <w:rFonts w:ascii="IRNazanin" w:hAnsi="IRNazanin" w:eastAsia="IRNazanin"/>
          <w:color w:val="111111"/>
          <w:sz w:val="28"/>
          <w:sz w:val="28"/>
          <w:szCs w:val="28"/>
          <w:rtl w:val="true"/>
          <w:lang w:bidi="fa-IR"/>
        </w:rPr>
        <w:t xml:space="preserve">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وأحدث فی ذلک الوقت نوعاً من الإرباک فی العالم الإسلامی ولم یتمکن أحد من ردّه إلّا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الفیلسوف الکندی نفسه وجدها فی ورطة من امکانیة التخلص منها، وهذهِ قضیة ملحمیة خطیرة فی معرفة معارف علوم القرآن ولکنه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بردّ هذا الفیلسوف بإرسال الجواب عن طریق أحد تلامذته، وقال الکندی فی حینها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لیخرج مثل هذا إلّا من ذلک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 بیت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الکندی بحرق کتابه فأتلفه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وحدثت قضیة أخری فی سامراء وکان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سجن بنی العباس، وهی قضیة الراهب الذی کان یحمل عظم أحد الأنبیاء وکلما مدَّ یده إلی السماء هطلت بالمطر، فجاء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زیف هذا الراهب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بعدما أرسل إلیه المعتمد وکان فی سجنه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أمَّة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یهلکوا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خلفاء بنی العباس أعداء یحملون الحقد والکراهة تّجاه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لا یطمئنون ولا یرجعون فی أی نازلة تدهم الأمة والدین وفی إقامة صدع الرأب للأمَّة الإسلامیة إلی علماء مذاهب المدارس الإسلامیة الأُخری، ولذلک نری أی فتنة أو إثارة خطیرة أو مرافعة قضائیة کبیرة إذْ حدثت عند خلفاء بنی أمیة أو بنی العباس لا یستنجدون بغیر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یستنجدون بالقطب المعادی لهم؛ لأنهم یعلمون جیداً أنَّ هذا القطب المعادی له مبدأ ولیسَ إنفلاتی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لاحظنا الأزمة الاقتصادیة التی عصفت بالأُمَّة الإسلامیة فی المجال النقدی فی زمن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عبد الملک بن مروان من ألدّ أعداء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یستطع أنْ یلجأ إلی غیر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أعطی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الاقتصادی لذلک فی لحظات، بینما نری الیوم الأزمة المالیة الاقتصادیة فی العالم إلی الآن لم یرقوا إلی علاجها، بلْ مجرد وعود لا أکثر وقد دخلنا فی السنة الثامنة أو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ینبغی علینا أنْ نقرأ هذهِ المواد بمشهد تمثیلی نتحسّس به الواقع بمدی مساهمة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ومدی اضطرار الخلق بما فیهم رؤوساء الدول إلی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یعلمون أنهم هم المفزع والملجأ فی کل شیء، لم تکن صدفة أن یعلم عبد الملک بن مروان أن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بالنقد الدولی؟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للمتوکِّل أنَّ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بالقضایا الروحیة والأدیانیة؟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لأنَّهم یعلمون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کعبة الآمال، وکعبة العلوم، وکعبة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مانقرأه فی بعض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قدرات لدنیة وهبیة متنوِّعة فی کل المجالات ومختلفة، ومن الواضح هی قدرة إمام اصطفیت من قبل الله عَزَّ وَجَلَّ لیکون فیها نجاة البشر، کما حدث ذلک مع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التجأ إلیه ملک مصر فی الأزمة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الثانی من أسباب الاستنفار الأمنی والعسکری حول بیت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التخوُّف والحذر من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الاستنفار من أکبر دولة علی وجه الأرض هو برهان والدلیل</w:t>
      </w:r>
      <w:bookmarkStart w:id="83" w:name="pg5083_31743"/>
    </w:p>
    <w:p>
      <w:pPr>
        <w:pStyle w:val="BookText"/>
        <w:rPr/>
      </w:pPr>
      <w:bookmarkEnd w:id="83"/>
      <w:r>
        <w:rPr>
          <w:rFonts w:ascii="IRNazanin" w:hAnsi="IRNazanin" w:eastAsia="IRNazanin"/>
          <w:color w:val="111111"/>
          <w:sz w:val="28"/>
          <w:sz w:val="28"/>
          <w:szCs w:val="28"/>
          <w:rtl w:val="true"/>
          <w:lang w:bidi="fa-IR"/>
        </w:rPr>
        <w:t>علی هلعهم وتزلزلهم من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حی یرزق، وولیّ لله، وخلیفة الله فی أرضه ومن ذاک القرن الثالث إلی هذا القرن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السنة الهجریة الراهنة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هناک براهین وبیّنات کثیرة ولکن أحد البراهین العظیمة علی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علی عقیدة الاعتقاد بمهدویة الإمام الثانی عشر وبأنَّه المهدی الموعود، والمنجی للبشریة هو نفس إقامة السلطة العباسیة السجن العسکری علی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السلطة کانت تتوجَّس الخیفة والحذر، بلْ کانت مرتبکة ومشوَّشة أمام حدث خطیر جداً وبالغ الخطورة وعلی وشک الوقوع، ومن ثم أخذت السلطة العباسیة استعدادات وإجراءات إستباقیة للحیلولة دون وقوع هذا الحدث العظیم والخطیر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دلالة بینة علی استیقان العباسیین والسلطات السیاسیة فی المسلمین أنَّ حقیقة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دامغة ولا مفرَّ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حسب حساباتهم إذا کانوا لایتمکنون من إحکام الخناق والسیطرة علی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تحت الإقامة الجبریة والرقابة لتحرکاته بشدّة فکیف إذا کان الإمام غائباً عنهم ولا یستطیعون رصد حرکاته وأفعاله وأعماله</w:t>
      </w:r>
      <w:r>
        <w:rPr>
          <w:rFonts w:eastAsia="IRNazanin" w:cs="IRNazanin"/>
          <w:color w:val="111111"/>
          <w:sz w:val="28"/>
          <w:szCs w:val="28"/>
          <w:rtl w:val="true"/>
          <w:lang w:bidi="fa-IR"/>
        </w:rPr>
        <w:t>.</w:t>
      </w:r>
    </w:p>
    <w:p>
      <w:pPr>
        <w:pStyle w:val="Heading3"/>
        <w:numPr>
          <w:ilvl w:val="2"/>
          <w:numId w:val="1"/>
        </w:numPr>
        <w:rPr/>
      </w:pPr>
      <w:bookmarkStart w:id="84" w:name="__RefHeading___Toc1160032_774463916"/>
      <w:bookmarkStart w:id="85" w:name="_Toc30"/>
      <w:bookmarkEnd w:id="84"/>
      <w:r>
        <w:rPr>
          <w:rtl w:val="true"/>
        </w:rPr>
        <w:t>الإمام المهدی</w:t>
      </w:r>
      <w:r>
        <w:rPr>
          <w:rtl w:val="true"/>
        </w:rPr>
        <w:t>(</w:t>
      </w:r>
      <w:r>
        <w:rPr>
          <w:rtl w:val="true"/>
        </w:rPr>
        <w:t>عج</w:t>
      </w:r>
      <w:r>
        <w:rPr>
          <w:rtl w:val="true"/>
        </w:rPr>
        <w:t xml:space="preserve">) </w:t>
      </w:r>
      <w:r>
        <w:rPr>
          <w:rtl w:val="true"/>
        </w:rPr>
        <w:t>یدیر شؤون الأمة بسریة تامّة</w:t>
      </w:r>
      <w:r>
        <w:rPr>
          <w:rtl w:val="true"/>
        </w:rPr>
        <w:t>:</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 کتاب مؤخَّراً لأحد علماء منظری الاستراتیجیة الفرنسیة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الکاتب الفرنسی یقول إنَّ السِّر فی بقاء الشیعة وتنامی عددهم وقدرتهم هو خفاء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یدیرهم ویدبرهم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الفکرة عصیّة علی الفهم، فالأمر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صعوداً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الدین المسیحی، بلْ غیبة شاءها الله کی یسمح لمحمد المهدی بأنْ یقود الناس بطریقة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وفکرة غیبة الإمام هذهِ لها لدی الشیعة تأثیر مهم علی محتوی هذا الإیمان ونتائجه؛ لأنّها تفسیر طابعه النهیوی، فالشعیة ینتظرون نهایة العالم وعودة الإمام، باعتبار أنَّ هذهِ العودة هی، بشکل أو بآخر، نهایة التاریخ وانتصار الله فی مصائر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موضوع غیبة الإمام وانتظار ظهوره یتمیَّز الشیعة بالأهمیة التی یعلقونها علی شرح النصوص وتأویلها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کلامه فهو لم یقل یزعمون أو یدعون، ولم یتعامل مع القضیة المهدویة کفرضیة بلْ یتعامل معها کحقیقة راهنة، مع أنَّه مسیحی ومنظِّر استراتیجی لم یتعاطَ مع 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وحیاته کزعم وفرضیة لم یقم علیها برهان، کما فی کتبنا التی ندلِّل علیها ببرهان، ولم یتعامل معها کأسطورة خیالیة، وإنَّما یتعامل معها کإرسال المسلمات؛ وبوعی بأنَّ الغیبة مشروع حضاری جبّار مهیمن علی قوی النظم البشریة؛ ویقرأ قضیة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بعقلیة أمنیة بشریة، ولذلک نراه یتعاطی معها کحقیقة راهنة دامغة، وهذا 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ذهنیة عدة من المذاهب الإسلامیة التی</w:t>
      </w:r>
      <w:bookmarkStart w:id="86" w:name="pg5083_31747"/>
    </w:p>
    <w:p>
      <w:pPr>
        <w:pStyle w:val="BookText"/>
        <w:rPr/>
      </w:pPr>
      <w:bookmarkEnd w:id="86"/>
      <w:r>
        <w:rPr>
          <w:rFonts w:ascii="IRNazanin" w:hAnsi="IRNazanin" w:eastAsia="IRNazanin"/>
          <w:color w:val="111111"/>
          <w:sz w:val="28"/>
          <w:sz w:val="28"/>
          <w:szCs w:val="28"/>
          <w:rtl w:val="true"/>
          <w:lang w:bidi="fa-IR"/>
        </w:rPr>
        <w:t>تعترض وتشکِّک وتقول إذنْ فما لفائدة من غیبة الإمام؟</w:t>
      </w:r>
      <w:r>
        <w:rPr>
          <w:rFonts w:eastAsia="IRNazanin" w:cs="IRNazanin"/>
          <w:color w:val="111111"/>
          <w:sz w:val="28"/>
          <w:szCs w:val="28"/>
          <w:rtl w:val="true"/>
          <w:lang w:bidi="fa-IR"/>
        </w:rPr>
        <w:t>!.</w:t>
      </w:r>
    </w:p>
    <w:p>
      <w:pPr>
        <w:pStyle w:val="Heading3"/>
        <w:numPr>
          <w:ilvl w:val="2"/>
          <w:numId w:val="1"/>
        </w:numPr>
        <w:rPr/>
      </w:pPr>
      <w:bookmarkStart w:id="87" w:name="__RefHeading___Toc1160034_774463916"/>
      <w:bookmarkStart w:id="88" w:name="_Toc31"/>
      <w:bookmarkEnd w:id="87"/>
      <w:r>
        <w:rPr>
          <w:rtl w:val="true"/>
        </w:rPr>
        <w:t>إعلان حالة الطواریء خوفاً من المهدی</w:t>
      </w:r>
      <w:r>
        <w:rPr>
          <w:rtl w:val="true"/>
        </w:rPr>
        <w:t>(</w:t>
      </w:r>
      <w:r>
        <w:rPr>
          <w:rtl w:val="true"/>
        </w:rPr>
        <w:t>عج</w:t>
      </w:r>
      <w:r>
        <w:rPr>
          <w:rtl w:val="true"/>
        </w:rPr>
        <w:t>):</w:t>
      </w:r>
      <w:bookmarkEnd w:id="88"/>
    </w:p>
    <w:p>
      <w:pPr>
        <w:pStyle w:val="Heading3"/>
        <w:numPr>
          <w:ilvl w:val="2"/>
          <w:numId w:val="1"/>
        </w:numPr>
        <w:rPr/>
      </w:pPr>
      <w:bookmarkStart w:id="89" w:name="__RefHeading___Toc1160036_774463916"/>
      <w:bookmarkStart w:id="90" w:name="_Toc32"/>
      <w:bookmarkEnd w:id="89"/>
      <w:r>
        <w:rPr>
          <w:rtl w:val="true"/>
        </w:rPr>
        <w:t>إجراءات أمنیة مشددة قبل ولادة المهدی</w:t>
      </w:r>
      <w:r>
        <w:rPr>
          <w:rtl w:val="true"/>
        </w:rPr>
        <w:t>(</w:t>
      </w:r>
      <w:r>
        <w:rPr>
          <w:rtl w:val="true"/>
        </w:rPr>
        <w:t>عج</w:t>
      </w:r>
      <w:r>
        <w:rPr>
          <w:rtl w:val="true"/>
        </w:rPr>
        <w:t>):</w:t>
      </w:r>
      <w:bookmarkEnd w:id="90"/>
    </w:p>
    <w:p>
      <w:pPr>
        <w:pStyle w:val="BookText"/>
        <w:rPr/>
      </w:pPr>
      <w:r>
        <w:rPr>
          <w:rFonts w:ascii="IRNazanin" w:hAnsi="IRNazanin" w:eastAsia="IRNazanin"/>
          <w:color w:val="111111"/>
          <w:sz w:val="28"/>
          <w:sz w:val="28"/>
          <w:szCs w:val="28"/>
          <w:rtl w:val="true"/>
          <w:lang w:bidi="fa-IR"/>
        </w:rPr>
        <w:t>ونحن إذ نذکر ونصوِّر هذهِ القضیة عن هذا الکاتب لکی نعیش هذا التصویر والجو بین السلطة العباسیة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السلطة العباسیة کانت تتعاطی مع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والد للمهدی المنتظر کحقیقة راهنة لا کأسطورة مزعومة أو بأنَّ الشیعة یروون أنَّ الأئمة أثنی عشر إماماً، بلْ کانت تتعاطی مع هذهِ العقیدة المهدویة کشیء مبده، ولذلک اتّخذت تلک الإجراءات الاستباقیة التی کانت بدرجة تأهب قصوی تّجاه مجیء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وأقامت السجن العسکری وفی داخل القاعدة العسکریة وفی العاصمة العسکریة، ولو نُدقِّق ونراجع الموسوعات القانونیة، والحقوقیة، والموسوعات السیاسیة العصریة الحدیثة، لشاهدنا أنَّ الدولة تقیم محاکم عسکریة عندما یطرء إرباک أمنی خطیر، فتعلن الدولة هذا الاستنفار أو حالة الطوارئ العسکریة، فهل عقیدة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أسطورة؟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مجرد أسطورة فلماذا تعلن أکبر دولة علی وجه الأرض أنذاک وهی الدولة العباسیة حالة الطواری وحالة الاستنفار الأمنی والعسکری، ومن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یومنا هذا نری الدول العظمی تتعاطی مع القضیة المهدویة کحقیقة راهنة دامغة لا کقضیة مأثورة فی روایات تاریخیة </w:t>
      </w:r>
      <w:r>
        <w:rPr>
          <w:rFonts w:eastAsia="IRNazanin" w:cs="IRNazanin"/>
          <w:color w:val="111111"/>
          <w:sz w:val="28"/>
          <w:szCs w:val="28"/>
          <w:rtl w:val="true"/>
          <w:lang w:bidi="fa-IR"/>
        </w:rPr>
        <w:t>.</w:t>
      </w:r>
      <w:bookmarkStart w:id="91" w:name="pg5083_31749"/>
    </w:p>
    <w:p>
      <w:pPr>
        <w:pStyle w:val="Heading3"/>
        <w:numPr>
          <w:ilvl w:val="2"/>
          <w:numId w:val="1"/>
        </w:numPr>
        <w:rPr/>
      </w:pPr>
      <w:bookmarkStart w:id="92" w:name="__RefHeading___Toc1160038_774463916"/>
      <w:bookmarkStart w:id="93" w:name="_Toc33"/>
      <w:bookmarkEnd w:id="91"/>
      <w:bookmarkEnd w:id="92"/>
      <w:r>
        <w:rPr>
          <w:rtl w:val="true"/>
        </w:rPr>
        <w:t>القیادة الرشیدة للإمامین العسکریین</w:t>
      </w:r>
      <w:r>
        <w:rPr>
          <w:rtl w:val="true"/>
        </w:rPr>
        <w:t>(</w:t>
      </w:r>
      <w:r>
        <w:rPr>
          <w:rtl w:val="true"/>
        </w:rPr>
        <w:t>علیهما السلام</w:t>
      </w:r>
      <w:r>
        <w:rPr>
          <w:rtl w:val="true"/>
        </w:rPr>
        <w:t>):</w:t>
      </w:r>
      <w:bookmarkEnd w:id="93"/>
    </w:p>
    <w:p>
      <w:pPr>
        <w:pStyle w:val="BookText"/>
        <w:rPr/>
      </w:pPr>
      <w:r>
        <w:rPr>
          <w:rFonts w:ascii="IRNazanin" w:hAnsi="IRNazanin" w:eastAsia="IRNazanin"/>
          <w:color w:val="111111"/>
          <w:sz w:val="28"/>
          <w:sz w:val="28"/>
          <w:szCs w:val="28"/>
          <w:rtl w:val="true"/>
          <w:lang w:bidi="fa-IR"/>
        </w:rPr>
        <w:t>ومن خلال کل هذا یبزغ لنا طابع آخر عن شخصیة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کیف کانا یدیران تربیة المسلمین وتربیة المؤمنین فی ظل إقامة جبریة فی سجن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هی الحالة معقَّدة ومتأزِّمة ومستعصیة ومع کل ذلک تتطلب إدراة من قیادة 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هناک فرقاً بین أنْ یکون القائد أو أی شخص آخر إذا سجن فی المدینة المدنیة وبین أنْ یکون سجیناً فی المدینة العسکریة؛ لأنَّه فی السجن المدنی السیاسی قدْ یحافظ علی شیء من التوازن والمقررات التعایشیة، أو من الأعراف المرسومة وبالتالی قدْ یکون هناک شیئاً من الضوابط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فی السجن العسکری قدْ یفقد السجین کل ذلک، وخصوصاً إذا کان النظام نظاماً مستشرساً دمویاً، فسوف لا یکون هناک نبل وقیم وأعرف، وخلق وإنسانیة، وإنَّما إفراط فی الرذیلة والسفل والسفالة والإسفاف إلی حدّ لا یطاق؛ لأنَّ اللغة فیها هی لغة العسکر ولغة الإستسباع؛ وآلیات أنیاب ومخالب وضحیة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أقامت المواثیق الدولیة العصریة مقررات ونظام خلقی فی الحرب؛ لأنَّهم یخشون من تمادی وحشیة الحالة العسکریة ولا یریدون أنْ تطغی العسکرة وحالة السبعیة حتّی یحافظون علی حیاة الأبریاء وعلی أعراض النساء من الهتک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لو نُدقِّق فی النظام الخلقی لدی الحیوانات السباع کالأسد</w:t>
      </w:r>
    </w:p>
    <w:p>
      <w:pPr>
        <w:pStyle w:val="BookText"/>
        <w:rPr/>
      </w:pPr>
      <w:r>
        <w:rPr>
          <w:rFonts w:ascii="IRNazanin" w:hAnsi="IRNazanin" w:eastAsia="IRNazanin"/>
          <w:color w:val="111111"/>
          <w:sz w:val="28"/>
          <w:sz w:val="28"/>
          <w:szCs w:val="28"/>
          <w:rtl w:val="true"/>
          <w:lang w:bidi="fa-IR"/>
        </w:rPr>
        <w:t>مثلاً، إذا أرادوا أنْ یفترسوا حیواناً آخر ووجدوا هذهِ الفریسة مریضة فلا یقتربون منها، وکأنما تأخذهم نوع من الرأفة والرقة، وقد اکتشفوا علماء الحیوان بعض الخلق الشریف فی نظام الاستسباع، ولکن فی النظام العسکری نراه فاقداً لهذه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هذا الجو المستعر فی التوحش العسکری کان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قمة التوازن الخلقی العالی فی الکرم والنبل والعفاف والزهادة والهالة القدسیة،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یربی ویبقی الأمَّة الإسلامیة وخصوصاً شیعته علی أخلاق القرآن الکریم وسُّنّة جده وآبائه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نرجع إلی الروایات لشاهدنا کیف کان یعیش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الطهارة والقدس فی ظل نظام یقیم محافل الخمور والرقص والمجون، وکم عانی من هتک حرمة هو ووالده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تجرعوا کؤوس الشدائد والمحن مع هذا النظام الطائش الدموی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المتوکِّل أمر بإحضار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مجلسه وقد کان المتوکِّل یحتسی الخمر، فأجلس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جانبه وناوله الکأس التی کانت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یخامر لحمی ودمی قط، فاعفنی فأعفاه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قلیل الروایة للشعر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 غلب الرجال فلم تنفعهم القلل</w:t>
      </w:r>
    </w:p>
    <w:p>
      <w:pPr>
        <w:pStyle w:val="BookText"/>
        <w:rPr/>
      </w:pPr>
      <w:r>
        <w:rPr>
          <w:rFonts w:ascii="IRNazanin" w:hAnsi="IRNazanin" w:eastAsia="IRNazanin"/>
          <w:color w:val="111111"/>
          <w:sz w:val="28"/>
          <w:sz w:val="28"/>
          <w:szCs w:val="28"/>
          <w:rtl w:val="true"/>
          <w:lang w:bidi="fa-IR"/>
        </w:rPr>
        <w:t>وعندما أکمل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نهایة شعره بکی المتوکِّل حتّی بلَّت لحیته دموع عینیه وبکی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إلی منزله مکرَّماً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المشهد من السیرة للإمامین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وبرهان عصمة ، وإلا من یستقیم ویستطیع أن یرابط علی المحجة وقمة لیاقة نشاط القیادة مع کل هذه الفتن والضغوط ، هذه إرادة وعلم وقدرة یعجز عنها الحدید الفولاذ </w:t>
      </w:r>
      <w:r>
        <w:rPr>
          <w:rFonts w:eastAsia="IRNazanin" w:cs="IRNazanin"/>
          <w:color w:val="111111"/>
          <w:sz w:val="28"/>
          <w:szCs w:val="28"/>
          <w:rtl w:val="true"/>
          <w:lang w:bidi="fa-IR"/>
        </w:rPr>
        <w:t>.</w:t>
      </w:r>
      <w:bookmarkStart w:id="94" w:name="pg5083_31756"/>
    </w:p>
    <w:p>
      <w:pPr>
        <w:pStyle w:val="Heading2"/>
        <w:numPr>
          <w:ilvl w:val="1"/>
          <w:numId w:val="1"/>
        </w:numPr>
        <w:rPr/>
      </w:pPr>
      <w:bookmarkStart w:id="95" w:name="__RefHeading___Toc1160040_774463916"/>
      <w:bookmarkStart w:id="96" w:name="_Toc34"/>
      <w:bookmarkEnd w:id="94"/>
      <w:bookmarkEnd w:id="95"/>
      <w:r>
        <w:rPr>
          <w:rtl w:val="true"/>
        </w:rPr>
        <w:t>التمهید لغیبة الإمام المهدی عَلَیْهِ السلام</w:t>
      </w:r>
      <w:bookmarkEnd w:id="96"/>
    </w:p>
    <w:p>
      <w:pPr>
        <w:pStyle w:val="Heading3"/>
        <w:numPr>
          <w:ilvl w:val="2"/>
          <w:numId w:val="1"/>
        </w:numPr>
        <w:rPr/>
      </w:pPr>
      <w:bookmarkStart w:id="97" w:name="__RefHeading___Toc1160042_774463916"/>
      <w:bookmarkStart w:id="98" w:name="_Toc35"/>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هناک ثلاث نقاط شارکت فی التمهید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جملة من المحققین أنَّ فی حیاة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الغیبة؛ لأنَّ غیبة القائد عن القاعدة الإسلامیة بسبب الإقامة الجبریة وبسبب سجنهما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نوع من الغیبة، بمعنی أنَّ هناک ترویضاً من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نلاحظ فی الروایات کم کابد علماء الشیعة وأتباع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بقیة المسلمین فی الاتصال أو الإرتباط بالعسکریین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استعملوا عِدَّة أسالیب عجیبة وغریبة کی یتواصلوا مع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یتلقون التعلیمات فی التدبیر والإدارة والتعلیم وبقیة المجالات الأخری</w:t>
      </w:r>
      <w:r>
        <w:rPr>
          <w:rFonts w:eastAsia="IRNazanin" w:cs="IRNazanin"/>
          <w:color w:val="111111"/>
          <w:sz w:val="28"/>
          <w:szCs w:val="28"/>
          <w:rtl w:val="true"/>
          <w:lang w:bidi="fa-IR"/>
        </w:rPr>
        <w:t>.</w:t>
      </w:r>
    </w:p>
    <w:p>
      <w:pPr>
        <w:pStyle w:val="Heading3"/>
        <w:numPr>
          <w:ilvl w:val="2"/>
          <w:numId w:val="1"/>
        </w:numPr>
        <w:rPr/>
      </w:pPr>
      <w:bookmarkStart w:id="99" w:name="__RefHeading___Toc1160044_774463916"/>
      <w:bookmarkStart w:id="100" w:name="_Toc36"/>
      <w:bookmarkEnd w:id="99"/>
      <w:r>
        <w:rPr>
          <w:rtl w:val="true"/>
        </w:rPr>
        <w:t>النقطة الثانیة</w:t>
      </w:r>
      <w:r>
        <w:rPr>
          <w:rtl w:val="true"/>
        </w:rPr>
        <w:t xml:space="preserve">: </w:t>
      </w:r>
      <w:r>
        <w:rPr>
          <w:rtl w:val="true"/>
        </w:rPr>
        <w:t>علماء وشیعة أهل البیت</w:t>
      </w:r>
      <w:r>
        <w:rPr>
          <w:rtl w:val="true"/>
        </w:rPr>
        <w:t>(</w:t>
      </w:r>
      <w:r>
        <w:rPr>
          <w:rtl w:val="true"/>
        </w:rPr>
        <w:t>علیهم السلام</w:t>
      </w:r>
      <w:r>
        <w:rPr>
          <w:rtl w:val="true"/>
        </w:rPr>
        <w:t xml:space="preserve">) </w:t>
      </w:r>
      <w:r>
        <w:rPr>
          <w:rtl w:val="true"/>
        </w:rPr>
        <w:t>فی زمن الأئمة</w:t>
      </w:r>
      <w:r>
        <w:rPr>
          <w:rtl w:val="true"/>
        </w:rPr>
        <w:t>(</w:t>
      </w:r>
      <w:r>
        <w:rPr>
          <w:rtl w:val="true"/>
        </w:rPr>
        <w:t>علیهم السلام</w:t>
      </w:r>
      <w:r>
        <w:rPr>
          <w:rtl w:val="true"/>
        </w:rPr>
        <w:t>):</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الصدفة أنْ یتکامل مجتمع المؤمنین والمجتمع البشری لیعیش بإدارة قائد لکن مع خفائه عن الجمهور أو القاعدة الشعبیة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الصدفة أیضاً أنَّ هناک من علماء الشیعة أو من المؤمنین وصلوا إلی درجة یمکنهم إدارة المجتمع نیابة عن القائد الحقیقی رغم انقطاع الاتصال، فالقائد المعصوم الإلهی یدبر ویتغلغل ویدیر هذهِ الشؤون بتمام الفعالیة والنشاط، ولکن من دون علم من نواب بالنیابة العامّة وعلماء الإمامیة، ونخب الإمامیة، وعیون المؤمنین، ومن دون وعیهم لکیفیة الاتصال والارتباط والتدبیر، وهذا یدلُّ علی وصول المجتمع الإمامی إلی درجة من الرشاد قدْ عاشها أهل الإیمان ببرکات کفوءة لأئمة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الرشاد بلغ ذروته لأتباع الإمامین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وشیعة أهل البیت فی زمن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النقطة تدل علی أنَّ مشروع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یقف عند وضعیة أهل الإیمان وسیرتهم التی کانت فی عهد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کالسجّاد أو الباقر أو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مشروع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مشروع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 أنَّه یجب بأستمرار دائماً أنْ یتسع ویشع نور ومنهاج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أکبر عامل مساعد علی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وأکبر نصرة لله تعالی وللنبی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جمیع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تَنْصُرُوا اللّهَ یَنْصُرْکُمْ هی نشر تعالیم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الشعوب البشریة عموماً، وفی الشعوب الإسلامیة خصوصاً؛ لأنَّه کما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یتعلم علومنا ویعلمها الناس</w:t>
      </w:r>
      <w:bookmarkStart w:id="101" w:name="pg5083_31759"/>
    </w:p>
    <w:p>
      <w:pPr>
        <w:pStyle w:val="BookText"/>
        <w:rPr/>
      </w:pPr>
      <w:bookmarkEnd w:id="101"/>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لأنَّهم یحملون مسؤولیة المشروع الإلهی، نعم روی أنَّ أکبر علامة لظهور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الصیحة أو خروج السفیانی أو خروج الحسنی والیمانی غیر ذلک لکنها علامات حتمیة فیها البداء، ولکن فی الواقع أکبر علامة مؤکَّدة حتمیة لا بداء فیها لظهور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إنتشار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علمیاً فی ثقافة الشعوب؛ حتّی لا یتمُّ طمس تعالیم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وتبدیلها بإنحرافات ودجلیات التی تخرج بین الحین والآخر من قبل فرق أو جماعات تضحک وتشعوذ علی عقول البشر، إنَّ المناصرة والمؤازرة لظهور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نشر مبادی وتعالیم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هی تعالیم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الإسلام التی بینها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نسعی لطمسها واستبدالها ببدائل مبتدعة ومنحرفة جدیدة ومصطنعة ومدلّسة</w:t>
      </w:r>
      <w:r>
        <w:rPr>
          <w:rFonts w:eastAsia="IRNazanin" w:cs="IRNazanin"/>
          <w:color w:val="111111"/>
          <w:sz w:val="28"/>
          <w:szCs w:val="28"/>
          <w:rtl w:val="true"/>
          <w:lang w:bidi="fa-IR"/>
        </w:rPr>
        <w:t>.</w:t>
      </w:r>
    </w:p>
    <w:p>
      <w:pPr>
        <w:pStyle w:val="Heading3"/>
        <w:numPr>
          <w:ilvl w:val="2"/>
          <w:numId w:val="1"/>
        </w:numPr>
        <w:rPr/>
      </w:pPr>
      <w:bookmarkStart w:id="102" w:name="__RefHeading___Toc1160046_774463916"/>
      <w:bookmarkStart w:id="103" w:name="_Toc37"/>
      <w:bookmarkEnd w:id="102"/>
      <w:r>
        <w:rPr>
          <w:rtl w:val="true"/>
        </w:rPr>
        <w:t>هدم قبور الإمامین العسکریین</w:t>
      </w:r>
      <w:r>
        <w:rPr>
          <w:rtl w:val="true"/>
        </w:rPr>
        <w:t>(</w:t>
      </w:r>
      <w:r>
        <w:rPr>
          <w:rtl w:val="true"/>
        </w:rPr>
        <w:t>علیهما السلام</w:t>
      </w:r>
      <w:r>
        <w:rPr>
          <w:rtl w:val="true"/>
        </w:rPr>
        <w:t>):</w:t>
      </w:r>
      <w:bookmarkEnd w:id="103"/>
    </w:p>
    <w:p>
      <w:pPr>
        <w:pStyle w:val="BookText"/>
        <w:rPr/>
      </w:pPr>
      <w:r>
        <w:rPr>
          <w:rFonts w:ascii="IRNazanin" w:hAnsi="IRNazanin" w:eastAsia="IRNazanin"/>
          <w:color w:val="111111"/>
          <w:sz w:val="28"/>
          <w:sz w:val="28"/>
          <w:szCs w:val="28"/>
          <w:rtl w:val="true"/>
          <w:lang w:bidi="fa-IR"/>
        </w:rPr>
        <w:t>ولذلک حاولوا جهد إمکانهم طمس ذکرهم حینما هدموا قبورهم الشریفة بالتفجیر فی سامراء، وللأسف إنَّما یتمُّ ذلک بذرایع دجلیة إبلیسیة لکی یمحوا معالم الدین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للإنسان جنبتان، جنبة حسیة وجنبة روحیة، وهذهِ المعالم تشد الإنسان إلی الدین من خلال جنبته الحسیّة؛ ولذلک نلاحظ أنَّ الله تعالی</w:t>
      </w:r>
    </w:p>
    <w:p>
      <w:pPr>
        <w:pStyle w:val="BookText"/>
        <w:rPr/>
      </w:pPr>
      <w:r>
        <w:rPr>
          <w:rFonts w:ascii="Amiri" w:hAnsi="Amiri" w:eastAsia="Amiri" w:cs="Amiri"/>
          <w:color w:val="111111"/>
          <w:sz w:val="28"/>
          <w:sz w:val="28"/>
          <w:szCs w:val="28"/>
          <w:rtl w:val="true"/>
          <w:lang w:bidi="ar-SA"/>
        </w:rPr>
        <w:t>جعل له بیتاً تقصده الناس فی العمرة أو الحج، مع أنَّ الله لیسَ بجسم حتّی یحتاج إلی هذا البیت والذی هو الکعبة الشریفة، وإنَّما هذهِ معالم ومشاعر وشعائر جعلها الله عَزَّ وَجَلَّ لأجل أنْ تشدّهم وتربطهم وتلصقهم وتذکرهم بالباری تعالی فَاذْکُرُوا اللّهَ عِنْدَ الْمَشْعَرِ الْحَرامِ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تعالیإِنِّی أَنَا رَبُّکَ فَاخْلَعْ نَعْلَیْکَ إِنَّکَ بِالْوادِ الْمُقَدَّسِ طُویً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یا قَوْمِ ادْخُلُوا الْأَرْضَ الْمُقَدَّسَةَ </w:t>
      </w:r>
      <w:r>
        <w:rPr>
          <w:rStyle w:val="FootnoteAnchor"/>
          <w:rtl w:val="true"/>
        </w:rPr>
        <w:footnoteReference w:id="3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التقدیس الذی من قبل الله تعالی لبعض البقاع هو بنفسه دلیل عظیم علی أنَّ تشیید المعالم الجغرافیة فی الدین هی من صمیم الدین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الصحابة بین العدالة والعصمة لسماحة الشیخ الأُستاذ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حیاة الإمام الجواد للقرشی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الذی یلی الخنصر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عامل السلطان یومئذ علی الخراج والضیاع بکورة قم وکان من أنصب خلق الله وأشدَّهم عداووة لهم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بن علی شجاعة قیادة وحکمة 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اختیارمعرفة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شهرشوب ج</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والمذاهب الأربعة ج</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وفیّاة الأعیان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تنویر الحوالک علی موطأ مالک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الکاتب یدعی فرنسوا تویال وطبع الکتاب باللغة العربیة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الکاتب هو مدیر للدروس فی المدرسة الحربیة العلیا للجیوش الفرنسیة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جو،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ویعمل مستشاراً أیضاً لرئیس مجلس الشیوخ الفرنسی، ومتخصِّص بالدراسات الاستراتیجیة وله حوالی خمسة وعشرین کتاباً والکتاب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فی العالم، صحوة المستبعدین واستراتیجیتهم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العالم،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عمارة قبور النبی وأهل بیته مشعر إلهی، وهی تقریر محاضرات الشیخ الأستاذ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9633</Words>
  <Characters>47337</Characters>
  <CharactersWithSpaces>56622</CharactersWithSpaces>
  <Paragraphs>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2026-08-18T23:06:04Z</dcterms:created>
  <dc:creator>ghaemiyeh.com</dc:creator>
  <dc:description/>
  <dc:language>en-US</dc:language>
  <cp:lastModifiedBy/>
  <dcterms:modified xsi:type="dcterms:W3CDTF">2026-08-19T02:36:08Z</dcterms:modified>
  <cp:revision>1</cp:revision>
  <dc:subject/>
  <dc:title>الحیاة السیاسیة للامامین العسکریین علیهما السلام</dc:title>
</cp:coreProperties>
</file>

<file path=docProps/custom.xml><?xml version="1.0" encoding="utf-8"?>
<Properties xmlns="http://schemas.openxmlformats.org/officeDocument/2006/custom-properties" xmlns:vt="http://schemas.openxmlformats.org/officeDocument/2006/docPropsVTypes"/>
</file>