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دوازده نکته در بررسی وارزیابی ادله توسل شفاعت تبرک و زیارت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6766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56768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56770_774463916">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556772_774463916">
            <w:r>
              <w:rPr>
                <w:webHidden/>
                <w:rStyle w:val="IndexLink"/>
                <w:rtl w:val="true"/>
              </w:rPr>
              <w:t>نکتۀ اول</w:t>
            </w:r>
            <w:r>
              <w:rPr>
                <w:rStyle w:val="IndexLink"/>
                <w:rtl w:val="true"/>
              </w:rPr>
              <w:tab/>
            </w:r>
            <w:r>
              <w:rPr>
                <w:rStyle w:val="IndexLink"/>
              </w:rPr>
              <w:t>8</w:t>
            </w:r>
          </w:hyperlink>
        </w:p>
        <w:p>
          <w:pPr>
            <w:pStyle w:val="Contents2"/>
            <w:tabs>
              <w:tab w:val="clear" w:pos="8743"/>
              <w:tab w:val="right" w:pos="9026" w:leader="dot"/>
            </w:tabs>
            <w:rPr/>
          </w:pPr>
          <w:hyperlink w:anchor="__RefHeading___Toc556774_774463916">
            <w:r>
              <w:rPr>
                <w:webHidden/>
                <w:rStyle w:val="IndexLink"/>
                <w:rtl w:val="true"/>
              </w:rPr>
              <w:t>نکتۀ دوم</w:t>
            </w:r>
            <w:r>
              <w:rPr>
                <w:rStyle w:val="IndexLink"/>
                <w:rtl w:val="true"/>
              </w:rPr>
              <w:tab/>
            </w:r>
            <w:r>
              <w:rPr>
                <w:rStyle w:val="IndexLink"/>
              </w:rPr>
              <w:t>14</w:t>
            </w:r>
          </w:hyperlink>
        </w:p>
        <w:p>
          <w:pPr>
            <w:pStyle w:val="Contents2"/>
            <w:tabs>
              <w:tab w:val="clear" w:pos="8743"/>
              <w:tab w:val="right" w:pos="9026" w:leader="dot"/>
            </w:tabs>
            <w:rPr/>
          </w:pPr>
          <w:hyperlink w:anchor="__RefHeading___Toc556776_774463916">
            <w:r>
              <w:rPr>
                <w:webHidden/>
                <w:rStyle w:val="IndexLink"/>
                <w:rtl w:val="true"/>
              </w:rPr>
              <w:t>نکتۀ سوم</w:t>
            </w:r>
            <w:r>
              <w:rPr>
                <w:rStyle w:val="IndexLink"/>
                <w:rtl w:val="true"/>
              </w:rPr>
              <w:tab/>
            </w:r>
            <w:r>
              <w:rPr>
                <w:rStyle w:val="IndexLink"/>
              </w:rPr>
              <w:t>18</w:t>
            </w:r>
          </w:hyperlink>
        </w:p>
        <w:p>
          <w:pPr>
            <w:pStyle w:val="Contents2"/>
            <w:tabs>
              <w:tab w:val="clear" w:pos="8743"/>
              <w:tab w:val="right" w:pos="9026" w:leader="dot"/>
            </w:tabs>
            <w:rPr/>
          </w:pPr>
          <w:hyperlink w:anchor="__RefHeading___Toc556778_774463916">
            <w:r>
              <w:rPr>
                <w:webHidden/>
                <w:rStyle w:val="IndexLink"/>
                <w:rtl w:val="true"/>
              </w:rPr>
              <w:t>نکتۀ چهارم</w:t>
            </w:r>
            <w:r>
              <w:rPr>
                <w:rStyle w:val="IndexLink"/>
                <w:rtl w:val="true"/>
              </w:rPr>
              <w:tab/>
            </w:r>
            <w:r>
              <w:rPr>
                <w:rStyle w:val="IndexLink"/>
              </w:rPr>
              <w:t>19</w:t>
            </w:r>
          </w:hyperlink>
        </w:p>
        <w:p>
          <w:pPr>
            <w:pStyle w:val="Contents2"/>
            <w:tabs>
              <w:tab w:val="clear" w:pos="8743"/>
              <w:tab w:val="right" w:pos="9026" w:leader="dot"/>
            </w:tabs>
            <w:rPr/>
          </w:pPr>
          <w:hyperlink w:anchor="__RefHeading___Toc556780_774463916">
            <w:r>
              <w:rPr>
                <w:webHidden/>
                <w:rStyle w:val="IndexLink"/>
                <w:rtl w:val="true"/>
              </w:rPr>
              <w:t>نکتۀ پنجم</w:t>
            </w:r>
            <w:r>
              <w:rPr>
                <w:rStyle w:val="IndexLink"/>
                <w:rtl w:val="true"/>
              </w:rPr>
              <w:tab/>
            </w:r>
            <w:r>
              <w:rPr>
                <w:rStyle w:val="IndexLink"/>
              </w:rPr>
              <w:t>27</w:t>
            </w:r>
          </w:hyperlink>
        </w:p>
        <w:p>
          <w:pPr>
            <w:pStyle w:val="Contents2"/>
            <w:tabs>
              <w:tab w:val="clear" w:pos="8743"/>
              <w:tab w:val="right" w:pos="9026" w:leader="dot"/>
            </w:tabs>
            <w:rPr/>
          </w:pPr>
          <w:hyperlink w:anchor="__RefHeading___Toc556782_774463916">
            <w:r>
              <w:rPr>
                <w:webHidden/>
                <w:rStyle w:val="IndexLink"/>
                <w:rtl w:val="true"/>
              </w:rPr>
              <w:t>نکتۀ ششم</w:t>
            </w:r>
            <w:r>
              <w:rPr>
                <w:rStyle w:val="IndexLink"/>
                <w:rtl w:val="true"/>
              </w:rPr>
              <w:tab/>
            </w:r>
            <w:r>
              <w:rPr>
                <w:rStyle w:val="IndexLink"/>
              </w:rPr>
              <w:t>30</w:t>
            </w:r>
          </w:hyperlink>
        </w:p>
        <w:p>
          <w:pPr>
            <w:pStyle w:val="Contents2"/>
            <w:tabs>
              <w:tab w:val="clear" w:pos="8743"/>
              <w:tab w:val="right" w:pos="9026" w:leader="dot"/>
            </w:tabs>
            <w:rPr/>
          </w:pPr>
          <w:hyperlink w:anchor="__RefHeading___Toc556784_774463916">
            <w:r>
              <w:rPr>
                <w:webHidden/>
                <w:rStyle w:val="IndexLink"/>
                <w:rtl w:val="true"/>
              </w:rPr>
              <w:t>نکتۀ هفتم</w:t>
            </w:r>
            <w:r>
              <w:rPr>
                <w:rStyle w:val="IndexLink"/>
                <w:rtl w:val="true"/>
              </w:rPr>
              <w:tab/>
            </w:r>
            <w:r>
              <w:rPr>
                <w:rStyle w:val="IndexLink"/>
              </w:rPr>
              <w:t>32</w:t>
            </w:r>
          </w:hyperlink>
        </w:p>
        <w:p>
          <w:pPr>
            <w:pStyle w:val="Contents2"/>
            <w:tabs>
              <w:tab w:val="clear" w:pos="8743"/>
              <w:tab w:val="right" w:pos="9026" w:leader="dot"/>
            </w:tabs>
            <w:rPr/>
          </w:pPr>
          <w:hyperlink w:anchor="__RefHeading___Toc556786_774463916">
            <w:r>
              <w:rPr>
                <w:webHidden/>
                <w:rStyle w:val="IndexLink"/>
                <w:rtl w:val="true"/>
              </w:rPr>
              <w:t>نکتۀ هشتم</w:t>
            </w:r>
            <w:r>
              <w:rPr>
                <w:rStyle w:val="IndexLink"/>
                <w:rtl w:val="true"/>
              </w:rPr>
              <w:tab/>
            </w:r>
            <w:r>
              <w:rPr>
                <w:rStyle w:val="IndexLink"/>
              </w:rPr>
              <w:t>33</w:t>
            </w:r>
          </w:hyperlink>
        </w:p>
        <w:p>
          <w:pPr>
            <w:pStyle w:val="Contents2"/>
            <w:tabs>
              <w:tab w:val="clear" w:pos="8743"/>
              <w:tab w:val="right" w:pos="9026" w:leader="dot"/>
            </w:tabs>
            <w:rPr/>
          </w:pPr>
          <w:hyperlink w:anchor="__RefHeading___Toc556788_774463916">
            <w:r>
              <w:rPr>
                <w:webHidden/>
                <w:rStyle w:val="IndexLink"/>
                <w:rtl w:val="true"/>
              </w:rPr>
              <w:t>نکتۀ نهم</w:t>
            </w:r>
            <w:r>
              <w:rPr>
                <w:rStyle w:val="IndexLink"/>
                <w:rtl w:val="true"/>
              </w:rPr>
              <w:tab/>
            </w:r>
            <w:r>
              <w:rPr>
                <w:rStyle w:val="IndexLink"/>
              </w:rPr>
              <w:t>39</w:t>
            </w:r>
          </w:hyperlink>
        </w:p>
        <w:p>
          <w:pPr>
            <w:pStyle w:val="Contents2"/>
            <w:tabs>
              <w:tab w:val="clear" w:pos="8743"/>
              <w:tab w:val="right" w:pos="9026" w:leader="dot"/>
            </w:tabs>
            <w:rPr/>
          </w:pPr>
          <w:hyperlink w:anchor="__RefHeading___Toc556790_774463916">
            <w:r>
              <w:rPr>
                <w:webHidden/>
                <w:rStyle w:val="IndexLink"/>
                <w:rtl w:val="true"/>
              </w:rPr>
              <w:t>نکتۀ دهم</w:t>
            </w:r>
            <w:r>
              <w:rPr>
                <w:rStyle w:val="IndexLink"/>
                <w:rtl w:val="true"/>
              </w:rPr>
              <w:tab/>
            </w:r>
            <w:r>
              <w:rPr>
                <w:rStyle w:val="IndexLink"/>
              </w:rPr>
              <w:t>48</w:t>
            </w:r>
          </w:hyperlink>
        </w:p>
        <w:p>
          <w:pPr>
            <w:pStyle w:val="Contents2"/>
            <w:tabs>
              <w:tab w:val="clear" w:pos="8743"/>
              <w:tab w:val="right" w:pos="9026" w:leader="dot"/>
            </w:tabs>
            <w:rPr/>
          </w:pPr>
          <w:hyperlink w:anchor="__RefHeading___Toc556792_774463916">
            <w:r>
              <w:rPr>
                <w:webHidden/>
                <w:rStyle w:val="IndexLink"/>
                <w:rtl w:val="true"/>
              </w:rPr>
              <w:t>نکتۀ یازدهم</w:t>
            </w:r>
            <w:r>
              <w:rPr>
                <w:rStyle w:val="IndexLink"/>
                <w:rtl w:val="true"/>
              </w:rPr>
              <w:tab/>
            </w:r>
            <w:r>
              <w:rPr>
                <w:rStyle w:val="IndexLink"/>
              </w:rPr>
              <w:t>55</w:t>
            </w:r>
          </w:hyperlink>
        </w:p>
        <w:p>
          <w:pPr>
            <w:pStyle w:val="Contents2"/>
            <w:tabs>
              <w:tab w:val="clear" w:pos="8743"/>
              <w:tab w:val="right" w:pos="9026" w:leader="dot"/>
            </w:tabs>
            <w:rPr/>
          </w:pPr>
          <w:hyperlink w:anchor="__RefHeading___Toc556794_774463916">
            <w:r>
              <w:rPr>
                <w:webHidden/>
                <w:rStyle w:val="IndexLink"/>
                <w:rtl w:val="true"/>
              </w:rPr>
              <w:t>نکتۀ دوازدهم</w:t>
            </w:r>
            <w:r>
              <w:rPr>
                <w:rStyle w:val="IndexLink"/>
                <w:rtl w:val="true"/>
              </w:rPr>
              <w:tab/>
            </w:r>
            <w:r>
              <w:rPr>
                <w:rStyle w:val="IndexLink"/>
              </w:rPr>
              <w:t>60</w:t>
            </w:r>
          </w:hyperlink>
        </w:p>
        <w:p>
          <w:pPr>
            <w:pStyle w:val="Contents2"/>
            <w:tabs>
              <w:tab w:val="clear" w:pos="8743"/>
              <w:tab w:val="right" w:pos="9026" w:leader="dot"/>
            </w:tabs>
            <w:rPr/>
          </w:pPr>
          <w:hyperlink w:anchor="__RefHeading___Toc556796_774463916">
            <w:r>
              <w:rPr>
                <w:webHidden/>
                <w:rStyle w:val="IndexLink"/>
                <w:rtl w:val="true"/>
              </w:rPr>
              <w:t>کتابنامه</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17_41330"/>
      <w:bookmarkStart w:id="1" w:name="pg5017_41330"/>
      <w:bookmarkEnd w:id="1"/>
    </w:p>
    <w:p>
      <w:pPr>
        <w:pStyle w:val="Heading2"/>
        <w:numPr>
          <w:ilvl w:val="1"/>
          <w:numId w:val="1"/>
        </w:numPr>
        <w:rPr/>
      </w:pPr>
      <w:bookmarkStart w:id="2" w:name="pg5017_41330"/>
      <w:bookmarkStart w:id="3" w:name="__RefHeading___Toc556766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نجارزادگان، فتح‌الله،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نکته در بررسی وارزیابی ادله توسل، شفاعت، تبرک و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فتح‌الله نجارزادگان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 علیهم‌السلام،</w:t>
      </w:r>
      <w:r>
        <w:rPr>
          <w:rFonts w:ascii="IRNazanin" w:hAnsi="IRNazanin" w:eastAsia="IRNazanin"/>
          <w:color w:val="111111"/>
          <w:sz w:val="28"/>
          <w:sz w:val="28"/>
          <w:szCs w:val="28"/>
          <w:lang w:bidi="fa-IR"/>
        </w:rPr>
        <w:t>۱۳۹</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6768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دوازده نکته</w:t>
      </w:r>
    </w:p>
    <w:p>
      <w:pPr>
        <w:pStyle w:val="BookText"/>
        <w:rPr/>
      </w:pPr>
      <w:r>
        <w:rPr>
          <w:rFonts w:ascii="IRNazanin" w:hAnsi="IRNazanin" w:eastAsia="IRNazanin"/>
          <w:color w:val="111111"/>
          <w:sz w:val="28"/>
          <w:sz w:val="28"/>
          <w:szCs w:val="28"/>
          <w:rtl w:val="true"/>
          <w:lang w:bidi="fa-IR"/>
        </w:rPr>
        <w:t>در بررسی و ارزیابی ادله</w:t>
      </w:r>
    </w:p>
    <w:p>
      <w:pPr>
        <w:pStyle w:val="BookText"/>
        <w:rPr/>
      </w:pPr>
      <w:r>
        <w:rPr>
          <w:rFonts w:ascii="IRNazanin" w:hAnsi="IRNazanin" w:eastAsia="IRNazanin"/>
          <w:color w:val="111111"/>
          <w:sz w:val="28"/>
          <w:sz w:val="28"/>
          <w:szCs w:val="28"/>
          <w:rtl w:val="true"/>
          <w:lang w:bidi="fa-IR"/>
        </w:rPr>
        <w:t>توسل، شفاعت، تبرک و زیارت</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حجۀ الاسلام دکتر فتح الله نجارزادگان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هیأت علمی دانشگاه تهران</w:t>
      </w:r>
      <w:bookmarkStart w:id="7" w:name="pg5017_41342"/>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556770_774463916"/>
      <w:bookmarkStart w:id="9" w:name="_Toc3"/>
      <w:bookmarkEnd w:id="8"/>
      <w:r>
        <w:rPr>
          <w:rtl w:val="true"/>
        </w:rPr>
        <w:t>مقدمه</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دچار رنج‌های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بر اثر جهالت‌ها و عنادها دچار تفرقه و ضعف‌اند و دشمنان آنان که در کمین‌گاه‌های شیطانی خود مترصد فرصت نشسته اند، بر این نقطة سیاهِ تفرقه دامن می‌زنند و هر روز توطئه‌ای نو برپا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حربه‌هایی که نفرت می‌آفریند و تفرقه‌ها را بیش‌تر می‌کند، حربه‌ی شرک از ناحیه‌ی وهابیان است که سایر مسلمین را به این رذیلت متهم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مسلمین نیز در این امر چیزی جز توسل، شفاعت، تبرک و زیارت قبر مطهر پیامبر خدا صلی الله علیه و آله و سایر اولیا،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اتهام دیگران را دچار تردید کرده و دل و دین خود را مشوب به آلودگی شرک می‌بینند؛ به همین رو، مرزبانانِ دین‌شناس و دیندار بارها با دلیل‌های متعدد این اتهام را</w:t>
      </w:r>
    </w:p>
    <w:p>
      <w:pPr>
        <w:pStyle w:val="BookText"/>
        <w:rPr/>
      </w:pPr>
      <w:r>
        <w:rPr>
          <w:rFonts w:ascii="IRNazanin" w:hAnsi="IRNazanin" w:eastAsia="IRNazanin"/>
          <w:color w:val="111111"/>
          <w:sz w:val="28"/>
          <w:sz w:val="28"/>
          <w:szCs w:val="28"/>
          <w:rtl w:val="true"/>
          <w:lang w:bidi="fa-IR"/>
        </w:rPr>
        <w:t>شسته‌اند اما به نظر می‌رسد هنوز هم به دلیل سنگینی و آثارِ ویرانگر این اتهام، لازم می‌نماید این بحث کاویده شود و نقاط ابهام آن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طی دوازده نکته به صورت متن و سپس شرح و ارزیابی با استناد به آیات و روایات و سیرة صحابه و دانشمندان سنی این موضوع را پی گرفته و پس از تنقیح موضع نزاع به نقد و ردّ ادلة حرمتِ توسل، تبرک، شفاعت، زیارت و بزرگداشت موالید معصومان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که اتهام‌ها برطرف گردد و صاحبنظران نیز با نقدها و اصلاحات خود، این نگاشته را پربارتر کنند و حقتعالی از همگان به بهترین وجه بپذیرد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الله التوفیق وعلیه التکلان</w:t>
      </w:r>
      <w:bookmarkStart w:id="10" w:name="pg5017_41346"/>
    </w:p>
    <w:p>
      <w:pPr>
        <w:pStyle w:val="Heading2"/>
        <w:numPr>
          <w:ilvl w:val="1"/>
          <w:numId w:val="1"/>
        </w:numPr>
        <w:rPr/>
      </w:pPr>
      <w:bookmarkStart w:id="11" w:name="__RefHeading___Toc556772_774463916"/>
      <w:bookmarkStart w:id="12" w:name="_Toc4"/>
      <w:bookmarkEnd w:id="10"/>
      <w:bookmarkEnd w:id="11"/>
      <w:r>
        <w:rPr>
          <w:rtl w:val="true"/>
        </w:rPr>
        <w:t>نکتۀ اول</w:t>
      </w:r>
      <w:bookmarkEnd w:id="12"/>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موضع نزاع با وهابیان در مسأله توسل، استغاثه و شفاعت دقیقاً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این نزاع، توسل، شفاعت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 خدا یا اولیاست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بررسی ادلّه باید موضع نزاع را به خوبی شناخت؛ چون چه بسا طرفین به ادله‌یی تمسک کنند تا جواز یا استحباب شفاعت، توسل، استغاثه، را به اثبات رسانند یا آن را نفی کنند اما بحث آنان از موضع نزاع بیرون باشد و ادله‌ی آنان فایده‌ای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فریقین از سنی وهابی و غیر وهابی و نیز شیعه منکر واسطه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وسیله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استغاثه به پیامبر اکرم صلی الله علیه و آلهبرای برآوردن حاجت و تبرک به اجزای بدن و لباس و نیز بوسیدن آن‌ها در زمان حیات پیامبر اکرم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فراوان از سیره و عمل صحابه در زمان حیات پیامبر خدا بر این امور دلالت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استغاثه و توسل به سایر انبیاء و اولیاء در زمان حیاتشان جزو سنت‌های جوامع بشری و عین توحید بوده است که در قرآن نیز مواردی متعدد از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قرآن در سوره الاعراف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وَقَعَ عَلَیْهِمُ الرجْزُ قَالُوا یَا مُوسَی ادْعُ لَنَا رَبَّکَ بِمَا عَهِدَ عِندَکَ لَئِن کَشَفْتَ عَنَّا الرجْزَ لَنُؤْمِنَنَّ لَکَ وَلَنُرْسِلَنَّ مَعَکَ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کَشَفْنَا عَنْهُمُ الرجْزَ إِلَی أَجَلٍ هُم بَالِغُوهُ إِذا هُمْ یَنکُثُونَ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آنان عذاب می‌آمد،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به خاطر پیمانی که با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بخوان که اگر این عذاب را از ما برطرف کنی حتماً به تو ایمان می‌آوریم و بنی اسرائیل را با تو می‌فرستیم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عذاب را از آنان تا مدتی که باید بدان می‌رسیدند برطرف کردیم باز هم آن‌ها پیمان می‌شکستند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موسی را واسطه قرار دادند تا از خدا بخواهد،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طوفان، جراد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ضفادع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قورباغه‌ها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در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 خبر داده، از آنان بردارد و خداوند نیز، بنا به درخواست موسی علیه السلام این گرفتاری‌ها را بر 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نیز برای آزر وعده به استغفار می‌دهد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قَوْلَ إِبْرَاهِیمَ لاَبِیهِ لَاَسْتَغْفِرَنَّ 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سخن ابراهیم که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تو استغفار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استغفار یعقوب علیه السلام پس از درخواست فرزندان او، همان گونه 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یَا أَبَانا اسْتَغْفِرْ لَنَا ذُنُوبَنَا إِنَّا کُنَّا خَاطِئِینَ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سَوْفَ أَسْتَغْفِرُ لَکُمْ رَبِّی إِنَّهُ هُوَ الغَفُورُ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ما، برای گناهانمان نزد خداوند استغفار کن که ما خطاکاریم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برای شما از پروردگارم استغفار خواهم کرد؛ که همانا او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استغفار فرشتگان برای مؤمنان را نیز چنین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عرش الهی را حمل می‌کنند و کسانی که بر گرد آن هستند، پیوسته با ستایش پروردگار‌شان او را تسبیح می‌گویند و به یکتایی او در تدبیر جهان ایمان دارند و برای کسانی که یگانگی خدا را باور کرده‌اند ، آمرزش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رحمت و دانش تو همه چیز را</w:t>
      </w:r>
    </w:p>
    <w:p>
      <w:pPr>
        <w:pStyle w:val="BookText"/>
        <w:rPr/>
      </w:pPr>
      <w:r>
        <w:rPr>
          <w:rFonts w:ascii="IRNazanin" w:hAnsi="IRNazanin" w:eastAsia="IRNazanin"/>
          <w:color w:val="111111"/>
          <w:sz w:val="28"/>
          <w:sz w:val="28"/>
          <w:szCs w:val="28"/>
          <w:rtl w:val="true"/>
          <w:lang w:bidi="fa-IR"/>
        </w:rPr>
        <w:t>فرا گرفته است؛ پس کسانی را که به سوی تو بازگشته و راه تو را پیموده‌اند بیامرز و آنان را از عذاب دوزخ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توسل ابو طالب به پیامبر اکرم در کودکی برای بر طرف شدن خشکسالی، معروف و در کتب معتبر سنی مانند صحیح بخاری نقل شده است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أبیضَ یُستسقی الغَمامُ بِوجهه ثِمالَ الیَتامی عِصمة للأرامِل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توسل به انسان‌های آبرومند، ریشه در فطرت آدمیان دارد و قرآن نیز آن را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استغاثه و توسل به پیامبر اکرم نیز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أَنَّهُمْ إِذْ ظَّلَمُوا أَنفُسَهُمْ جَاؤُوکَ فَاسْتَغْفَرُوا اللهَ وَاسْتَغْفَرَ لَهُمُ الرَّسُولُ لَوَجَدُوا اللهَ تَوَّاباً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آنان که به خود ستم کردند نزد تو بیایند و از خدا طلب مغفرت کنند و پیامبر نیز برای آنان طلب مغفرت نماید، خداوند را توبه‌پذیر و مهربان خواهند یافت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قرآن، انفاق به نیّت صلوات رسول را، در کنار نیّت تقرّب به خدا، عین توحید می‌داند و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الاَعْرَابِ مَنْ یُؤْمِنُ بِاللهِ وَالیَوْمِ الآخِرِ وَیَتَّخِذُ مَا یُنفِقُ قُرُبَاتٍ عِندَ اللهِ وَصَلَوَاتِ الرَّسُولِ أَلا إِنَّهَا قُرْبَةٌ لَّهُمْ سَیُدْخِلُهُمُ اللهُ فِی رَحْمَتِهِ إِنَّ اللهَ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بادیه نشینان کسانی‌اند که به خداوند و روز واپسین ایمان دارند، و آن چه را انفاق می‌کنند مایة تقرّب به خدا و جلب دعاهای پیامبر می‌شمارند آگاه باشید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انفاق‌ها و دعاهای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تقرّب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آنان را در رحمتش وارد خواهد کرد که همانا خداوند بسیار آمرزنده و مهربان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و توسل به انبیاء و اولیاء در قیامت برای نجات از دوزخ یا ترفیع درجه‌ی بهشت نیز جزو ارکان عقاید همۀ اهل سنت و شیعه می‌باشد و از محل نزاع بیرون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بنابراین، موضع نزاع در استغاثه، توسل، تبرک، شفاعت، تقبیل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وفات پیامبر خدا صلی الله علیه و آله و اولیاء خداست و باید ادله‌ی جواز یا منع در حول محور این موضوع مطرح شوند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به نکته‌ی دوم بپردازیم لازم است در همین جا به این پرسش اشاره کنیم، اگر کسی بگوید چه نیازی به توسل و شفاعت به انبیا و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ما، از رگ گردن نزدیک‌تر است، صدای ما را می‌شنود، استغاثه‌های ما را اجابت می‌کند هیچ کس مهربان‌تر از او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خواسته و حاجتی داریم به طور مستقیم با خود خداوند در میان می‌گذاریم و پاسخ آن را از خدای مهربان که صدای ما را می‌شنود و از هر کس به 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حقتعالی در این آیات، توسل و شفاعت را مطرح ساخته و به ما آموخته به انبیا و اولیاء روی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توسل جوییم و آنان را شفیع قرار دهیم پس جایی برای تردید نیست</w:t>
      </w:r>
      <w:r>
        <w:rPr>
          <w:rFonts w:eastAsia="IRNazanin" w:cs="IRNazanin"/>
          <w:color w:val="111111"/>
          <w:sz w:val="28"/>
          <w:szCs w:val="28"/>
          <w:rtl w:val="true"/>
          <w:lang w:bidi="fa-IR"/>
        </w:rPr>
        <w:t>.</w:t>
      </w:r>
      <w:bookmarkStart w:id="13" w:name="pg5017_41357"/>
    </w:p>
    <w:p>
      <w:pPr>
        <w:pStyle w:val="Heading2"/>
        <w:numPr>
          <w:ilvl w:val="1"/>
          <w:numId w:val="1"/>
        </w:numPr>
        <w:rPr/>
      </w:pPr>
      <w:bookmarkStart w:id="14" w:name="__RefHeading___Toc556774_774463916"/>
      <w:bookmarkStart w:id="15" w:name="_Toc5"/>
      <w:bookmarkEnd w:id="13"/>
      <w:bookmarkEnd w:id="14"/>
      <w:r>
        <w:rPr>
          <w:rtl w:val="true"/>
        </w:rPr>
        <w:t>نکتۀ دوم</w:t>
      </w:r>
      <w:bookmarkEnd w:id="15"/>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از سر نادانی یا عناد به آیاتی که مشرکان را مورد خطاب قرار می‌دهد و پندارهای آنان را فرو می‌ریزد، استناد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شرک در مسأله توسل، استغاثه و شفاعت پس از وفات اولیاء، به کار می‌گیرند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در صورتی می‌توان به این آیات متشبث شد و مؤمنان را در ردیف مشرکان قرار داد که وجه مشترکی بین مؤمنان متوسِّل و استغاثه‌جو، با مشرکان گرفتارِ توهّم و پندار، وجود داشته باشد؛ از همین جا این پرسش بسیار مهم رخ می‌نماید که چه تحولی پس از وفات انبیا و اولیا پدید آمده که موجب شده این امور که در زمان حیات نبی یا ولیّ، عین توحید و تقرّب آفرین بوده، اکنون عین شرک و مایه‌ی سقوط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تنها در دو امر امکان‌پذیر است، یا باید مؤمنان پس از وفات پیامبر و اولیا دیدگاهشان عوض شده باشد که از آن به تغییر در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خواننده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پیامبر اکرم توسل می جوید و ایشان را شفیع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می‌کنیم و یا باید در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خوانده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صورت گرفته باشد و إلاّ هیچ وجه مشترک دیگری بین مشرکان و مؤمنان در این امر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تغییر در دیدگاه داعی نیست، چون هرگاه آن چه را که در اذهان مؤمنان درباره‌ی رسول اکرم پس از وفات ایشان، می‌گذرد با آن چه که در اذهان صحابه در حال حیات حضرت بوده است، مقایسه کنیم هر دو را عین هم می‌بینیم، هر دو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ایشان همه معصومان و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واسطه‌ای بیش نیستند، آنان مالک هیچ چیزی در این نظام نبوده و هیچ کار مستقلی نه در حیات و نه پس از حیات، از آنان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تغییری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وهابیان بر این باورند مردگان، پس از وفات، همانند سنگ و چوب می‌شوند که هیچ ادراکی ندارند، چیزی را نمی‌شنوند و سود و زیانی ندارند و اگر هم ادراکی دارند برای ما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با بت‌های جامدِ بی روح یکسانند و عمل مؤمنان نیز در توسل و شفاعت و استغاثه به آنان پس از وفات، همانند عمل مشرکان درباره‌ی بت‌ها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اساسی‌ترین دلیل آنان بر این منع، تشبّث به آیاتی است که مشرکان را خطاب قرار می‌دهد، مانند این آیات که می‌فرماید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تَدْعُونَ مِن دُونِهِ مَا یَمْلِکُونَ مِن قِطْمِیرٍ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لایَسْمَعُوا دُعَاءَکُمْ وَلَوْ سَمِعُوا مَا اسْتَجَابُوا</w:t>
      </w:r>
    </w:p>
    <w:p>
      <w:pPr>
        <w:pStyle w:val="BookText"/>
        <w:rPr/>
      </w:pPr>
      <w:r>
        <w:rPr>
          <w:rFonts w:ascii="IRNazanin" w:hAnsi="IRNazanin" w:eastAsia="IRNazanin"/>
          <w:color w:val="111111"/>
          <w:sz w:val="28"/>
          <w:sz w:val="28"/>
          <w:szCs w:val="28"/>
          <w:rtl w:val="true"/>
          <w:lang w:bidi="fa-IR"/>
        </w:rPr>
        <w:t xml:space="preserve">لَکُمْ وَیَوْمَ القِیَامَةِ یَکْفُرُونَ بِشِرْکِکُمْ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که به جای خداوند، می‌خوانید به اندازة پوستی از هستة خرما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بخوانید صدای شما را نمی‌شنوند و اگر بشنوند، به شما جواب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جواب گفتن یا حقِ جواب گفتن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به این شریکان کفر خواهید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کتاب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 سر کردة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الله تعالی إن دعاء من لا یَسمَع ولا یستجیب شرک یَکفُر به المَدعُوّ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میّت أو غائب، لا یسمع ولا یستجیب ولا ینفَع ولا یضُر </w:t>
      </w:r>
      <w:r>
        <w:rPr>
          <w:rStyle w:val="FootnoteAnchor"/>
          <w:rtl w:val="true"/>
        </w:rPr>
        <w:footnoteReference w:id="4"/>
      </w:r>
      <w:r>
        <w:rPr>
          <w:rFonts w:ascii="IRNazanin" w:hAnsi="IRNazanin" w:eastAsia="IRNazanin"/>
          <w:color w:val="111111"/>
          <w:sz w:val="28"/>
          <w:sz w:val="28"/>
          <w:szCs w:val="28"/>
          <w:rtl w:val="true"/>
          <w:lang w:bidi="fa-IR"/>
        </w:rPr>
        <w:t>خداوند در این آیه چنین بیان کرد که خواندن کسی که نمی‌شنود و اجابت نمی‌کند، شرک است و خوانندة آن در روز قیامت به او کفر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مرده‌ای یا غائبی نمی‌شنود و اجابت نمی‌کند و سود و زیانی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خواندنِ مرده شرک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سابق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دعاء الانبیاء والاولیاء والاستغاثة بهم والنَّذر لهم ونحو ذلک فهو الشرک الاکبر وهو الّذی کان یفعله کفار قریش مع اصنامهم واوثانهم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یعتقدوا إنّها هی التی تقضی حاجاتهم وتشفی مرضاهم وتنصرهم علی عدوِّهم کما بیَّن سبحانه ذلک عنهم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وَیَعْبُدُونَ مِن دُونِ اللهِ ما لا یَضُرُّهُمْ وَلا یَنفَعُهُمْ وَیَقُولُونَ هُؤلاءِ شُفَعاوُنا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علیهم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أَتُنَبِّئُونَ اللهَ بِما لا یَعْلَمُ فِی السَّماواتِ وَلا فِی الاَرْضِ سُبْحانَهُ وَتَعالی عَمّا یُشْرِکُونَ</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اما خواندن انبیا و اولیا و استغاثة به ایشان و نذر برای آنان و مانند آن، بزرگ‌ترین شرک است چون این‌ها شبیه همان کاری است که کفار قریش بابت‌هایشان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بت پرستان اعتقاد نداشتند بت‌ها، حاجاتشان را برآورده می‌کنند، بیمارشان را شفا می‌دهند و آنان را بر علیه دشمنانشان یاری می‌رسانند؛ همان گونه که خداوند سبحان از قول آنان در این آیه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را می‌پرستند که نه زیانی به آنان می‌زنند و نه سودی می‌رسانند و می‌گویند این بت‌ها شافعان ما نزد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پندار آنان را مردود شمرد و</w:t>
      </w:r>
      <w:bookmarkStart w:id="16" w:name="pg5017_41365"/>
    </w:p>
    <w:p>
      <w:pPr>
        <w:pStyle w:val="BookText"/>
        <w:rPr/>
      </w:pPr>
      <w:bookmarkEnd w:id="1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خداوند را به آن چه که در زمین و آسمان نمی‌شناسد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که شریک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والاست از آن چه که شریک او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ادله‌ی قرآنی اینان در حرمت توسل، استغاثه و شفاعت پس از وفات متوسل به و المستغاث إلیه و المشفوع له، استناد به آیاتی است که عقاید مشرکان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نخستین بار چه کسی به این آیات تشبث جسته و آیا معنای این آیات همین گونه است که اینان می‌گویند؟</w:t>
      </w:r>
    </w:p>
    <w:p>
      <w:pPr>
        <w:pStyle w:val="Heading2"/>
        <w:numPr>
          <w:ilvl w:val="1"/>
          <w:numId w:val="1"/>
        </w:numPr>
        <w:rPr/>
      </w:pPr>
      <w:bookmarkStart w:id="17" w:name="__RefHeading___Toc556776_774463916"/>
      <w:bookmarkStart w:id="18" w:name="_Toc6"/>
      <w:bookmarkEnd w:id="17"/>
      <w:r>
        <w:rPr>
          <w:rtl w:val="true"/>
        </w:rPr>
        <w:t>نکتۀ سوم</w:t>
      </w:r>
      <w:bookmarkEnd w:id="18"/>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آیات درباره‌ی مشرکان برای تطبیق بر مؤمنان، از قرن هشتم توسط ابن تیمیه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سنت بی دلیل را در این امت پی نهاد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قابل پذیرش است استناد به این آیات که مشرکان را خطاب قرار داده برای اثبات حرمت توسل و شفاعت تا پیش از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نبوده است؛ وی نخستین بار عمل مؤمنان را با مشرکان مقایسه کرده و هر دو را یکسان پنداشته است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آنان که خط مشی ابن تیمیه را پیموده‌اند این دلیل را تکرار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به نقل از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bookmarkStart w:id="19" w:name="pg5017_41366"/>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ویَحسُن التّوسلُ والاستغاثة والتَّشفُّع بالنبیّ إلی ربّه ولم یُنکر ذلک أحد من السلف ولا من الخلف حتی جاء ابن تیمیه فأنکَر ذلک وعدل عن الصراط المستقیم وابتدع مالم یفعله عالم قبلَه </w:t>
      </w:r>
      <w:r>
        <w:rPr>
          <w:rStyle w:val="FootnoteAnchor"/>
          <w:rtl w:val="true"/>
        </w:rPr>
        <w:footnoteReference w:id="7"/>
      </w:r>
      <w:r>
        <w:rPr>
          <w:rFonts w:ascii="IRNazanin" w:hAnsi="IRNazanin" w:eastAsia="IRNazanin"/>
          <w:color w:val="111111"/>
          <w:sz w:val="28"/>
          <w:sz w:val="28"/>
          <w:szCs w:val="28"/>
          <w:rtl w:val="true"/>
          <w:lang w:bidi="fa-IR"/>
        </w:rPr>
        <w:t>توسل و استغاثه و شفیع قرار دادن پیامبر نزد پروردگار، امری نیکو و قابل قبول تلقی می‌شد و کسی از سلف و خلف آن را انکار نمی‌کرد تا آن که ابن تیمیه آمد و این امر را انکار کرد و از راه راست بیرون شد و آن چه که هیچ دانشمندی پیش از وی مرتکب نشده بود، ابداع کرد</w:t>
      </w:r>
      <w:r>
        <w:rPr>
          <w:rFonts w:eastAsia="IRNazanin" w:cs="IRNazanin"/>
          <w:color w:val="111111"/>
          <w:sz w:val="28"/>
          <w:szCs w:val="28"/>
          <w:rtl w:val="true"/>
          <w:lang w:bidi="fa-IR"/>
        </w:rPr>
        <w:t>.»</w:t>
      </w:r>
    </w:p>
    <w:p>
      <w:pPr>
        <w:pStyle w:val="Heading2"/>
        <w:numPr>
          <w:ilvl w:val="1"/>
          <w:numId w:val="1"/>
        </w:numPr>
        <w:rPr/>
      </w:pPr>
      <w:bookmarkStart w:id="20" w:name="__RefHeading___Toc556778_774463916"/>
      <w:bookmarkStart w:id="21" w:name="_Toc7"/>
      <w:bookmarkEnd w:id="20"/>
      <w:r>
        <w:rPr>
          <w:rtl w:val="true"/>
        </w:rPr>
        <w:t>نکتۀ چهارم</w:t>
      </w:r>
      <w:bookmarkEnd w:id="21"/>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مردگان پس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وهابیان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بت‌های جامدِ بی جان شوند اما تفاوت اساسی در دیدگاه‌های مؤمنان با مشرکان، هرگز به ما اجازه نخواهد داد آیات دربارة مشرکان را به مؤمنان سرایت دهیم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عقاید مؤمنان را با استناد به این آیات که درباره‌ی باورهای مشرکان و پندارهای باطل آن‌هاست، مورد نقد قرار دهیم باید دقیقاً مختصات فکری مشرکان را تحلیل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مشرکان از یک دستگاه فکری منطقی برخوردار</w:t>
      </w:r>
    </w:p>
    <w:p>
      <w:pPr>
        <w:pStyle w:val="BookText"/>
        <w:rPr/>
      </w:pPr>
      <w:r>
        <w:rPr>
          <w:rFonts w:ascii="IRNazanin" w:hAnsi="IRNazanin" w:eastAsia="IRNazanin"/>
          <w:color w:val="111111"/>
          <w:sz w:val="28"/>
          <w:sz w:val="28"/>
          <w:szCs w:val="28"/>
          <w:rtl w:val="true"/>
          <w:lang w:bidi="fa-IR"/>
        </w:rPr>
        <w:t>نیستند چون ماهیت شرک بدون دلیل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مشخص گردد تا چه اندازه امکان دارد عمل مشرکان را با مسلمانان در این امور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مقایسه خواهیم دید آیاتی که درباره‌ی عقاید مشرکان سخن می‌گوید یا مشرکان را مورد خطاب قرار می‌دهد، هرگز در هیچ بُعد قابل تطبیق با اعمال مؤمنان یا باورهای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مشرک به زعم خود می‌پرستید یا می‌خواست با پرستش بت‌ها به او تقرّب جوید، اساساً وجود حقیقی و خارجی ندارد چون خدای مشرک خدایی است که معاد ندارد، برای بشر رسول از جنس خودشان نمی‌فرستد، بشر را مکلّف به تکالیف نمی‌کند، او را هدایت نمی‌نماید؛ از این رو، مشرکان به معاد واقعی اعتقاد نداشتند به انبیا کفر می‌ورزیدند، انزال کتب را انکار می‌کردند؛ مقیّد به هیچ تکلیفی از ناحیه خدا برای خود نبودند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پندارهای باطل آن در آیاتی متعدد پرده برداشته است از جمله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أَبَشَرٌ یَهْدُونَنا فَکَفَرُوا وَتَوَلَّوا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از سر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بشر ما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کفر ورزیدند و روی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أَطَعْتُم بَشَراً مِثْلَکُمْ إِنَّکُمْ إِذاً 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بشری مانند خودتان اطاعت کنید، بی تردید زیان‌کار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آیه‌ی شریفه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هَلْ نَدُلُّکُمْ عَلی رَجُلٍ یُنَبِّئُکُمْ إِذا مُزِّقْتُمْ کُلَّ مُمَزَّقٍ إِنَّکُمْ لَفی خَلْقٍ جَدیدٍ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کفر ورزیده‌اند، از روی استهزا به هم کیشان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به شما نشان دهیم که شما را خبر می‌دهد که چون مُردید و بدن‌هایتان کاملاً متلاشی و پراکنده گشت، قطعاً در آفرینشی جدید قرار می‌گیرید و حیاتی دوباره می‌یابید؟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رو، خدای مشرک در ردیف سایر اله‌هاست قرآن می‌فرماید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وَعَجِبُوا أَنْ جاءَهُمْ مُنْذِرٌ مِنْهُمْ و قالَ الکافِرُونَ هذا ساحِرٌ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 الآلِهَةَ إِلهاً واحِداً إِنَّ هذا لَشَی‌ءٌ عُجابٌ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 که بیم دهنده‌ای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برای آنان آمد، در شگفت درآمدند و</w:t>
      </w:r>
    </w:p>
    <w:p>
      <w:pPr>
        <w:pStyle w:val="BookText"/>
        <w:rPr/>
      </w:pPr>
      <w:r>
        <w:rPr>
          <w:rFonts w:ascii="IRNazanin" w:hAnsi="IRNazanin" w:eastAsia="IRNazanin"/>
          <w:color w:val="111111"/>
          <w:sz w:val="28"/>
          <w:sz w:val="28"/>
          <w:szCs w:val="28"/>
          <w:rtl w:val="true"/>
          <w:lang w:bidi="fa-IR"/>
        </w:rPr>
        <w:t xml:space="preserve">کافران گفتند این جادوگر دروغگوست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معبودان را یک معبود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بسیار شگفت‌آور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بنابراین،چنین خدایی که مشرکان باور داشتند، خدای موهومی است که وجود خارجی ندارد تنها یک وجود مصنوعِ پنداری در ذهن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آنان درباره‌ی پرستش بت‌ها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بت‌ها را نمی‌پرستیم جز آن که ما را به خدا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یک بهانه نبود آنان به الله واقعی ایمان نداشتند تا به او تقرّب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روست که خداوند آنان را دروغگو و کافر می‌داند و در ادامه همین آیه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لا یَهْدی مَنْ هُوَ کاذِبٌ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هر کسی که کافِر دروغگوست،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 به خدای موهوم تقرب می‌جوید نه به خدای حقیقی که واحد و أحَد است، مدَبّر، مالک و مَلِک هستی است، مُبدء و مُعید است، معاد دارد، به حساب انسان رسیدگی می‌کند هیچ چیز از او پنهان نیست، برای انسان‌ها رسولانی از جنس خودشان می‌فرستد تا تکالیف وی را به او بیاموزند و او را هدایت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موحِّد در تبرک، توسل، زیارت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خدای واقعیِ</w:t>
      </w:r>
    </w:p>
    <w:p>
      <w:pPr>
        <w:pStyle w:val="BookText"/>
        <w:rPr/>
      </w:pPr>
      <w:r>
        <w:rPr>
          <w:rFonts w:ascii="IRNazanin" w:hAnsi="IRNazanin" w:eastAsia="IRNazanin"/>
          <w:color w:val="111111"/>
          <w:sz w:val="28"/>
          <w:sz w:val="28"/>
          <w:szCs w:val="28"/>
          <w:rtl w:val="true"/>
          <w:lang w:bidi="fa-IR"/>
        </w:rPr>
        <w:t>حقیقی است و با اذن اوست، همان خدایی که انبیا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مشرک برای تقرب به خدای موهوم در ذهن اوست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که به ارباب گوناگون باور داشتند، تمثال یا تندیس آن‌ها را بنا به تصویر موهومی که از آن‌ها در ذهنشان بود، می‌ساختند و یا از سنگ و چوب می‌تراشیدند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ارباب متفرق، تدبیر هستی را بنا به موقعیت و شأن خود بر عهده داشتند و هر کدام بخشی از نیازهای آدمی را بنا به پندار مشرکان برآورده می‌کردند مانند نیاز به باران، باد،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آنان قهر و عقاب داشته‌اند مانند خشکسالی، قحطی، جنگ و خونریزی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 ناگزیر باید برای در امان ماندن از غضب آن‌ها چاره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تنها به این پندار که حقتعالی بازنشسته است و این رب‌های متنوع نیازهای مادی او را بر آورده می‌کند، بنا به شعور فطری خود که شکر مُنعم را واجب می‌دید بت‌ها را تقدس می‌بخشید و سپس عبادت می‌کرد این عبادت، اطاعت‌آور نبود و عین اطاعت هم نبود بلکه تنها خضوع و کرنش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أشکال گوناگون بروز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بت‌ها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عزّت را تنها از خدا می‌داند و از او می‌طلبد چون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العِزّةُ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همة عزت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مشرک الهه‌های دیگر را بر می‌گزیند تا به زعم خود به او عزّت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دُونِ اللهِ آلِهَةً لِیَکُونُوا لَهُمْ عِزّاً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خدا را معبود گرفتند تا برای آنان مایه عزّت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نصرت را تنها از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النََّصْرُ إِلاّ مِنْ عِنْدِ اللهِ 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کمک و یاری جز از جانب خدای توانمندِ شکست‌ناپذیر و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مشرک الهه‌های دیگر بر می‌گزیند تا او را بزعم خود یاری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دُونِ اللهِ آلِهَةً لَعَلَّهُمْ یُنْصَرُونَ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غیر خدا را معبود خود گرفتند شاید که یاری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طور نمونه، مشرکان زمان حضرت هود به وی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بت‌های ما به تو گزندی رسانده و خِرد را از تو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تفاوت‌های اساسی دیگر که بین پندار مشرکان با باورهای موحدان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چون به مشرکان در روز معاد که حقایق برای آنان منکشف شده و توجیه‌های سست و تقلیدهای بی‌مبنای آنان رنگ می‌بازد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می‌شود معبودهایتان چه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وَقِیلَ لَهُمْ أیْنَ ما کُنتُمْ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 هَلْ یَنصُرُونَکُمْ أو یَنتَصِرُونَ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آنان گفته می‌شود کجایند آن چه را پرستش می‌کردید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خداوند آیا شما را یاری می‌کنند یا از خود می‌توانند دفع عذاب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تاللهِ إِن کُنّا لَفِی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نُسَوِّیکُم بِرَبِّ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که حقیقتاً در گمراهی آشکار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را با پروردگار جهانیان برابر می‌شمردیم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شما بت‌ها را در عبادت، نصرت، خوف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رب العالمین مساوی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یک سو اشتباه فاحشِ شیخ بن باز وهابی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نکته‌ی دوم ملاحظه کردید و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بر این اعتقاد نبودند که بت‌ها، حاجتشان را برآورده می‌کنند و بیمارانشان را شفا می‌دهند و آنان را بر علیه دشمنانشان یاری می‌رسانند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ملا می‌شود؛ اشتباه وی از این جاست که با تشبّث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وَیَعْبُدُونَ مِنْ دُونِ اللهِ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لایَضُرُّهُم وَلا یَنْفَعُهُم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را می‌پرستند که نه زیانی به آنان می‌زنند و نه سودی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برده، این آیه از آن چه در ذهن مشرکان بوده خبر می‌دهد و حال آن که آیه حاق واقع را می‌گوید بر این که در واقع کاری از بت‌ها ساخته نیست نه زیان می‌زنند و نه سود می‌رسانند ولی آن چه که در ذهن مشرکان بوده، همین اموری است که قرآن کریم در این آیات خبر داده بر این که آنان بت‌ها را با رب العالمین مساوی قرار می‌دادند، از بت‌ها یاری می‌جستند و عزت می‌طلبیدند و حضرت هود پیامبر را متهم می‌کردند که بت‌ها به وی زیان زده و خِرد را از او گرفته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این آیات استفاده می‌شود که هرگز نمی‌توان کار مشرک را با کار موحد مقایسه کرد یا مختصات فکری موحد را بر مختصات فکری مشرک تطبیق کرد و سپس بدون تأنی و تأمل، موحدی را به شرک متهم ساخت</w:t>
      </w:r>
      <w:r>
        <w:rPr>
          <w:rFonts w:eastAsia="IRNazanin" w:cs="IRNazanin"/>
          <w:color w:val="111111"/>
          <w:sz w:val="28"/>
          <w:szCs w:val="28"/>
          <w:rtl w:val="true"/>
          <w:lang w:bidi="fa-IR"/>
        </w:rPr>
        <w:t>.</w:t>
      </w:r>
      <w:bookmarkStart w:id="22" w:name="pg5017_41381"/>
    </w:p>
    <w:p>
      <w:pPr>
        <w:pStyle w:val="Heading2"/>
        <w:numPr>
          <w:ilvl w:val="1"/>
          <w:numId w:val="1"/>
        </w:numPr>
        <w:rPr/>
      </w:pPr>
      <w:bookmarkStart w:id="23" w:name="__RefHeading___Toc556780_774463916"/>
      <w:bookmarkStart w:id="24" w:name="_Toc8"/>
      <w:bookmarkEnd w:id="22"/>
      <w:bookmarkEnd w:id="23"/>
      <w:r>
        <w:rPr>
          <w:rtl w:val="true"/>
        </w:rPr>
        <w:t>نکتۀ پنجم</w:t>
      </w:r>
      <w:bookmarkEnd w:id="24"/>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تا این جا آشکار شد هیچ نقطه‌ی مشترکی بین توحید و شرک وجود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وهابیان این امت را به شرک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اگر در ماهیت رذیلت شرک و فضیلت توحید بیش‌تر درنگ کنیم اتهام به شرک ورزیِ مؤمنان را در امر توسل و شفاعت به کلی بی اساس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دلیل آن که اهمیت فوق العاده‌ا‌ی دارد باید مورد توجه بیش‌تری قرار گیرد که به اقتضای بحث در چند بند کوتاه بدین شرح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از دیدگاه قرآن اکبر قبائح و غیر مغفور و ظلم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شرک، ستمی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 وَیَغْفِرُ ما دُونَ 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لِمَنْ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او شریک قرار داده شود، نمی‌آمرزد و غیر آن را برای هر که بخواهد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هرگز نباید این ستم بزرگ و امر زشتی که بخشیده نمی‌شود را به کسی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مسلمانی که اعتقاد به خدا و معاد و نبوت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ادله‌ی قویّ و متقن بر آن اقامه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برهان بردار نیست و استثناپذیر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یَدْعُ مَعَ اللهِ إِلهاً آخَرَ لا بُرْهانَ لَهُ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با خداوند معبود دیگری بخواند، وی را بر آن حجت و برهانی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برهان 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کار مشرکان بی دلیل است هر کس إله دیگری غیر از الله برگزیند بر این کار خود، هیچ برهان ودلیلی نمی‌تواند اقامه کند جز آن که از ظن و خواسته‌ی نفس پیروی می‌کند همان گونه 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إلاّ الظَّنَّ وما تَهْوّی الاَنْفُس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جز از ظن و گمان و آن چه که نفس‌هایشان می‌خواهد، پیروی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آن که بهانه می‌آورند بر این که از پیشینیان خود پیروی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حَسْبُنا ما وَجَدْنا عَلَیْهِ آباءَنا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پدرانمان را بر آن یافتیم،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موحد بر کار خود دلیل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حقیقتِ عبادت جز برای وجود یکتا که از هر عیب و نقص پیراسته و دارای أسمای حُسناست، صورت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عبادت تنها و تنها مختص خدا و شایستة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هیچ کس چنین اذنی نداده که حتی برای لحظه‌ای معبود واقع شود، بنابراین از نظر مؤمنانِ موحد، سجده‌ی ملائکه بر آدم </w:t>
      </w:r>
      <w:r>
        <w:rPr>
          <w:rStyle w:val="FootnoteAnchor"/>
          <w:rtl w:val="true"/>
        </w:rPr>
        <w:footnoteReference w:id="8"/>
      </w:r>
      <w:r>
        <w:rPr>
          <w:rFonts w:ascii="IRNazanin" w:hAnsi="IRNazanin" w:eastAsia="IRNazanin"/>
          <w:color w:val="111111"/>
          <w:sz w:val="28"/>
          <w:sz w:val="28"/>
          <w:szCs w:val="28"/>
          <w:rtl w:val="true"/>
          <w:lang w:bidi="fa-IR"/>
        </w:rPr>
        <w:t xml:space="preserve">یا سجده‌ی برادران یوسف بر وی </w:t>
      </w:r>
      <w:r>
        <w:rPr>
          <w:rStyle w:val="FootnoteAnchor"/>
          <w:rtl w:val="true"/>
        </w:rPr>
        <w:footnoteReference w:id="9"/>
      </w:r>
      <w:r>
        <w:rPr>
          <w:rFonts w:ascii="IRNazanin" w:hAnsi="IRNazanin" w:eastAsia="IRNazanin"/>
          <w:color w:val="111111"/>
          <w:sz w:val="28"/>
          <w:sz w:val="28"/>
          <w:szCs w:val="28"/>
          <w:rtl w:val="true"/>
          <w:lang w:bidi="fa-IR"/>
        </w:rPr>
        <w:t xml:space="preserve">و سجدة عبد الله بن عباس بر حجر الاسود که با سند صحیح نقل شده است </w:t>
      </w:r>
      <w:r>
        <w:rPr>
          <w:rStyle w:val="FootnoteAnchor"/>
          <w:rtl w:val="true"/>
        </w:rPr>
        <w:footnoteReference w:id="10"/>
      </w:r>
      <w:r>
        <w:rPr>
          <w:rFonts w:ascii="IRNazanin" w:hAnsi="IRNazanin" w:eastAsia="IRNazanin"/>
          <w:color w:val="111111"/>
          <w:sz w:val="28"/>
          <w:sz w:val="28"/>
          <w:szCs w:val="28"/>
          <w:rtl w:val="true"/>
          <w:lang w:bidi="fa-IR"/>
        </w:rPr>
        <w:t>عبادت غیر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کعبه و سعی صفا و مروه، برای عبادت صفا و مروه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موحد در زمان حیات پیامبر خدا صلی الله علیه و آله نیز، به این اصل اساسی آگاه بودند و از این رو، هرگاه پیامبر خدا صلی الله علیه و آله را شفیع قرار می‌دادند یا به اجزای بدن و لباس ایشان تبرک می‌جستند و یا برای درخواست حاجت از خدا، به ایشان توسل می‌یافتند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توهّم نمی‌کردند که پیامبر خدا صلی الله علیه و آله را عبادت</w:t>
      </w:r>
      <w:bookmarkStart w:id="25" w:name="pg5017_41387"/>
    </w:p>
    <w:p>
      <w:pPr>
        <w:pStyle w:val="BookText"/>
        <w:rPr/>
      </w:pPr>
      <w:bookmarkEnd w:id="25"/>
      <w:r>
        <w:rPr>
          <w:rFonts w:ascii="IRNazanin" w:hAnsi="IRNazanin" w:eastAsia="IRNazanin"/>
          <w:color w:val="111111"/>
          <w:sz w:val="28"/>
          <w:sz w:val="28"/>
          <w:szCs w:val="28"/>
          <w:rtl w:val="true"/>
          <w:lang w:bidi="fa-IR"/>
        </w:rPr>
        <w:t>می‌کنند؛ به همین گونه هم اکنون نیز پس از وفات پیامبر خدا صلی الله علیه و آلهدر ذهن هر موحدِ مؤمنی این هست که عبادت تنها مختص خداست و این امور از دایره‌ی عبادت غیر خدا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مشرکان شفیعان خود را معبود می‌پنداشتند و آنان 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نمی‌پرستیم جز برای آن که به خدا نزدیک‌تر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تفاوتی اساسی بین باور موحدان و پندار مشرکان است؛ بنابراین چگونه ممکن است این قیاس و تشبیه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مسلمین با مشرکان و مقایسه آنان با یکدیگر در حالی که هیچ نقطه اشتراکی بین آن‌ها نیست</w:t>
      </w:r>
      <w:r>
        <w:rPr>
          <w:rFonts w:eastAsia="IRNazanin" w:cs="IRNazanin"/>
          <w:color w:val="111111"/>
          <w:sz w:val="28"/>
          <w:szCs w:val="28"/>
          <w:rtl w:val="true"/>
          <w:lang w:bidi="fa-IR"/>
        </w:rPr>
        <w:t>.</w:t>
      </w:r>
    </w:p>
    <w:p>
      <w:pPr>
        <w:pStyle w:val="Heading2"/>
        <w:numPr>
          <w:ilvl w:val="1"/>
          <w:numId w:val="1"/>
        </w:numPr>
        <w:rPr/>
      </w:pPr>
      <w:bookmarkStart w:id="26" w:name="__RefHeading___Toc556782_774463916"/>
      <w:bookmarkStart w:id="27" w:name="_Toc9"/>
      <w:bookmarkEnd w:id="26"/>
      <w:r>
        <w:rPr>
          <w:rtl w:val="true"/>
        </w:rPr>
        <w:t>نکتۀ ششم</w:t>
      </w:r>
      <w:bookmarkEnd w:id="27"/>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آیاتی که سخن از تأثیر اسباب و مسببات در نظام آفرینش دارد و یا فعلی از بنده را کنار فعل خداوند مطرح می‌کند، به معنای استقلال اسباب یا استقلال فعل بندگان در نظام هستی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فعلی از بنده با فعل خداوند در کنار یکدیگر به طور مشترک بیان شود، نباید آن را شرک دانست و با توحید ناب متضاد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 قرآن از این نوع موارد را آورده و آن‌ها را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نَقَمُوا إِلاّ أَنْ أَغْناهُمُ اللهُ وَرَسُولُهُ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خشم و خرده‌ای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نگرفتند جز آن که خدا با فضل خود آنان را بی نیاز کرد و پیامبرش نیز بی نیازشان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رسول خدا صلی الله علیه و آله را مُغنی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در آیۀ شریفۀ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أَیَّدَکَ بِنَصْرِهِ وبالْمُوْمِنِینَ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کسی که تو را به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به وسیلة مؤمنان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در کنار نصرت حقتعالی، مؤید رسول خدا صلی الله علیه و آله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ملائکه را مدبّرات یعنی تدبیرات کنندگان می‌نامد، از نگاه موحد، این امور شرک نامیده نمی‌شود چون این امور در طول فعل خداست نه در عرض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موحد همه چیز در این نظام در همه جا و هر لحظه، با اذن خدا تحقق می‌یابد و تأثیر می‌گذارد، هیچ چیز در این نظام از خود هیچ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استقلال برای شریک است و خداوند هیچ شریکی در اصلِ خلقت و در ادامه و اداره‌ی این نظام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هست تحت تدبیر حقتعالی و با اجازه‌ی او وجود دارد و با اجازۀ او واسطه می‌شود و اثر می‌گذارد</w:t>
      </w:r>
      <w:r>
        <w:rPr>
          <w:rFonts w:eastAsia="IRNazanin" w:cs="IRNazanin"/>
          <w:color w:val="111111"/>
          <w:sz w:val="28"/>
          <w:szCs w:val="28"/>
          <w:rtl w:val="true"/>
          <w:lang w:bidi="fa-IR"/>
        </w:rPr>
        <w:t>.</w:t>
      </w:r>
      <w:bookmarkStart w:id="28" w:name="pg5017_41391"/>
    </w:p>
    <w:p>
      <w:pPr>
        <w:pStyle w:val="Heading2"/>
        <w:numPr>
          <w:ilvl w:val="1"/>
          <w:numId w:val="1"/>
        </w:numPr>
        <w:rPr/>
      </w:pPr>
      <w:bookmarkStart w:id="29" w:name="__RefHeading___Toc556784_774463916"/>
      <w:bookmarkStart w:id="30" w:name="_Toc10"/>
      <w:bookmarkEnd w:id="28"/>
      <w:bookmarkEnd w:id="29"/>
      <w:r>
        <w:rPr>
          <w:rtl w:val="true"/>
        </w:rPr>
        <w:t>نکتۀ هفتم</w:t>
      </w:r>
      <w:bookmarkEnd w:id="30"/>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یک کلام نگاه موحد را از مشرک نسبت به دخالت اسباب و وسایل در امور هستی نشان دهیم، کلام حضرت ابراهیم که پرچمدار توحید و الگوی موحدان است، هدایتگر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کلام در تفاوت اساسی دیدگاه موحد با مشرک در این کلام از حضرت ابراهیم است که به آزر خطاب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لَاَسْتَغْفِرَنَّ لَکَ وَما أَمْلِکُ لَکَ مِنَ اللهِ مِنْ شَی‌ءٍ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تو از خدا طلب مغفرت خواهم کرد و من مالک هیچ چیزی برای تو از ناحیة خدا نیستم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ابراهیم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استغفار می‌کنم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واسطه می‌شوم اما بر این نکته تأکید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أملک من الله مِن شی‌ء، من هیچ چیز را از خدا مالک نیستم</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همه چیز از اوست و باذن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استغفار من را می‌پذیرد وإلاّ هیچ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این نقطه‌ی فارق بین</w:t>
      </w:r>
      <w:bookmarkStart w:id="31" w:name="pg5017_41393"/>
    </w:p>
    <w:p>
      <w:pPr>
        <w:pStyle w:val="BookText"/>
        <w:rPr/>
      </w:pPr>
      <w:bookmarkEnd w:id="31"/>
      <w:r>
        <w:rPr>
          <w:rFonts w:ascii="IRNazanin" w:hAnsi="IRNazanin" w:eastAsia="IRNazanin"/>
          <w:color w:val="111111"/>
          <w:sz w:val="28"/>
          <w:sz w:val="28"/>
          <w:szCs w:val="28"/>
          <w:rtl w:val="true"/>
          <w:lang w:bidi="fa-IR"/>
        </w:rPr>
        <w:t>دیدگاه موحد با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چنین می‌پنداشت که بت‌های او به طور مستقل در امور هستی دخالت دارند و خداوندِ خالق، این امور را به آنها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موحد، همه اجزای هستی را در همه‌ی ابعاد آن تحت تدبیر حقتعالی می‌شناسد، 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اوست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السَّمواتِ وَمَا فِی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آسمان‌ها و آن چه در زمین است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این آیه که دربارۀ حاکمیت مطلق حقتعالی بر هستی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مُلْکُ السَّموَاتِ وَالاَرْضِ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حاکمیت و فرمانروایی آسمان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که بخواهد در آن‌ها تصرف می‌کند بدون آن که هیچ مانعی بر سر راه او باشد</w:t>
      </w:r>
      <w:r>
        <w:rPr>
          <w:rFonts w:eastAsia="IRNazanin" w:cs="IRNazanin"/>
          <w:color w:val="111111"/>
          <w:sz w:val="28"/>
          <w:szCs w:val="28"/>
          <w:rtl w:val="true"/>
          <w:lang w:bidi="fa-IR"/>
        </w:rPr>
        <w:t>.</w:t>
      </w:r>
    </w:p>
    <w:p>
      <w:pPr>
        <w:pStyle w:val="Heading2"/>
        <w:numPr>
          <w:ilvl w:val="1"/>
          <w:numId w:val="1"/>
        </w:numPr>
        <w:rPr/>
      </w:pPr>
      <w:bookmarkStart w:id="32" w:name="__RefHeading___Toc556786_774463916"/>
      <w:bookmarkStart w:id="33" w:name="_Toc11"/>
      <w:bookmarkEnd w:id="32"/>
      <w:r>
        <w:rPr>
          <w:rtl w:val="true"/>
        </w:rPr>
        <w:t>نکتۀ هشتم</w:t>
      </w:r>
      <w:bookmarkEnd w:id="33"/>
    </w:p>
    <w:p>
      <w:pPr>
        <w:pStyle w:val="BookText"/>
        <w:rPr/>
      </w:pPr>
      <w:r>
        <w:rPr>
          <w:rFonts w:ascii="IRNazanin" w:hAnsi="IRNazanin" w:eastAsia="IRNazanin"/>
          <w:color w:val="111111"/>
          <w:sz w:val="28"/>
          <w:sz w:val="28"/>
          <w:szCs w:val="28"/>
          <w:rtl w:val="true"/>
          <w:lang w:bidi="fa-IR"/>
        </w:rPr>
        <w:t>نکته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فراوانی در مصادر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مصادر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که از حیات انبیا و اولیا در عالم برزخ خبر می‌دهد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پس از وفات حضرت رسول خدا صلی الله علیه و آله، تحولی در جوهره‌ی، توسل، استغاثه، شفاعت صورت نمی‌گیرد تا آن را تبدیل به شرک کند؛چون مؤمنان در زمان حیات رسول</w:t>
      </w:r>
    </w:p>
    <w:p>
      <w:pPr>
        <w:pStyle w:val="BookText"/>
        <w:rPr/>
      </w:pPr>
      <w:r>
        <w:rPr>
          <w:rFonts w:ascii="IRNazanin" w:hAnsi="IRNazanin" w:eastAsia="IRNazanin"/>
          <w:color w:val="111111"/>
          <w:sz w:val="28"/>
          <w:sz w:val="28"/>
          <w:szCs w:val="28"/>
          <w:rtl w:val="true"/>
          <w:lang w:bidi="fa-IR"/>
        </w:rPr>
        <w:t xml:space="preserve">مکرم اسلام صلی الله علیه و آله این امور را با اعتقاد به این که پیامبر اکرم به طور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انجام نمی‌دهند، در خواست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منشاء تبرک نیز، حبِّ به خدا و رسول او و طلب شفا از آثار وجودی پیامبر اکرم صلی الله علیه و آله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دقیقاً پس از وفات حضرت نیز، همین اعتقاد در بین مؤمنان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نقطه‌ی فارق بین دیدگاه مشرکان با مؤمنان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اتهام شرک بی 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می‌گوییم بنابه ادله‌ی فراوان در مصادر سنی پیامبر اکرم پس از وفات، حیات دارند، صدای ما را می‌شنوند، از جمله سیوطی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حیاة الانبیاء فی قبورهم متواترة؛ احادیثی که حکایت از حیات انبیا در قبرهایشان می‌کند، متواتر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إنباء الاذکیاء بحیاة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النبی صلی الله علیه وسلم فی قبره وسائر الأنبیاء معلومة عندنا علماً قطعیاً لما قام عندنا من الادلّة فی ذلک وتواترت به الاخبار الدالّة علی ذلک وقد ألّف الإمام البیهقی جزءاً فی حیاة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قبورهم؛ نزد ما بنا به ادله‌ا‌ی که می‌شناسیم حیات نبی اکرم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 سایر انبیا در قبرشان، به علم قطعی، معلوم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 نیز،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بیهقی نیز؛ رساله‌ای دربارة حیات انبیا در قبرشان نگاشته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ابن قیم جوزی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عن النبی أنّ الارض لا تأکل أجساد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بأنّه ما من مسلم یسلِّم علیه إلاّ ردّ علیه روحه حتی یَرُدّ علیه السلام إلی غیر ذلک ممّا یحصل من جملته القطع بأنّ موت الانبیاء إنّما هو راجع إلی أنّ غیّبوا عنا بحیث لا ندرکهم وإن کانوا احیاء موجودین کالملائکه فإنّهم احیاء موجودون ولا نراهم؛ </w:t>
      </w:r>
      <w:r>
        <w:rPr>
          <w:rStyle w:val="FootnoteAnchor"/>
          <w:rtl w:val="true"/>
        </w:rPr>
        <w:footnoteReference w:id="14"/>
      </w:r>
      <w:r>
        <w:rPr>
          <w:rFonts w:ascii="IRNazanin" w:hAnsi="IRNazanin" w:eastAsia="IRNazanin"/>
          <w:color w:val="111111"/>
          <w:sz w:val="28"/>
          <w:sz w:val="28"/>
          <w:szCs w:val="28"/>
          <w:rtl w:val="true"/>
          <w:lang w:bidi="fa-IR"/>
        </w:rPr>
        <w:t>از پیامبر خدا با سند صحیح نقل شده که زمین، جسد انبیا را نابود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حضرت خبر داده که هیچ مسلمانی نیست که بر او سلام کند جز آن که روح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احتمالاً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می‌گردد تا سلام مسلمان را جواب دهد و اخباری دیگر که از مجموع آن‌ها قطع حاصل می‌شود که مرگ انبیا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ادراک آن‌ها نیست، بلکه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آنان از ماست به گونه‌ای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نمی‌کنیم هر چند آنان زنده و موجودند مانند فرشتگان که زنده و موجودند اما آنان را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قیّم ده‌ها روایت از صحاح، مسانید و سنن درباره حیات برزخی و علاقه مردگان با زندگان را نقل می‌کند و آن گاه در بخشی از کتاب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المسلِّم علی أهل القبور السلام علیکم دار قوم مؤمنین هذا خطاب لمن یسمع و یعقل ولولا ذلک لکان هذا الخطاب بمنزلة خطاب المعدوم والجماد والسلف مجمعون علی هذا وقد تواترت الآثار عنهم بأن المیت یعرف زیارة الحی ویستبشر به؛ این که سلام کننده بر اهل قبور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که در خانة قوم مؤمنان آرمیده‌اید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خطابش متوجه کسانی است که می‌شنوند و شعور دارند و گر نه سخن وی به منزلة خطاب، به امر معدوم و جمادات خواهد بود که لغو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نیز بر این مطلب اتفاق نظر دارند، روایات متواتر نیز حکایت از این دارد که مرده، زیارت زندگان را می‌شنود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 و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می‌طلبد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روایاتی فراوان دیگر را در ضمن 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الموتی یسألون عن الاحیاء ویعرفون اقوالهم واعمالهم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الاموات بما حدث فی أهلهم بعدهم و بما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انفاذ ابو بکر وصیة ثابت بن قیس التی أوصی بها فی المنام بعد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قیم به تفسیر آیه‌ی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بِمُسْمِعٍ مَنْ فِی 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آن کسانی را که در قبرهایند، نمی‌توانی شنواند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به گوششان برسانی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می‌پردازد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فسیاق الآیة یدل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فی القبور لا تقدر علی إسماعهم إسماعاً ینتفعون به و لم یَرِد سُبحانه إنّ أصحاب القبور لا یسمعون شیئاً البتة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سیاق آیه بر این دلالت دارد که به پیامبر صلی الله علیه و آله می‌گوید آنان که در گورهایند، تو توانای بر شنواندن آنان نیستی، شنواندنی که از آن بهره بَرند، اما خداوند نخواسته بگوید اهل قبور هیچ چیزی نمی‌شنوند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مانند جمادات بی شعورند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پیش از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یَسْتَوِی الاَحْیَاء وَلاَ الاَمْوَاتُ إِنَّ اللهَ یُسْمِعُ مَنْ یَشَاءُ وَمَا أَنتَ بِمُسْمِعٍ مَنْ فِی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پیش از این آیه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یَسْتَوِی الاَعْمَی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الظُّلُمَاتُ وَلاَ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الظِّلُّ وَلاَ 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یَسْتَوِی الاَحْیَاء وَلاَ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بنا به گفته‌ی برخی از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کسانی را که در قبرهایشان هستند نمی‌توانی چیزی به گوششان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تمثیل دیگری برای مؤمنان است که رساتر از تمثیل اوّلی است؛ به همین دلیل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آیات تکرار کرده آن‌گاه 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یُسْمِعُ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w:t>
      </w:r>
    </w:p>
    <w:p>
      <w:pPr>
        <w:pStyle w:val="BookText"/>
        <w:rPr/>
      </w:pPr>
      <w:r>
        <w:rPr>
          <w:rFonts w:ascii="IRNazanin" w:hAnsi="IRNazanin" w:eastAsia="IRNazanin"/>
          <w:color w:val="111111"/>
          <w:sz w:val="28"/>
          <w:sz w:val="28"/>
          <w:szCs w:val="28"/>
          <w:rtl w:val="true"/>
          <w:lang w:bidi="fa-IR"/>
        </w:rPr>
        <w:t>هدایتش را به گوش هر که بخواهد می‌رساند و وی را توفیق می‌دهد تا آیات را بفهمد و از موعظه‌های قرآن پند گیرد آن گاه در ادامۀ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 بِمُسْمِعٍ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کافرانی که بر کفرشان اصرار دارند به اموات تشبیه کرد و از یأس از هدایت آنان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صحابه و تابعین مانند ابن عباس و قتاده </w:t>
      </w:r>
      <w:r>
        <w:rPr>
          <w:rStyle w:val="FootnoteAnchor"/>
          <w:rtl w:val="true"/>
        </w:rPr>
        <w:footnoteReference w:id="17"/>
      </w:r>
      <w:r>
        <w:rPr>
          <w:rFonts w:ascii="IRNazanin" w:hAnsi="IRNazanin" w:eastAsia="IRNazanin"/>
          <w:color w:val="111111"/>
          <w:sz w:val="28"/>
          <w:sz w:val="28"/>
          <w:szCs w:val="28"/>
          <w:rtl w:val="true"/>
          <w:lang w:bidi="fa-IR"/>
        </w:rPr>
        <w:t xml:space="preserve">نقل شده و قول مفسران قدیم و جدید مانند طبری </w:t>
      </w:r>
      <w:r>
        <w:rPr>
          <w:rStyle w:val="FootnoteAnchor"/>
          <w:rtl w:val="true"/>
        </w:rPr>
        <w:footnoteReference w:id="18"/>
      </w:r>
      <w:r>
        <w:rPr>
          <w:rFonts w:ascii="IRNazanin" w:hAnsi="IRNazanin" w:eastAsia="IRNazanin"/>
          <w:color w:val="111111"/>
          <w:sz w:val="28"/>
          <w:sz w:val="28"/>
          <w:szCs w:val="28"/>
          <w:rtl w:val="true"/>
          <w:lang w:bidi="fa-IR"/>
        </w:rPr>
        <w:t xml:space="preserve">، قرطبی </w:t>
      </w:r>
      <w:r>
        <w:rPr>
          <w:rStyle w:val="FootnoteAnchor"/>
          <w:rtl w:val="true"/>
        </w:rPr>
        <w:footnoteReference w:id="19"/>
      </w:r>
      <w:r>
        <w:rPr>
          <w:rFonts w:ascii="IRNazanin" w:hAnsi="IRNazanin" w:eastAsia="IRNazanin"/>
          <w:color w:val="111111"/>
          <w:sz w:val="28"/>
          <w:sz w:val="28"/>
          <w:szCs w:val="28"/>
          <w:rtl w:val="true"/>
          <w:lang w:bidi="fa-IR"/>
        </w:rPr>
        <w:t xml:space="preserve">، ابن‌کثیر </w:t>
      </w:r>
      <w:r>
        <w:rPr>
          <w:rStyle w:val="FootnoteAnchor"/>
          <w:rtl w:val="true"/>
        </w:rPr>
        <w:footnoteReference w:id="20"/>
      </w:r>
      <w:r>
        <w:rPr>
          <w:rFonts w:ascii="IRNazanin" w:hAnsi="IRNazanin" w:eastAsia="IRNazanin"/>
          <w:color w:val="111111"/>
          <w:sz w:val="28"/>
          <w:sz w:val="28"/>
          <w:szCs w:val="28"/>
          <w:rtl w:val="true"/>
          <w:lang w:bidi="fa-IR"/>
        </w:rPr>
        <w:t xml:space="preserve">، بیضاوی </w:t>
      </w:r>
      <w:r>
        <w:rPr>
          <w:rStyle w:val="FootnoteAnchor"/>
          <w:rtl w:val="true"/>
        </w:rPr>
        <w:footnoteReference w:id="21"/>
      </w:r>
      <w:r>
        <w:rPr>
          <w:rFonts w:ascii="IRNazanin" w:hAnsi="IRNazanin" w:eastAsia="IRNazanin"/>
          <w:color w:val="111111"/>
          <w:sz w:val="28"/>
          <w:sz w:val="28"/>
          <w:szCs w:val="28"/>
          <w:rtl w:val="true"/>
          <w:lang w:bidi="fa-IR"/>
        </w:rPr>
        <w:t xml:space="preserve">و آلوسی </w:t>
      </w:r>
      <w:r>
        <w:rPr>
          <w:rStyle w:val="FootnoteAnchor"/>
          <w:rtl w:val="true"/>
        </w:rPr>
        <w:footnoteReference w:id="22"/>
      </w:r>
      <w:r>
        <w:rPr>
          <w:rFonts w:ascii="IRNazanin" w:hAnsi="IRNazanin" w:eastAsia="IRNazanin"/>
          <w:color w:val="111111"/>
          <w:sz w:val="28"/>
          <w:sz w:val="28"/>
          <w:szCs w:val="28"/>
          <w:rtl w:val="true"/>
          <w:lang w:bidi="fa-IR"/>
        </w:rPr>
        <w:t>و دیگران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ابن کثیر دربارة معنای آیه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کفار پس از مرگ و روانه شدن در قبر از هدایت و دعوت به حق، سودی نخواهند بُرد، همین طور مشرکانی که شقاوت آنان حتمی است، تو راهی برای نجات آن‌ها نداری و نمی‌توانی آنان را هدایت کنی</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 این آیه نمی‌خواهد بفرماید مردگان چیزی نمی‌شنوند بلکه تمثیل مشرکان به مردگان است که سودی از</w:t>
      </w:r>
      <w:bookmarkStart w:id="34" w:name="pg5017_41405"/>
    </w:p>
    <w:p>
      <w:pPr>
        <w:pStyle w:val="BookText"/>
        <w:rPr/>
      </w:pPr>
      <w:bookmarkEnd w:id="34"/>
      <w:r>
        <w:rPr>
          <w:rFonts w:ascii="IRNazanin" w:hAnsi="IRNazanin" w:eastAsia="IRNazanin"/>
          <w:color w:val="111111"/>
          <w:sz w:val="28"/>
          <w:sz w:val="28"/>
          <w:szCs w:val="28"/>
          <w:rtl w:val="true"/>
          <w:lang w:bidi="fa-IR"/>
        </w:rPr>
        <w:t>هدایت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اکرم صلی الله علیه و آله در عالم برزخ صدای زائر و متوسل و مستشفع را می‌شنوند وبإذن الله می‌توانند همانند حیاتشان منشاء آثار شوند، برای کسی استغفار کنند، توسل و شفاعت او را اجابت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تبرک به آثار حضرت و قبر و دیوار بقعه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محبت است که در زمان حیات ایشان رایج بوده است</w:t>
      </w:r>
      <w:r>
        <w:rPr>
          <w:rFonts w:eastAsia="IRNazanin" w:cs="IRNazanin"/>
          <w:color w:val="111111"/>
          <w:sz w:val="28"/>
          <w:szCs w:val="28"/>
          <w:rtl w:val="true"/>
          <w:lang w:bidi="fa-IR"/>
        </w:rPr>
        <w:t>.</w:t>
      </w:r>
    </w:p>
    <w:p>
      <w:pPr>
        <w:pStyle w:val="Heading2"/>
        <w:numPr>
          <w:ilvl w:val="1"/>
          <w:numId w:val="1"/>
        </w:numPr>
        <w:rPr/>
      </w:pPr>
      <w:bookmarkStart w:id="35" w:name="__RefHeading___Toc556788_774463916"/>
      <w:bookmarkStart w:id="36" w:name="_Toc12"/>
      <w:bookmarkEnd w:id="35"/>
      <w:r>
        <w:rPr>
          <w:rtl w:val="true"/>
        </w:rPr>
        <w:t>نکتۀ نهم</w:t>
      </w:r>
      <w:bookmarkEnd w:id="36"/>
    </w:p>
    <w:p>
      <w:pPr>
        <w:pStyle w:val="BookText"/>
        <w:rPr/>
      </w:pPr>
      <w:r>
        <w:rPr>
          <w:rFonts w:ascii="IRNazanin" w:hAnsi="IRNazanin" w:eastAsia="IRNazanin"/>
          <w:color w:val="111111"/>
          <w:sz w:val="28"/>
          <w:sz w:val="28"/>
          <w:szCs w:val="28"/>
          <w:rtl w:val="true"/>
          <w:lang w:bidi="fa-IR"/>
        </w:rPr>
        <w:t>نکته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جواز استغاثه، توسل، شفاعت، تقبیل و تبرک به آثار پیامبر اکرم صلی الله علیه و آله پس از وفات در مصادر اهل سنت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ادلة یاد شده نه تنها این امور شرک نیست بلکه می‌توان ادله‌ی گوناگون بر جواز بلکه استحباب آن‌ها از مصادر اهل تسنن اقامه کرد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شمولیت ادله‌ی عمل مشرکان بر عمل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ادله‌ی لفظی بر جواز و عدم دلیل بر مقید کردن آن‌ها به زمان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صحابه و تابعین در توسل به قبر پیامبر خدا و تقبیل و تبرک به منبر حضرت پس از وفات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علماء در استغاثه به غیر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دانشمندان بزرگ بر جواز تبرک به آثار پیامبر اکرم و صالحان، استغاثه به غیر خدا و دعا در نزد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دلیل سدّ ذریعه‌ی شرک به دلیل وجود ادله‌ی لفظی و غیر لفظی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امور شرک نیز نیست تا با عمل مشرکان مقایسه گردد و نامشروع نیست تا بدعت باشد چون در بین صحابه و دانشمندان این امر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سیره صحابه و تابعین 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از صحابه، منبر پیامبر خدا صلی الله علیه و آله را پس از وفات، استلام می‌کرده و کسی از صحابه نیز وی را نهی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برخی از روایات دلالت دارد که غیر از عبد الله بن عمر افرادی دیگر از صحابه نیز به این کار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با سند خود از یزید بن عبد الملک بن قسیط می‌نویسد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اصحاب پیامبر صلی الله علیه و آلهرا دیدم که چون مسجد خلوت می‌شد منبر پیامبر را دست می‌مالیدند و دعا می‌کردند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سالم بن عبد الله بن عمر نیز به پدرش در این امور اقتدا می‌کرده است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می‌گویند کار عبد الله بن عمر اجتهادی از ناحیه وی بوده و پدرش و سایر صحابه با او موافق نبوده‌اند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این امور اجتهادی است جایی برای اتهام به دیگران نمی‌باشد و این ادعا که پدر عبد الله و سایر صحابه با کار عبد الله موافق نبوده‌اند،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ابن حجر عسقلانی کار عبد الله را حجت در تبرک به آثار صالحین می‌داند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 نیز در سنن خود با سند صحیح عن ابی الجوزاء اوس بن عبد الله چنین نقل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 اهل المدینة قحطاً شدیداً فَشَکوا إلی عائشۀ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قبر النبی فاجعلوا منه کُوَیً إلی السَّماءِ حتی لا یکونَ بینه وبین السَّماء سقف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فَمُطِرنا مطراً حتی نَبَت العشَب و سَمَنَتِ الاِبل حتی تَفَتَّقَتْ مِنَ الشُّحم فَسُمِّیَ عامُ الفَتق؛ </w:t>
      </w:r>
      <w:r>
        <w:rPr>
          <w:rStyle w:val="FootnoteAnchor"/>
          <w:rtl w:val="true"/>
        </w:rPr>
        <w:footnoteReference w:id="28"/>
      </w:r>
      <w:r>
        <w:rPr>
          <w:rFonts w:ascii="IRNazanin" w:hAnsi="IRNazanin" w:eastAsia="IRNazanin"/>
          <w:color w:val="111111"/>
          <w:sz w:val="28"/>
          <w:sz w:val="28"/>
          <w:szCs w:val="28"/>
          <w:rtl w:val="true"/>
          <w:lang w:bidi="fa-IR"/>
        </w:rPr>
        <w:t>اهل مدینه به</w:t>
      </w:r>
    </w:p>
    <w:p>
      <w:pPr>
        <w:pStyle w:val="BookText"/>
        <w:rPr/>
      </w:pPr>
      <w:r>
        <w:rPr>
          <w:rFonts w:ascii="IRNazanin" w:hAnsi="IRNazanin" w:eastAsia="IRNazanin"/>
          <w:color w:val="111111"/>
          <w:sz w:val="28"/>
          <w:sz w:val="28"/>
          <w:szCs w:val="28"/>
          <w:rtl w:val="true"/>
          <w:lang w:bidi="fa-IR"/>
        </w:rPr>
        <w:t>قحطی شدیدی دچار شدند پس شِکوه نزد عایشه بردند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قبر پیامبر رو آورید و شکافی بر سقفِ دیوار ایجاد کنید تا بین قبر حضرت و آسمان مانعی نباشد؛ آنان چنین کردند و بر اثر این کار، آن قدر باران بارید که سبزه‌زارها روییدند و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فربه شدند؛ پس آن سال را، سال گشایش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نیز با سند صحیح </w:t>
      </w:r>
      <w:r>
        <w:rPr>
          <w:rStyle w:val="FootnoteAnchor"/>
          <w:rtl w:val="true"/>
        </w:rPr>
        <w:footnoteReference w:id="29"/>
      </w:r>
      <w:r>
        <w:rPr>
          <w:rFonts w:ascii="IRNazanin" w:hAnsi="IRNazanin" w:eastAsia="IRNazanin"/>
          <w:color w:val="111111"/>
          <w:sz w:val="28"/>
          <w:sz w:val="28"/>
          <w:szCs w:val="28"/>
          <w:rtl w:val="true"/>
          <w:lang w:bidi="fa-IR"/>
        </w:rPr>
        <w:t>از ابی صالح السمان از مالک الدار که خزینه دار عمر خلیفه دوم بوده چنین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 النّاس قحطٌ فی زَمَنِ عمر فجاء رجل إلی قبر النبی‌ّ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إستَسق لامّتک فَإنّهم هَلَکُوا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مردم در زمان خلافت عمر دچار قحطی شدند پس مردی به قبر پیامبر روآورد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امت خود باران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در حالِ تباه شدن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مستدرک با سند صحیح براساس شرط الشیخین و نیز اقرار ذهبی به صحت آن از داود بن ابی صالح چنین نقل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مروان یوماً فَوَجَد رجلاً واضعاً وجهه علی القبر فَأَخَذَ برقبته وقال أتدری ما تصنع قال نَعم فأقبَلَ علیه فإذا هُو ابو أیوب الانصاری رضی الله عنه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جئت‌ُ رسول الله صلی الله علیه و آله و لَم آتِ الحجَر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تَبُکوا علی الدّین إذا ولیَه أهلُه ولکن اُبکوا علیه إذا ولیه غیرُ أهله </w:t>
      </w:r>
      <w:r>
        <w:rPr>
          <w:rStyle w:val="FootnoteAnchor"/>
          <w:rtl w:val="true"/>
        </w:rPr>
        <w:footnoteReference w:id="31"/>
      </w:r>
      <w:r>
        <w:rPr>
          <w:rFonts w:ascii="IRNazanin" w:hAnsi="IRNazanin" w:eastAsia="IRNazanin"/>
          <w:color w:val="111111"/>
          <w:sz w:val="28"/>
          <w:sz w:val="28"/>
          <w:szCs w:val="28"/>
          <w:rtl w:val="true"/>
          <w:lang w:bidi="fa-IR"/>
        </w:rPr>
        <w:t>روزی مروان به قبر پیامبر روآورد و دید مردی صورت خود را بر قبر نهاده، مروان گردن او را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می‌دانم وی که ابو 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پیامبر آمده‌ام نه نزد این سنگی که بر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 امرِ دین، اهلیت داشته باشد بر تباهی دین گریه نکنید، لکن آن‌گاه بر این امر گریه کنید که نااهل، متولی امر 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جست وجو کند آثاری دیگر نیز از سیره صحابه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علمای اهل تسنن نیز از این امور فراوان به چشم می‌خورد مانند پرسش عبد الله بن احمد بن حنبل از پدرش که می‌پرسد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یَمَسُّ منبرَ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 یتبرّک بِمسِّه و یُقَبِّلُه و یفعل‌ُ بِالقَبر مثل هذا أو نحو هذا یرید بذلک التقرّب إلی الله جلَّ وَعزّ،</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w:t>
      </w:r>
      <w:r>
        <w:rPr>
          <w:rStyle w:val="FootnoteAnchor"/>
          <w:rtl w:val="true"/>
        </w:rPr>
        <w:footnoteReference w:id="32"/>
      </w:r>
      <w:r>
        <w:rPr>
          <w:rFonts w:ascii="IRNazanin" w:hAnsi="IRNazanin" w:eastAsia="IRNazanin"/>
          <w:color w:val="111111"/>
          <w:sz w:val="28"/>
          <w:sz w:val="28"/>
          <w:szCs w:val="28"/>
          <w:rtl w:val="true"/>
          <w:lang w:bidi="fa-IR"/>
        </w:rPr>
        <w:t xml:space="preserve">از پدرم درباره‌ی مردی پرسیدم که منبر پیامبر صلی الله علیه و آلهرا دست می‌کشد و به آن تبرک می‌جوید و می‌بوسد و قبر پیامبر را نیز به همین صورت یا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می‌کشد و می‌بوسد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به خدا، تقرّب می‌جوید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رواست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الصیف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فتوا و نیز جواز بوسیدن قبور صالحان نقل شده است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 ابن عساکر با سند صحیح به اعتراف محمد ناصر الدین ألبانی وهابی </w:t>
      </w:r>
      <w:r>
        <w:rPr>
          <w:rStyle w:val="FootnoteAnchor"/>
          <w:rtl w:val="true"/>
        </w:rPr>
        <w:footnoteReference w:id="35"/>
      </w:r>
      <w:r>
        <w:rPr>
          <w:rFonts w:ascii="IRNazanin" w:hAnsi="IRNazanin" w:eastAsia="IRNazanin"/>
          <w:color w:val="111111"/>
          <w:sz w:val="28"/>
          <w:sz w:val="28"/>
          <w:szCs w:val="28"/>
          <w:rtl w:val="true"/>
          <w:lang w:bidi="fa-IR"/>
        </w:rPr>
        <w:t xml:space="preserve">از عبد الله پسر 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می‌گوید از پدرم شنیدم که به من چنین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خمسَ حُجَج منها ثِنتَین راکباً و ثلاثة ماشیاً، أو ثنتین ماشیاً و ثلاثة راکباً فَضَلَتُ الطریقَ فی حِجِّة و کُنت ماشیاً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الله دَلُّونا علی</w:t>
      </w:r>
    </w:p>
    <w:p>
      <w:pPr>
        <w:pStyle w:val="BookText"/>
        <w:rPr/>
      </w:pPr>
      <w:r>
        <w:rPr>
          <w:rFonts w:ascii="Amiri" w:hAnsi="Amiri" w:eastAsia="Amiri" w:cs="Amiri"/>
          <w:color w:val="111111"/>
          <w:sz w:val="28"/>
          <w:sz w:val="28"/>
          <w:szCs w:val="28"/>
          <w:rtl w:val="true"/>
          <w:lang w:bidi="ar-SA"/>
        </w:rPr>
        <w:t xml:space="preserve">الطَّریق فلَم أزل أقول ذلک حتی وقعتُ علی الطَّریق </w:t>
      </w:r>
      <w:r>
        <w:rPr>
          <w:rStyle w:val="FootnoteAnchor"/>
          <w:rtl w:val="true"/>
        </w:rPr>
        <w:footnoteReference w:id="36"/>
      </w:r>
      <w:r>
        <w:rPr>
          <w:rFonts w:ascii="IRNazanin" w:hAnsi="IRNazanin" w:eastAsia="IRNazanin"/>
          <w:color w:val="111111"/>
          <w:sz w:val="28"/>
          <w:sz w:val="28"/>
          <w:szCs w:val="28"/>
          <w:rtl w:val="true"/>
          <w:lang w:bidi="fa-IR"/>
        </w:rPr>
        <w:t>پنج بار حج گزاردم دوبار سواره و سه بار پیاده یا بر عکس، پس در یکی از سفرها که پیاده بودم، راه را گم کردم پس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مرا راهنمایی کنید دایم این را تکرار می‌کردم تا آن که راه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احمد بن حنبل برگرفته از قول عبد الله ابن مسعود صحابی است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ضَلَّ أحدکم شیئاً أو أراد غوثاً وهو بأرض لیس بها أنیس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اللهِ أغیثُونی یا عبادَ اللهِ أغیثونی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للهِ عباداً لا نراهم؛ </w:t>
      </w:r>
      <w:r>
        <w:rPr>
          <w:rStyle w:val="FootnoteAnchor"/>
          <w:rtl w:val="true"/>
        </w:rPr>
        <w:footnoteReference w:id="37"/>
      </w:r>
      <w:r>
        <w:rPr>
          <w:rFonts w:ascii="IRNazanin" w:hAnsi="IRNazanin" w:eastAsia="IRNazanin"/>
          <w:color w:val="111111"/>
          <w:sz w:val="28"/>
          <w:sz w:val="28"/>
          <w:szCs w:val="28"/>
          <w:rtl w:val="true"/>
          <w:lang w:bidi="fa-IR"/>
        </w:rPr>
        <w:t>هرگاه کسی از شما چیزی را گم کرد یا فریاد رسی خواست در جایی که همدمی نداشت،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به فریاد من رسید، به فریاد من رسید، همانا خداوند بندگانی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آنان را نمی‌بینیم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از ابن مسعود صریح در استغاثه به غیر خداست بدون آن که شرک باشد؛ بلکه برخی از بزرگان سنی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طبرانی </w:t>
      </w:r>
      <w:r>
        <w:rPr>
          <w:rStyle w:val="FootnoteAnchor"/>
          <w:rtl w:val="true"/>
        </w:rPr>
        <w:footnoteReference w:id="38"/>
      </w:r>
      <w:r>
        <w:rPr>
          <w:rFonts w:ascii="IRNazanin" w:hAnsi="IRNazanin" w:eastAsia="IRNazanin"/>
          <w:color w:val="111111"/>
          <w:sz w:val="28"/>
          <w:sz w:val="28"/>
          <w:szCs w:val="28"/>
          <w:rtl w:val="true"/>
          <w:lang w:bidi="fa-IR"/>
        </w:rPr>
        <w:t>که این حدیث را از قول</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نقل کرده است، </w:t>
      </w:r>
      <w:r>
        <w:rPr>
          <w:rStyle w:val="FootnoteAnchor"/>
          <w:rtl w:val="true"/>
        </w:rPr>
        <w:footnoteReference w:id="39"/>
      </w:r>
      <w:r>
        <w:rPr>
          <w:rFonts w:ascii="IRNazanin" w:hAnsi="IRNazanin" w:eastAsia="IRNazanin"/>
          <w:color w:val="111111"/>
          <w:sz w:val="28"/>
          <w:sz w:val="28"/>
          <w:szCs w:val="28"/>
          <w:rtl w:val="true"/>
          <w:lang w:bidi="fa-IR"/>
        </w:rPr>
        <w:t xml:space="preserve">حافظ هیثمی </w:t>
      </w:r>
      <w:r>
        <w:rPr>
          <w:rStyle w:val="FootnoteAnchor"/>
          <w:rtl w:val="true"/>
        </w:rPr>
        <w:footnoteReference w:id="40"/>
      </w:r>
      <w:r>
        <w:rPr>
          <w:rFonts w:ascii="IRNazanin" w:hAnsi="IRNazanin" w:eastAsia="IRNazanin"/>
          <w:color w:val="111111"/>
          <w:sz w:val="28"/>
          <w:sz w:val="28"/>
          <w:szCs w:val="28"/>
          <w:rtl w:val="true"/>
          <w:lang w:bidi="fa-IR"/>
        </w:rPr>
        <w:t xml:space="preserve">، شارح صحیح مسلم یعنی امام نووی نیز، گفته است که برخی از استادان بزرگ من نیز این امر را انجام داده و تجربه کرده‌اند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حجر ضمن آن که این حدیث را معتبر می‌شمرد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مجرب است </w:t>
      </w:r>
      <w:r>
        <w:rPr>
          <w:rStyle w:val="FootnoteAnchor"/>
          <w:rtl w:val="true"/>
        </w:rPr>
        <w:footnoteReference w:id="42"/>
      </w:r>
      <w:r>
        <w:rPr>
          <w:rFonts w:ascii="IRNazanin" w:hAnsi="IRNazanin" w:eastAsia="IRNazanin"/>
          <w:color w:val="111111"/>
          <w:sz w:val="28"/>
          <w:sz w:val="28"/>
          <w:szCs w:val="28"/>
          <w:rtl w:val="true"/>
          <w:lang w:bidi="fa-IR"/>
        </w:rPr>
        <w:t xml:space="preserve">بلکه ألبانی وهابی نیز بر اعتبار این حدیث صحه می‌گذارد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از میان دانشمندان سنی باید از محمد بن محمد بن عثمان ذهبی شاگرد ابن تیمیه و محدِّث نامور، نام برد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إبراهیم‌ُ الحربی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معروف کرخی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التّریاق‌ُ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إجابةَ دعاءِ المُضطر عنده لإنَّ البقاعَ المبارکة یُستجاب </w:t>
      </w:r>
      <w:r>
        <w:rPr>
          <w:rStyle w:val="FootnoteAnchor"/>
          <w:rtl w:val="true"/>
        </w:rPr>
        <w:footnoteReference w:id="45"/>
      </w:r>
      <w:r>
        <w:rPr>
          <w:rFonts w:ascii="IRNazanin" w:hAnsi="IRNazanin" w:eastAsia="IRNazanin"/>
          <w:color w:val="111111"/>
          <w:sz w:val="28"/>
          <w:sz w:val="28"/>
          <w:szCs w:val="28"/>
          <w:rtl w:val="true"/>
          <w:lang w:bidi="fa-IR"/>
        </w:rPr>
        <w:t>ابراهیم حربی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معروف کرخی همانند داروی مجرب است که منظورش این</w:t>
      </w:r>
    </w:p>
    <w:p>
      <w:pPr>
        <w:pStyle w:val="BookText"/>
        <w:rPr/>
      </w:pPr>
      <w:r>
        <w:rPr>
          <w:rFonts w:ascii="IRNazanin" w:hAnsi="IRNazanin" w:eastAsia="IRNazanin"/>
          <w:color w:val="111111"/>
          <w:sz w:val="28"/>
          <w:sz w:val="28"/>
          <w:szCs w:val="28"/>
          <w:rtl w:val="true"/>
          <w:lang w:bidi="fa-IR"/>
        </w:rPr>
        <w:t>است که دعای انسانِ مضطر نزد قبر او مستجاب می‌شود چون دعا نزد بقاع مبارکه، به 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جزری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استجابة الدعاء عند قبور الانبیاء والصالحین ثبتت بالتجربة؛ اجابت دعا نزد قبر انبیا و صالحان به تجربه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نیز ضمن آن که این نظر را تأیید می‌کند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درباره میّت باورهای غلط نباشد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نباید ، با این ادله و سیره‌ی صحابه و دانشمندان، سخن از دلیل سدّ ذریعه‌ی شرک گفت،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نکته‌ی سوم ملاحظه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تا پیش از ابن تیمیه در قرن هفتم، به پیامبر خدا پس از وفات، توسل و شفاعت می‌جستند و استغاثه می‌کردند و در طول این هفت قرن دچار شرک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 بر فرض، احتمال در غلطیدن امت در شرک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شیخ تقی الدین سُبکی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ابن تیمیه آورده است </w:t>
      </w:r>
      <w:r>
        <w:rPr>
          <w:rStyle w:val="FootnoteAnchor"/>
          <w:rtl w:val="true"/>
        </w:rPr>
        <w:footnoteReference w:id="47"/>
      </w:r>
      <w:r>
        <w:rPr>
          <w:rFonts w:ascii="IRNazanin" w:hAnsi="IRNazanin" w:eastAsia="IRNazanin"/>
          <w:color w:val="111111"/>
          <w:sz w:val="28"/>
          <w:sz w:val="28"/>
          <w:szCs w:val="28"/>
          <w:rtl w:val="true"/>
          <w:lang w:bidi="fa-IR"/>
        </w:rPr>
        <w:t>بر علماست که مردم را آگاه سازنند تا توده‌ی مردم در این امور دچار شرک نشوند نه آن</w:t>
      </w:r>
      <w:bookmarkStart w:id="37" w:name="pg5017_41422"/>
    </w:p>
    <w:p>
      <w:pPr>
        <w:pStyle w:val="BookText"/>
        <w:rPr/>
      </w:pPr>
      <w:bookmarkEnd w:id="37"/>
      <w:r>
        <w:rPr>
          <w:rFonts w:ascii="IRNazanin" w:hAnsi="IRNazanin" w:eastAsia="IRNazanin"/>
          <w:color w:val="111111"/>
          <w:sz w:val="28"/>
          <w:sz w:val="28"/>
          <w:szCs w:val="28"/>
          <w:rtl w:val="true"/>
          <w:lang w:bidi="fa-IR"/>
        </w:rPr>
        <w:t>که آنان را از امری مشروع و مستحب باز دارند، به هر حال با این فهرست از دانشمندان بزرگ سنی که بر اساس پژوهش و دلیل نه تقلید و تخمین، این امور را جایز می‌دانند، جایی برای تردید باقی نمی‌ماند جز آن که وهابیان این دانشمندان را مشرک یا کافر بنامند</w:t>
      </w:r>
      <w:r>
        <w:rPr>
          <w:rFonts w:eastAsia="IRNazanin" w:cs="IRNazanin"/>
          <w:color w:val="111111"/>
          <w:sz w:val="28"/>
          <w:szCs w:val="28"/>
          <w:rtl w:val="true"/>
          <w:lang w:bidi="fa-IR"/>
        </w:rPr>
        <w:t>.</w:t>
      </w:r>
    </w:p>
    <w:p>
      <w:pPr>
        <w:pStyle w:val="Heading2"/>
        <w:numPr>
          <w:ilvl w:val="1"/>
          <w:numId w:val="1"/>
        </w:numPr>
        <w:rPr/>
      </w:pPr>
      <w:bookmarkStart w:id="38" w:name="__RefHeading___Toc556790_774463916"/>
      <w:bookmarkStart w:id="39" w:name="_Toc13"/>
      <w:bookmarkEnd w:id="38"/>
      <w:r>
        <w:rPr>
          <w:rtl w:val="true"/>
        </w:rPr>
        <w:t>نکتۀ دهم</w:t>
      </w:r>
      <w:bookmarkEnd w:id="39"/>
    </w:p>
    <w:p>
      <w:pPr>
        <w:pStyle w:val="BookText"/>
        <w:rPr/>
      </w:pPr>
      <w:r>
        <w:rPr>
          <w:rFonts w:ascii="IRNazanin" w:hAnsi="IRNazanin" w:eastAsia="IRNazanin"/>
          <w:color w:val="111111"/>
          <w:sz w:val="28"/>
          <w:sz w:val="28"/>
          <w:szCs w:val="28"/>
          <w:rtl w:val="true"/>
          <w:lang w:bidi="fa-IR"/>
        </w:rPr>
        <w:t>نکته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انبیا و اولیا مشروع بلکه امری مستحب می‌باشد و با ادله‌ی گوناگون قابل اثبات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زیارت قبور به خاطر دوست داشتن صاحب قبر و رجاء ثواب می‌باشد و گاهی برای طلب حاجت از مرده و توسل و استشفاع از اوست و برخی موارد نیز دعا برای میت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مورد نزاع است زیارت به معنای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زیارت قبور صالحان به خودی خود دارای ثواب باشد و یا زیارت به قصد برآوردن حاجات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زیارت به قصد ثواب را بدعت و حرام می‌دانند و سایر امت اسلام مباح بلکه مستحب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به قصد برآوردن حاجات از صاحب قبر را همانند شرک دانسته همسان با عمل مشرکان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دعا برای میّت رواست چون پیامبر اکرم صلی الله علیه و آله بر مردگانِ مسلمین نماز می‌گزاردند و بر قبر آنان می‌ایستادند و دعا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پیامبر اکرم صلی الله علیه و آله رجحان دعا بر سر قبور مؤمنان استفاده می‌شود و ظاهراً در بین امت در این مسأله اختلافی نیست؛ همه پذیرفته‌اند که دعا برای میّت رواست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قبور به قصد برآوردن حاجات و توسل و استغاثه به صاحب قبر در نکات قبلی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روایی که وهابیان برای منع این کار می‌آورند روایت نبی مکرم اسلام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قَبْری وَثَناً یُعبَد، خداوندا قبر من را بُتی که پرستیده می‌شود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 چه در نکته‌ی دوم گفتیم با عدم تغییر در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عبادت و شرک منتفی خواهد بود، خوانندگان قبر پیامبر همان نگاه را دارند که صحابه داشته‌اند و هرگز پیامبر را عبادت نمی‌کنند پیامبر نیز پس از وفات همانند سنگ وچوب نمی‌شوند تا با بت‌ها مقایسه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دیدگاه داعی عوض شود و قبر پیامبر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بت پرستان عبادت کند، امکان این خطر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درباره‌ی رجحان یا منع و حرمت زیارت قبور به خودی خود زیارت و یا به خاطر حبُّ صاحب قبر، باید ادله‌ی طرفین را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شیعه هیچ جای تردید نیست که زیارت قبور معصومان از افضل قربات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این باره ادله‌ی لفظی متعدد دارد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 نیز آن را سنت مسلمین می‌دانند، قاضی عیاض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زیارةُ قَبره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سنّة من سُنَنِ المُسلمین مجتمع علیها و فضیلة مُرغَّب فیها </w:t>
      </w:r>
      <w:r>
        <w:rPr>
          <w:rStyle w:val="FootnoteAnchor"/>
          <w:rtl w:val="true"/>
        </w:rPr>
        <w:footnoteReference w:id="49"/>
      </w:r>
      <w:r>
        <w:rPr>
          <w:rFonts w:ascii="IRNazanin" w:hAnsi="IRNazanin" w:eastAsia="IRNazanin"/>
          <w:color w:val="111111"/>
          <w:sz w:val="28"/>
          <w:sz w:val="28"/>
          <w:szCs w:val="28"/>
          <w:rtl w:val="true"/>
          <w:lang w:bidi="fa-IR"/>
        </w:rPr>
        <w:t>زیارت قبر پیامبر صلی الله علیه و آله سنتی از سنت‌های مسلمین است که بر آن اجماع دارند و فضیلتی است که به آن ترغیب و تشویق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 الدین سبکی نیز فتوای دانشمندان را در این باره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عثمان ذهبی نیز می‌گوید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وَقَف عند الحُجرة المقدسة ذلیلاً مُسَلِّماً مصلیّاً علی نبیّه فیا طوبی له فقد أحسَنَ الزیارة واجمل‌َ فی التَّذَلُل والحُبّ وقد أتی بعبادة زائدة علی من صلّی علیه فی ارضه أو فی</w:t>
      </w:r>
    </w:p>
    <w:p>
      <w:pPr>
        <w:pStyle w:val="BookText"/>
        <w:rPr/>
      </w:pPr>
      <w:r>
        <w:rPr>
          <w:rFonts w:ascii="IRNazanin" w:hAnsi="IRNazanin" w:eastAsia="IRNazanin"/>
          <w:color w:val="111111"/>
          <w:sz w:val="28"/>
          <w:sz w:val="28"/>
          <w:szCs w:val="28"/>
          <w:rtl w:val="true"/>
          <w:lang w:bidi="fa-IR"/>
        </w:rPr>
        <w:t>صلاته إذ الزائر له أجر الزیارة وأجر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فزیارة قبره من أفضل القرب</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 پس هر کس نزد حجرة مقدس قبر پیامبر با خضوع بایستد و سلام و صلوات بر پیامبرش فرستد پس خوشا به حال او، چرا که زیارت را به نیکویی به جا آورده و در خضوع و محبت، پسندیده عمل کرده است و در این صورت عبادتی، بیش از کسی که در شهر خود یا در نمازش، به حضرت درود می‌فرستد، انجام داده آورده است چون زائر قبر، هم اجر زیارت دارد و هم اجر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عبادتی بیش‌تر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زیارت قبر رسول خدا از برترین کارهای عبادی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سُبکی و قاضی عیاض بخشی از روایات و ادله‌ی لفظی بر جواز و رجحان زیارت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صلاح الدین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احادیث الواردة فی زیارة قبر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عینی در شرح بخاری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عبد الله بن عمر از سفر می‌آمد به نزد قبر پیامبر می‌رفت و زیارت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زیارت قبور در اوایل اسلام بوده که مسلمانان هنوز به بت‌پرستی خود داشتند و ممکن بوده بر قبرها سجده کنند و آن‌ها را بپرستند</w:t>
      </w:r>
    </w:p>
    <w:p>
      <w:pPr>
        <w:pStyle w:val="BookText"/>
        <w:rPr/>
      </w:pPr>
      <w:r>
        <w:rPr>
          <w:rFonts w:ascii="IRNazanin" w:hAnsi="IRNazanin" w:eastAsia="IRNazanin"/>
          <w:color w:val="111111"/>
          <w:sz w:val="28"/>
          <w:sz w:val="28"/>
          <w:szCs w:val="28"/>
          <w:rtl w:val="true"/>
          <w:lang w:bidi="fa-IR"/>
        </w:rPr>
        <w:t>اما چون اسلام مستحکم شد و در دل‌ها نشست، نهی از زیارت قبور نسخ گردید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رجحان زیارت منوط به اثبات وجود ارتباط پیامبر اکرم صلی الله علیه و آله و اولیاء پس از وفات با عالَم دنیا و شنیدن صدای زائران و پاسخ به سلام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افزون بر دلیل اعتباری، روایات صحیح و متواتر از اهل سنت نقل شده که پیش از این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نیز که منشاء بار بستن و عزم سفر برای زیارت می‌باشد، اختصاص به زمان حیات نبی اکرم صلی الله علیه و آله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زیارت را بدعت و آن را مخالف با سیره صحابه می‌دانند، ادله‌ی لفظی آنان تنها این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تَشُدُّوا الرِِّحال إلاّ إلی ثلاثة مساجد </w:t>
      </w:r>
      <w:r>
        <w:rPr>
          <w:rStyle w:val="FootnoteAnchor"/>
          <w:rtl w:val="true"/>
        </w:rPr>
        <w:footnoteReference w:id="52"/>
      </w:r>
      <w:r>
        <w:rPr>
          <w:rFonts w:ascii="IRNazanin" w:hAnsi="IRNazanin" w:eastAsia="IRNazanin"/>
          <w:color w:val="111111"/>
          <w:sz w:val="28"/>
          <w:sz w:val="28"/>
          <w:szCs w:val="28"/>
          <w:rtl w:val="true"/>
          <w:lang w:bidi="fa-IR"/>
        </w:rPr>
        <w:t xml:space="preserve">بار سفر بستن جز برای رفتن به سه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النبی،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هرگز نمی‌توان از آن منعِ شدَّ 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ذهبی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سَلَّمنا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شد الرحال إلی قبور الانبیاء والاولیاء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مأذون فیه لِعُمومِ قوله صلوات‌ُ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تَشُدُّوا الرّحال إلاّ إلی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الرحال إلی نبیّنا صلی الله</w:t>
      </w:r>
    </w:p>
    <w:p>
      <w:pPr>
        <w:pStyle w:val="BookText"/>
        <w:rPr/>
      </w:pPr>
      <w:r>
        <w:rPr>
          <w:rFonts w:ascii="IRNazanin" w:hAnsi="IRNazanin" w:eastAsia="IRNazanin"/>
          <w:color w:val="111111"/>
          <w:sz w:val="28"/>
          <w:sz w:val="28"/>
          <w:szCs w:val="28"/>
          <w:rtl w:val="true"/>
          <w:lang w:bidi="fa-IR"/>
        </w:rPr>
        <w:t>علیه وسلم مستلزم لِشَدِّ الرحال إلی مسجده و ذلک مشروع بلا نزاع إذ لا وصول إلی حجرته إلاّبعد الدُخول إلی مسجده</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 بر فرض که بار سفر بستن برای زیارت قبر انبیا و اولیا روا نباشد به دلیل عمومیت نهی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سفر بستن جز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مسجد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زیارت قبر پیامبر ما، این نهی نخواهد بود چون هر که بار سفر برای زیارت قبر ببندد ناگزیر بار سفر برای رفتن به مسجد پیامبر بسته است و این کار بدون شک مشروع است چون رسیدن به حجرة قبر پیامبر اکرم، پس از ورود به مسجد امکان‌پذیر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در این مسأله نیز پس از وجود ادله‌ی لفظی، نابجاست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برفرض که ادله‌ی لفظی ادعای بدعت را منتفی نسازد؛ اما هر مسأله مستحدثه مانند زیارت را نباید بدعت نامید بلکه از باب مماشات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حسنه</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است که اهل تسنن بنا به سنت عمر در نماز تراویح، آن را پذیرفته‌اند به</w:t>
      </w:r>
    </w:p>
    <w:p>
      <w:pPr>
        <w:pStyle w:val="BookText"/>
        <w:rPr/>
      </w:pPr>
      <w:r>
        <w:rPr>
          <w:rFonts w:ascii="IRNazanin" w:hAnsi="IRNazanin" w:eastAsia="IRNazanin"/>
          <w:color w:val="111111"/>
          <w:sz w:val="28"/>
          <w:sz w:val="28"/>
          <w:szCs w:val="28"/>
          <w:rtl w:val="true"/>
          <w:lang w:bidi="fa-IR"/>
        </w:rPr>
        <w:t>ویژه آن که مبنای زیارت مسأله‌ای محبت است محبتی که در دین، معیار و فارق بین دوزخیان و بهشتیان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نکته، اشاره به دو مطلبِ شگفت‌آور خالی از لطف نیست اول آن که بنا به گفته‌ی وهابیان، محمد بن عبد الوهاب سرکردة آنان در نامة خود به اهل قصیم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سلیمان بن سحیم در رسالة خود نوشته است من زیارت قبر پیامبر را نهی کرده و حرام می‌دانم، به من اتهام زده و دروغ می‌گوید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اعتقادی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مطلب، تحریف زشت وهابیان در کتاب‌های بزرگان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شارح معروف صحیح مسلم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گشوده و در آن دربارة استحباب زیارت قبر رسول خدا این عنوان را آورده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زیارة قبر رسول الله صلّی الله علیه وآله وسلّم وأذکارها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ینبغی لکلّ من حجّ أن یتوجّه الی زیارة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زیارته صلی الله علیه و آله من أهم القربات فإذا توجّه للزیارة أکثر من الصلاة والسلام علیه فی طریقه</w:t>
      </w:r>
      <w:r>
        <w:rPr>
          <w:rFonts w:eastAsia="IRNazanin" w:cs="IRNazanin"/>
          <w:color w:val="111111"/>
          <w:sz w:val="28"/>
          <w:szCs w:val="28"/>
          <w:rtl w:val="true"/>
          <w:lang w:bidi="fa-IR"/>
        </w:rPr>
        <w:t>.... »</w:t>
      </w:r>
      <w:bookmarkStart w:id="40" w:name="pg5017_41436"/>
    </w:p>
    <w:p>
      <w:pPr>
        <w:pStyle w:val="BookText"/>
        <w:rPr/>
      </w:pPr>
      <w:bookmarkEnd w:id="40"/>
      <w:r>
        <w:rPr>
          <w:rFonts w:ascii="IRNazanin" w:hAnsi="IRNazanin" w:eastAsia="IRNazanin"/>
          <w:color w:val="111111"/>
          <w:sz w:val="28"/>
          <w:sz w:val="28"/>
          <w:szCs w:val="28"/>
          <w:rtl w:val="true"/>
          <w:lang w:bidi="fa-IR"/>
        </w:rPr>
        <w:t>چنان که ملاحظه می‌کنید بحث نووی درباره زیارت قبر پیامبر خدا و حکم به این است که هر کس حج گزارد، سزاوار است به زیارت رسول خدا رود چون زیارت او از مهم‌ترین عوامل 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متوجه زیارت می‌شود در راه، درود و سلام بر پیامبر را فراوان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وهابیان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برده این فصل را چنین تحریف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زیارة مسجد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یستحب مِمّن أراد زیارة مسجد رسول الله صلی الله علیه و آله أن یکثر من الصلاة علیه صلی الله علیه و آله فی طریقه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به جای زیارت قبر، زیارت مسجد را نهاده و تحریف‌های دیگری نیز، صورت داده و بقیه عبارات را حذف کرده‌اند</w:t>
      </w:r>
      <w:r>
        <w:rPr>
          <w:rFonts w:eastAsia="IRNazanin" w:cs="IRNazanin"/>
          <w:color w:val="111111"/>
          <w:sz w:val="28"/>
          <w:szCs w:val="28"/>
          <w:rtl w:val="true"/>
          <w:lang w:bidi="fa-IR"/>
        </w:rPr>
        <w:t>.</w:t>
      </w:r>
    </w:p>
    <w:p>
      <w:pPr>
        <w:pStyle w:val="Heading2"/>
        <w:numPr>
          <w:ilvl w:val="1"/>
          <w:numId w:val="1"/>
        </w:numPr>
        <w:rPr/>
      </w:pPr>
      <w:bookmarkStart w:id="41" w:name="__RefHeading___Toc556792_774463916"/>
      <w:bookmarkStart w:id="42" w:name="_Toc14"/>
      <w:bookmarkEnd w:id="41"/>
      <w:r>
        <w:rPr>
          <w:rtl w:val="true"/>
        </w:rPr>
        <w:t>نکتۀ یازدهم</w:t>
      </w:r>
      <w:bookmarkEnd w:id="42"/>
    </w:p>
    <w:p>
      <w:pPr>
        <w:pStyle w:val="BookText"/>
        <w:rPr/>
      </w:pPr>
      <w:r>
        <w:rPr>
          <w:rFonts w:ascii="IRNazanin" w:hAnsi="IRNazanin" w:eastAsia="IRNazanin"/>
          <w:color w:val="111111"/>
          <w:sz w:val="28"/>
          <w:sz w:val="28"/>
          <w:szCs w:val="28"/>
          <w:rtl w:val="true"/>
          <w:lang w:bidi="fa-IR"/>
        </w:rPr>
        <w:t>نکته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بر قبر صالحان یا کنار قبر و جواز نماز یا رجحان آن، امری مشروع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فریقین، فتوا به حرمت سجده بر قبر به خاطر خود قبر داده‌اند این مطلب از موضع نزاع بیرون است و کسی در حرمت آن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ساختن مسجد بر قبر یا کنار</w:t>
      </w:r>
    </w:p>
    <w:p>
      <w:pPr>
        <w:pStyle w:val="BookText"/>
        <w:rPr/>
      </w:pPr>
      <w:r>
        <w:rPr>
          <w:rFonts w:ascii="IRNazanin" w:hAnsi="IRNazanin" w:eastAsia="IRNazanin"/>
          <w:color w:val="111111"/>
          <w:sz w:val="28"/>
          <w:sz w:val="28"/>
          <w:szCs w:val="28"/>
          <w:rtl w:val="true"/>
          <w:lang w:bidi="fa-IR"/>
        </w:rPr>
        <w:t xml:space="preserve">قبر صالحان از ظاهر آیه‌ی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کهف به دست می‌آید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فَقَالُواابْنُوا عَلَیْهِم بُنْیَاناً رَبُّهُمْ أَعْلَمُ بِهِمْ قَالَ الَّذِینَ غَلَبُوا عَلَی أَمْرِهِمْ لَنَتَّخِذَنَّ عَلَیْهِمْ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بنایی سازید، پروردگارشان به آن‌ها داناتر است اما آنان که بر کارشان چیره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اجساد آنان مسجدی بنا خواهیم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آیه دلالت بر امضای سکوتی قرآن درباره‌ی جواز ساختن مسجد بر قبر یا کنار قبر صالحان دارد و نسخ معنای آیه نیز، جز با خبر متواتر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امضای قرآن، ادله‌ی دیگر اعتباری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دلیل اعتباری سد الذرایع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گفته می‌شود ساختن مسجد بر قبر به تدریج موجب عبادت و یا تعظیم صاحب قبر خواهد شد و به شرک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دلیل سیره‌ی صحابه درباره قبر پیامبر اکرم صلی الله علیه و آله و سایر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شده عمل آنان دلالت بر نهی از ساختن مسجد بر قبور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نوع دلیلی در برابر قرآن ساقط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نیز در مسجد خیف که بنابه روایات صحیح سنی هفتاد پیامبر در آن مدفونند </w:t>
      </w:r>
      <w:r>
        <w:rPr>
          <w:rStyle w:val="FootnoteAnchor"/>
          <w:rtl w:val="true"/>
        </w:rPr>
        <w:footnoteReference w:id="57"/>
      </w:r>
      <w:r>
        <w:rPr>
          <w:rFonts w:ascii="IRNazanin" w:hAnsi="IRNazanin" w:eastAsia="IRNazanin"/>
          <w:color w:val="111111"/>
          <w:sz w:val="28"/>
          <w:sz w:val="28"/>
          <w:szCs w:val="28"/>
          <w:rtl w:val="true"/>
          <w:lang w:bidi="fa-IR"/>
        </w:rPr>
        <w:t>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حضرت می‌دانستند همان جا که قبض روح می‌شوند، دفن خواهند شد و مدفن ایشان در کنار مسجد النبی قرار خواهد گرفت با این وصف از نماز خواندن در آن مسجد نهی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 بر حرمت این امر که وهابیان اقامه می‌کنند این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الیهودَ والنّصاری، إتّخذوا قبورَ انبیاءهم مساجد؛ خداوند، یهود و نصاری را لعنت کرده چرا که قبور انبیای خود را مسجد گرفتند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وهابیان آن را جزو مدارک اصلی حرمت مسجد سازی بر قبر به شمار آورده‌اند، اما معنای این روایت نامفهوم است، آیا مسجد در این روایت به معنای اصطلاحی است و یهود و نصاری قبر انبیای خود را مسجد کردند یا به معنای لُغَوی است یعنی بر قبر یا به طرف قبر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صورت، حرام و با مسلمین قابل</w:t>
      </w:r>
    </w:p>
    <w:p>
      <w:pPr>
        <w:pStyle w:val="BookText"/>
        <w:rPr/>
      </w:pPr>
      <w:r>
        <w:rPr>
          <w:rFonts w:ascii="IRNazanin" w:hAnsi="IRNazanin" w:eastAsia="IRNazanin"/>
          <w:color w:val="111111"/>
          <w:sz w:val="28"/>
          <w:sz w:val="28"/>
          <w:szCs w:val="28"/>
          <w:rtl w:val="true"/>
          <w:lang w:bidi="fa-IR"/>
        </w:rPr>
        <w:t>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برخی از اهل سنت این حدیث را مخالف با قرآن و به کلی ساقط می‌دانند؛ آنان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الحدیث یدل بکلّ صراحة تعظیم انبیاء الیهود والنصاری لکن القرآن الکریم بیّن أنّ الیهود لم یکونوا یحترمون الانبیاء بل کانوا یکذِّبونهم ویقتلونهم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أَفَکلَّما جاءَکُمْ رَسولُ بِما لا تهْوَی أَنفُسکُمُ استَکْبرْتُمْ فَفَرِیقاً کَذَّبْتُمْ وَفَرِیقاً تَقْتُلُونَ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فَلِمَ تَقْتُلُونَ أَنبِیاءَ اللهِ مِن قَبْلُ إِن کُنتُم 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الله فی کتابه أذیّة الیهود لنبیّهم الاکبر موسی علیه السلام فی عدّة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کالآیة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یعلم إنّهم أقاموا لاکبر وأعظم انبیاءهم سیدنا موسی قبراً یزورونه ویعظِّمونه حتی الآن فکیف یقال بعد ذلک أنهم عظّموا قبور انبیاءهم واتخذوها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النصاری فلیس لهم إلاّ نبی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احترام و تعظیم یهودیان و مسیحیان نسبت به انبیای خود خبر می‌دهد لیکن قرآن عکس این واقعیت را بیان می‌دارد به این که یهودیان</w:t>
      </w:r>
    </w:p>
    <w:p>
      <w:pPr>
        <w:pStyle w:val="BookText"/>
        <w:rPr/>
      </w:pPr>
      <w:r>
        <w:rPr>
          <w:rFonts w:ascii="IRNazanin" w:hAnsi="IRNazanin" w:eastAsia="IRNazanin"/>
          <w:color w:val="111111"/>
          <w:sz w:val="28"/>
          <w:sz w:val="28"/>
          <w:szCs w:val="28"/>
          <w:rtl w:val="true"/>
          <w:lang w:bidi="fa-IR"/>
        </w:rPr>
        <w:t>حرمت انبیا را نگه نمی‌داشتند بلکه آنان را تکذیب می‌کردند و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هرگاه پیامبری می‌آمد چیزی می‌آورد که میلتان نمی‌گرفت، تکبر ورزیده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و گروهی را می‌کشتید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ایمان دارید پس چرا پیش از این، پیامبران خدا را می‌کشتید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آیاتی متعدد از قرآن از آزار و اذیت یهودیان نسبت به حضرت موسی بزرگ‌ترین پیامبر یهودیان،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هرگز تاکنون دانسته نشده یهودیان برای موسی علیه السلام که بزرگ‌ترین پیامبر آنهاست، قبری برپا کنند و آن را تعظیم نمایند و زیارت کنند، بنابراین چگونه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قبور انبیاءشان تعظیم کرده و آن‌ها را مسجد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آنان انبیا را تکذیب و به قتل می‌رساندند و قبری برای آنان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مسیحیان جز یک پیامبر یعنی حضرت عیسی علیه السلامندارند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این که بگوییم قبر انبیاءشان را مسجد قرار دادند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مفسران اهل سنت در مورد استفاده‌ی جواز مسجد سازی بر قبور یا کنار قبور صالحان از آیه‌ی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کهف، تردید ندارند، بلکه برخی از آن‌ها مانند شیخ شهاب الدین خفاجی به دلیل این آیه، به صراحت فتوای بر جواز مسجد سازی در قبور</w:t>
      </w:r>
      <w:bookmarkStart w:id="43" w:name="pg5017_41446"/>
    </w:p>
    <w:p>
      <w:pPr>
        <w:pStyle w:val="BookText"/>
        <w:rPr/>
      </w:pPr>
      <w:bookmarkEnd w:id="43"/>
      <w:r>
        <w:rPr>
          <w:rFonts w:ascii="IRNazanin" w:hAnsi="IRNazanin" w:eastAsia="IRNazanin"/>
          <w:color w:val="111111"/>
          <w:sz w:val="28"/>
          <w:sz w:val="28"/>
          <w:szCs w:val="28"/>
          <w:rtl w:val="true"/>
          <w:lang w:bidi="fa-IR"/>
        </w:rPr>
        <w:t xml:space="preserve">صالحان را داده‌اند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پیشنهاد مسجد ساختن در این آیه را، برای نمازگزاردن در آن و تبرک به مکان اصحاب کهف، می‌دانند</w:t>
      </w:r>
      <w:r>
        <w:rPr>
          <w:rFonts w:eastAsia="IRNazanin" w:cs="IRNazanin"/>
          <w:color w:val="111111"/>
          <w:sz w:val="28"/>
          <w:szCs w:val="28"/>
          <w:rtl w:val="true"/>
          <w:lang w:bidi="fa-IR"/>
        </w:rPr>
        <w:t xml:space="preserve">. </w:t>
      </w:r>
      <w:r>
        <w:rPr>
          <w:rStyle w:val="FootnoteAnchor"/>
          <w:rtl w:val="true"/>
        </w:rPr>
        <w:footnoteReference w:id="60"/>
      </w:r>
    </w:p>
    <w:p>
      <w:pPr>
        <w:pStyle w:val="Heading2"/>
        <w:numPr>
          <w:ilvl w:val="1"/>
          <w:numId w:val="1"/>
        </w:numPr>
        <w:rPr/>
      </w:pPr>
      <w:bookmarkStart w:id="44" w:name="__RefHeading___Toc556794_774463916"/>
      <w:bookmarkStart w:id="45" w:name="_Toc15"/>
      <w:bookmarkEnd w:id="44"/>
      <w:r>
        <w:rPr>
          <w:rtl w:val="true"/>
        </w:rPr>
        <w:t>نکتۀ دوازدهم</w:t>
      </w:r>
      <w:bookmarkEnd w:id="45"/>
    </w:p>
    <w:p>
      <w:pPr>
        <w:pStyle w:val="BookText"/>
        <w:rPr/>
      </w:pPr>
      <w:r>
        <w:rPr>
          <w:rFonts w:ascii="IRNazanin" w:hAnsi="IRNazanin" w:eastAsia="IRNazanin"/>
          <w:color w:val="111111"/>
          <w:sz w:val="28"/>
          <w:sz w:val="28"/>
          <w:szCs w:val="28"/>
          <w:rtl w:val="true"/>
          <w:lang w:bidi="fa-IR"/>
        </w:rPr>
        <w:t>نکته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موالید معصومان نیز، امری جایز و مشروع بلکه مستحب است و با ادله‌ی گوناگون قابل اثبات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بتوان از برخی آیات شریفه قرآن، دلیلی بر استحباب بزرگداشت موالید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ومَن یُعَظِّمْ شَعائِرَ اللهِ فإِنَّها مِن تَقْوی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شعائر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علامت‌های دینی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یافته از تقوای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آیه‌ای که می‌فرماید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مُوسَی بآیاتِنا أَنْ أَخْرِجْ قَوْمَکَ مِنَ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لُماتِ إِلی النُّورِ وذَکِّرْهُم بِأیّامِ اللهِ إِنَّ فِی 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p>
    <w:p>
      <w:pPr>
        <w:pStyle w:val="BookText"/>
        <w:rPr/>
      </w:pPr>
      <w:r>
        <w:rPr>
          <w:rFonts w:ascii="IRNazanin" w:hAnsi="IRNazanin" w:eastAsia="IRNazanin"/>
          <w:color w:val="111111"/>
          <w:sz w:val="28"/>
          <w:sz w:val="28"/>
          <w:szCs w:val="28"/>
          <w:rtl w:val="true"/>
          <w:lang w:bidi="fa-IR"/>
        </w:rPr>
        <w:t>لآیَاتٍ لِکُلِّ صَبَّارٍ 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ما موسی را با نشانه‌ها و معجزات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از تاریکی‌ها به سوی نور بیرون آر، و ایام الله را به یادشان بیاور که همانا در این یادآوری، نشانه‌هایی برای هر شکیبای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علامت خدایی دارد باید گرامی داشت و یا باید هر چه که مایه‌ی هدایت و خروج از تاریکی‌ها به نور است، متذکر شد و نگذاشت به دست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یادآوری و تذکر یکی از مراتب شکرگزاری است که قرآن درباره‌ی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تَأَذَّنَ رَبّکُمْ لَئِن شَکَرْتُمْ لاَزِیدَنَّ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پروردگارتان اعلان کرد که اگر شکر گزارید، حتماً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می‌افزایم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آیه‌ی شریفه‌ی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جز رحمتی برای جهانیان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پیامبر اکرم را رحمت برای عالمیان می‌داند و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وبِرَحْمَتِهِ فَبِذ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فَلْیَفْرَحوا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رحمت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فضل و رحمت شاد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طلب</w:t>
      </w:r>
    </w:p>
    <w:p>
      <w:pPr>
        <w:pStyle w:val="BookText"/>
        <w:rPr/>
      </w:pPr>
      <w:r>
        <w:rPr>
          <w:rFonts w:ascii="IRNazanin" w:hAnsi="IRNazanin" w:eastAsia="IRNazanin"/>
          <w:color w:val="111111"/>
          <w:sz w:val="28"/>
          <w:sz w:val="28"/>
          <w:szCs w:val="28"/>
          <w:rtl w:val="true"/>
          <w:lang w:bidi="fa-IR"/>
        </w:rPr>
        <w:t>می‌کند تا به رحمت او شاد باشیم و رحمت او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درباره‌ی این آیه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الله العلم و رحمة الله محمد صلی الله علیه و آله ؛ </w:t>
      </w:r>
      <w:r>
        <w:rPr>
          <w:rStyle w:val="FootnoteAnchor"/>
          <w:rtl w:val="true"/>
        </w:rPr>
        <w:footnoteReference w:id="61"/>
      </w:r>
      <w:r>
        <w:rPr>
          <w:rFonts w:ascii="IRNazanin" w:hAnsi="IRNazanin" w:eastAsia="IRNazanin"/>
          <w:color w:val="111111"/>
          <w:sz w:val="28"/>
          <w:sz w:val="28"/>
          <w:szCs w:val="28"/>
          <w:rtl w:val="true"/>
          <w:lang w:bidi="fa-IR"/>
        </w:rPr>
        <w:t xml:space="preserve">فضل خداوند، 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هر که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خداوند، حضرت محمد صلی الله علیه و آله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ادله‌ی جواز بلکه ادله‌ی استحباب إحتفال موالید از روایات، در بین فریقین متعددند که مهم‌ترین آن‌ها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معصومان می‌باشد محبت واقعی، آثار و پیامدهای فراوان در زندگی مُحبّ دارد؛ محب به محبوب خود عشق می‌ورزد، یاد او را همواره تجدید کرده و گرامی می‌دارد، نام او را با عظمت یاد می‌کند، در وفات او غمگین و در میلادش،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گرامی داشت زاد روزِ محبوب، شعار محبت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اهل 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شامه 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جواز حتی استحباب احتفال مولد نبی خدا صلی الله علیه و آلهداده‌اند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ادله‌ی قائلین به حرمت احتفال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بزرگداشت‌ها نوعی عبادت و تعظیم مولود است که به شرک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مراسم امور محرمه مانند اختلاط زن و مرد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تولد پیامبر خدا صلی الله علیه و آله را جشن نمی‌گرفتند پس این کار نوعی بدعت محسوب می‌شود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کدام از این ادله قابل قبول نیست، هرگز بزرگداشت، عبادت نیست تا به شرک انجامد، امر اختلاط زن و مرد نیز موجب حرمت اصل بزرگداشت‌ها نمی‌شود بلکه باید از این اختلاط در همه جا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هم این امر بدعت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عمر خلیفه‌ی دوم است که برخی از بدعت‌ها را حسن می‌داند و دستور به اجرای آن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دستور به اقامه نماز به جماعت در نماز تراویح</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نوع بدعتی حرام و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بررسی قول عمر که دستور به انجام نماز تراویح در ماه رمضان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البدعة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البدعة اصلها ما احدث علی غیر مثال سابق و تطلق فی الشرع فی مقابل السنة فتکون مذمومة والتحقیق أنها إن کانت مما تندرج تحت مستحسن فی الشرع فهی حسنة وإن کانت مما تندرج تحت مستقبح فی الشرع فهی مستقبحة وإلاّ من قسم المباح</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بدعت در اصل،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بدون الگوی سابق، ساخته شود این کلمه در شرع در برابر سنّت قرار دارد و همواره مذموم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اقتضای تحقیق این است که اگر امری که بدعت است زیر مجموعه‌ی امور مورد قبول شرع قرار گرفت، بدعت حسنه و اگر زیر مجموعه امور غیر قابل قبول شرعی باشد، بدعت قبیح و نارواست و در غیر این صورت از امور مباح به شمار می‌آید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گرامیداشت موالید و اعیاد، بنابه تحلیل ابن حجر عسقلانی زیر مجموعه امور مستحسنه در شرع است و امری جایز بلکه راجح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حجر نیز این کار را بدعت حسنة نامیده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باز بنا به روایات صحیح السند عمر خلیفة دوم در جواب یهودی که می‌گوید اگر برای ما یهودیان آیه‌ی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w:t>
      </w:r>
    </w:p>
    <w:p>
      <w:pPr>
        <w:pStyle w:val="BookText"/>
        <w:rPr/>
      </w:pPr>
      <w:r>
        <w:rPr>
          <w:rFonts w:ascii="IRNazanin" w:hAnsi="IRNazanin" w:eastAsia="IRNazanin"/>
          <w:color w:val="111111"/>
          <w:sz w:val="28"/>
          <w:sz w:val="28"/>
          <w:szCs w:val="28"/>
          <w:rtl w:val="true"/>
          <w:lang w:bidi="fa-IR"/>
        </w:rPr>
        <w:t>أَکْمَلْتُ لَکُمْ دینَکُمْ وَأَتْمَمْتُ عَلَیْکُمْ نِعْمَتی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برای شما دینتان را کامل و نعمتم را بر شما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آن روز و آن ساعت را عید می‌گرفتیم، عمر آن را امضا می‌کند و در پاسخ وی نمی‌گوید این بدعت در دین است بلکه از روز نزول آیه خبر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می‌دانم این آیه کجا و چه وقت نازل شده است و</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صحابه بزرگداشت موالید نداشته‌اند اما آن چه را که صحابه یا سلف انجام نداده‌اند اعم از این است که آن را بدعت و حرام می‌دانسته‌اند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باید برای آن ادله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نسبت به آن موضعی نداشته‌اند چه این که نمی‌توان به قاطعیت گفت آنان بیش از دیگران به تعالیم دین آگاه بوده‌اند و یا محبت و ارادتشان به خدا و رسول او بیش‌تر است در این باره روایتی متعدد وارد شده است که از رابطه‌ی وثیق‌ترِ آیندگان با پیامبر اکرم و دین ایشان خبر می‌دهد </w:t>
      </w:r>
      <w:r>
        <w:rPr>
          <w:rFonts w:eastAsia="IRNazanin" w:cs="IRNazanin"/>
          <w:color w:val="111111"/>
          <w:sz w:val="28"/>
          <w:szCs w:val="28"/>
          <w:rtl w:val="true"/>
          <w:lang w:bidi="fa-IR"/>
        </w:rPr>
        <w:t xml:space="preserve">. </w:t>
      </w:r>
      <w:r>
        <w:rPr>
          <w:rStyle w:val="FootnoteAnchor"/>
          <w:rtl w:val="true"/>
        </w:rPr>
        <w:footnoteReference w:id="68"/>
      </w:r>
      <w:bookmarkStart w:id="46" w:name="pg5017_41457"/>
    </w:p>
    <w:p>
      <w:pPr>
        <w:pStyle w:val="Heading2"/>
        <w:numPr>
          <w:ilvl w:val="1"/>
          <w:numId w:val="1"/>
        </w:numPr>
        <w:rPr/>
      </w:pPr>
      <w:bookmarkStart w:id="47" w:name="__RefHeading___Toc556796_774463916"/>
      <w:bookmarkStart w:id="48" w:name="_Toc16"/>
      <w:bookmarkEnd w:id="46"/>
      <w:bookmarkEnd w:id="47"/>
      <w:r>
        <w:rPr>
          <w:rtl w:val="true"/>
        </w:rPr>
        <w:t>کتابنامه</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الشیخ، عبد الرحمن، فتح المجید فی شرح کتاب التوحید، الریاض، الاءدارة العامّة للطبع والترجمة،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محمود، روح المعانی فی تفسیر القرآن العظیم والسبع المثانی، به کوشش محمدحسین العرب، بیروت، دار 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شیبة، عبدالله، کتاب المصنف فی الاحادیث والاخبار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عبدالسلام شاهین، بیروت، دار الکتب العلمیة،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باز، عبد العزیز، رسالة الی الشیخ واعظ‌زاده، المملکة العربیة السعودیة، رئاسة إدارة البحوث العلمیة والافتاء،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احمد، مجموع الفتاوی ،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قاسم العاصمی، بی جا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جریر، محمد، جامع البیان عن تأویل آی القرآن،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احمد، فتح الباری بشرح صحیح البخاری ، تحقیق باشراف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الخطیب، بیروت، دار المعرفة،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حنبل، احمد، مسند الامام احمد بن حنبل، طبع محقق باشراف شعیب الارنووط، بیروت، مؤسسة الرسالة،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کتاب العلل ومعرفة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عباس، بیروت، المکتب الاسلامی،</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القیم الجوزیة، محمد، الروح فی الکلام علی أرواح الاموات والاحیاء،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القطب، بیروت، المکتبة العصریة،</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ألبانی، ناصرالدین، محمد، سلسلة الاحادیث الصحیحة، بیروت، المکتب الاسلامی،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سلسلة الاحادیث الضعیفة والموضوعة، الریاض، مکتبة المعارف،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عبد الله بن عمر، انوار التنزیل و اسرار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ابوبکر، الاعتقاد علی مذهب السلف اهل السنة والجماعة ، بیروت، دار الکتب العلمیة،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احمد، شعب الإیمان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السعید زغلول، بیروت، دار الکتب،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ابوعبدالله، المستدرک علی الصحیحین ،تحقیق یوسف عبدالرحمن المرعشلی، بیروت، دار المعرفة،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حسن بن یوسف، کشف المراد فی تجرید الاعتقاد ، قم، مکتبة المصطفوی،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 عبدالله بهرام، سنن الدارمی، دار احیاء السنة النبویّة،</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محمد، سیر أعلام النبلاء ، تحقیق باشراف شعیب الارنؤوط،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 اصغر، بحث استدلالی فی مشروعیة الاحتفال، مجلة طلوع،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قم،مدرسه عالی امام خمینی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جار الله محمود، الکشاف عن حقائق غوامض التنزیل و عیون الاقاویل فی وجوه التأویل، قم، نشر ادب حوزه،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سیالکوتی، عبدالحکیم، الحاشیة علی شرح المواقف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تقی الدین علی، شفاء السقام فی زیارت خیر الانام، بی جا،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سقاف، سید حسن، تعلیق علی رسالتین بین الشیخ واعظ‌زاده والشیخ بن باز، تهران، نشر مشعر،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جلال الدین، الدر المنثور فی التفسیر بالمأثور ، بیروت، دار الفکر،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مرتضی، علی بن الحسین علم الهدی، الشافی فی الإمامة،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الزهراء الحسینی، طهران، مؤسسة الامام الصادق،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شویعر، محمد بن سعد، تصحیح خطأ تاریخی حول الوهابیة، الریاض، رئاسة ادارة البحوث العلمیة والإفتاء،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سلیمان، 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عبدالمجید السلفی، ط 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خواجه نصیرالدین، تجرید الاعتقاد مع کشف المراد، تحقیق آیة الله حسن‌زاده آملی، قم، مؤسسة النشر الاءسلامی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المرتضی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محمود، عمدة القاری شرح صحیح البخاری، بیروت، دار الفکر،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الشفا بتعریف حقوق المصطفی،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محمد، الجامع لاحکام القرآن، القاهرة، دار الکتاب العربی،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کتانی، محمد، نظم المتناثر من الحدیث المتواتر، بیروت، دار الکتب العلمیة،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محمد، فیض القدیر فی شرح الجامع الصغیر من احادیث البشیر النذیر،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السلام، بیروت، دار الکتب العلمیة، بی تا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یحیی بن شرف، الاذکار المنتخبة من کلام سید الابرار، بیروت، دار الکتاب العربی، </w:t>
      </w:r>
      <w:r>
        <w:rPr>
          <w:rFonts w:eastAsia="IRNazanin" w:cs="IRNazanin"/>
          <w:color w:val="111111"/>
          <w:sz w:val="28"/>
          <w:szCs w:val="28"/>
          <w:lang w:bidi="fa-IR"/>
        </w:rPr>
        <w:t>1404</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علی، مجمع الزوائد ومنبع الفوائد، بتحریر العراقی وابن حجر، بیروت، دار الکتاب العربی، ط الثالثة،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 محمد، صحیح بخاری،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شعر معروف ابوطالب را درباره‌ی پیامبر اکرم نقل کرده که یک بیت آن این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احمد، الاعتقاد علی مذهب السلف اهل السنه و الجماعه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نسفی، ابو حفص، شرح العقائد النسفیه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نصیر الدین، تجرید الاعتقاد مع 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حلی ، حسن، 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اتفقتِ العلماءُ علی ثبوت الشفاعۀ لِلنبّی؛ دانشمندان بر ثبوت شفاعت برای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نظر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شیخ، عبد الرحمن ، فتح المجید فی شرح 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باز، عبد العزیز، رسالۀ الی الشیخ واعظ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 مجموعه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رسالته الی أتباع عدی بن 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فیض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1508</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 </w:t>
      </w:r>
      <w:r>
        <w:rPr>
          <w:rFonts w:eastAsia="IRNazanin" w:cs="IRNazanin"/>
          <w:b w:val="false"/>
          <w:bCs w:val="false"/>
          <w:i w:val="false"/>
          <w:iCs w:val="false"/>
          <w:color w:val="333333"/>
          <w:sz w:val="20"/>
          <w:szCs w:val="20"/>
        </w:rPr>
        <w:t>100</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ابوعبد الله،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به این دیدگاه از سایر انبیا و موحدان ناب در آیات قرآن به چشم می‌خورد، مانند این سخن از حضرت یعقوب علیه السلام که چون به فرزندان خود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یا بُنَیَّ لاتَدْخُلُوا مِنْ بابٍ واحِدٍ وَادْخُلُوا مِنْ اَبْوابٍ مُتَفَرِّقَة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آن از ژرفای دیدگاه توحیدی خود پرده برداشت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اُغْنی عَنْکُمْ مِنَ اللهِ مِن شَیءٍ اِنِ الْحُکْمُ اِلالله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بی‌نیاز کنندۀ شما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نیستیم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برای خداوند نیست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 جلال الدین، مرقات الصعود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کتانی، محمد، نظم المتناثر من الحدیث المتواتر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جوزیه،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جوزیه،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 محمد ، 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احمد، جامع 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اسماعیل ، 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 عبد الله، انوار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محمود،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 اسماعیل، 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شبیه،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15876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احمد ،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رسالتان بین الشیخ واعظ زاده و الشیخ بن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احمد،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دارمی، عبد الله، 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اکرم لله نبیه بعد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سند این حدیث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سقاف، حسن، تعلیق علی الرسالتین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بین الشیخ واعظ زاده و الشیخ ابن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احمد ،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شبیه،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319993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 بوری،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الملاحم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احمد، کتاب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 محمود، عمدۀ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ذکر فی الحجر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احمد،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1609</w:t>
      </w:r>
      <w:r>
        <w:rPr>
          <w:rFonts w:ascii="IRNazanin" w:hAnsi="IRNazanin" w:eastAsia="IRNazanin"/>
          <w:b w:val="false"/>
          <w:b w:val="false"/>
          <w:bCs w:val="false"/>
          <w:i w:val="false"/>
          <w:i w:val="false"/>
          <w:iCs w:val="false"/>
          <w:color w:val="333333"/>
          <w:sz w:val="20"/>
          <w:sz w:val="20"/>
          <w:szCs w:val="20"/>
          <w:rtl w:val="true"/>
        </w:rPr>
        <w:t>؛ عینی، محمود، عمدۀ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احمد، فتح الباری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محمد ناصر الدین ،سلسله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شعب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احمد، امالی الأذکار به نقل از شرح ابن علان علی الاذکار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محمد ناصر الدین، سلسله الاحادیث الضعیفه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حربی، از بزرگان سنی در قرن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ذهبی از او چنین یاد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الامام الحافظ العلامۀ شیخ الإسلام ابو إسحاق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علی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سبکی، تقی الدین علی، 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کتابه های زیارت رجوع کنید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و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عیاض، 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ذهبی، محمد، 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 عینی، محمود، عمدۀ القاری باب زیارۀ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احمد،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7191</w:t>
      </w:r>
      <w:r>
        <w:rPr>
          <w:rFonts w:ascii="IRNazanin" w:hAnsi="IRNazanin" w:eastAsia="IRNazanin"/>
          <w:b w:val="false"/>
          <w:b w:val="false"/>
          <w:bCs w:val="false"/>
          <w:i w:val="false"/>
          <w:i w:val="false"/>
          <w:iCs w:val="false"/>
          <w:color w:val="333333"/>
          <w:sz w:val="20"/>
          <w:sz w:val="20"/>
          <w:szCs w:val="20"/>
          <w:rtl w:val="true"/>
        </w:rPr>
        <w:t>، محققان مسند سایر منابع و مصادر این روایت را در پاورقی آورده اند و آن را تقویم النص کرده‌اند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البخاری مع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صلاه التراویح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 محمود، عمدۀ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سید مرتضی، علم الهدی، 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ایشان تئوری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و آن را بررسی و نقد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عمر در عصر خلافت خود اصل نماز تراویح یا انجام آن را به صورت جماعت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بدعه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 که این معناست این نماز بدین شکل در اسلام سابقه نداشته اما ازنظر عمر این بدعت حسنه است که دستور داد در این امت رایج شود و اهل تسنن آن را پذیرفتند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شویعر، محمد بن سعد، تصحیح خطأ تاریخی حول الوهابیه،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الأذکار، الریاض، دار الهدی، الطبعه الثانیۀ،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بموافقۀ الشئون المصاحف و مراقبۀ المطبوعات برئاسه ادارۀ البحوث العلمیۀ و الإفتاء و الدعوۀ و الإرشاد،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القدر الارناؤوط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سلیمان،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السقاف، حسن، تعلیق علی رسالتین بین الشیخ واعظ زاده و الشیخ بن باز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آلوسی،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جار الله محمود، 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رضوانی، علی اصغر،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استدلالی فی مشروعیه الاحتفال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طلوع،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 تر این ادله،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 اصغر، 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البخاری مع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صلاه التروایج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حجر،احمد ،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صلاه التراویح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ذیل حدیث رقم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عینی، محمود، عمده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سیوطی، جلال الدین، حسن المقصد ، ص </w:t>
      </w:r>
      <w:r>
        <w:rPr>
          <w:rFonts w:eastAsia="IRNazanin" w:cs="IRNazanin"/>
          <w:b w:val="false"/>
          <w:bCs w:val="false"/>
          <w:i w:val="false"/>
          <w:iCs w:val="false"/>
          <w:color w:val="333333"/>
          <w:sz w:val="20"/>
          <w:szCs w:val="20"/>
        </w:rPr>
        <w:t>12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البخاری مع فتح الباری، کتاب التفسیر، تفسیر سوره مائده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علی،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فیمن آمن بالنبی و لم 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12448</Words>
  <Characters>48650</Characters>
  <CharactersWithSpaces>60746</CharactersWithSpaces>
  <Paragraphs>441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2026-08-18T22:32:50Z</dcterms:created>
  <dc:creator>ghaemiyeh.com</dc:creator>
  <dc:description/>
  <dc:language>en-US</dc:language>
  <cp:lastModifiedBy/>
  <dcterms:modified xsi:type="dcterms:W3CDTF">2026-08-19T02:02:52Z</dcterms:modified>
  <cp:revision>1</cp:revision>
  <dc:subject/>
  <dc:title>دوازده نکته در بررسی وارزیابی ادله توسل شفاعت تبرک و زیارت</dc:title>
</cp:coreProperties>
</file>

<file path=docProps/custom.xml><?xml version="1.0" encoding="utf-8"?>
<Properties xmlns="http://schemas.openxmlformats.org/officeDocument/2006/custom-properties" xmlns:vt="http://schemas.openxmlformats.org/officeDocument/2006/docPropsVTypes"/>
</file>