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248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9250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9252_2035185390">
            <w:r>
              <w:rPr>
                <w:webHidden/>
                <w:rStyle w:val="IndexLink"/>
                <w:rtl w:val="true"/>
              </w:rPr>
              <w:t>کلمة المرکز</w:t>
            </w:r>
            <w:r>
              <w:rPr>
                <w:rStyle w:val="IndexLink"/>
                <w:rtl w:val="true"/>
              </w:rPr>
              <w:tab/>
            </w:r>
            <w:r>
              <w:rPr>
                <w:rStyle w:val="IndexLink"/>
              </w:rPr>
              <w:t>5</w:t>
            </w:r>
          </w:hyperlink>
        </w:p>
        <w:p>
          <w:pPr>
            <w:pStyle w:val="Contents2"/>
            <w:tabs>
              <w:tab w:val="clear" w:pos="8743"/>
              <w:tab w:val="right" w:pos="9026" w:leader="dot"/>
            </w:tabs>
            <w:rPr/>
          </w:pPr>
          <w:hyperlink w:anchor="__RefHeading___Toc379254_2035185390">
            <w:r>
              <w:rPr>
                <w:webHidden/>
                <w:rStyle w:val="IndexLink"/>
                <w:rtl w:val="true"/>
              </w:rPr>
              <w:t>[</w:t>
            </w:r>
            <w:r>
              <w:rPr>
                <w:rStyle w:val="IndexLink"/>
                <w:rtl w:val="true"/>
              </w:rPr>
              <w:t>مقدمة</w:t>
            </w:r>
            <w:r>
              <w:rPr>
                <w:rStyle w:val="IndexLink"/>
                <w:rtl w:val="true"/>
              </w:rPr>
              <w:t>]</w:t>
              <w:tab/>
            </w:r>
            <w:r>
              <w:rPr>
                <w:rStyle w:val="IndexLink"/>
              </w:rPr>
              <w:t>6</w:t>
            </w:r>
          </w:hyperlink>
        </w:p>
        <w:p>
          <w:pPr>
            <w:pStyle w:val="Contents3"/>
            <w:tabs>
              <w:tab w:val="clear" w:pos="8459"/>
              <w:tab w:val="right" w:pos="9026" w:leader="dot"/>
            </w:tabs>
            <w:rPr/>
          </w:pPr>
          <w:hyperlink w:anchor="__RefHeading___Toc379256_203518539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79258_2035185390">
            <w:r>
              <w:rPr>
                <w:webHidden/>
                <w:rStyle w:val="IndexLink"/>
                <w:rtl w:val="true"/>
              </w:rPr>
              <w:t>الامام المهدی عند ابن تیمیّة</w:t>
            </w:r>
            <w:r>
              <w:rPr>
                <w:rStyle w:val="IndexLink"/>
                <w:rtl w:val="true"/>
              </w:rPr>
              <w:tab/>
            </w:r>
            <w:r>
              <w:rPr>
                <w:rStyle w:val="IndexLink"/>
              </w:rPr>
              <w:t>7</w:t>
            </w:r>
          </w:hyperlink>
        </w:p>
        <w:p>
          <w:pPr>
            <w:pStyle w:val="Contents2"/>
            <w:tabs>
              <w:tab w:val="clear" w:pos="8743"/>
              <w:tab w:val="right" w:pos="9026" w:leader="dot"/>
            </w:tabs>
            <w:rPr/>
          </w:pPr>
          <w:hyperlink w:anchor="__RefHeading___Toc379260_2035185390">
            <w:r>
              <w:rPr>
                <w:webHidden/>
                <w:rStyle w:val="IndexLink"/>
                <w:rtl w:val="true"/>
              </w:rPr>
              <w:t>الفصل الأوّل وفیه مطالب</w:t>
            </w:r>
            <w:r>
              <w:rPr>
                <w:rStyle w:val="IndexLink"/>
                <w:rtl w:val="true"/>
              </w:rPr>
              <w:tab/>
            </w:r>
            <w:r>
              <w:rPr>
                <w:rStyle w:val="IndexLink"/>
              </w:rPr>
              <w:t>12</w:t>
            </w:r>
          </w:hyperlink>
        </w:p>
        <w:p>
          <w:pPr>
            <w:pStyle w:val="Contents3"/>
            <w:tabs>
              <w:tab w:val="clear" w:pos="8459"/>
              <w:tab w:val="right" w:pos="9026" w:leader="dot"/>
            </w:tabs>
            <w:rPr/>
          </w:pPr>
          <w:hyperlink w:anchor="__RefHeading___Toc379262_2035185390">
            <w:r>
              <w:rPr>
                <w:webHidden/>
                <w:rStyle w:val="IndexLink"/>
                <w:rtl w:val="true"/>
              </w:rPr>
              <w:t>المطلب الأول فی أنّ لهذه الاُمة مهدیّاً</w:t>
            </w:r>
            <w:r>
              <w:rPr>
                <w:rStyle w:val="IndexLink"/>
                <w:rtl w:val="true"/>
              </w:rPr>
              <w:tab/>
            </w:r>
            <w:r>
              <w:rPr>
                <w:rStyle w:val="IndexLink"/>
              </w:rPr>
              <w:t>12</w:t>
            </w:r>
          </w:hyperlink>
        </w:p>
        <w:p>
          <w:pPr>
            <w:pStyle w:val="Contents4"/>
            <w:tabs>
              <w:tab w:val="clear" w:pos="8176"/>
              <w:tab w:val="right" w:pos="9026" w:leader="dot"/>
            </w:tabs>
            <w:rPr/>
          </w:pPr>
          <w:hyperlink w:anchor="__RefHeading___Toc379264_203518539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79266_2035185390">
            <w:r>
              <w:rPr>
                <w:webHidden/>
                <w:rStyle w:val="IndexLink"/>
                <w:rtl w:val="true"/>
              </w:rPr>
              <w:t>رواة الحدیث من الصّحابة</w:t>
            </w:r>
            <w:r>
              <w:rPr>
                <w:rStyle w:val="IndexLink"/>
                <w:rtl w:val="true"/>
              </w:rPr>
              <w:tab/>
            </w:r>
            <w:r>
              <w:rPr>
                <w:rStyle w:val="IndexLink"/>
              </w:rPr>
              <w:t>14</w:t>
            </w:r>
          </w:hyperlink>
        </w:p>
        <w:p>
          <w:pPr>
            <w:pStyle w:val="Contents3"/>
            <w:tabs>
              <w:tab w:val="clear" w:pos="8459"/>
              <w:tab w:val="right" w:pos="9026" w:leader="dot"/>
            </w:tabs>
            <w:rPr/>
          </w:pPr>
          <w:hyperlink w:anchor="__RefHeading___Toc379268_2035185390">
            <w:r>
              <w:rPr>
                <w:webHidden/>
                <w:rStyle w:val="IndexLink"/>
                <w:rtl w:val="true"/>
              </w:rPr>
              <w:t>المطلب الثانی فی الأحادیث المتواترة فی المهدی</w:t>
            </w:r>
            <w:r>
              <w:rPr>
                <w:rStyle w:val="IndexLink"/>
                <w:rtl w:val="true"/>
              </w:rPr>
              <w:tab/>
            </w:r>
            <w:r>
              <w:rPr>
                <w:rStyle w:val="IndexLink"/>
              </w:rPr>
              <w:t>18</w:t>
            </w:r>
          </w:hyperlink>
        </w:p>
        <w:p>
          <w:pPr>
            <w:pStyle w:val="Contents4"/>
            <w:tabs>
              <w:tab w:val="clear" w:pos="8176"/>
              <w:tab w:val="right" w:pos="9026" w:leader="dot"/>
            </w:tabs>
            <w:rPr/>
          </w:pPr>
          <w:hyperlink w:anchor="__RefHeading___Toc379270_203518539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79272_2035185390">
            <w:r>
              <w:rPr>
                <w:webHidden/>
                <w:rStyle w:val="IndexLink"/>
                <w:rtl w:val="true"/>
              </w:rPr>
              <w:t>الحدیث الأوّل فی أنّ من مات ولم یعرف امام زمانه فمیتته جاهلیة</w:t>
            </w:r>
            <w:r>
              <w:rPr>
                <w:rStyle w:val="IndexLink"/>
                <w:rtl w:val="true"/>
              </w:rPr>
              <w:tab/>
            </w:r>
            <w:r>
              <w:rPr>
                <w:rStyle w:val="IndexLink"/>
              </w:rPr>
              <w:t>19</w:t>
            </w:r>
          </w:hyperlink>
        </w:p>
        <w:p>
          <w:pPr>
            <w:pStyle w:val="Contents4"/>
            <w:tabs>
              <w:tab w:val="clear" w:pos="8176"/>
              <w:tab w:val="right" w:pos="9026" w:leader="dot"/>
            </w:tabs>
            <w:rPr/>
          </w:pPr>
          <w:hyperlink w:anchor="__RefHeading___Toc379274_2035185390">
            <w:r>
              <w:rPr>
                <w:webHidden/>
                <w:rStyle w:val="IndexLink"/>
                <w:rtl w:val="true"/>
              </w:rPr>
              <w:t>الحدیث الثانی فی أن النبی ترک بین الاُمة خلیفتین</w:t>
            </w:r>
            <w:r>
              <w:rPr>
                <w:rStyle w:val="IndexLink"/>
                <w:rtl w:val="true"/>
              </w:rPr>
              <w:tab/>
            </w:r>
            <w:r>
              <w:rPr>
                <w:rStyle w:val="IndexLink"/>
              </w:rPr>
              <w:t>25</w:t>
            </w:r>
          </w:hyperlink>
        </w:p>
        <w:p>
          <w:pPr>
            <w:pStyle w:val="Contents4"/>
            <w:tabs>
              <w:tab w:val="clear" w:pos="8176"/>
              <w:tab w:val="right" w:pos="9026" w:leader="dot"/>
            </w:tabs>
            <w:rPr/>
          </w:pPr>
          <w:hyperlink w:anchor="__RefHeading___Toc379276_2035185390">
            <w:r>
              <w:rPr>
                <w:webHidden/>
                <w:rStyle w:val="IndexLink"/>
                <w:rtl w:val="true"/>
              </w:rPr>
              <w:t>الحدیث الثالث فی أنّ الخلفاء بعد النبی اثنا عشر</w:t>
            </w:r>
            <w:r>
              <w:rPr>
                <w:rStyle w:val="IndexLink"/>
                <w:rtl w:val="true"/>
              </w:rPr>
              <w:tab/>
            </w:r>
            <w:r>
              <w:rPr>
                <w:rStyle w:val="IndexLink"/>
              </w:rPr>
              <w:t>34</w:t>
            </w:r>
          </w:hyperlink>
        </w:p>
        <w:p>
          <w:pPr>
            <w:pStyle w:val="Contents3"/>
            <w:tabs>
              <w:tab w:val="clear" w:pos="8459"/>
              <w:tab w:val="right" w:pos="9026" w:leader="dot"/>
            </w:tabs>
            <w:rPr/>
          </w:pPr>
          <w:hyperlink w:anchor="__RefHeading___Toc379278_2035185390">
            <w:r>
              <w:rPr>
                <w:webHidden/>
                <w:rStyle w:val="IndexLink"/>
                <w:rtl w:val="true"/>
              </w:rPr>
              <w:t>المطلب الثالث فی أنّ المهدی من أهل البیت</w:t>
            </w:r>
            <w:r>
              <w:rPr>
                <w:rStyle w:val="IndexLink"/>
                <w:rtl w:val="true"/>
              </w:rPr>
              <w:tab/>
            </w:r>
            <w:r>
              <w:rPr>
                <w:rStyle w:val="IndexLink"/>
              </w:rPr>
              <w:t>35</w:t>
            </w:r>
          </w:hyperlink>
        </w:p>
        <w:p>
          <w:pPr>
            <w:pStyle w:val="Contents3"/>
            <w:tabs>
              <w:tab w:val="clear" w:pos="8459"/>
              <w:tab w:val="right" w:pos="9026" w:leader="dot"/>
            </w:tabs>
            <w:rPr/>
          </w:pPr>
          <w:hyperlink w:anchor="__RefHeading___Toc379280_2035185390">
            <w:r>
              <w:rPr>
                <w:webHidden/>
                <w:rStyle w:val="IndexLink"/>
                <w:rtl w:val="true"/>
              </w:rPr>
              <w:t>المطلب الرابع فی أنّ المهدی ابن الامام العسکری وهو مولود</w:t>
            </w:r>
            <w:r>
              <w:rPr>
                <w:rStyle w:val="IndexLink"/>
                <w:rtl w:val="true"/>
              </w:rPr>
              <w:tab/>
            </w:r>
            <w:r>
              <w:rPr>
                <w:rStyle w:val="IndexLink"/>
              </w:rPr>
              <w:t>40</w:t>
            </w:r>
          </w:hyperlink>
        </w:p>
        <w:p>
          <w:pPr>
            <w:pStyle w:val="Contents2"/>
            <w:tabs>
              <w:tab w:val="clear" w:pos="8743"/>
              <w:tab w:val="right" w:pos="9026" w:leader="dot"/>
            </w:tabs>
            <w:rPr/>
          </w:pPr>
          <w:hyperlink w:anchor="__RefHeading___Toc379282_2035185390">
            <w:r>
              <w:rPr>
                <w:webHidden/>
                <w:rStyle w:val="IndexLink"/>
                <w:rtl w:val="true"/>
              </w:rPr>
              <w:t>الفصل الثانی الأخبار المعارضة</w:t>
            </w:r>
            <w:r>
              <w:rPr>
                <w:rStyle w:val="IndexLink"/>
                <w:rtl w:val="true"/>
              </w:rPr>
              <w:tab/>
            </w:r>
            <w:r>
              <w:rPr>
                <w:rStyle w:val="IndexLink"/>
              </w:rPr>
              <w:t>43</w:t>
            </w:r>
          </w:hyperlink>
        </w:p>
        <w:p>
          <w:pPr>
            <w:pStyle w:val="Contents3"/>
            <w:tabs>
              <w:tab w:val="clear" w:pos="8459"/>
              <w:tab w:val="right" w:pos="9026" w:leader="dot"/>
            </w:tabs>
            <w:rPr/>
          </w:pPr>
          <w:hyperlink w:anchor="__RefHeading___Toc379284_203518539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79286_2035185390">
            <w:r>
              <w:rPr>
                <w:webHidden/>
                <w:rStyle w:val="IndexLink"/>
                <w:rtl w:val="true"/>
              </w:rPr>
              <w:t>حدیث</w:t>
            </w:r>
            <w:r>
              <w:rPr>
                <w:rStyle w:val="IndexLink"/>
                <w:rtl w:val="true"/>
              </w:rPr>
              <w:t xml:space="preserve">: </w:t>
            </w:r>
            <w:r>
              <w:rPr>
                <w:rStyle w:val="IndexLink"/>
                <w:rtl w:val="true"/>
              </w:rPr>
              <w:t>لا مهدی إلّاعیسی بن مریم</w:t>
            </w:r>
            <w:r>
              <w:rPr>
                <w:rStyle w:val="IndexLink"/>
                <w:rtl w:val="true"/>
              </w:rPr>
              <w:tab/>
            </w:r>
            <w:r>
              <w:rPr>
                <w:rStyle w:val="IndexLink"/>
              </w:rPr>
              <w:t>43</w:t>
            </w:r>
          </w:hyperlink>
        </w:p>
        <w:p>
          <w:pPr>
            <w:pStyle w:val="Contents3"/>
            <w:tabs>
              <w:tab w:val="clear" w:pos="8459"/>
              <w:tab w:val="right" w:pos="9026" w:leader="dot"/>
            </w:tabs>
            <w:rPr/>
          </w:pPr>
          <w:hyperlink w:anchor="__RefHeading___Toc379288_2035185390">
            <w:r>
              <w:rPr>
                <w:webHidden/>
                <w:rStyle w:val="IndexLink"/>
                <w:rtl w:val="true"/>
              </w:rPr>
              <w:t>حدیثٌ فی أنّ المهدی من ولد الحسن</w:t>
            </w:r>
            <w:r>
              <w:rPr>
                <w:rStyle w:val="IndexLink"/>
                <w:rtl w:val="true"/>
              </w:rPr>
              <w:tab/>
            </w:r>
            <w:r>
              <w:rPr>
                <w:rStyle w:val="IndexLink"/>
              </w:rPr>
              <w:t>48</w:t>
            </w:r>
          </w:hyperlink>
        </w:p>
        <w:p>
          <w:pPr>
            <w:pStyle w:val="Contents3"/>
            <w:tabs>
              <w:tab w:val="clear" w:pos="8459"/>
              <w:tab w:val="right" w:pos="9026" w:leader="dot"/>
            </w:tabs>
            <w:rPr/>
          </w:pPr>
          <w:hyperlink w:anchor="__RefHeading___Toc379290_2035185390">
            <w:r>
              <w:rPr>
                <w:webHidden/>
                <w:rStyle w:val="IndexLink"/>
                <w:rtl w:val="true"/>
              </w:rPr>
              <w:t>حدیث</w:t>
            </w:r>
            <w:r>
              <w:rPr>
                <w:rStyle w:val="IndexLink"/>
                <w:rtl w:val="true"/>
              </w:rPr>
              <w:t xml:space="preserve">: </w:t>
            </w:r>
            <w:r>
              <w:rPr>
                <w:rStyle w:val="IndexLink"/>
                <w:rtl w:val="true"/>
              </w:rPr>
              <w:t>إسم أبیه إسم أبی</w:t>
            </w:r>
            <w:r>
              <w:rPr>
                <w:rStyle w:val="IndexLink"/>
                <w:rtl w:val="true"/>
              </w:rPr>
              <w:tab/>
            </w:r>
            <w:r>
              <w:rPr>
                <w:rStyle w:val="IndexLink"/>
              </w:rPr>
              <w:t>53</w:t>
            </w:r>
          </w:hyperlink>
        </w:p>
        <w:p>
          <w:pPr>
            <w:pStyle w:val="Contents2"/>
            <w:tabs>
              <w:tab w:val="clear" w:pos="8743"/>
              <w:tab w:val="right" w:pos="9026" w:leader="dot"/>
            </w:tabs>
            <w:rPr/>
          </w:pPr>
          <w:hyperlink w:anchor="__RefHeading___Toc379292_2035185390">
            <w:r>
              <w:rPr>
                <w:webHidden/>
                <w:rStyle w:val="IndexLink"/>
                <w:rtl w:val="true"/>
              </w:rPr>
              <w:t>الفصل الثالث التساؤلات والشبهات</w:t>
            </w:r>
            <w:r>
              <w:rPr>
                <w:rStyle w:val="IndexLink"/>
                <w:rtl w:val="true"/>
              </w:rPr>
              <w:tab/>
            </w:r>
            <w:r>
              <w:rPr>
                <w:rStyle w:val="IndexLink"/>
              </w:rPr>
              <w:t>57</w:t>
            </w:r>
          </w:hyperlink>
        </w:p>
        <w:p>
          <w:pPr>
            <w:pStyle w:val="Contents3"/>
            <w:tabs>
              <w:tab w:val="clear" w:pos="8459"/>
              <w:tab w:val="right" w:pos="9026" w:leader="dot"/>
            </w:tabs>
            <w:rPr/>
          </w:pPr>
          <w:hyperlink w:anchor="__RefHeading___Toc379294_203518539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79296_2035185390">
            <w:r>
              <w:rPr>
                <w:webHidden/>
                <w:rStyle w:val="IndexLink"/>
              </w:rPr>
              <w:t>1</w:t>
            </w:r>
            <w:r>
              <w:rPr>
                <w:rStyle w:val="IndexLink"/>
                <w:rtl w:val="true"/>
              </w:rPr>
              <w:t xml:space="preserve"> - </w:t>
            </w:r>
            <w:r>
              <w:rPr>
                <w:rStyle w:val="IndexLink"/>
                <w:rtl w:val="true"/>
              </w:rPr>
              <w:t>مسألة طول العمر</w:t>
            </w:r>
            <w:r>
              <w:rPr>
                <w:rStyle w:val="IndexLink"/>
                <w:rtl w:val="true"/>
              </w:rPr>
              <w:tab/>
            </w:r>
            <w:r>
              <w:rPr>
                <w:rStyle w:val="IndexLink"/>
              </w:rPr>
              <w:t>59</w:t>
            </w:r>
          </w:hyperlink>
        </w:p>
        <w:p>
          <w:pPr>
            <w:pStyle w:val="Contents3"/>
            <w:tabs>
              <w:tab w:val="clear" w:pos="8459"/>
              <w:tab w:val="right" w:pos="9026" w:leader="dot"/>
            </w:tabs>
            <w:rPr/>
          </w:pPr>
          <w:hyperlink w:anchor="__RefHeading___Toc379298_2035185390">
            <w:r>
              <w:rPr>
                <w:webHidden/>
                <w:rStyle w:val="IndexLink"/>
              </w:rPr>
              <w:t>2</w:t>
            </w:r>
            <w:r>
              <w:rPr>
                <w:rStyle w:val="IndexLink"/>
                <w:rtl w:val="true"/>
              </w:rPr>
              <w:t xml:space="preserve"> - </w:t>
            </w:r>
            <w:r>
              <w:rPr>
                <w:rStyle w:val="IndexLink"/>
                <w:rtl w:val="true"/>
              </w:rPr>
              <w:t>لماذا غاب وکیف یستفاد منه؟</w:t>
            </w:r>
            <w:r>
              <w:rPr>
                <w:rStyle w:val="IndexLink"/>
                <w:rtl w:val="true"/>
              </w:rPr>
              <w:tab/>
            </w:r>
            <w:r>
              <w:rPr>
                <w:rStyle w:val="IndexLink"/>
              </w:rPr>
              <w:t>63</w:t>
            </w:r>
          </w:hyperlink>
        </w:p>
        <w:p>
          <w:pPr>
            <w:pStyle w:val="Contents3"/>
            <w:tabs>
              <w:tab w:val="clear" w:pos="8459"/>
              <w:tab w:val="right" w:pos="9026" w:leader="dot"/>
            </w:tabs>
            <w:rPr/>
          </w:pPr>
          <w:hyperlink w:anchor="__RefHeading___Toc379300_2035185390">
            <w:r>
              <w:rPr>
                <w:webHidden/>
                <w:rStyle w:val="IndexLink"/>
              </w:rPr>
              <w:t>3</w:t>
            </w:r>
            <w:r>
              <w:rPr>
                <w:rStyle w:val="IndexLink"/>
                <w:rtl w:val="true"/>
              </w:rPr>
              <w:t xml:space="preserve"> - </w:t>
            </w:r>
            <w:r>
              <w:rPr>
                <w:rStyle w:val="IndexLink"/>
                <w:rtl w:val="true"/>
              </w:rPr>
              <w:t>أین یعیش؟</w:t>
            </w:r>
            <w:r>
              <w:rPr>
                <w:rStyle w:val="IndexLink"/>
                <w:rtl w:val="true"/>
              </w:rPr>
              <w:tab/>
            </w:r>
            <w:r>
              <w:rPr>
                <w:rStyle w:val="IndexLink"/>
              </w:rPr>
              <w:t>69</w:t>
            </w:r>
          </w:hyperlink>
        </w:p>
        <w:p>
          <w:pPr>
            <w:pStyle w:val="Contents3"/>
            <w:tabs>
              <w:tab w:val="clear" w:pos="8459"/>
              <w:tab w:val="right" w:pos="9026" w:leader="dot"/>
            </w:tabs>
            <w:rPr/>
          </w:pPr>
          <w:hyperlink w:anchor="__RefHeading___Toc379302_2035185390">
            <w:r>
              <w:rPr>
                <w:webHidden/>
                <w:rStyle w:val="IndexLink"/>
              </w:rPr>
              <w:t>4</w:t>
            </w:r>
            <w:r>
              <w:rPr>
                <w:rStyle w:val="IndexLink"/>
                <w:rtl w:val="true"/>
              </w:rPr>
              <w:t xml:space="preserve"> - </w:t>
            </w:r>
            <w:r>
              <w:rPr>
                <w:rStyle w:val="IndexLink"/>
                <w:rtl w:val="true"/>
              </w:rPr>
              <w:t>متی یظهر؟</w:t>
            </w:r>
            <w:r>
              <w:rPr>
                <w:rStyle w:val="IndexLink"/>
                <w:rtl w:val="true"/>
              </w:rPr>
              <w:tab/>
            </w:r>
            <w:r>
              <w:rPr>
                <w:rStyle w:val="IndexLink"/>
              </w:rPr>
              <w:t>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3_54071"/>
      <w:bookmarkStart w:id="1" w:name="pg4653_54071"/>
      <w:bookmarkEnd w:id="1"/>
    </w:p>
    <w:p>
      <w:pPr>
        <w:pStyle w:val="Heading2"/>
        <w:numPr>
          <w:ilvl w:val="1"/>
          <w:numId w:val="1"/>
        </w:numPr>
        <w:rPr/>
      </w:pPr>
      <w:bookmarkStart w:id="2" w:name="pg4653_54071"/>
      <w:bookmarkStart w:id="3" w:name="__RefHeading___Toc379248_203518539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 الحسینی‌المیلانی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اعرف‌الحق تعرف اهله؛</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العقائدیه،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۱۹۴۷۱۱۸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250_2035185390"/>
      <w:bookmarkStart w:id="6" w:name="_Toc2"/>
      <w:bookmarkEnd w:id="5"/>
      <w:r>
        <w:rPr>
          <w:rtl w:val="true"/>
        </w:rPr>
        <w:t>اشارة</w:t>
      </w:r>
      <w:bookmarkStart w:id="7" w:name="pg4653_54076"/>
      <w:bookmarkEnd w:id="6"/>
    </w:p>
    <w:p>
      <w:pPr>
        <w:pStyle w:val="Heading2"/>
        <w:numPr>
          <w:ilvl w:val="1"/>
          <w:numId w:val="1"/>
        </w:numPr>
        <w:rPr/>
      </w:pPr>
      <w:bookmarkStart w:id="8" w:name="__RefHeading___Toc379252_2035185390"/>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بإخراج سلسلة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4653_54077"/>
    </w:p>
    <w:p>
      <w:pPr>
        <w:pStyle w:val="Heading2"/>
        <w:numPr>
          <w:ilvl w:val="1"/>
          <w:numId w:val="1"/>
        </w:numPr>
        <w:rPr/>
      </w:pPr>
      <w:bookmarkStart w:id="11" w:name="__RefHeading___Toc379254_2035185390"/>
      <w:bookmarkStart w:id="12" w:name="_Toc4"/>
      <w:bookmarkEnd w:id="10"/>
      <w:bookmarkEnd w:id="11"/>
      <w:r>
        <w:rPr>
          <w:rtl w:val="true"/>
        </w:rPr>
        <w:t>[</w:t>
      </w:r>
      <w:r>
        <w:rPr>
          <w:rtl w:val="true"/>
        </w:rPr>
        <w:t>مقدمة</w:t>
      </w:r>
      <w:r>
        <w:rPr>
          <w:rtl w:val="true"/>
        </w:rPr>
        <w:t>]</w:t>
      </w:r>
      <w:bookmarkEnd w:id="12"/>
    </w:p>
    <w:p>
      <w:pPr>
        <w:pStyle w:val="Heading3"/>
        <w:numPr>
          <w:ilvl w:val="2"/>
          <w:numId w:val="1"/>
        </w:numPr>
        <w:rPr/>
      </w:pPr>
      <w:bookmarkStart w:id="13" w:name="__RefHeading___Toc379256_203518539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المهدی فی عقیدتنا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الشیعة الإمامیة الإثنی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الثانی عشر من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نعتقد بأنّه ابن الحسن العسکری سلام اللّٰه علیه، ومن أولاد الإمام الحسین، من أهل البیت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بأنّه مولود حی موجود، إلّاأنّه غائب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عقیدتنا هذه من ضروریّات مذهبنا، والتشکیک فی هذه العقیدة من أبناء هذا المذهب خروج عن المذهب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نتکلّم مع أبناء غیر هذا المذهب وندعوا الآخرین إلی</w:t>
      </w:r>
      <w:bookmarkStart w:id="15" w:name="pg4653_54078"/>
    </w:p>
    <w:p>
      <w:pPr>
        <w:pStyle w:val="BookText"/>
        <w:rPr/>
      </w:pPr>
      <w:bookmarkEnd w:id="15"/>
      <w:r>
        <w:rPr>
          <w:rFonts w:ascii="IRNazanin" w:hAnsi="IRNazanin" w:eastAsia="IRNazanin"/>
          <w:color w:val="111111"/>
          <w:sz w:val="28"/>
          <w:sz w:val="28"/>
          <w:szCs w:val="28"/>
          <w:rtl w:val="true"/>
          <w:lang w:bidi="fa-IR"/>
        </w:rPr>
        <w:t>هذه العقیدة، فلابدّ وأنْ نستدلّ بأدلّة مقبولةٍ وباُسلوبٍ متین، نخاطب بها أهل العلم والإنصاف منهم، لا الذین لا تنفعهم الموعظة الحسنة ولا جدوی للبحث معهم ولو جئت بألف دلیل، بل یقابلونک بالسبّ والشتم والفریة والبهتان، کما هو دأب أتباع ابن تیمیّة، وهذه جملٌ ممّا کتبته ید شیخهم فی الکتاب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p>
    <w:p>
      <w:pPr>
        <w:pStyle w:val="Heading3"/>
        <w:numPr>
          <w:ilvl w:val="2"/>
          <w:numId w:val="1"/>
        </w:numPr>
        <w:rPr/>
      </w:pPr>
      <w:bookmarkStart w:id="16" w:name="__RefHeading___Toc379258_2035185390"/>
      <w:bookmarkStart w:id="17" w:name="_Toc6"/>
      <w:bookmarkEnd w:id="16"/>
      <w:r>
        <w:rPr>
          <w:rtl w:val="true"/>
        </w:rPr>
        <w:t>الامام المهدی عند ابن تیمیّة</w:t>
      </w:r>
      <w:bookmarkEnd w:id="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حماقتهم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یجعلون للمنتظر عدّة مشاهد ینتظرونه فیها، کالسّرداب الذی بسامرّاء، الذی یزعمون أنّه غاب فیه، ومشاهد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یقیمون هناک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بغلة وإمّا فرساً وإمّا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لیرکبها إذا خرج، ویقیمون هناک إمّا فی طرفی النهار وإمّا فی أوقاتٍ اخر من ینادی علیه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اخرج، یا مولانا اخرج، ویشهرون السّلاح ولا أحد هناک یقاتلهم، وفیهم من یقوم فی أوقات الصلاة دائماً، لا یصلی خشیة أن یخرج وهو فی الصّلاة فیشتغل بها عن خروجه وخدمته، وهم فی أماکن بعیدة عن مشهده، کمدینة النبی صلّیٰ اللّٰه علیه وسلّم، إمّا فی العشر الأواخر من شهر رمضان وإمّا فی غیر ذلک، یتوجّهون إلی المشرق وینادونه بأصوات عالیة یطلبون خروجه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موجوداً وقد أمره اللّٰه بالخروج، فإنه یخرج سواء نادوه أو لم ینادوه، وإن لم یؤذن له فهو لا یقبل منهم، وأنه إذا</w:t>
      </w:r>
    </w:p>
    <w:p>
      <w:pPr>
        <w:pStyle w:val="BookText"/>
        <w:rPr/>
      </w:pPr>
      <w:r>
        <w:rPr>
          <w:rFonts w:ascii="IRNazanin" w:hAnsi="IRNazanin" w:eastAsia="IRNazanin"/>
          <w:color w:val="111111"/>
          <w:sz w:val="28"/>
          <w:sz w:val="28"/>
          <w:szCs w:val="28"/>
          <w:rtl w:val="true"/>
          <w:lang w:bidi="fa-IR"/>
        </w:rPr>
        <w:t>خرج فإنّ اللّٰه یؤیّده ویأتیه بما یرکبه وبمن یعینه وینصره لا یحتاج إلی أن یوقف له دائماً من الآدمیّین من ضلّ سعیهم فی الحیاة الدنیا وهم یحسبون أنّهم یحسنون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قد عاب فی کتابه من یدعو من لا یستجیب له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الأصنام موجودة، وکان یکون فیها أحیاناً شیاطین تتراءیٰ لهم وتخاطبهم، ومن خاطب معدوماً کانت حالته أسوء من حال من خاطب موجوداً وإن کان جماداً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دعا المنتظر الذی لم یخلقه اللّٰه کان ضلاله أعظم من ضلال هؤلاء،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أعتقد وجوده، کان بمنزلة قول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نعتقد أن هذه الأصنام لها شفاعة عند اللّٰه، فیعبدون من دون اللّٰه ما لا ینفعهم ولا یضرّهم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عنداللّٰه، والمقصود أن کلیهما یدعو من لا ینفع دعاؤه، وإن کان أولئک اتّخذوهم شفعاء آلهة وهؤلاء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معصوم، فهم یوالون علیه ویعادون علیه کموالاة المشرکین علیٰ آلهتهم، ویجعلونه رکناً فی الإیمان لا یتم الدّین إلاّ به، کما یجعل بعض المشرکین آلهتهم کذلک</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الزّمان الذی یدعون إلیه، لا سبیل للناس إلی معرفته ولا معرفة ما یأمرهم به وما ینهاهم عنه وما یخبرهم به، فإن</w:t>
      </w:r>
    </w:p>
    <w:p>
      <w:pPr>
        <w:pStyle w:val="BookText"/>
        <w:rPr/>
      </w:pPr>
      <w:r>
        <w:rPr>
          <w:rFonts w:ascii="IRNazanin" w:hAnsi="IRNazanin" w:eastAsia="IRNazanin"/>
          <w:color w:val="111111"/>
          <w:sz w:val="28"/>
          <w:sz w:val="28"/>
          <w:szCs w:val="28"/>
          <w:rtl w:val="true"/>
          <w:lang w:bidi="fa-IR"/>
        </w:rPr>
        <w:t>کان أحد لا یصیر سعیداً إلاّ بطاعة هذا الذی لا یعرف أمره ولا نهیه، لزم أنه لا یتمکّن أحد من طریق النجاة والسعادة وطاعة اللّٰه، وهذا من أعظم تکلیف ما لا یطاق، وهم من أعظم الناس إحالةً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یأمر بما علیه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وجوده ولا شهوده، فإن هذا معروف سواء کان هو حیّاً أو میّتاً، وسواء کان شاهداً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الرّافضة من أجهل الناس، وذلک أن فعل الواجبات العقلیّة والشرعیّة، وترک المستقبحات العقلیّة والشرعیّة، إمّا أن یکون موقوفاً علیٰ معرفة ما یأمر به وینهیٰ عنه هذا المنتظر، وإمّا أن لا یکون موقوفاً، فإن کان موقوفاً لزم تکلیف ما لا یطاق، وأن یکون فعل الواجبات وترک المحرّمات موقوفاً علیٰ شرط لا یقدر علیه عامّة الناس بل ولا أحد منهم، فإنّه لیس فی الأرض من یدّعی دعویٰ صادقة أنه رأیٰ هذا المنتظر أو 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موقوفاً علیٰ ذلک أمکن فعل الواجبات العقلیّة والشرعیّة وترک القبائح العقلیة والشرعیة بدون هذا المنتظر، فلا یحتاج إلیه ولا یجب وجوده ولا شهوده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رأیت طائفةً من شیوخ الرافضة کابن العود الحلّی یقول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اختلفت الإمامیة علیٰ قولین أحدهما یعرف قائله والآخر لا یعرف قائله، کان القول الذی لا یعرف قائله هو القول الحق الذی یجب اتّباعه،</w:t>
      </w:r>
    </w:p>
    <w:p>
      <w:pPr>
        <w:pStyle w:val="BookText"/>
        <w:rPr/>
      </w:pPr>
      <w:r>
        <w:rPr>
          <w:rFonts w:ascii="IRNazanin" w:hAnsi="IRNazanin" w:eastAsia="IRNazanin"/>
          <w:color w:val="111111"/>
          <w:sz w:val="28"/>
          <w:sz w:val="28"/>
          <w:szCs w:val="28"/>
          <w:rtl w:val="true"/>
          <w:lang w:bidi="fa-IR"/>
        </w:rPr>
        <w:t>لأنّ المنتظر المعصوم فی تلک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غایة الجهل والضّلال،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وجود المنتظر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أنه قال ذلک القول، إذ لم ینقله عنه أحد ولا عمّن نقله عنه، فمن أین یجزم بأنه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أصل دین هؤلاء الرّافضة مبنیّاً علیٰ مجهول ومعدوم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من فرض إماماً نافعاً فی بعض مصالح الدین والدنیا، کان خیراً ممّن لا ینتفع به فی شیء من مصالح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أبعد عن مقصود الإمامة وعن الخیر والکرامة ممّن سلک منهاج الندامة؟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المنتظر لم ینتفع به لا مؤمن به ولا کافر به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المنتظر الغائب المفقود لم یحصل به شیء من المصلحة واللّطف، سواء کان میّتاً کما یقوله الجمهور، أو کان حیّاً کما تظنّه الإمامیّة، وکذلک أجداده المتقدّمون لم یحصل بهم شیء من المصلحة واللّطف الحاصلة من إمام معصوم ذی سلطان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من تولّیٰ کان خیراً من المعدوم المنتظر الذی تقول</w:t>
      </w:r>
    </w:p>
    <w:p>
      <w:pPr>
        <w:pStyle w:val="BookText"/>
        <w:rPr/>
      </w:pPr>
      <w:r>
        <w:rPr>
          <w:rFonts w:ascii="Amiri" w:hAnsi="Amiri" w:eastAsia="Amiri" w:cs="Amiri"/>
          <w:color w:val="111111"/>
          <w:sz w:val="28"/>
          <w:sz w:val="28"/>
          <w:szCs w:val="28"/>
          <w:rtl w:val="true"/>
          <w:lang w:bidi="ar-SA"/>
        </w:rPr>
        <w:t>الرافضة إنه الخلف الحجّة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طوائف ادّعیٰ کلّ منهم أنه المهدی المبشّر به، مثل مهدی القرامطة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ادّعیٰ أنه المهدی، ابن التومرت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عدّة آخرین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وبکلّ حال، فهو وأمثاله خیر من مهدی الرافضة الذی لیس له عین ولا أثر</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حصل باعتقاد وجوده من الشرّ والفساد ما لا یحصیه إلاّ رب العباد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محمّد بن جریر الطبری وعبد الباقی بن قانع وغیرهما من أهل العلم بالأنساب والتواریخ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العسکری لم یکن له نسل ولا عقب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وسیکون بحثنا عن الامام المهدی علیه السلام، لبیان عقیدتنا فیه ودفع الشبهات عنه فی فصولٍ</w:t>
      </w:r>
      <w:r>
        <w:rPr>
          <w:rFonts w:eastAsia="IRNazanin" w:cs="IRNazanin"/>
          <w:color w:val="111111"/>
          <w:sz w:val="28"/>
          <w:szCs w:val="28"/>
          <w:rtl w:val="true"/>
          <w:lang w:bidi="fa-IR"/>
        </w:rPr>
        <w:t>:</w:t>
      </w:r>
      <w:bookmarkStart w:id="18" w:name="pg4653_54085"/>
    </w:p>
    <w:p>
      <w:pPr>
        <w:pStyle w:val="Heading2"/>
        <w:numPr>
          <w:ilvl w:val="1"/>
          <w:numId w:val="1"/>
        </w:numPr>
        <w:rPr/>
      </w:pPr>
      <w:bookmarkStart w:id="19" w:name="__RefHeading___Toc379260_2035185390"/>
      <w:bookmarkStart w:id="20" w:name="_Toc7"/>
      <w:bookmarkEnd w:id="18"/>
      <w:bookmarkEnd w:id="19"/>
      <w:r>
        <w:rPr>
          <w:rtl w:val="true"/>
        </w:rPr>
        <w:t>الفصل الأوّل وفیه مطالب</w:t>
      </w:r>
      <w:bookmarkEnd w:id="20"/>
    </w:p>
    <w:p>
      <w:pPr>
        <w:pStyle w:val="Heading3"/>
        <w:numPr>
          <w:ilvl w:val="2"/>
          <w:numId w:val="1"/>
        </w:numPr>
        <w:rPr/>
      </w:pPr>
      <w:bookmarkStart w:id="21" w:name="__RefHeading___Toc379262_2035185390"/>
      <w:bookmarkStart w:id="22" w:name="_Toc8"/>
      <w:bookmarkEnd w:id="21"/>
      <w:r>
        <w:rPr>
          <w:rtl w:val="true"/>
        </w:rPr>
        <w:t>المطلب الأول فی أنّ لهذه الاُمة مهدیّاً</w:t>
      </w:r>
      <w:bookmarkEnd w:id="22"/>
    </w:p>
    <w:p>
      <w:pPr>
        <w:pStyle w:val="Heading4"/>
        <w:numPr>
          <w:ilvl w:val="3"/>
          <w:numId w:val="1"/>
        </w:numPr>
        <w:rPr/>
      </w:pPr>
      <w:bookmarkStart w:id="23" w:name="__RefHeading___Toc379264_2035185390"/>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لا خلاف بین المسلمین فی أنّ لهذه الأُمّة مهدیّاً، وأنّ رسول اللّٰه صلّی اللّٰه علیه وآله وسلّم قد أخبر به وبشّر به وذکر له أسماء وصفات وألقاباً وغیر ذلک، والروایات الواردة فی کتب الفریقین حول هذا الموضوع أکثر وأکثر من حدّ التواتر، ولذا لا یبقی خلاف بین المسلمین فی هذا الإعتقاد، ومن اطّلع علی هذه الأحادیث وحقّقها وعرفها، ثمّ کذّب أصل هذا الموضوع مع الإلتفات إلی هذه الناحیة، فقد کذّب رسول اللّٰه صلّی اللّٰه علیه وآله وسلّم فیما أخبر 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الواردة بأسانید الفریقین موجودة فی الصحاح والسنن والمسانید وغیرها من مصادر الحدیث، وقد الّفت فی هذا الخصوص کتب جمع فیها العلماء الکبار من السّابقین واللّاحقّین ما ورد فی المهدی علی لسان النبی الکریم، وهناک آیات کثیرة من القرآن الکریم</w:t>
      </w:r>
    </w:p>
    <w:p>
      <w:pPr>
        <w:pStyle w:val="BookText"/>
        <w:rPr/>
      </w:pPr>
      <w:r>
        <w:rPr>
          <w:rFonts w:ascii="Amiri" w:hAnsi="Amiri" w:eastAsia="Amiri" w:cs="Amiri"/>
          <w:color w:val="111111"/>
          <w:sz w:val="28"/>
          <w:sz w:val="28"/>
          <w:szCs w:val="28"/>
          <w:rtl w:val="true"/>
          <w:lang w:bidi="ar-SA"/>
        </w:rPr>
        <w:t>مفسّرة ومأوّلة بالمهدی سلام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وحینئذ، لا یُعبأ ولا یعتنیٰ بقول شاذٍ من مثل ابن خلدون المؤرّخ </w:t>
      </w:r>
      <w:r>
        <w:rPr>
          <w:rStyle w:val="FootnoteAnchor"/>
          <w:rtl w:val="true"/>
        </w:rPr>
        <w:footnoteReference w:id="12"/>
      </w:r>
      <w:r>
        <w:rPr>
          <w:rFonts w:ascii="IRNazanin" w:hAnsi="IRNazanin" w:eastAsia="IRNazanin"/>
          <w:color w:val="111111"/>
          <w:sz w:val="28"/>
          <w:sz w:val="28"/>
          <w:szCs w:val="28"/>
          <w:rtl w:val="true"/>
          <w:lang w:bidi="fa-IR"/>
        </w:rPr>
        <w:t>، حتّی أنّ بعض علماء السنّة کتبوا ردوداً علی رأیه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أشهر المؤلّفین والمدوّنین لأحادیث المهدی سلام اللّٰه علیه من أهل السنّة فی مختلف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ابن أبی خیثمة،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المروزی، المتوفی سنة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حسین ابن منادی، المتوفی سنة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نعیم الإصفهانی،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العلاء العطّار الهمدانی، المتوفی سنة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عبدالغنی المقدسی،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الأندلسی، المتوفی سنة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سعدالدین الحموی، المتوفی سنة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عبداللّٰه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یحیی المقدسی،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bookmarkStart w:id="25" w:name="pg4653_54087"/>
    </w:p>
    <w:p>
      <w:pPr>
        <w:pStyle w:val="BookText"/>
        <w:rPr/>
      </w:pPr>
      <w:bookmarkEnd w:id="25"/>
      <w:r>
        <w:rPr>
          <w:rFonts w:ascii="IRNazanin" w:hAnsi="IRNazanin" w:eastAsia="IRNazanin"/>
          <w:color w:val="111111"/>
          <w:sz w:val="28"/>
          <w:sz w:val="28"/>
          <w:szCs w:val="28"/>
          <w:rtl w:val="true"/>
          <w:lang w:bidi="fa-IR"/>
        </w:rPr>
        <w:t xml:space="preserve">ابن قیّم الجوزیة، المتوفی سنة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حسام الدین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القاری الهروی،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الشوکانی القاضی، المتوفی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صدّیق الغماری، المتوفی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أشهر المؤلّفین فی أخبار المهدی منذ قدیم الأیام، وفی عصرنا أیضاً کتب مؤلَّفة من قبل کتّاب هذا الزمان، لا حاجة إلی ذکر أسماء تلک الکتب</w:t>
      </w:r>
      <w:r>
        <w:rPr>
          <w:rFonts w:eastAsia="IRNazanin" w:cs="IRNazanin"/>
          <w:color w:val="111111"/>
          <w:sz w:val="28"/>
          <w:szCs w:val="28"/>
          <w:rtl w:val="true"/>
          <w:lang w:bidi="fa-IR"/>
        </w:rPr>
        <w:t>.</w:t>
      </w:r>
    </w:p>
    <w:p>
      <w:pPr>
        <w:pStyle w:val="Heading4"/>
        <w:numPr>
          <w:ilvl w:val="3"/>
          <w:numId w:val="1"/>
        </w:numPr>
        <w:rPr/>
      </w:pPr>
      <w:bookmarkStart w:id="26" w:name="__RefHeading___Toc379266_2035185390"/>
      <w:bookmarkStart w:id="27" w:name="_Toc10"/>
      <w:bookmarkEnd w:id="26"/>
      <w:r>
        <w:rPr>
          <w:rtl w:val="true"/>
        </w:rPr>
        <w:t>رواة الحدیث من الصّحابة</w:t>
      </w:r>
      <w:bookmarkEnd w:id="27"/>
    </w:p>
    <w:p>
      <w:pPr>
        <w:pStyle w:val="BookText"/>
        <w:rPr/>
      </w:pPr>
      <w:r>
        <w:rPr>
          <w:rFonts w:ascii="IRNazanin" w:hAnsi="IRNazanin" w:eastAsia="IRNazanin"/>
          <w:color w:val="111111"/>
          <w:sz w:val="28"/>
          <w:sz w:val="28"/>
          <w:szCs w:val="28"/>
          <w:rtl w:val="true"/>
          <w:lang w:bidi="fa-IR"/>
        </w:rPr>
        <w:t>وقد أخرجوا أحادیث المهدی عن جماعة کبیرةٍ من أصحاب رسول اللّٰه صلّی اللّٰه علیه وآله یعسر عدّهم، ونحن نذکر أسماء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الصدّیقة الطاهرة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السبط الاکبر الحسن بن علی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الحسین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عبیداللّٰه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سلمة 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جماعة کبیرة من علماء أهل السنّة فی مختلف القرون یصرّحون بتواتر ما ورد فی المهدی علیه السلام، اکتفی بذکر أسماء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جمال الدین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المفسّر الکبیر القرطبی، المتوفی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Style w:val="FootnoteAnchor"/>
        </w:rPr>
        <w:footnoteReference w:id="1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قیّم الجوزیة، المتوفی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أحمد زینی دحلان الشافعی،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وهناک جماعة آخرون یصرّحون بصحة تلک الأحادیث فی أقل تقدیر، ومنهم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الترمذی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حسین الأبری،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البیهقی، صاحب السنن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الفرّاء البغوی محیی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الهیثمی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یبقی مجالٌ للمناقشة فی أصل مسألة المهدی فی الإسلام، ومن أنکره فهو کافر بلا خلاف</w:t>
      </w:r>
      <w:r>
        <w:rPr>
          <w:rFonts w:eastAsia="IRNazanin" w:cs="IRNazanin"/>
          <w:color w:val="111111"/>
          <w:sz w:val="28"/>
          <w:szCs w:val="28"/>
          <w:rtl w:val="true"/>
          <w:lang w:bidi="fa-IR"/>
        </w:rPr>
        <w:t>.</w:t>
      </w:r>
      <w:bookmarkStart w:id="28" w:name="pg4653_54091"/>
    </w:p>
    <w:p>
      <w:pPr>
        <w:pStyle w:val="Heading3"/>
        <w:numPr>
          <w:ilvl w:val="2"/>
          <w:numId w:val="1"/>
        </w:numPr>
        <w:rPr/>
      </w:pPr>
      <w:bookmarkStart w:id="29" w:name="__RefHeading___Toc379268_2035185390"/>
      <w:bookmarkStart w:id="30" w:name="_Toc11"/>
      <w:bookmarkEnd w:id="28"/>
      <w:bookmarkEnd w:id="29"/>
      <w:r>
        <w:rPr>
          <w:rtl w:val="true"/>
        </w:rPr>
        <w:t>المطلب الثانی فی الأحادیث المتواترة فی المهدی</w:t>
      </w:r>
      <w:bookmarkEnd w:id="30"/>
    </w:p>
    <w:p>
      <w:pPr>
        <w:pStyle w:val="Heading4"/>
        <w:numPr>
          <w:ilvl w:val="3"/>
          <w:numId w:val="1"/>
        </w:numPr>
        <w:rPr/>
      </w:pPr>
      <w:bookmarkStart w:id="31" w:name="__RefHeading___Toc379270_2035185390"/>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إنه لابدّ فی کلّ زمانٍ من إمام یعتقد المسلمون بإمامته ویقتدون به، ویطیعونه فی کلّ الامور ویجعلونه الحجة بینهم وبین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رجعنا إلی السنّة النبویّة القطعیّة وجدنا ثلاثة أحادیث متواترة فی هذا الباب تنصّ بمجموعها علی ضرورة وجود الامام فی کلّ زمان وأن عددهم اثنا عشر وأنّهم من أهل البیت الطاهرین</w:t>
      </w:r>
      <w:r>
        <w:rPr>
          <w:rFonts w:eastAsia="IRNazanin" w:cs="IRNazanin"/>
          <w:color w:val="111111"/>
          <w:sz w:val="28"/>
          <w:szCs w:val="28"/>
          <w:rtl w:val="true"/>
          <w:lang w:bidi="fa-IR"/>
        </w:rPr>
        <w:t>.</w:t>
      </w:r>
      <w:bookmarkStart w:id="33" w:name="pg4653_54092"/>
    </w:p>
    <w:p>
      <w:pPr>
        <w:pStyle w:val="Heading4"/>
        <w:numPr>
          <w:ilvl w:val="3"/>
          <w:numId w:val="1"/>
        </w:numPr>
        <w:rPr/>
      </w:pPr>
      <w:bookmarkStart w:id="34" w:name="__RefHeading___Toc379272_2035185390"/>
      <w:bookmarkStart w:id="35" w:name="_Toc13"/>
      <w:bookmarkEnd w:id="33"/>
      <w:bookmarkEnd w:id="34"/>
      <w:r>
        <w:rPr>
          <w:rtl w:val="true"/>
        </w:rPr>
        <w:t>الحدیث الأوّل فی أنّ من مات ولم یعرف امام زمانه فمیتته جاهلیة</w:t>
      </w:r>
      <w:bookmarkEnd w:id="35"/>
    </w:p>
    <w:p>
      <w:pPr>
        <w:pStyle w:val="BookText"/>
        <w:rPr/>
      </w:pPr>
      <w:r>
        <w:rPr>
          <w:rFonts w:ascii="IRNazanin" w:hAnsi="IRNazanin" w:eastAsia="IRNazanin"/>
          <w:color w:val="111111"/>
          <w:sz w:val="28"/>
          <w:sz w:val="28"/>
          <w:szCs w:val="28"/>
          <w:rtl w:val="true"/>
          <w:lang w:bidi="fa-IR"/>
        </w:rPr>
        <w:t>إنّه لابدّ فی کلّ زمانٍ من إمام یجب علی الاُمة معرفته والإیمان به والإطاعة له، بحث لو مات المسلم ولم یعرفه کانت میتته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هذا المضمون بأسانید کثیرةٍ عن رجالٍ ثقاة، ولا نظنّ أنّ أحداً من الناس یجرأ علی المناقشة فی أسانید هذه الروایات ومدالیلها، إنّها روایات واردة فی الصحیحین، وفی المسانید، وفی السنن، وفی المعاجم، وفی جمیع کتب الحدیث والروایات، وهذه مقبولة عند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اتفق المسلمون علی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بهذا اللّفظ موجود فی بعض المصادر، وقد أرسله الشیخ سعدالدین التفتازانی إرسال المسلّم، وبنیٰ علیه بحوثه فی کتابه شرح المقاصد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وللحدیث ألفاظ أُخری، إلّاأنّی أعتقد بأنّ جمیع هذه الألفاظ لابدّ وأن ترجع إلی معنی واحد، ولابدّ أن تنتهی إلی مقصد واحد یقصده</w:t>
      </w:r>
    </w:p>
    <w:p>
      <w:pPr>
        <w:pStyle w:val="BookText"/>
        <w:rPr/>
      </w:pPr>
      <w:r>
        <w:rPr>
          <w:rFonts w:ascii="Amiri" w:hAnsi="Amiri" w:eastAsia="Amiri" w:cs="Amiri"/>
          <w:color w:val="111111"/>
          <w:sz w:val="28"/>
          <w:sz w:val="28"/>
          <w:szCs w:val="28"/>
          <w:rtl w:val="true"/>
          <w:lang w:bidi="ar-SA"/>
        </w:rPr>
        <w:t>رسول اللّٰه صلّی اللّٰه علیه وآله وسلّم، وهو ما قدّمناه من ضرورة وجود إمامٍ هادٍ للاُمّة فی کلّ زمان، یجب الإقتداء به والأخذ بهدیه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فمثلاً فی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وکذا فی عدّة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کمسند أبی داود الطیالسی </w:t>
      </w:r>
      <w:r>
        <w:rPr>
          <w:rStyle w:val="FootnoteAnchor"/>
          <w:rtl w:val="true"/>
        </w:rPr>
        <w:footnoteReference w:id="23"/>
      </w:r>
      <w:r>
        <w:rPr>
          <w:rFonts w:ascii="IRNazanin" w:hAnsi="IRNazanin" w:eastAsia="IRNazanin"/>
          <w:color w:val="111111"/>
          <w:sz w:val="28"/>
          <w:sz w:val="28"/>
          <w:szCs w:val="28"/>
          <w:rtl w:val="true"/>
          <w:lang w:bidi="fa-IR"/>
        </w:rPr>
        <w:t xml:space="preserve">، وصحیح ابن حبّان </w:t>
      </w:r>
      <w:r>
        <w:rPr>
          <w:rStyle w:val="FootnoteAnchor"/>
          <w:rtl w:val="true"/>
        </w:rPr>
        <w:footnoteReference w:id="24"/>
      </w:r>
      <w:r>
        <w:rPr>
          <w:rFonts w:ascii="IRNazanin" w:hAnsi="IRNazanin" w:eastAsia="IRNazanin"/>
          <w:color w:val="111111"/>
          <w:sz w:val="28"/>
          <w:sz w:val="28"/>
          <w:szCs w:val="28"/>
          <w:rtl w:val="true"/>
          <w:lang w:bidi="fa-IR"/>
        </w:rPr>
        <w:t xml:space="preserve">، والمعجم الکبیر للطبرانی </w:t>
      </w:r>
      <w:r>
        <w:rPr>
          <w:rStyle w:val="FootnoteAnchor"/>
          <w:rtl w:val="true"/>
        </w:rPr>
        <w:footnoteReference w:id="25"/>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الکتب إضافة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فلیمتْ إن شاء یهودیاً وإن شاء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نقله بهذا اللفظ بعض العلماء عن کتاب المسائل الخمسون للفخر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 ألفاظ أُخری موجودة فی السنن، وفی الصحاح، وفی المسانید أیضاً، نکتفی بهذا القدر، ونشیر إلی بعض الخصوصیات الموجودة فی لفظ الحدیث</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لابدّ وأنْ تکون المعرفة هذه مقدمة للإعتقاد،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یعتقد بإمام زمانه، لا مطلق إمام الزمان، بإمام زمانه الحق، بإمام زمانه الشرعی، بإمام زمانه</w:t>
      </w:r>
    </w:p>
    <w:p>
      <w:pPr>
        <w:pStyle w:val="BookText"/>
        <w:rPr/>
      </w:pPr>
      <w:r>
        <w:rPr>
          <w:rFonts w:ascii="IRNazanin" w:hAnsi="IRNazanin" w:eastAsia="IRNazanin"/>
          <w:color w:val="111111"/>
          <w:sz w:val="28"/>
          <w:sz w:val="28"/>
          <w:szCs w:val="28"/>
          <w:rtl w:val="true"/>
          <w:lang w:bidi="fa-IR"/>
        </w:rPr>
        <w:t>المنصوب من قبل اللّٰه سبحانه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کان المراد من إمام الزمان أیّ حاکم سیطر علی شؤون المسلمین وتغلَّب علی أُمور المؤمنین، لا یکون معرفة هکذا شخص واجبة، ولا یکون عدم معرفته موجباً للدخول فی النار، ولا یکون موت الجاهل به غیر التابع له موت جاهلیة،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من أن یکون الإمام الذی تجب معرفته إمام حق، وإماماً شرعیاً، فحینئذٍ، علی الإنسان أن یعتقد بإمامة هذا الشخص، ویجعله حجةً بینه وبین ربّه، وهذا واجب، بحیث لو أنّه لم یعتقد بإمامته ومات، یکون موته موت جاهلیة، 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فلیمت إنْ شاء یهودیاً وإنْ شاء نصرانیّاً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عمر، الذی امتنع من بیعة أمیر المؤمنین سلام اللّٰه علیه، طرق علی الحجّاج بابه لیلاً لیبایعه لعبدالملک، کی لا یبیت تلک اللّیلة بلا إمام، وکان قصده من ذلک هو العمل بهذا الحدیث کما قال، فقد طرق باب الحجّاج ودخل علیه فی تلک اللیلة وطلب منه أن یبایعه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 إمام له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الحجّاج احتقر عبداللّٰه بن عمر، ومدّ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رجلی، فبایع عبداللّٰه بن عمر الحجّاج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من یأبی عن البیعة لمثل أمیر المؤمنین علیه السلام یبتلی فی یوم من الأیّام بالبیعة لمثل الحجّاج وبهذا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وکتبوا بترجمة عبداللّٰه بن عمر، وفی قضایاه الحرة بالذات، تلک الواقعة التی أباح فیها یزید بن معاویة المدینة المنورة ثلاثة أیام، أباحها لجیوشه یفعلون ما یشاؤون، وأنتم تعلمون ما کان وما حدث فی تلک الواقعة، حیث قتل عشرات الآلاف من الناس، والمئات من الصحابة والتابعین، وافتضت الأبکار، وولدت النساء بالمئات من غیر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الواقعة أتی عبداللّٰه بن عمر إلی عبداللّٰه بن مطیع، فقال 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إطرحوا لأبی عبدالرحمن وسادة،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آتک لکی أجلس، أتیتک لأُحدّثک حدیثاً،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خلع یداً من طاعة لقی اللّٰه یوم القیامة لا حجّة له، ومن مات ولیس فی عنقه بیعة مات میتة جاهلیة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فقضیّة وجوب معرفة الإمام فی کلّ زمان والإعتقاد بإمامته والإلتزام ببیعته، أمر مفروغ منه ومسلّم، وتدلّ علیه الأحادیث، وسیرة الصحابة، وسائر الناس، ومنها ما ذکرت لکم من أحوال عبداللّٰه بن عمر الذی یجعلونه قدوة لهم، إلّاأنّ عبداللّٰه بن عمر ذکروا أنّه کان یتأسّف</w:t>
      </w:r>
    </w:p>
    <w:p>
      <w:pPr>
        <w:pStyle w:val="BookText"/>
        <w:rPr/>
      </w:pPr>
      <w:r>
        <w:rPr>
          <w:rFonts w:ascii="IRNazanin" w:hAnsi="IRNazanin" w:eastAsia="IRNazanin"/>
          <w:color w:val="111111"/>
          <w:sz w:val="28"/>
          <w:sz w:val="28"/>
          <w:szCs w:val="28"/>
          <w:rtl w:val="true"/>
          <w:lang w:bidi="fa-IR"/>
        </w:rPr>
        <w:t xml:space="preserve">علی عدم بیعته لأمیر المؤمنین علیه السلام، وعدم مشارکته معه فی القتال مع الفئة الباغیة، وهذا موجود فی المصادر، فراجعوا الطبقات لابن سعد </w:t>
      </w:r>
      <w:r>
        <w:rPr>
          <w:rStyle w:val="FootnoteAnchor"/>
          <w:rtl w:val="true"/>
        </w:rPr>
        <w:footnoteReference w:id="27"/>
      </w:r>
      <w:r>
        <w:rPr>
          <w:rFonts w:ascii="IRNazanin" w:hAnsi="IRNazanin" w:eastAsia="IRNazanin"/>
          <w:color w:val="111111"/>
          <w:sz w:val="28"/>
          <w:sz w:val="28"/>
          <w:szCs w:val="28"/>
          <w:rtl w:val="true"/>
          <w:lang w:bidi="fa-IR"/>
        </w:rPr>
        <w:t xml:space="preserve">والمستدرک للحاکم </w:t>
      </w:r>
      <w:r>
        <w:rPr>
          <w:rStyle w:val="FootnoteAnchor"/>
          <w:rtl w:val="true"/>
        </w:rPr>
        <w:footnoteReference w:id="28"/>
      </w:r>
      <w:r>
        <w:rPr>
          <w:rFonts w:ascii="IRNazanin" w:hAnsi="IRNazanin" w:eastAsia="IRNazanin"/>
          <w:color w:val="111111"/>
          <w:sz w:val="28"/>
          <w:sz w:val="28"/>
          <w:szCs w:val="28"/>
          <w:rtl w:val="true"/>
          <w:lang w:bidi="fa-IR"/>
        </w:rPr>
        <w:t>وغیرهما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لسنا بصدد الکلام عن عبداللّٰه بن عمر أو غیره، وإنّما أردت أن أذکر لکم نماذج من الکتاب والسنّة وسیرة الصحابة علی أنّ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أنّ فی کلّ زمان وإمام حقٍّ من اللّٰه، لابدّ وأنْ یعتقد المسلمون بإمامته ویجعلونه حجةً بینهم وبین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عقائد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جاء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اتفق المسلمون علی روایته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حیث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 إما ظاهراً مشهوراً</w:t>
      </w:r>
    </w:p>
    <w:p>
      <w:pPr>
        <w:pStyle w:val="BookText"/>
        <w:rPr/>
      </w:pPr>
      <w:r>
        <w:rPr>
          <w:rFonts w:ascii="Amiri" w:hAnsi="Amiri" w:eastAsia="Amiri" w:cs="Amiri"/>
          <w:color w:val="111111"/>
          <w:sz w:val="28"/>
          <w:sz w:val="28"/>
          <w:szCs w:val="28"/>
          <w:rtl w:val="true"/>
          <w:lang w:bidi="ar-SA"/>
        </w:rPr>
        <w:t>وإمّا خائفاً مغموراً، لئلّا تبطل حجج اللّٰه وبیّناته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صلاة عیسی علیه السلام خلف رجل من هذه الامّة مع کونه فی آخر الزمان وقرب قیام الساعة دلالة للصحیح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قائم للّٰه بحجّة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 بشرح 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یخلو الزمان ممّن هو مهیمن للّٰه تعالی عباده ومسیطر علیهم، وهذا یکاد یکون تصریحاً بمذهب الإمامیة، إلّاأن أصحابنا یحملونه علی أن المراد به الأبدال</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غفل أصحاب ابن أبی الحدید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مصداق هذه الکلمة لا یکون إلّاالمعصوم، ولا یقول أحد بعصمة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وغفلوا کذلک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لا یتحقق بعد النبیّ صلّی اللّٰه علیه وآله إلّابالإمام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اعترف به ابن أبی الحدید هو الصحیح</w:t>
      </w:r>
      <w:r>
        <w:rPr>
          <w:rFonts w:eastAsia="IRNazanin" w:cs="IRNazanin"/>
          <w:color w:val="111111"/>
          <w:sz w:val="28"/>
          <w:szCs w:val="28"/>
          <w:rtl w:val="true"/>
          <w:lang w:bidi="fa-IR"/>
        </w:rPr>
        <w:t>.</w:t>
      </w:r>
      <w:bookmarkStart w:id="36" w:name="pg4653_54098"/>
    </w:p>
    <w:p>
      <w:pPr>
        <w:pStyle w:val="Heading4"/>
        <w:numPr>
          <w:ilvl w:val="3"/>
          <w:numId w:val="1"/>
        </w:numPr>
        <w:rPr/>
      </w:pPr>
      <w:bookmarkStart w:id="37" w:name="__RefHeading___Toc379274_2035185390"/>
      <w:bookmarkStart w:id="38" w:name="_Toc14"/>
      <w:bookmarkEnd w:id="36"/>
      <w:bookmarkEnd w:id="37"/>
      <w:r>
        <w:rPr>
          <w:rtl w:val="true"/>
        </w:rPr>
        <w:t>الحدیث الثانی فی أن النبی ترک بین الاُمة خلیفتین</w:t>
      </w:r>
      <w:bookmarkEnd w:id="38"/>
    </w:p>
    <w:p>
      <w:pPr>
        <w:pStyle w:val="BookText"/>
        <w:rPr/>
      </w:pPr>
      <w:r>
        <w:rPr>
          <w:rFonts w:ascii="IRNazanin" w:hAnsi="IRNazanin" w:eastAsia="IRNazanin"/>
          <w:color w:val="111111"/>
          <w:sz w:val="28"/>
          <w:sz w:val="28"/>
          <w:szCs w:val="28"/>
          <w:rtl w:val="true"/>
          <w:lang w:bidi="fa-IR"/>
        </w:rPr>
        <w:t>فقد تواتر عنه صلّی اللّٰه علیه وآله بالألفاظ المختلفة، أنه ترک بین الاُمة أمرین وجعلهما الخلیفتین له من بعده، ما إنْ تمسّکت بهما لنْ تضل،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والآخر أهل بیته عترته، وأخبر بأنهما لن یفترقا حتی یردا علیه الحوض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أحمد بإسناده عن زید بن ثابت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والأرض، أو ما بین السماء الیٰ الأرض، وعترتی أهل بیتی،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بإسناده عن جابر بن عبداللّٰه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ابن سعد وأحمد والطبرانی عن أبی سعید الخدری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بعدی، أمر بیّن،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 وعترتی أهل بیتی، وإنهما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أبی شیبة أنه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لن تضلّوا بعدی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باسناده عن زید بن أرقم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النیسابوری عن أبی الطفیل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مکّة والمدینة عند شجرات خمس ودوحات عظام، فکنس الناس ما تحت الشجرات، ثم راح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فصلّیٰ ثم قال خطیباً، فحمد اللّٰه وأثنیٰ علیه وذکّر ووعظ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تارک فیکم أمرین لن تضلّوا إن اتبعتموهما، وهما کتاب اللّٰه وأهل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الحاکم عن یحیی بن جعدة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علی الشیبانی بالکوفة، ثنا أحمد بن حازم الغفاری، ثنا أبو نعیم، ثنا کامل أبو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حبیب بن أبی ثابت یخبر عن یحیی بن جعدة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رسول اللّٰه صلّیٰ اللّٰه علیه وآله وسلّم، حتی انتهینا إلیٰ</w:t>
      </w:r>
    </w:p>
    <w:p>
      <w:pPr>
        <w:pStyle w:val="BookText"/>
        <w:rPr/>
      </w:pPr>
      <w:r>
        <w:rPr>
          <w:rFonts w:ascii="IRNazanin" w:hAnsi="IRNazanin" w:eastAsia="IRNazanin"/>
          <w:color w:val="111111"/>
          <w:sz w:val="28"/>
          <w:sz w:val="28"/>
          <w:szCs w:val="28"/>
          <w:rtl w:val="true"/>
          <w:lang w:bidi="fa-IR"/>
        </w:rPr>
        <w:t>غدیر خم، فأمر بدوح فکسح فی یومٍ ما أتیٰ علینا یوم کان أشدّ حراً منه،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یبعث نبی قط إلّاما عاش نصف ما عاش الذی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أوشک أن أدعی فأجیب ، وإنی تارک فیکم ما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فأخذ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من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الطبرانی بإسناده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یوم الجحفة، ثم أقبل علیٰ 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أجد لنبی إلّانصف عمر الذی قبله، وإنی أوشک أن أدعیٰ فأجیب، فما أنتم قائلون؟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إلّااللّٰه وأنّ محمّداً عبده ورسوله، وأن الجنة حق والنار حق، وأن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یدیه فوضعهما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فرطکم علیٰ الحوض وأنتم</w:t>
      </w:r>
    </w:p>
    <w:p>
      <w:pPr>
        <w:pStyle w:val="BookText"/>
        <w:rPr/>
      </w:pPr>
      <w:r>
        <w:rPr>
          <w:rFonts w:ascii="IRNazanin" w:hAnsi="IRNazanin" w:eastAsia="IRNazanin"/>
          <w:color w:val="111111"/>
          <w:sz w:val="28"/>
          <w:sz w:val="28"/>
          <w:szCs w:val="28"/>
          <w:rtl w:val="true"/>
          <w:lang w:bidi="fa-IR"/>
        </w:rPr>
        <w:t>واردون علیَّ الحوض، وإنّ عرضه أبعد ما بین صنعاء وبصری، فیه أقداح عدد النجوم من فضة، فانظروا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طرف بید اللّٰه عزّوجل، وطرف بأیدیکم، فاستمسکوا به ولا تضلّوا،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ذلک لهماربی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ولیه،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الحدیث وصیّة رسول اللّٰه صلّی اللّٰه علیه وآله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 الوصیة الصّریحة بهم فی عدّة أحادیث،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الثقلین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یصب ابن الجوزی فی إیراده فی العلل المتناهیة،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 وغیره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الوصیة الصریحة بأهل البیت فی غیرها من الأحادیث، فعن سلیمان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عبارته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حثّه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الأمة علی التمسّک بعده بکتاب ربهم، وأهل بیت نبیّهم، وأن یخلفوه فیهما بخیر، وسؤاله من یرد علیه الحوض عنهما، وسؤال ربه عزّوجل الأمة کیف خلفوا نبیّهم فیهما، ووصیّته بأهل بیته، وأنّ اللّٰه تعالیٰ أوصاه بهم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جاء فی أحد ألفاظ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بکتاب اللّٰه وعترتی</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العلماء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یدلّ علی وجود من هو أهلٌ من أهل البیت لأن یتمسّک به ویهتدی 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أحادیث الحثّ علی التمسّک بأهل البیت إشارة إلی عدم انقطاع مستأهل منهم للتمسّک به إلی یوم القیامة، کما أن الکتاب العزیز کذلک، ولهذا کانوا أماناً لأهل الأرض کما سیأتی، ویشهد لذلک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الشریف السمهودی فی تنبیهات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یفهم وجود من یکون أهلاً للتمسّک به من أهل البیت والعترة الطاهرة فی کلّ زمانٍ وجدوا فیه إلی قیام الساعة، حتی یتوجّه الحثّ المذکور إلی التمسّک به، کما أن الکتاب العزیز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لأهل الأرض فإذا ذهبوا ذهب أهل الأرض</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المناوی بشرح الجامع الصغیر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والزرقانی المالکی بشرح المواهب اللدنیة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ونقلا کلام الشریف السمهودی الحافظ المذکور</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الحافظ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وقع الحثّ علی</w:t>
      </w:r>
    </w:p>
    <w:p>
      <w:pPr>
        <w:pStyle w:val="BookText"/>
        <w:rPr/>
      </w:pPr>
      <w:r>
        <w:rPr>
          <w:rFonts w:ascii="IRNazanin" w:hAnsi="IRNazanin" w:eastAsia="IRNazanin"/>
          <w:color w:val="111111"/>
          <w:sz w:val="28"/>
          <w:sz w:val="28"/>
          <w:szCs w:val="28"/>
          <w:rtl w:val="true"/>
          <w:lang w:bidi="fa-IR"/>
        </w:rPr>
        <w:t xml:space="preserve">التمسّک بهم من أهل البیت النبوی والعترة الطاهرة هم العلماء بکتاب اللّٰه عزّوجل، إذ لا یحثّ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التمسّک بغیرهم، وهم الذین لا یقع بینهم وبین الکتاب افتراق حتی یردا الحوض،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تقدّموهما فتهلکوا، ولا تقصّروا عنهما فتهلکوا، ولا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القاری فی شرح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أنّ أهل البیت غالباً یکونون أعرف بصاحب البیت وأحواله، فالمراد بهم أهل العلم منهم، المطّلعون علی سیرته، الواقفون علی طریقته، العارفون بحکمه وحکمته، وبهذا یصلح أن یکونوا عدلاً لکتاب اللّٰه سبحانه،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نصَّ نظام الدین النیسابوری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ضوء حدیث الثقلین علی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 یقومون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بتفسیر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تَکْفُرُونَ وَ أَنْتُمْ تُتْلیٰ عَلَیْکُمْ آیٰاتُ اللّٰهِ وَ فِیکُمْ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استفهام بطریق الإنکار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أین یتطرّق إلیکم الکفر والحال أن آیات اللّٰه تتلیٰ علیکم علی لسان الرسول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غضّةً فی کلّ واقعة، وبین أظهرکم رسول اللّٰه یبیّن لکم کلّ شبهة ویزیح عنکم کلّ علّة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الکتاب، فإنه باقٍ علی وجه الدهر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وإن کان مضی إلی رحمة اللّٰه فی الظاهر، ولکنّ نور سرّه باقٍ بین المؤمنین، فکأنه باق، علی أنّ عترته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ورثته یقومون مقامه بحسب الظاهر أیضاً،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39" w:name="pg4653_54107"/>
    </w:p>
    <w:p>
      <w:pPr>
        <w:pStyle w:val="Heading4"/>
        <w:numPr>
          <w:ilvl w:val="3"/>
          <w:numId w:val="1"/>
        </w:numPr>
        <w:rPr/>
      </w:pPr>
      <w:bookmarkStart w:id="40" w:name="__RefHeading___Toc379276_2035185390"/>
      <w:bookmarkStart w:id="41" w:name="_Toc15"/>
      <w:bookmarkEnd w:id="39"/>
      <w:bookmarkEnd w:id="40"/>
      <w:r>
        <w:rPr>
          <w:rtl w:val="true"/>
        </w:rPr>
        <w:t>الحدیث الثالث فی أنّ الخلفاء بعد النبی اثنا عشر</w:t>
      </w:r>
      <w:bookmarkEnd w:id="41"/>
    </w:p>
    <w:p>
      <w:pPr>
        <w:pStyle w:val="BookText"/>
        <w:rPr/>
      </w:pPr>
      <w:r>
        <w:rPr>
          <w:rFonts w:ascii="IRNazanin" w:hAnsi="IRNazanin" w:eastAsia="IRNazanin"/>
          <w:color w:val="111111"/>
          <w:sz w:val="28"/>
          <w:sz w:val="28"/>
          <w:szCs w:val="28"/>
          <w:rtl w:val="true"/>
          <w:lang w:bidi="fa-IR"/>
        </w:rPr>
        <w:t>فقد عیّن صلّی اللّٰه علیه وآله عدد الأئمة الذین تجب معرفتهم ومن مات بلا معرفةٍ منه لهم فمیتة میتة جاهلیّة، والخلفاء الذین لا یفارقون القرآن ولا یفارقهم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عبداللّٰه بن مسعود وهو یقرئ القرآن،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عبدالرحمن، هل سألتم رسول اللّٰه صلّی اللّٰه علیه وآله کم یملک هذه الاُمة من خلیفة؟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عنها أحد منذ قدمت العراق قبلک،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ولقد سألنا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کعدّة نقباء بنی إسرائیل</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الذین قائماً حتی تقوم الساعة أو یکون علیکم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البخاری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42" w:name="pg4653_54108"/>
    </w:p>
    <w:p>
      <w:pPr>
        <w:pStyle w:val="Heading3"/>
        <w:numPr>
          <w:ilvl w:val="2"/>
          <w:numId w:val="1"/>
        </w:numPr>
        <w:rPr/>
      </w:pPr>
      <w:bookmarkStart w:id="43" w:name="__RefHeading___Toc379278_2035185390"/>
      <w:bookmarkStart w:id="44" w:name="_Toc16"/>
      <w:bookmarkEnd w:id="42"/>
      <w:bookmarkEnd w:id="43"/>
      <w:r>
        <w:rPr>
          <w:rtl w:val="true"/>
        </w:rPr>
        <w:t>المطلب الثالث فی أنّ المهدی من أهل البیت</w:t>
      </w:r>
      <w:bookmarkEnd w:id="44"/>
    </w:p>
    <w:p>
      <w:pPr>
        <w:pStyle w:val="BookText"/>
        <w:rPr/>
      </w:pPr>
      <w:r>
        <w:rPr>
          <w:rFonts w:ascii="Amiri" w:hAnsi="Amiri" w:eastAsia="Amiri" w:cs="Amiri"/>
          <w:color w:val="111111"/>
          <w:sz w:val="28"/>
          <w:sz w:val="28"/>
          <w:szCs w:val="28"/>
          <w:rtl w:val="true"/>
          <w:lang w:bidi="ar-SA"/>
        </w:rPr>
        <w:t xml:space="preserve">إنّ النّبی صلّی اللّٰه علیه وآله صرّح بکون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یملأ اللّٰه به الأرض قسطاً وعدلاً بعد 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أیضاً ممّا تواتر عن رسول اللّٰه صلّی اللّٰه علیه وآله وسلّم فی أحادیث المسلمین، کما عرفت التصریح بذلک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أخرجه أحمد وأبو داود والترمذی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یلی رجل من أهل بیتی یواطئ اسمه اسمی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أخرجه ابن ماجة فی باب خروج المهدی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منّا أهل البیت یصلحه اللّٰه فی لیلة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أخرجه أحمد بسنده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تمتلئ الأرض ظلماً وعدواناً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رجل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یملؤها قسطاً وعدلاً کما ملئت ظلماً وعدواناً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الحاکم بالسّند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 الذهبی فی تلخیصه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عن أبی سعید الخدری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ووافقعه الذهبی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جاء فی أنّ المهدی من ولد فاطمة علیها السلام، ومنها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أخرجه أبو داود وابن ماجة وغیرهما عن امّ سلمة عن النبی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الحاکم والذهبی عن سعید بن المسیّب عن ام سلمة أنها سمعت رسول اللّٰه یذکر المهدی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 وهو من بنی فاطمة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وصحّح فی التاج سندی أبی داود والحاکم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نصَّ فیها علی أنه من ولد الحسین الشهید علیه السلام، وهی کثیرة، نذکر منها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إلّایوم واحد لطوّل اللّٰه عزّ وجلّ ذلک الیوم حتّی یبعث فیه رجلاً من ولدی اسمه اسمی، فقام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أیّ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علی الحسین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فی المصادر عن أبی القاسم الطبرانی </w:t>
      </w:r>
      <w:r>
        <w:rPr>
          <w:rStyle w:val="FootnoteAnchor"/>
          <w:rtl w:val="true"/>
        </w:rPr>
        <w:footnoteReference w:id="58"/>
      </w:r>
      <w:r>
        <w:rPr>
          <w:rFonts w:ascii="IRNazanin" w:hAnsi="IRNazanin" w:eastAsia="IRNazanin"/>
          <w:color w:val="111111"/>
          <w:sz w:val="28"/>
          <w:sz w:val="28"/>
          <w:szCs w:val="28"/>
          <w:rtl w:val="true"/>
          <w:lang w:bidi="fa-IR"/>
        </w:rPr>
        <w:t>، وابن عساکر الدمشقی، وأبی نعیم الإصفهانی، وابن قیّم الجوزیة، ویوسف بن یحیی</w:t>
      </w:r>
    </w:p>
    <w:p>
      <w:pPr>
        <w:pStyle w:val="BookText"/>
        <w:rPr/>
      </w:pPr>
      <w:r>
        <w:rPr>
          <w:rFonts w:ascii="IRNazanin" w:hAnsi="IRNazanin" w:eastAsia="IRNazanin"/>
          <w:color w:val="111111"/>
          <w:sz w:val="28"/>
          <w:sz w:val="28"/>
          <w:szCs w:val="28"/>
          <w:rtl w:val="true"/>
          <w:lang w:bidi="fa-IR"/>
        </w:rPr>
        <w:t xml:space="preserve">المقدسی </w:t>
      </w:r>
      <w:r>
        <w:rPr>
          <w:rStyle w:val="FootnoteAnchor"/>
          <w:rtl w:val="true"/>
        </w:rPr>
        <w:footnoteReference w:id="59"/>
      </w:r>
      <w:r>
        <w:rPr>
          <w:rFonts w:ascii="IRNazanin" w:hAnsi="IRNazanin" w:eastAsia="IRNazanin"/>
          <w:color w:val="111111"/>
          <w:sz w:val="28"/>
          <w:sz w:val="28"/>
          <w:szCs w:val="28"/>
          <w:rtl w:val="true"/>
          <w:lang w:bidi="fa-IR"/>
        </w:rPr>
        <w:t xml:space="preserve">، وشیخ الإسلام الجوینی </w:t>
      </w:r>
      <w:r>
        <w:rPr>
          <w:rStyle w:val="FootnoteAnchor"/>
          <w:rtl w:val="true"/>
        </w:rPr>
        <w:footnoteReference w:id="60"/>
      </w:r>
      <w:r>
        <w:rPr>
          <w:rFonts w:ascii="IRNazanin" w:hAnsi="IRNazanin" w:eastAsia="IRNazanin"/>
          <w:color w:val="111111"/>
          <w:sz w:val="28"/>
          <w:sz w:val="28"/>
          <w:szCs w:val="28"/>
          <w:rtl w:val="true"/>
          <w:lang w:bidi="fa-IR"/>
        </w:rPr>
        <w:t xml:space="preserve">، وابن حجر المکی صاحب الصواعق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لبضعته الزهراء سلام اللّٰه علیها وهو فی مرض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فاطمة، أما علمت أنّ اللّٰه أطّلع إلی الأرض إطّلاعه أو اطلاعة فاختار منها أباک فبعثه نبیّاً، ثمّ اطّلع ثانیة فاختار بعلک، فأوحی إلیّ فأنکحته إیّاک واتّخذته وصیّاً، أما علمت أنّکِ بکرامة اللّٰه إیّاک زوّجک أعلمهم علماً، وأکثرهم حلماً، وأقدمهم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واستبشرت فأراد رسول اللّٰه صلّی اللّٰه علیه وآله وسلّم أن یزیدها مزید الخیر،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مهدی الأُمّة الذی یصلّی عیسی خلفه، ثمّ ضرب علی منکب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رواها کما فی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الدارقطنی، أبو المظفر السمعانی، أبو عبداللّٰه الکنجی، وابن الصبّاغ المالکی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من</w:t>
      </w:r>
    </w:p>
    <w:p>
      <w:pPr>
        <w:pStyle w:val="BookText"/>
        <w:rPr/>
      </w:pPr>
      <w:r>
        <w:rPr>
          <w:rFonts w:ascii="IRNazanin" w:hAnsi="IRNazanin" w:eastAsia="IRNazanin"/>
          <w:color w:val="111111"/>
          <w:sz w:val="28"/>
          <w:sz w:val="28"/>
          <w:szCs w:val="28"/>
          <w:rtl w:val="true"/>
          <w:lang w:bidi="fa-IR"/>
        </w:rPr>
        <w:t>ولد الحسین من قبل المشرق، لو استقبلته الجبال لهدمها واتّخذ فیها طرقاً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کما فی المصادر عن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وأبی نعیم، والمقدسی صاحب کتاب عقد الدرر فی أخبار المنتظر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5" w:name="pg4653_54113"/>
    </w:p>
    <w:p>
      <w:pPr>
        <w:pStyle w:val="Heading3"/>
        <w:numPr>
          <w:ilvl w:val="2"/>
          <w:numId w:val="1"/>
        </w:numPr>
        <w:rPr/>
      </w:pPr>
      <w:bookmarkStart w:id="46" w:name="__RefHeading___Toc379280_2035185390"/>
      <w:bookmarkStart w:id="47" w:name="_Toc17"/>
      <w:bookmarkEnd w:id="45"/>
      <w:bookmarkEnd w:id="46"/>
      <w:r>
        <w:rPr>
          <w:rtl w:val="true"/>
        </w:rPr>
        <w:t>المطلب الرابع فی أنّ المهدی ابن الامام العسکری وهو مولود</w:t>
      </w:r>
      <w:bookmarkEnd w:id="47"/>
    </w:p>
    <w:p>
      <w:pPr>
        <w:pStyle w:val="BookText"/>
        <w:rPr/>
      </w:pPr>
      <w:r>
        <w:rPr>
          <w:rFonts w:ascii="IRNazanin" w:hAnsi="IRNazanin" w:eastAsia="IRNazanin"/>
          <w:color w:val="111111"/>
          <w:sz w:val="28"/>
          <w:sz w:val="28"/>
          <w:szCs w:val="28"/>
          <w:rtl w:val="true"/>
          <w:lang w:bidi="fa-IR"/>
        </w:rPr>
        <w:t>قد عرفنا إلی الآن، وعلی ضوء الأحادیث المتواترة المتفق علیها، الاتفاق علی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هذه الاُمّة مهدیّاً، وأنّ الاعتقاد به من ضروریات هذا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بیت رسول اللّٰه وعترته الأطهار الذین أمر باتّباعهم والتمسّک بهم وحذّر من مخالفتهم والتقدّم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الاثنی عشر الذین أخبر عن کونهم الخلفاء من بعده والأئمة الذین تجب طاعتهم والاقتداء بهم، وهم من أهل بیته لا من غیرهم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ولد الامام الحسین بن علی الشهید، وإذا کان</w:t>
      </w:r>
    </w:p>
    <w:p>
      <w:pPr>
        <w:pStyle w:val="BookText"/>
        <w:rPr/>
      </w:pPr>
      <w:r>
        <w:rPr>
          <w:rFonts w:ascii="IRNazanin" w:hAnsi="IRNazanin" w:eastAsia="IRNazanin"/>
          <w:color w:val="111111"/>
          <w:sz w:val="28"/>
          <w:sz w:val="28"/>
          <w:szCs w:val="28"/>
          <w:rtl w:val="true"/>
          <w:lang w:bidi="fa-IR"/>
        </w:rPr>
        <w:t>من ولد الحسین، فهو ابن الامام الحسن العسکری علیه السلام، ابن الإمام الهادی ابن الإمام الجواد، ابن الإمام الرضا، ابن الإمام الکاظم، ابن الإمام الصادق، ابن الإمام الباقر، ابن الإمام علی بن الحسین، ابن الإمام الحسین بن علی، ابن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هذه النقاط هی حصیلة المطالب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الأرض لا تخلو من امام حقٍّ من أهل بیت رسول اللّٰه وهم اثنا عشر فقط، فالمهدی هو الثانی عشر منهم، فهو مولود موجود، وهذه هی النتیجة الحتمیّة لطوائف الأحادیث القطعیة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نری أنّ کثیراً من علماء أهل السنّة یعترفون بکون المهدی ابن الإمام الحسن العسکری وأنه مولود حی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من قال بذلک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هاشم البلاذری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عمر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عبداللّٰه بن الخشّاب، المتوفی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إبن الأزرق المؤرّخ، المتوفی سنة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الفخر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الاندلسی، المتوفی سنة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ابن طلحة، المتوفی سنة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عبداللّٰه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القونوی،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ابن خلکان المتوفی سنة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الدین الحموئی، المتوفی سنة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الوردی، المتوفی سنة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ابن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الصبّاغ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عبدالوهاب الشعرانی،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القاری،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عبدالحق الدهلوی،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ولی اللّٰه الدهلوی، المتوفی سنة </w:t>
      </w:r>
      <w:r>
        <w:rPr>
          <w:rFonts w:eastAsia="IRNazanin" w:cs="IRNazanin"/>
          <w:color w:val="111111"/>
          <w:sz w:val="28"/>
          <w:szCs w:val="28"/>
          <w:lang w:bidi="fa-IR"/>
        </w:rPr>
        <w:t>1176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القندوزی الحنفی،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w:t>
      </w:r>
      <w:bookmarkStart w:id="48" w:name="pg4653_54119"/>
    </w:p>
    <w:p>
      <w:pPr>
        <w:pStyle w:val="Heading2"/>
        <w:numPr>
          <w:ilvl w:val="1"/>
          <w:numId w:val="1"/>
        </w:numPr>
        <w:rPr/>
      </w:pPr>
      <w:bookmarkStart w:id="49" w:name="__RefHeading___Toc379282_2035185390"/>
      <w:bookmarkStart w:id="50" w:name="_Toc18"/>
      <w:bookmarkEnd w:id="48"/>
      <w:bookmarkEnd w:id="49"/>
      <w:r>
        <w:rPr>
          <w:rtl w:val="true"/>
        </w:rPr>
        <w:t>الفصل الثانی الأخبار المعارضة</w:t>
      </w:r>
      <w:bookmarkEnd w:id="50"/>
    </w:p>
    <w:p>
      <w:pPr>
        <w:pStyle w:val="Heading3"/>
        <w:numPr>
          <w:ilvl w:val="2"/>
          <w:numId w:val="1"/>
        </w:numPr>
        <w:rPr/>
      </w:pPr>
      <w:bookmarkStart w:id="51" w:name="__RefHeading___Toc379284_2035185390"/>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عقدنا هذا الفصل لِما قد یرویٰ فی بعض کتب أهل السنّة مخالفاً لِما ثبت عند المسلمین ویُدّعیٰ کونه معارضاً لما ورد متواتراً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یخلو الکتاب من هذه الناحیة، ولا یبقی ریبٌ فیما اتفقت علیه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الأخبار کلّها موضوعة أو محرّفة أو شاذة لا تصلح لمعارضة ما صحّ أو تواتر، وهی کما یلی</w:t>
      </w:r>
      <w:r>
        <w:rPr>
          <w:rFonts w:eastAsia="IRNazanin" w:cs="IRNazanin"/>
          <w:color w:val="111111"/>
          <w:sz w:val="28"/>
          <w:szCs w:val="28"/>
          <w:rtl w:val="true"/>
          <w:lang w:bidi="fa-IR"/>
        </w:rPr>
        <w:t>:</w:t>
      </w:r>
    </w:p>
    <w:p>
      <w:pPr>
        <w:pStyle w:val="Heading3"/>
        <w:numPr>
          <w:ilvl w:val="2"/>
          <w:numId w:val="1"/>
        </w:numPr>
        <w:rPr/>
      </w:pPr>
      <w:bookmarkStart w:id="53" w:name="__RefHeading___Toc379286_2035185390"/>
      <w:bookmarkStart w:id="54" w:name="_Toc20"/>
      <w:bookmarkEnd w:id="53"/>
      <w:r>
        <w:rPr>
          <w:rtl w:val="true"/>
        </w:rPr>
        <w:t>حدیث</w:t>
      </w:r>
      <w:r>
        <w:rPr>
          <w:rtl w:val="true"/>
        </w:rPr>
        <w:t xml:space="preserve">: </w:t>
      </w:r>
      <w:r>
        <w:rPr>
          <w:rtl w:val="true"/>
        </w:rPr>
        <w:t>لا مهدی إلّاعیسی بن مریم</w:t>
      </w:r>
      <w:bookmarkEnd w:id="54"/>
    </w:p>
    <w:p>
      <w:pPr>
        <w:pStyle w:val="BookText"/>
        <w:rPr/>
      </w:pPr>
      <w:r>
        <w:rPr>
          <w:rFonts w:ascii="IRNazanin" w:hAnsi="IRNazanin" w:eastAsia="IRNazanin"/>
          <w:color w:val="111111"/>
          <w:sz w:val="28"/>
          <w:sz w:val="28"/>
          <w:szCs w:val="28"/>
          <w:rtl w:val="true"/>
          <w:lang w:bidi="fa-IR"/>
        </w:rPr>
        <w:t>انفرد بروایته ابن ماجة، حیث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عبدالأعلی، ثنا محمّد بن إدریس الشافعی، حدّثنی محمّد بن خالد الجندی، عن أبان بن صالح، عن الحسن،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یزداد الأمر إلّا شدّة ولا الدنیا إلّاإدباراً ولا الناس إلّاشحّاً، ولا تقوم الساعة إلّاعلی شرار</w:t>
      </w:r>
    </w:p>
    <w:p>
      <w:pPr>
        <w:pStyle w:val="BookText"/>
        <w:rPr/>
      </w:pPr>
      <w:r>
        <w:rPr>
          <w:rFonts w:ascii="IRNazanin" w:hAnsi="IRNazanin" w:eastAsia="IRNazanin"/>
          <w:color w:val="111111"/>
          <w:sz w:val="28"/>
          <w:sz w:val="28"/>
          <w:szCs w:val="28"/>
          <w:rtl w:val="true"/>
          <w:lang w:bidi="fa-IR"/>
        </w:rPr>
        <w:t>الناس، ولا مهدی إلّاعیسی بن مریم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تکذّبه أخبار المهدی عند أهل البیت علیهم السلام وأحادیثه الواردة بالتواتر من طرق غیرهم، ولذا، فقد ضعّفه الأئمّة کالحاکم والبیهقی وغیرهما </w:t>
      </w:r>
      <w:r>
        <w:rPr>
          <w:rStyle w:val="FootnoteAnchor"/>
          <w:rtl w:val="true"/>
        </w:rPr>
        <w:footnoteReference w:id="65"/>
      </w:r>
      <w:r>
        <w:rPr>
          <w:rFonts w:ascii="IRNazanin" w:hAnsi="IRNazanin" w:eastAsia="IRNazanin"/>
          <w:color w:val="111111"/>
          <w:sz w:val="28"/>
          <w:sz w:val="28"/>
          <w:szCs w:val="28"/>
          <w:rtl w:val="true"/>
          <w:lang w:bidi="fa-IR"/>
        </w:rPr>
        <w:t>، وقد تکلّم علماء القوم فی رجاله، قالوا فی 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المنفرد بروایته، ولذا أوردوه بترجمته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الصنعانی المؤذّن، روی عن أبان بن صالح عن الحسن عن أنس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ابن ماجة حدیث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أبو 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تفرّد به 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خالد رجل مجهول، واختلفوا فی إسناده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عن أبان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أبو عبداللّٰه الحاکم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لا مهدی إلّاعیسی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منکر،</w:t>
      </w:r>
    </w:p>
    <w:p>
      <w:pPr>
        <w:pStyle w:val="BookText"/>
        <w:rPr/>
      </w:pP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بفتح الجیم والنون، المؤذّن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وثّقه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 الحافظین ابن عبدالبر وابن حزم أنهما ضعّفاه </w:t>
      </w:r>
      <w:r>
        <w:rPr>
          <w:rStyle w:val="FootnoteAnchor"/>
          <w:rtl w:val="true"/>
        </w:rPr>
        <w:footnoteReference w:id="69"/>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یسمع من الحسن، ذکره ابن الصّلاح فی أمالیه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المعروف المشهور، وعداده فی بعض الکتب فی مبغضی علی علیه السلام، ولذا ورد الذم فیه عن أهل البیت، بل قیل بتواتر ذلک عنهم </w:t>
      </w:r>
      <w:r>
        <w:rPr>
          <w:rStyle w:val="FootnoteAnchor"/>
          <w:rtl w:val="true"/>
        </w:rPr>
        <w:footnoteReference w:id="71"/>
      </w:r>
      <w:r>
        <w:rPr>
          <w:rFonts w:ascii="IRNazanin" w:hAnsi="IRNazanin" w:eastAsia="IRNazanin"/>
          <w:color w:val="111111"/>
          <w:sz w:val="28"/>
          <w:sz w:val="28"/>
          <w:szCs w:val="28"/>
          <w:rtl w:val="true"/>
          <w:lang w:bidi="fa-IR"/>
        </w:rPr>
        <w:t xml:space="preserve">، وأما أهل السنّة، فإنّهم وإنْ رووا عنه فی الصّحاح الستة وعدّوه من الزُّهاد الثمانیة، فقد نصوا علی أنه کان کثیر الإرسال والتدلیس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وثّقوه إلّاأنّه متّهم بالکذب فی هذا الخبر، فقد قال الحافظ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الحافظ أبو القاسم فی تاریخ دمشق بإسناده عن أحمد بن محمّد بن رشدین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عبیداللّٰه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إدریس الشافعی فی المنام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یونس فی حدیث الجندی حدیث الحسن عن أنس عن النبی صلّی اللّٰه علیه وسلّم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حدیثی ولا حدّثت به، کذب علیَّ یونس</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بالإضافة إلی أنّ الذّهبی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وللحدیث علة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جاء فی النّصوص الصحیحة المتکاثرة أنّ عیسی بن مریم ینزل ویصلّی خلف المهدی، ومن ذلک ما أخرجه البخاری ومسلم بسندهما 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أخرجه أحمد بسنده عنه انّه قال فی حدیثٍ فیه ذکر الدجّال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بعیسی بن مریم، فتقام الصلاة،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لیتقدّم إمامکم فیصلّ بکم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ینزل عند صلاة الصبح علی المنارة البیضاء شرقی دمشق، فیجد الإمام المهدی یرید الصلاة فیحسُّ به فیتأخّر لیتقدم، فیقدّمه عیسی علیه السلام ویصلّی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به فضلاً وشرفاً لهذه الامّة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 الآبری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واستفاضت بکثرة رواتها عن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أهل بیته، وأنّه یملک سبع سنین، ویملأ الأرض عدلاً، وأنّه یخرج عیسی بن مریم فیساعده علی قتل الدجّال بباب اللّد بأرض فلسطین، وأنه یؤمّ هذه الامّة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من قصّته وأمره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السیوطی ردّاً علی من أنکر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أعجب العجب، فإنّ صلاة عیسی خلف المهدی ثابتة فی عدّة أخبار صحیحة، بإخبار رسول اللّٰه صلّی اللّٰه علی وسلّم، وهو الصّادق المصدّق الذی</w:t>
      </w:r>
      <w:bookmarkStart w:id="55" w:name="pg4653_54124"/>
    </w:p>
    <w:p>
      <w:pPr>
        <w:pStyle w:val="BookText"/>
        <w:rPr/>
      </w:pPr>
      <w:bookmarkEnd w:id="55"/>
      <w:r>
        <w:rPr>
          <w:rFonts w:ascii="IRNazanin" w:hAnsi="IRNazanin" w:eastAsia="IRNazanin"/>
          <w:color w:val="111111"/>
          <w:sz w:val="28"/>
          <w:sz w:val="28"/>
          <w:szCs w:val="28"/>
          <w:rtl w:val="true"/>
          <w:lang w:bidi="fa-IR"/>
        </w:rPr>
        <w:t>لا یخلف خبره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سقوط قول السّعد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یقتدی بالمهدی أو بالعکس، شیء لا مستند له، فلا ینبغی أنْ یعوّل علیه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79288_2035185390"/>
      <w:bookmarkStart w:id="57" w:name="_Toc21"/>
      <w:bookmarkEnd w:id="56"/>
      <w:r>
        <w:rPr>
          <w:rtl w:val="true"/>
        </w:rPr>
        <w:t>حدیثٌ فی أنّ المهدی من ولد الحسن</w:t>
      </w:r>
      <w:bookmarkEnd w:id="57"/>
    </w:p>
    <w:p>
      <w:pPr>
        <w:pStyle w:val="BookText"/>
        <w:rPr/>
      </w:pPr>
      <w:r>
        <w:rPr>
          <w:rFonts w:ascii="IRNazanin" w:hAnsi="IRNazanin" w:eastAsia="IRNazanin"/>
          <w:color w:val="111111"/>
          <w:sz w:val="28"/>
          <w:sz w:val="28"/>
          <w:szCs w:val="28"/>
          <w:rtl w:val="true"/>
          <w:lang w:bidi="fa-IR"/>
        </w:rPr>
        <w:t>أخرج صاحب المشکاة عن أبی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کما سمّاه رسول اللّٰه صلّی اللّٰه علیه وسلّم، وسیخرج من صلب رجل یسمّی باسم نبیّکم، یشبهه فی الخُلق ولا 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ولم یذکر القصة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القاری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الحدیث دلیل صریح علی ما قدّمناه من أنّ المهدی من أولاد الحسن ویکون له انتساب من جهة الأُم إلی الحسین،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یبطل 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هو محمّد بن الحسن العسکری القائم المنتظر، فإنّه حسینی بالإتّفاق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علیّاً رضی اللّٰه تعالی عنه أراد به غیر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یبطله قصّة یملأ الأرض عدلاً، إذ لا یعرف فی السادات الحسینیة ولا الحسنیة من ملأ الأرض عدلاً إلّاما ثبت فی حق المهدی الموعود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دلیل فی الاُصول الستّة المسمّاة بالصحاح عند القوم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إلّاهذا الحدیث، وهو لیس إلّافی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عمرو بن عبداللّٰه السبیعی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ولم یذکر القصّة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نظر إلی ابنه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ابنی هذا سیّد کما سمّاه النبی صلّی اللّٰه علیه وسلّم، وسیخرج من صلبه رجل یسمی باسم نبیّکم یشبه فی الخُلق ولا 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أبو داود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هذا هو الدلیل الوحید للقول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التأمّل فیه سنداً ولفظاً ومدلولاً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سند الحدیث، فقد جاء فی سنن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عن هارون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عمرو بن أبی قیس، عن شعیب بن خالد، عن أبی إسحاق، قال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لوهنه ما فی أوّل السّند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 فأبو داود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حدّثه به؟ وأمّا فی آخره، فأبو إسحاق السبیعی إنما رأی علیّاً علیه السلام رؤیةً فقط، فلابدّ وأنّه حُدّث بذلک، فمن الذی حدّثه به؟</w:t>
      </w:r>
    </w:p>
    <w:p>
      <w:pPr>
        <w:pStyle w:val="BookText"/>
        <w:rPr/>
      </w:pPr>
      <w:r>
        <w:rPr>
          <w:rFonts w:ascii="IRNazanin" w:hAnsi="IRNazanin" w:eastAsia="IRNazanin"/>
          <w:color w:val="111111"/>
          <w:sz w:val="28"/>
          <w:sz w:val="28"/>
          <w:szCs w:val="28"/>
          <w:rtl w:val="true"/>
          <w:lang w:bidi="fa-IR"/>
        </w:rPr>
        <w:t>هذا، وقد جاء فی حاشیة جامع الاصول عن الحافظ المنذری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منقطع، أبو إسحاق رأی علیاً رؤیة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حاشیة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الحدیث ضعیف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لفظه، فمختلف صدراً وذیلاً، أمّا صدره ففی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یملأ</w:t>
      </w:r>
    </w:p>
    <w:p>
      <w:pPr>
        <w:pStyle w:val="BookText"/>
        <w:rPr/>
      </w:pPr>
      <w:r>
        <w:rPr>
          <w:rFonts w:ascii="IRNazanin" w:hAnsi="IRNazanin" w:eastAsia="IRNazanin"/>
          <w:color w:val="111111"/>
          <w:sz w:val="28"/>
          <w:sz w:val="28"/>
          <w:szCs w:val="28"/>
          <w:rtl w:val="true"/>
          <w:lang w:bidi="fa-IR"/>
        </w:rPr>
        <w:t>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ولم یذکر القصّة</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وهذا نفس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حدیث أبی داود، وکذلک الأمر بالنسبة إلی حدیث غیره من أحادیث الباب، الواردة فی بعض الکتب، فهذا السّلمی الشافعی یروی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أبی وائل مثلَ حدیث أبی إسحاق السبیعی، لکن النسخ مختلفة، فعن النسخة الأصلیّة، وکذا المستنسخة عن خطّ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 الاخری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الحافظ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حذیفة الآتی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فی النسخة الأصلیّة والمکتوبة عن خطّه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بیده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بعض النسخ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وقع هذا الاختلاف عندهم من جهة الشبه بین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أو کان هناک قصد وعمد من بعض المغرضین کیلا تصل الحقائق إلی الاُمّة کما هی وکما ترویٰ عن أهل</w:t>
      </w:r>
    </w:p>
    <w:p>
      <w:pPr>
        <w:pStyle w:val="BookText"/>
        <w:rPr/>
      </w:pPr>
      <w:r>
        <w:rPr>
          <w:rFonts w:ascii="IRNazanin" w:hAnsi="IRNazanin" w:eastAsia="IRNazanin"/>
          <w:color w:val="111111"/>
          <w:sz w:val="28"/>
          <w:sz w:val="28"/>
          <w:szCs w:val="28"/>
          <w:rtl w:val="true"/>
          <w:lang w:bidi="fa-IR"/>
        </w:rPr>
        <w:t xml:space="preserve">البیت الذین أدری بما فی البیت؟ إنّه وإنْ لم نستبعد الإحتمال الأوّل لکنّ الذی یقوی فی النظر هو الثانی، لقرائن کثیرة عندنا تؤیّده، لا سیّما فیما یتعلّق بأهل البیت، وحتّی فی هذا المورد عثرنا علی قرینةٍ قویّة علی أنّ القوم کانوا یحاولون کتم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کانوا یمتنعون من التصریح بها واللّٰه العالم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الإمامان الحافظان أبو الحسین أحمد بن جعفر بن المنادی، وأبو عبداللّٰه بن حماد،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ولد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أی‌ولد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أعلم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ذیله، فقد عرفت أنّ أبا داود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لم یذکر أبو داود القصّة، کما نبّه علیه ابن الأثیر وصاحب المشکاة وغیرهما؟ ثم جاء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bookmarkStart w:id="58" w:name="pg4653_54129"/>
    </w:p>
    <w:p>
      <w:pPr>
        <w:pStyle w:val="BookText"/>
        <w:rPr/>
      </w:pPr>
      <w:bookmarkEnd w:id="58"/>
      <w:r>
        <w:rPr>
          <w:rFonts w:ascii="IRNazanin" w:hAnsi="IRNazanin" w:eastAsia="IRNazanin"/>
          <w:color w:val="111111"/>
          <w:sz w:val="28"/>
          <w:sz w:val="28"/>
          <w:szCs w:val="28"/>
          <w:rtl w:val="true"/>
          <w:lang w:bidi="fa-IR"/>
        </w:rPr>
        <w:t>یذکر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ممّا یؤکّد أنّ هذه القطعة لم تکن من الحدیث، ویزیده تأکیداً أن الحافظ البیهقی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کذلک، أی‌إلی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یشبهه فی الخلق ولا یشبهه فی الخلق</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مفاد الحدیث ومدلوله، فإنه بعد ما عرفت الإضطراب فی لفظه ومتنه لا یدل علی شیء، فلا یبقی مجال لما ذکره القاری، ویسقط ما ادّعاه من أن الحدیث یبطل ما تذهب إلیه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الإشکال الذی أورده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إذ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کونها من الحدیث عن علی علیه السلام لو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59" w:name="__RefHeading___Toc379290_2035185390"/>
      <w:bookmarkStart w:id="60" w:name="_Toc22"/>
      <w:bookmarkEnd w:id="59"/>
      <w:r>
        <w:rPr>
          <w:rtl w:val="true"/>
        </w:rPr>
        <w:t>حدیث</w:t>
      </w:r>
      <w:r>
        <w:rPr>
          <w:rtl w:val="true"/>
        </w:rPr>
        <w:t xml:space="preserve">: </w:t>
      </w:r>
      <w:r>
        <w:rPr>
          <w:rtl w:val="true"/>
        </w:rPr>
        <w:t>إسم أبیه إسم أبی</w:t>
      </w:r>
      <w:bookmarkEnd w:id="60"/>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رواه؟ وما إسناده؟</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أحمد فی مسند عبداللّٰه بن مسعود عن عمر بن عبید عن عاصم ابن أبی النجود عن زر بن حبیش 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الأیام ولا یذهب الدهر حتی یملک رجل من أهل بیتی اسمه یواطئ اسمی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سعید عن سفیان عن عاصم عن زر عن عبداللّٰه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الدنیا حتی یملک العرب رجل من أهل بیتی ویواطئ اسمه اسمی</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بنفس السند واللفظ مرة اخری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بن عبید الطنافسی، عن عاصم عن زر عن عبداللّٰه باللّفظ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عبید بن أسباط بن محمّد القرشی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سفیان الثوری عن عاصم بن بهدلة عن زر عن عبداللّٰه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w:t>
      </w:r>
    </w:p>
    <w:p>
      <w:pPr>
        <w:pStyle w:val="BookText"/>
        <w:rPr/>
      </w:pPr>
      <w:r>
        <w:rPr>
          <w:rFonts w:ascii="IRNazanin" w:hAnsi="IRNazanin" w:eastAsia="IRNazanin"/>
          <w:color w:val="111111"/>
          <w:sz w:val="28"/>
          <w:sz w:val="28"/>
          <w:szCs w:val="28"/>
          <w:rtl w:val="true"/>
          <w:lang w:bidi="fa-IR"/>
        </w:rPr>
        <w:t>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وأبی سعید واُمّ سلمة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صحیح</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فی روایة أبی داود کذلک، غیر أنّه رواه فی أحد الأسانید 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عبید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محمّد بن العلاء ثنا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عیّاش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 وثنا مسدّد ثنا یحیی، عن سفیان، وثنا أحمد بن إبراهیم، ثنا عبیداللّٰه بن موسی، أخبرنا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وثنا أحمد بن إبراهیم حدّثنی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عاصم، عن زر، عن عبداللّٰه،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إلّایوم، 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اللّٰه ذلک الیوم حتی یبعث فیه رجل منّی أو من أهل بیتی‌یواطئ 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حدیث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حدیث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حتی یملک العرب رجل من أهل بیتی یواطئ اسمه اسمی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عمر وأبی بکر بمعنی سفیان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التطابق فی الروایة لحدیث عبداللّٰه بن مسعود بین روایة أحمد والترمذی وأبی داود، وهو المطابق لما تذهب إلیه الإمامیّة، ووافقهم علیه من غیرهم کثیرون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فاسمه یواطئ اسم جدّه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وانفرد أبو داود بروایة الحدیث بسندٍ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تکلّم علماء الفریقین علی هذا اللفظ سنداً ومعنیً وأجابوا عنه بوجوهٍ عدیدة، لا حاجة بنا إلی التطویل بإیرادها بعد ما تقرّر لزوم طرح الشاذ النادر من الأخبار، والأخذ بالمجمع علیه، لکون المجمع علیه لا ریب فیه</w:t>
      </w:r>
      <w:r>
        <w:rPr>
          <w:rFonts w:eastAsia="IRNazanin" w:cs="IRNazanin"/>
          <w:color w:val="111111"/>
          <w:sz w:val="28"/>
          <w:szCs w:val="28"/>
          <w:rtl w:val="true"/>
          <w:lang w:bidi="fa-IR"/>
        </w:rPr>
        <w:t>.</w:t>
      </w:r>
      <w:bookmarkStart w:id="61" w:name="pg4653_54135"/>
    </w:p>
    <w:p>
      <w:pPr>
        <w:pStyle w:val="Heading2"/>
        <w:numPr>
          <w:ilvl w:val="1"/>
          <w:numId w:val="1"/>
        </w:numPr>
        <w:rPr/>
      </w:pPr>
      <w:bookmarkStart w:id="62" w:name="__RefHeading___Toc379292_2035185390"/>
      <w:bookmarkStart w:id="63" w:name="_Toc23"/>
      <w:bookmarkEnd w:id="61"/>
      <w:bookmarkEnd w:id="62"/>
      <w:r>
        <w:rPr>
          <w:rtl w:val="true"/>
        </w:rPr>
        <w:t>الفصل الثالث التساؤلات والشبهات</w:t>
      </w:r>
      <w:bookmarkEnd w:id="63"/>
    </w:p>
    <w:p>
      <w:pPr>
        <w:pStyle w:val="Heading3"/>
        <w:numPr>
          <w:ilvl w:val="2"/>
          <w:numId w:val="1"/>
        </w:numPr>
        <w:rPr/>
      </w:pPr>
      <w:bookmarkStart w:id="64" w:name="__RefHeading___Toc379294_2035185390"/>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قال سعد الدین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زعمت الإمامیة من الشیعة أن محمّد بن الحسن العسکری اختفی عن الناس خوفاً من الأعداء، ولا استحالة فی طول عمره کنوح ولقمان والخضر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ذلک سائر الفرق، لأنّه ادّعاء أمر مستبعد جدّاً، ولأنّ اختفاء إمامٍ هذا القدر من الأنام بحیث لا یذکر منه إلّاالإسم بعید جدّاً، ولأنّ بعثه مع هذا الإختفاء عبث، ولو سلّم فکان ینبغی أنْ یکون ظاهراً، فما قیل أو فیما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یقتدی بالمهدی أو بالعکس شیء لا مستند له، فلا ینبغی أنْ یعوّل علیه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غایة ما توصّل إلیه متکلّمهم سعد الدین التفتازانی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تطرح هذه الأسئلة کبحوثٍ علمیة ومناقشات، فلا مانع، ویا حبّذا لو تطرح کذلک ویلتزم فیها بالآداب والأخلاق والمتانة،</w:t>
      </w:r>
    </w:p>
    <w:p>
      <w:pPr>
        <w:pStyle w:val="BookText"/>
        <w:rPr/>
      </w:pPr>
      <w:r>
        <w:rPr>
          <w:rFonts w:ascii="IRNazanin" w:hAnsi="IRNazanin" w:eastAsia="IRNazanin"/>
          <w:color w:val="111111"/>
          <w:sz w:val="28"/>
          <w:sz w:val="28"/>
          <w:szCs w:val="28"/>
          <w:rtl w:val="true"/>
          <w:lang w:bidi="fa-IR"/>
        </w:rPr>
        <w:t>ولا یکون هناک شتم وسبّ وتهجّم وتهریج واستهزاء، وهکذا فعل بعض العلماء وبعض الکتّاب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أنّنا إذا راجعنا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فی فصل البحث عن المهدی قد ملأ کتابه حقداً وبغضاً وعناداً وسبّاً وشتماً وتهریجاً وتکذیباً للحقائق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أنّکم أخرجتم من کتاب منهاج السنّة ما یتعلّق بالمهدی وما اشتمل علیه من السب والشتم لجاء کتاباً مستقلاً، وقد أوردنا فی المقدمة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تبعه أولیاؤه فی هذا المنهج من کتّاب زماننا وفی خصوص المهدی سلام اللّٰه علیه واعتقاد الشیعة فی المهدی، تراهم یتهجّمون ویسبّون وینسبون إلینا الأکاذیب، ویخرجون عن حدود الآداب، ومع الأسف یکون لکتبهم قرّاء ومن یروّج لها فی بعض الأوساط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والحقیقة، أنّه تارةً یشک الباحث فی أحادیث المهدی، أو یُناقش فی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الإثنا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لا یرتضی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له وجه، بمعنی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لا أُوافق علی صحّة هذه الأحادیث، فیبقی علی رأیه، ولا یتکلّم معه إن لم یقتنع بما فی الکتب، لا سیّما بروایات أبناء مذهبه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أنّ هذه الأحادیث مخرّجة فی الصحاح، وفی السنن، والمسانید، والکتب المعتبرة، وأنّها أحادیث متّفق علیها بین السلمین،</w:t>
      </w:r>
      <w:bookmarkStart w:id="66" w:name="pg4653_54137"/>
    </w:p>
    <w:p>
      <w:pPr>
        <w:pStyle w:val="BookText"/>
        <w:rPr/>
      </w:pPr>
      <w:bookmarkEnd w:id="66"/>
      <w:r>
        <w:rPr>
          <w:rFonts w:ascii="IRNazanin" w:hAnsi="IRNazanin" w:eastAsia="IRNazanin"/>
          <w:color w:val="111111"/>
          <w:sz w:val="28"/>
          <w:sz w:val="28"/>
          <w:szCs w:val="28"/>
          <w:rtl w:val="true"/>
          <w:lang w:bidi="fa-IR"/>
        </w:rPr>
        <w:t>وأنّ الإعتقاد بالمهدی علیه السلام أو الإعتقاد بالإمام فی کلّ زمان واجب، وأنّ المهدی هو الثانی عشر فی الحدیث المعروف المتفق علیه، فیکون البحث بنحو آخر، لأنّه إنْ کان الباحث موافقاً علی هذه الأحادیث، وعلی ما ورد من أنّ المهدی ابن الحسن العسکری، فلا محالة یکون معتقداً بولادة المهدی علیه السلام، کما اعتقدوا، وذکرنا أسماء کثیرین منهم</w:t>
      </w:r>
      <w:r>
        <w:rPr>
          <w:rFonts w:eastAsia="IRNazanin" w:cs="IRNazanin"/>
          <w:color w:val="111111"/>
          <w:sz w:val="28"/>
          <w:szCs w:val="28"/>
          <w:rtl w:val="true"/>
          <w:lang w:bidi="fa-IR"/>
        </w:rPr>
        <w:t>.</w:t>
      </w:r>
    </w:p>
    <w:p>
      <w:pPr>
        <w:pStyle w:val="Heading3"/>
        <w:numPr>
          <w:ilvl w:val="2"/>
          <w:numId w:val="1"/>
        </w:numPr>
        <w:rPr/>
      </w:pPr>
      <w:bookmarkStart w:id="67" w:name="__RefHeading___Toc379296_2035185390"/>
      <w:bookmarkStart w:id="68" w:name="_Toc25"/>
      <w:bookmarkEnd w:id="67"/>
      <w:r>
        <w:rPr/>
        <w:t>1</w:t>
      </w:r>
      <w:r>
        <w:rPr>
          <w:rtl w:val="true"/>
        </w:rPr>
        <w:t xml:space="preserve"> - </w:t>
      </w:r>
      <w:r>
        <w:rPr>
          <w:rtl w:val="true"/>
        </w:rPr>
        <w:t>مسألة طول العمر</w:t>
      </w:r>
      <w:bookmarkEnd w:id="68"/>
    </w:p>
    <w:p>
      <w:pPr>
        <w:pStyle w:val="BookText"/>
        <w:rPr/>
      </w:pPr>
      <w:r>
        <w:rPr>
          <w:rFonts w:ascii="IRNazanin" w:hAnsi="IRNazanin" w:eastAsia="IRNazanin"/>
          <w:color w:val="111111"/>
          <w:sz w:val="28"/>
          <w:sz w:val="28"/>
          <w:szCs w:val="28"/>
          <w:rtl w:val="true"/>
          <w:lang w:bidi="fa-IR"/>
        </w:rPr>
        <w:t>نعم، منهم من یستبعد طول العمر، بأنْ یبقی الإنسان هذه المدة فی هذا العالم، وهذا مستبعد کما عبّر السعد التفتازانی، فإن التفتازانی لم یکذّب ولادة المهدی من الحسن العسکری سلام اللّٰه علیه، وإنّما استبعد أن یکون الإمام باقیاً هذه المدة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بعضهم یعترف بولادة الإمام علیه السلام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یعترف بولادته بمقتضی الأدلّة الموجودة لکنّه یقول بموته، لعدم تعقّله بقاء الإنسان فی هذا العالم هذا المقدار من العمر، لکن هذا یتنافی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قرّرنا أنّ هذا الحدیث یدلّ علی وجود إمام فی کلّ زمان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نری البعض الآخر منهم یلتفت إلی هذه النواحی، فلا یقول مات، 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ندری ما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إلّاأنّه لا ندری ما صار، ما وقع</w:t>
      </w:r>
    </w:p>
    <w:p>
      <w:pPr>
        <w:pStyle w:val="BookText"/>
        <w:rPr/>
      </w:pPr>
      <w:r>
        <w:rPr>
          <w:rFonts w:ascii="IRNazanin" w:hAnsi="IRNazanin" w:eastAsia="IRNazanin"/>
          <w:color w:val="111111"/>
          <w:sz w:val="28"/>
          <w:sz w:val="28"/>
          <w:szCs w:val="28"/>
          <w:rtl w:val="true"/>
          <w:lang w:bidi="fa-IR"/>
        </w:rPr>
        <w:t>علیه، لا یعترف ببقائه، لأنّه یستبعد البقاء هذه المدة، ولا ینفی البقاء لأنّه یتنافی مع الأحادیث، یعترف بالولادة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ما صار، وأین صار، وما وقع علیه، ممّا یظهر أنّهم ملتزمون بهذه الأحادیث، ومن التزم بهذه الأحادیث لابدّ وأن یلتزم بولادة المهدی علیه السلام ووجوده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الإستبعاد دائماً وفی کلّ شیء، وفی کلّ أمر من الأُمور، الإستبعاد یزول إنْ حدث له نظیر، لو أنّک تیقّنت عدم شیء أو عدم إمکان شیء، فوقع فرد واحد ومصداق واحد لذلک الشیء، ذلک الإعتقاد بالعدم الذی کنت تجزم به مائة بالمائة سیکون تسعین بالمائة، لوقوع فرد واحد، فإذا وقع فرد آخر، وإذا وقع فرد ثالث، ومصداق رابع، هذا الإعتقاد الذی کان مائة بالمائة ثمّ أصبح تسعین بالمائة ینزل علی ثمانین، وسبعین، و، و، إلی خمسین وتحت الخمسین، فحینئذٍ، نقول للسعد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وتعالی أمکنه أنْ یعمّر نوحاً هذا العمر، أمکنه أن یبقی خضراً فی هذا العالم هذه المدة، أمکنه سبحانه وتعالی أنْ یبقی عیسی حیث هو حیّاً هذه المدّة، الذی هو من ضروریات عقائد المسلمین، ومن یمکنه أنْ ینکر وجود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روایاتهم هم یثبتون وجود الدجال الآن، یقولون بوجوده منذ ذلک الزمان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تعدّدت الأفراد، وتعدّدت المصادیق، وتعدّدت الشواهد،</w:t>
      </w:r>
    </w:p>
    <w:p>
      <w:pPr>
        <w:pStyle w:val="BookText"/>
        <w:rPr/>
      </w:pPr>
      <w:r>
        <w:rPr>
          <w:rFonts w:ascii="Amiri" w:hAnsi="Amiri" w:eastAsia="Amiri" w:cs="Amiri"/>
          <w:color w:val="111111"/>
          <w:sz w:val="28"/>
          <w:sz w:val="28"/>
          <w:szCs w:val="28"/>
          <w:rtl w:val="true"/>
          <w:lang w:bidi="ar-SA"/>
        </w:rPr>
        <w:t>یقلّ الإستبعاد یوماً فیوماً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الإکتشافات والإختراعات التی ترونها یوماً فیوماً قد حوّلت المستحیلات إلی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لیس للسعد التفتازانی وغیره إلّاالإستبعاد، وقد ذکرنا أنّ الإستبعاد یزول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بعض علمائنا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أحداً ادّعی تمکّنه من المشی علی الماء، یکذّبه الحاضرون، وکلّ من یسمع هذه الدعوی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ممکن، فإذا مشی علی الماء وعبر النهر مرّةً یزول الإستغراب أو الإستبعاد من السامعین بمقدار هذه المرّة، فإذا کرّر هذا الفعل وکرّره وکرّره أصبح هذا الفعل أمراً طبیعیاً وسهل القبول للجمیع، حینئذ هذا الإستبعاد یزول بوجود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ابن تیمیّة ملتفت إلی هذه الناحیة، فیکذّب أصل حیاة الخضر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أکثر العلماء یقولون بأنّ الخضر قد مات </w:t>
      </w:r>
      <w:r>
        <w:rPr>
          <w:rStyle w:val="FootnoteAnchor"/>
          <w:rtl w:val="true"/>
        </w:rPr>
        <w:footnoteReference w:id="97"/>
      </w:r>
      <w:r>
        <w:rPr>
          <w:rFonts w:ascii="IRNazanin" w:hAnsi="IRNazanin" w:eastAsia="IRNazanin"/>
          <w:color w:val="111111"/>
          <w:sz w:val="28"/>
          <w:sz w:val="28"/>
          <w:szCs w:val="28"/>
          <w:rtl w:val="true"/>
          <w:lang w:bidi="fa-IR"/>
        </w:rPr>
        <w:t>، فیضطرّ إلی هذه الدعوی، لأنّ هذه النظائر إذا ارتفعت رجع الإستبعاد مرة أُخری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إذا رجعت مثلاً إلی الإصابة لابن حجر العسقلانی لرأیته یذکر الخضر من جملة الصحابة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رجعت إلی کتاب تهذیب الأسماء واللغات للحافظ النووی الذی هو من علماء القرن السادس أو السابع یصرّح بأنّ جمهور العلماء علی أنّ الخضر حی </w:t>
      </w:r>
      <w:r>
        <w:rPr>
          <w:rStyle w:val="FootnoteAnchor"/>
          <w:rtl w:val="true"/>
        </w:rPr>
        <w:footnoteReference w:id="99"/>
      </w:r>
      <w:r>
        <w:rPr>
          <w:rFonts w:ascii="IRNazanin" w:hAnsi="IRNazanin" w:eastAsia="IRNazanin"/>
          <w:color w:val="111111"/>
          <w:sz w:val="28"/>
          <w:sz w:val="28"/>
          <w:szCs w:val="28"/>
          <w:rtl w:val="true"/>
          <w:lang w:bidi="fa-IR"/>
        </w:rPr>
        <w:t>، فکان الخضر حیّاً إلی زمن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نزلت شیئاً فشیئاً تصل إلی مثل القاری فی المرقاة </w:t>
      </w:r>
      <w:r>
        <w:rPr>
          <w:rStyle w:val="FootnoteAnchor"/>
          <w:rtl w:val="true"/>
        </w:rPr>
        <w:footnoteReference w:id="100"/>
      </w:r>
      <w:r>
        <w:rPr>
          <w:rFonts w:ascii="IRNazanin" w:hAnsi="IRNazanin" w:eastAsia="IRNazanin"/>
          <w:color w:val="111111"/>
          <w:sz w:val="28"/>
          <w:sz w:val="28"/>
          <w:szCs w:val="28"/>
          <w:rtl w:val="true"/>
          <w:lang w:bidi="fa-IR"/>
        </w:rPr>
        <w:t>وتصل إلی مثل شارح المواهب اللدنیّة، هناک یصرّحون کلّهم ببقاء الخضر إلی زمانهم، وحتّی أنّهم ینقلون قصصاً وحکایاتٍ ممن التقی بالخضر وسمع منه الأخبار والروایات، فحینئذٍ تکذیب وجود الخضر من قبل ابن تیمیّة إنّما هو لعلةٍ ولحساب، وهو یعلم بأنّ وجود الخضر خیر دلیل علی أنّ هذا الإستبعاد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وتعالی إذا اقتضت الحکمة أنْ یبقی أحداً فی هذا العالم آلاف السنین إذا اقتضت الحکمة، فقدرته سبحانه وتعالی تطبّق تلک الإرادة، ومشیّته تطبَّق، وهو 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طول العمر، أصبحت الآن مسألة بسیطة الحلّ، وصار الجواب عن هذا السؤال سهلاً جدّاً فی مثل زماننا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هو السؤال الأوّل، ولعلّه الأهم</w:t>
      </w:r>
      <w:r>
        <w:rPr>
          <w:rFonts w:eastAsia="IRNazanin" w:cs="IRNazanin"/>
          <w:color w:val="111111"/>
          <w:sz w:val="28"/>
          <w:szCs w:val="28"/>
          <w:rtl w:val="true"/>
          <w:lang w:bidi="fa-IR"/>
        </w:rPr>
        <w:t>.</w:t>
      </w:r>
      <w:bookmarkStart w:id="69" w:name="pg4653_54141"/>
    </w:p>
    <w:p>
      <w:pPr>
        <w:pStyle w:val="Heading3"/>
        <w:numPr>
          <w:ilvl w:val="2"/>
          <w:numId w:val="1"/>
        </w:numPr>
        <w:rPr/>
      </w:pPr>
      <w:bookmarkStart w:id="70" w:name="__RefHeading___Toc379298_2035185390"/>
      <w:bookmarkStart w:id="71" w:name="_Toc26"/>
      <w:bookmarkEnd w:id="69"/>
      <w:bookmarkEnd w:id="70"/>
      <w:r>
        <w:rPr/>
        <w:t>2</w:t>
      </w:r>
      <w:r>
        <w:rPr>
          <w:rtl w:val="true"/>
        </w:rPr>
        <w:t xml:space="preserve"> - </w:t>
      </w:r>
      <w:r>
        <w:rPr>
          <w:rtl w:val="true"/>
        </w:rPr>
        <w:t>لماذا غاب وکیف یستفاد منه؟</w:t>
      </w:r>
      <w:bookmarkEnd w:id="71"/>
    </w:p>
    <w:p>
      <w:pPr>
        <w:pStyle w:val="BookText"/>
        <w:rPr/>
      </w:pPr>
      <w:r>
        <w:rPr>
          <w:rFonts w:ascii="IRNazanin" w:hAnsi="IRNazanin" w:eastAsia="IRNazanin"/>
          <w:color w:val="111111"/>
          <w:sz w:val="28"/>
          <w:sz w:val="28"/>
          <w:szCs w:val="28"/>
          <w:rtl w:val="true"/>
          <w:lang w:bidi="fa-IR"/>
        </w:rPr>
        <w:t>قال ابن تیمیّة والسعد التفتازانی بأنّ المهدی لم یبق منه إلّاالاسم ولم ینتفع منه أحد حتی القائلون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 فی غیر موضع من تفسیره بأنّ معرفة المهدی الذی تقول به الشیعة والانتفاع به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 الصّادق المصدّق بغیبة المهدی قبل ولادته بسنین طوال التنصیص علی إمامته، فی روایاتٍ کثیرة بالأسانید الصّحیحة، فدلّت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لوجودة ونصبه فائدة، لأن اللّٰه لا یفعل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الروایات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جابر بن عبداللّٰه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عزّوجل علی نبیّه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ورسوله،</w:t>
      </w:r>
    </w:p>
    <w:p>
      <w:pPr>
        <w:pStyle w:val="BookText"/>
        <w:rPr/>
      </w:pPr>
      <w:r>
        <w:rPr>
          <w:rFonts w:ascii="IRNazanin" w:hAnsi="IRNazanin" w:eastAsia="IRNazanin"/>
          <w:color w:val="111111"/>
          <w:sz w:val="28"/>
          <w:sz w:val="28"/>
          <w:szCs w:val="28"/>
          <w:rtl w:val="true"/>
          <w:lang w:bidi="fa-IR"/>
        </w:rPr>
        <w:t>فمن اولوا الأمر الذین قرن اللّٰه طاعتهم بطاعتک؟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خلفائی یا جابر، وأئمّة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أوّلهم علیُّ بن أبی طالب، ثمّ الحسن والحسین، ثمّ علیُّ بن الحسین، ثمّ محمّد بن علیٍّ المعروف فی التوراة بالباقر، وستدرکه یا جابر، فإذا لقیته فأقرئه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 ابن الحسین بن علیٍّ، ذاک یفتح اللّٰه تعالی ذکره علی یدیه مشارق الأرض ومغاربها، ذاک الذی یغیب عن شیعته وأولیائه غیبة لا یثبت فیها علی القول بإمامته إلّامن امتحن اللّٰه تعالی ذکره علی یدیه مشارق الأرض ومغاربها، ذاک الذی یغیب عن شیعته وأولیائه غیبة لا یثبت فیها علی القول بإمامته إلّامن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یقع لشیعته الانتفاع به فی غیبته؟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والذی بعثنی بالنبوَّة إنّهم یستضیئون بنوره وینتفعون بولایته فی غیبته کانتفاع الناس بالشمس وإن تجلّلها سحاب، یا جابر هذا من مکنون سرِّ اللّٰه، ومخزون علمه، فاکتمه إلّاعن أهله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للغلام من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أبی عبداللّٰه علیه السلام عن آبائه قال 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وکنیة کنیتی، أشبه الناس بی خلقاً وخلقاً، تکون له غیبة وحیرة حتی تضل الخلق عن أدیانهم، فعند ذلک یقبل کالشهاب الثاقب، فیملؤها قسطاً وعدلاً کما ملئت ظلماً وجوراً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أدرک قائم أهل بیتی وهو معتقد به فی حیاته، یتولّی ولیّه ویتبرأ من عدوّه ویتولی الأئمة الهادیة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رفقائی وذوو ودّی واکرم امتی علی</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القائم من ولدی فی زمان غیبته، مات میتة جاهلیة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آبائه علیهم السلام عن رسول اللّٰه صلّی اللّٰه علیه 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ولدی اسمه اسمی، وکنیته کنیتی، وشمائله شمائلی، وسنته سنتی، یُقیم الناس علی ملّتی وشریعتی، ویدعوهم إلی کتاب ربی عزّ وجلّ، من أطاعه فقد أطاعنی، ومن عصاه فقد عصانی، ومن أنکره فی غیبته فقد أنکرنی، ومن کذبه فقد کذبنی، ومن صدقه فقد صدقنی، إلی اللّٰه أشکو المکذبین لی فی أمره، والجاحدین لقولی فی شأنه، والمضلین لأمتی عن طریقته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فی حدیثٍ عن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ولیبعثنّ رجلاً من ولدی فی آخر الزمان، یطالب بدمائنا، ولیغیبنّ عنهم تمییزاً لأهل الضلالة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من حاجة</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لابدّ منها، یرتاب فیها کلّ مبطل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الأحادیث المتواترة عند الفریقین، فی وجوب معرفة الامام فی کلّ زمانٍ، وأنّ الأئمة اثنا عشر، وأنهم من أهل بیت</w:t>
      </w:r>
    </w:p>
    <w:p>
      <w:pPr>
        <w:pStyle w:val="BookText"/>
        <w:rPr/>
      </w:pPr>
      <w:r>
        <w:rPr>
          <w:rFonts w:ascii="IRNazanin" w:hAnsi="IRNazanin" w:eastAsia="IRNazanin"/>
          <w:color w:val="111111"/>
          <w:sz w:val="28"/>
          <w:sz w:val="28"/>
          <w:szCs w:val="28"/>
          <w:rtl w:val="true"/>
          <w:lang w:bidi="fa-IR"/>
        </w:rPr>
        <w:t>رسول اللّٰه صلّی اللّٰه علیه وآله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المهدی الإمام الثانی عشر، وأنْ یکون مولوداً موجوداً، وحیث أنه غیر ظاهر فهو غائب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الغیبة لا تنافی الامامة، لأنّ اللّٰه إنّما نصب الإمام لأن یهتدی به، ولأن یحتجّ به علی الخلق، أمّا غیبة، فلیس السبب لها هو اللّٰه ولا الامام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استاذ المحققین الشیخ نصیر الدین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شارحه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إنما یکون لطفاً إذا کان متصرفاً بالأمر والنهی، وأنتم لا تقولون بذلک فما تعتقدونه لطفاً لا تقولون بوجوبه وما تقولون بوجوبه لیس بلطفک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الامام نفسه لطف لوجوه،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یحفظ الشرائع ویحرسها عن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اعتقاد المکلّفین لوجود الامام وتجویز انفاذ حکمه علیهم فی کلّ وقت سبب لردعهم عن الفساد ولقربهم إلی الصلاح، وهذا معلوم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تصرّفه لا شکّ أنّه لطف ولا یتم إلّابوجوده فیکون وجوده نفسه لطفاً وتصرّفه لطفاً آخر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الامامة یتم باُمور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التعالی وهو خلق الامام وتمکینه بالقدرة والعلم والنصّ علیه باسمه</w:t>
      </w:r>
    </w:p>
    <w:p>
      <w:pPr>
        <w:pStyle w:val="BookText"/>
        <w:rPr/>
      </w:pPr>
      <w:r>
        <w:rPr>
          <w:rFonts w:ascii="IRNazanin" w:hAnsi="IRNazanin" w:eastAsia="IRNazanin"/>
          <w:color w:val="111111"/>
          <w:sz w:val="28"/>
          <w:sz w:val="28"/>
          <w:szCs w:val="28"/>
          <w:rtl w:val="true"/>
          <w:lang w:bidi="fa-IR"/>
        </w:rPr>
        <w:t>ونسبه، وهذا قد فعله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الامام وهو تحمّله للامامة وقبوله لها، وهذا قد فعله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الرعیة وهو مساعدته والنصرة له وقبول أوامره وامتثال قوله، وهذا لم تفعله الرعیة فکان منع اللطف الکامل منهم لا من اللّٰه تعالی ولا من الامام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المعترضین لا یعلمون بالفوائد المترتبة علی وجود الامام فی حال الغیبة، لأن هذه الامور لا یتوصّلون إلیها ولا یمکنهم والإطّلاع علیها، إنّ الثقات من أبناء هذه الطائفة من علماء وغیر علماء، لهم قضایا وحوادث وقصص وحکایات، تلک القضایا الثابتة المرویة عن طرق الثقات مدوّنة فی الکتب المعنیّة، وکم من قضیة رجع الشیعة، عموم الشیعة، أو فی قضایا شخصیة، رجعوا إلی الإمام علیه السلام وأخذوا منه حلّ تلک القضیة ورفع تلک المشکلة، إلّاأنّ أعداء الأئمّة سلام اللّٰه علیهم والمنافقین لا یوافقون علی مثل هذه الأخبار، وطبیعی أن لا یوافقوا، ومن حقّهم أن لا یعتقدوا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اللّٰه سبحانه وتعالی إنّما ینصب الإمام فی کلّ أُمة، ویرسل الرسول إلی کلّ أُمّة، لیتمّ به الحجة، وکم من نبی قتلوه فی أوّل یوم من نبوّته ودعوته، وکم من رسول صلبوه فی الیوم الأوّل من رسالته،</w:t>
      </w:r>
      <w:bookmarkStart w:id="72" w:name="pg4653_54147"/>
    </w:p>
    <w:p>
      <w:pPr>
        <w:pStyle w:val="BookText"/>
        <w:rPr/>
      </w:pPr>
      <w:bookmarkEnd w:id="72"/>
      <w:r>
        <w:rPr>
          <w:rFonts w:ascii="IRNazanin" w:hAnsi="IRNazanin" w:eastAsia="IRNazanin"/>
          <w:color w:val="111111"/>
          <w:sz w:val="28"/>
          <w:sz w:val="28"/>
          <w:szCs w:val="28"/>
          <w:rtl w:val="true"/>
          <w:lang w:bidi="fa-IR"/>
        </w:rPr>
        <w:t>وکم من الأنبیاء حاربوهم وشرّدوهم وطردوهم، أیمکن أن یقال 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إرسالک هؤلاء الرسل والأنبیاء کان عبثاً؟</w:t>
      </w:r>
    </w:p>
    <w:p>
      <w:pPr>
        <w:pStyle w:val="BookText"/>
        <w:rPr/>
      </w:pPr>
      <w:r>
        <w:rPr>
          <w:rFonts w:ascii="IRNazanin" w:hAnsi="IRNazanin" w:eastAsia="IRNazanin"/>
          <w:color w:val="111111"/>
          <w:sz w:val="28"/>
          <w:sz w:val="28"/>
          <w:szCs w:val="28"/>
          <w:rtl w:val="true"/>
          <w:lang w:bidi="fa-IR"/>
        </w:rPr>
        <w:t>وعلی الجملة، فإن هناک موانع لظهوره، وهی لیست من قبل اللّٰه ولا من قبل الإمام نفسه، وإنما من قبل النّاس، ومتی حصلت الأرضیّة اللّازمة یظهر ویؤسّس الحکومة الإلهیّة ویملأ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متی یکون؟</w:t>
      </w:r>
    </w:p>
    <w:p>
      <w:pPr>
        <w:pStyle w:val="BookText"/>
        <w:rPr/>
      </w:pPr>
      <w:r>
        <w:rPr>
          <w:rFonts w:ascii="Amiri" w:hAnsi="Amiri" w:eastAsia="Amiri" w:cs="Amiri"/>
          <w:color w:val="111111"/>
          <w:sz w:val="28"/>
          <w:sz w:val="28"/>
          <w:szCs w:val="28"/>
          <w:rtl w:val="true"/>
          <w:lang w:bidi="ar-SA"/>
        </w:rPr>
        <w:t>العلم عند اللّٰه عزّوجل</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79300_2035185390"/>
      <w:bookmarkStart w:id="74" w:name="_Toc27"/>
      <w:bookmarkEnd w:id="73"/>
      <w:r>
        <w:rPr/>
        <w:t>3</w:t>
      </w:r>
      <w:r>
        <w:rPr>
          <w:rtl w:val="true"/>
        </w:rPr>
        <w:t xml:space="preserve"> - </w:t>
      </w:r>
      <w:r>
        <w:rPr>
          <w:rtl w:val="true"/>
        </w:rPr>
        <w:t>أین یعیش؟</w:t>
      </w:r>
      <w:bookmarkEnd w:id="74"/>
    </w:p>
    <w:p>
      <w:pPr>
        <w:pStyle w:val="BookText"/>
        <w:rPr/>
      </w:pPr>
      <w:r>
        <w:rPr>
          <w:rFonts w:ascii="IRNazanin" w:hAnsi="IRNazanin" w:eastAsia="IRNazanin"/>
          <w:color w:val="111111"/>
          <w:sz w:val="28"/>
          <w:sz w:val="28"/>
          <w:szCs w:val="28"/>
          <w:rtl w:val="true"/>
          <w:lang w:bidi="fa-IR"/>
        </w:rPr>
        <w:t>وهذا من جملة الأسألة فی مسألة الإمام وغیبته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أین یعیش الخضر؟ وأین یعیش غیر الخضر من یعتقد المسلمون ببقائه فی هذا العالم بحسب الروایات؟</w:t>
      </w:r>
    </w:p>
    <w:p>
      <w:pPr>
        <w:pStyle w:val="BookText"/>
        <w:rPr/>
      </w:pPr>
      <w:r>
        <w:rPr>
          <w:rFonts w:ascii="IRNazanin" w:hAnsi="IRNazanin" w:eastAsia="IRNazanin"/>
          <w:color w:val="111111"/>
          <w:sz w:val="28"/>
          <w:sz w:val="28"/>
          <w:szCs w:val="28"/>
          <w:rtl w:val="true"/>
          <w:lang w:bidi="fa-IR"/>
        </w:rPr>
        <w:t>وقد ورد فی بعض کتبنا أن للامام علیه السلام مکاناً یسمّی بالجزیرة الخضراء، وظاهر کلام جماعةٍ من أکابر علمائنا التصدیق بالخبر،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یهرّج به ابن تیمیّة فی کلامه المذکور سابقاً ویشنّع علینا من أنّا نعتقد بکون الامام علیه اسلام غائباً فی السّرداب بمدینة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ابن خلدون المغربی إذ یقول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یزعمون أن الثانی عشر من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الحسن</w:t>
      </w:r>
    </w:p>
    <w:p>
      <w:pPr>
        <w:pStyle w:val="BookText"/>
        <w:rPr/>
      </w:pPr>
      <w:r>
        <w:rPr>
          <w:rFonts w:ascii="IRNazanin" w:hAnsi="IRNazanin" w:eastAsia="IRNazanin"/>
          <w:color w:val="111111"/>
          <w:sz w:val="28"/>
          <w:sz w:val="28"/>
          <w:szCs w:val="28"/>
          <w:rtl w:val="true"/>
          <w:lang w:bidi="fa-IR"/>
        </w:rPr>
        <w:t xml:space="preserve">العسکری ویلقبونه بالمهدی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سرداب بدارهم بالحلّة وتغیب حین اعتقل مع امه وغاب هناک، وهو یخرج آخر الزمان فیملأ الأرض عدلاً، یشیرون بذلک إلی الحدیث الواقع فی کتاب الترمذی فی المهدی، وهم إلی الآن ینتظرونه ویسمونه المنتظر لذلک، ویقفون فی کلّ لیلة بعد صلاة المغرب بباب هذا السرداب وقد قدموا مرکباً فیهتفون باسمه ویدعونه للخروج حتی تشتبک النجوم ثم ینفضون ویرجئون الأمر إلی اللیلة الآتیة، وهم علی ذلک لهذا العهد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الأکاذیب والإفتراءات علی هذه الطائفة المظلومة، حتی لقد نظم بعض النواصب فی الموضوع قصیدةً استهلّها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للسرداب أن یلد الذی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ولیتهم ذکروا حدیثاً أو قولاً لأحد علماء الطائفة یؤیّدون به شیئاً من تلک المزاعم والتهم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أعلام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ینفون تلک النسب النفی القاطع، وإلیک بعض کلماتهم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الإربلی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یقولون بوجوده، لا یقولون إنه فی سرداب، بل یقولون إنه موجود یحلّ ویرتحل ویطوف فی</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النوری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کلّما راجعنا وتفحّصنا، لم نجد لما ذکروه أثراً، بل لیس فی الأحادیث ذکر للسرداب أصلاً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بعض ما یقوله فی هذا الباب بعض عوام الشیعة ونسبه إلینا کثیر من خواص أهل السنة، فلا أعرف له مدرکاً ولم أجد له مستنداً</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الأمینی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وفریة السرداب أشنع وإن سبقه إلیها غیره من مؤلفی أهل السنة لکنه زاد فی الطمور نغمات، بضم الحمیر إلی الخیول وادعائه اطراد العادة فی کلّ لیلة واتصالها منذ أکثر من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لا تری أن غیبة الامام فی السرداب ولا هم غیبوه فیه ولا أنه یظهر منه، وإنما اعتقادهم المدعوم بأحادیثهم أنه یظهر بمکة المعظمة تجاه البیت، ولم یقل أحد فی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مغیب ذلک النور، وإنما هو سرداب دار الأئمة بسامراء، وإن من المطرد إیجاد السرادیب فی الدور وقایة من قایظ الحرّ، وإنما اکتسب هذا السرداب بخصوصه الشرف الباذخ لانتسابه إلی أئمة الدین</w:t>
      </w:r>
    </w:p>
    <w:p>
      <w:pPr>
        <w:pStyle w:val="BookText"/>
        <w:rPr/>
      </w:pPr>
      <w:r>
        <w:rPr>
          <w:rFonts w:ascii="IRNazanin" w:hAnsi="IRNazanin" w:eastAsia="IRNazanin"/>
          <w:color w:val="111111"/>
          <w:sz w:val="28"/>
          <w:sz w:val="28"/>
          <w:szCs w:val="28"/>
          <w:rtl w:val="true"/>
          <w:lang w:bidi="fa-IR"/>
        </w:rPr>
        <w:t>وأنه کان مبوأً لثلاثة منهم کبقیة مساکن هذه الدار المبارکة، وهذا هو الشأن فی بیوت الأئمة علیهم السلام ومشرفهم النبی الأعظم فی أی حاضرة کانت، فقد أذن اللّٰه أن ترفع ویذکر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هؤلاء المتقوّلین فی أمر السرداب اتفقوا علی رأی واحد فی الاُکذوبة حتی لا تلوح علیها لوائح الافتعال فتفضحهم، فلا یقول ابن بطوطة فی رحلته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السرداب المنوّه به فی الحلة، ولا یقول القرمانی فی 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بغداد، ولا یقول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القصیمی من بعدهم فلا یدری أین هو، لیطلق لفظ السرداب لیستر سوأته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لا دلیل لما ذکر السویدی وغیره، ولا مستند لهم فی هذه النسبة لا فی حدیث من الأحادیث، ولا فی کلام لواحد من العلماء، وناهیک بهؤلاء النافین أئمة نیاقد، وأعلاماً محیطین بالأخبار والآثار</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الأمر بالعکس، فقد أرسل کثیر من علماء أهل السنّة هذا الأمر إرسال المسلّم کقاضی القضاة ابن خلّکان </w:t>
      </w:r>
      <w:r>
        <w:rPr>
          <w:rStyle w:val="FootnoteAnchor"/>
          <w:rtl w:val="true"/>
        </w:rPr>
        <w:footnoteReference w:id="117"/>
      </w:r>
      <w:r>
        <w:rPr>
          <w:rFonts w:ascii="IRNazanin" w:hAnsi="IRNazanin" w:eastAsia="IRNazanin"/>
          <w:color w:val="111111"/>
          <w:sz w:val="28"/>
          <w:sz w:val="28"/>
          <w:szCs w:val="28"/>
          <w:rtl w:val="true"/>
          <w:lang w:bidi="fa-IR"/>
        </w:rPr>
        <w:t>والحافظ الکنجی، وجعل</w:t>
      </w:r>
      <w:bookmarkStart w:id="75" w:name="pg4653_54151"/>
    </w:p>
    <w:p>
      <w:pPr>
        <w:pStyle w:val="BookText"/>
        <w:rPr/>
      </w:pPr>
      <w:bookmarkEnd w:id="75"/>
      <w:r>
        <w:rPr>
          <w:rFonts w:ascii="IRNazanin" w:hAnsi="IRNazanin" w:eastAsia="IRNazanin"/>
          <w:color w:val="111111"/>
          <w:sz w:val="28"/>
          <w:sz w:val="28"/>
          <w:szCs w:val="28"/>
          <w:rtl w:val="true"/>
          <w:lang w:bidi="fa-IR"/>
        </w:rPr>
        <w:t xml:space="preserve">یدافع عن ذلک ویؤکّده ببعض الشواهد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ولا ینافی ما تقدّم عن علمائنا احترامنا للسّرداب الموجود بمدینة سامراء بجوار مرقد الإمامین العسکریّین، فهو بقعة متبرّکة یقصدها المؤمنون لکونه مسکن أهل البیت الطاهرین علیهم السلام</w:t>
      </w:r>
      <w:r>
        <w:rPr>
          <w:rFonts w:eastAsia="IRNazanin" w:cs="IRNazanin"/>
          <w:color w:val="111111"/>
          <w:sz w:val="28"/>
          <w:szCs w:val="28"/>
          <w:rtl w:val="true"/>
          <w:lang w:bidi="fa-IR"/>
        </w:rPr>
        <w:t>.</w:t>
      </w:r>
    </w:p>
    <w:p>
      <w:pPr>
        <w:pStyle w:val="Heading3"/>
        <w:numPr>
          <w:ilvl w:val="2"/>
          <w:numId w:val="1"/>
        </w:numPr>
        <w:rPr/>
      </w:pPr>
      <w:bookmarkStart w:id="76" w:name="__RefHeading___Toc379302_2035185390"/>
      <w:bookmarkStart w:id="77" w:name="_Toc28"/>
      <w:bookmarkEnd w:id="76"/>
      <w:r>
        <w:rPr/>
        <w:t>4</w:t>
      </w:r>
      <w:r>
        <w:rPr>
          <w:rtl w:val="true"/>
        </w:rPr>
        <w:t xml:space="preserve"> - </w:t>
      </w:r>
      <w:r>
        <w:rPr>
          <w:rtl w:val="true"/>
        </w:rPr>
        <w:t>متی یظهر؟</w:t>
      </w:r>
      <w:bookmarkEnd w:id="77"/>
    </w:p>
    <w:p>
      <w:pPr>
        <w:pStyle w:val="BookText"/>
        <w:rPr/>
      </w:pPr>
      <w:r>
        <w:rPr>
          <w:rFonts w:ascii="IRNazanin" w:hAnsi="IRNazanin" w:eastAsia="IRNazanin"/>
          <w:color w:val="111111"/>
          <w:sz w:val="28"/>
          <w:sz w:val="28"/>
          <w:szCs w:val="28"/>
          <w:rtl w:val="true"/>
          <w:lang w:bidi="fa-IR"/>
        </w:rPr>
        <w:t>لقد تقدّم أنّ ظهوره إنما یکون عند توفّر الأرضیة المناسبة، ولذا جاء فی روایاتنا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أمرنا بغتة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روایاتنا </w:t>
      </w:r>
      <w:r>
        <w:rPr>
          <w:rStyle w:val="FootnoteAnchor"/>
          <w:rtl w:val="true"/>
        </w:rPr>
        <w:footnoteReference w:id="120"/>
      </w:r>
      <w:r>
        <w:rPr>
          <w:rFonts w:ascii="IRNazanin" w:hAnsi="IRNazanin" w:eastAsia="IRNazanin"/>
          <w:color w:val="111111"/>
          <w:sz w:val="28"/>
          <w:sz w:val="28"/>
          <w:szCs w:val="28"/>
          <w:rtl w:val="true"/>
          <w:lang w:bidi="fa-IR"/>
        </w:rPr>
        <w:t>أنّ حکومة الإمام المهدی ستکون مثل حکومة نبیّ اللّٰه داود علیه السلام، وتوضیح ذلک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 وبعضکم ألحن بحجّته من بعض، وأیّما رجلٍ قطعت له قطعةً فإنما أقطع له قطعة من نار</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 لکم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کان إذا تخاصم إلیه رجلان علی شیء من الأشیاء یطلب من المدعی البیّنة، وحینئذٍ أنْ أقام البیّنة أخذ الشیء من المدعی علیه وسلّمه إلی المدعی، وهذا الحکم یکون علی أساس البیّنة، یقول رسول اللّٰه إنّما أقضی علیکم، أو إنّما أقضی بینکم بالبیّنة، أمّا إذا کانت البیّنة کاذبة والمدعی أقامها وعن هذا الطریق تملّک الشیء، فلیعلم أنه قطعة من النار، یقول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وظیفتی أنْ أحکم بینکم بحسب البیّنة، لکن أنت أیّها المدعی إنْ کنت تعلم بینک وبین ربّک أنّ الشیء لیس لک، فلا یجوز لک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یکون الحکم الإسلامی والقضاء فی المنازعات فی زمن النبی وبعده علی أساس القواعد المقرّرة، وهذه هی الأدلة الظاهریة المعمول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المهدی سلام اللّٰه علیه، لا یأخذ بهذه القواعد والأحکام الظاهریة، وإنّما یحکم طبق الواقع، فإذا جاء ورأیٰ مثلاً أنّ الکتاب الذی بحوزتی هو لزید، أخذه منّی وأرجعه إلی زید، وإذا علم أنّ هذه الدار التی أسکنها ملک لعمرو أخذها منّی وأرجعها إلی عمرو، فکلّ حقّ یرجع إلی صاحبه بحسب الواقع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إذا کان الإمام علیه السلام ظهوره بغتة، وکان حکمه بحسب الواقع، فنحن ماذا یکون تکلیفنا فیما یتعلّق بنا فی شؤوننا</w:t>
      </w:r>
    </w:p>
    <w:p>
      <w:pPr>
        <w:pStyle w:val="BookText"/>
        <w:rPr/>
      </w:pPr>
      <w:r>
        <w:rPr>
          <w:rFonts w:ascii="IRNazanin" w:hAnsi="IRNazanin" w:eastAsia="IRNazanin"/>
          <w:color w:val="111111"/>
          <w:sz w:val="28"/>
          <w:sz w:val="28"/>
          <w:szCs w:val="28"/>
          <w:rtl w:val="true"/>
          <w:lang w:bidi="fa-IR"/>
        </w:rPr>
        <w:t>الداخلیة والشخصیة؟ فی أُمورنا الإجتماعیة؟ فی حقوق اللّٰه سبحانه وتعالی علینا؟ وفی حقوق الآخرین علینا؟ ماذا یکون تکلیفنا وفی کلّ لحظةٍ نحتمل ظهور الإمام علیه السلام، وفی تلک اللحظة نعتقد بأنّ حکومته ستکون طبق الواقع لا علی أساس القواعد الظاهریة؟ حینئذ ماذا یکون تکلیف کلّ فرد منّا؟</w:t>
      </w:r>
    </w:p>
    <w:p>
      <w:pPr>
        <w:pStyle w:val="BookText"/>
        <w:rPr/>
      </w:pPr>
      <w:r>
        <w:rPr>
          <w:rFonts w:ascii="IRNazanin" w:hAnsi="IRNazanin" w:eastAsia="IRNazanin"/>
          <w:color w:val="111111"/>
          <w:sz w:val="28"/>
          <w:sz w:val="28"/>
          <w:szCs w:val="28"/>
          <w:rtl w:val="true"/>
          <w:lang w:bidi="fa-IR"/>
        </w:rPr>
        <w:t xml:space="preserve">وهذا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انتظار الفرج</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معنی ما ورد فی الروایات من أنّ الأئمّة سلام اللّٰه علیهم کانوا ینهون الأصحاب عن الإستعجال بظهور الإمام علیه السلام، إنّما کانوا یأمرون ویؤکّدون علی إطاعة الإنسان لربّه وأن یکون مستعدّاً لظهور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الإنتظار، ومسألة ترقب الحکومة الحقة، هذه المسألة خیر وسیلة لإصلاح الفرد والمجتمع، وإذا صَلُحنا فقد مهّدنا الطریق لظهور الإمام علیه السلام، ولأن نکون من أعوانه وأنصاره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أمرونا بکثرة الدعاء لفرجهم، ولذا أمرونا بالإنتظار لظهورهم، هذا الإنتظار معناه أن یعکس الإنسان فی نفسه ویطبّق علی نفسه ما یقتضیه الواقع، قبل أن یأتی الإمام علیه السلام ویکون هو المطبِّق،</w:t>
      </w:r>
    </w:p>
    <w:p>
      <w:pPr>
        <w:pStyle w:val="BookText"/>
        <w:rPr/>
      </w:pPr>
      <w:r>
        <w:rPr>
          <w:rFonts w:ascii="IRNazanin" w:hAnsi="IRNazanin" w:eastAsia="IRNazanin"/>
          <w:color w:val="111111"/>
          <w:sz w:val="28"/>
          <w:sz w:val="28"/>
          <w:szCs w:val="28"/>
          <w:rtl w:val="true"/>
          <w:lang w:bidi="fa-IR"/>
        </w:rPr>
        <w:t>ولربّما یکون هناک شخص یواجه الإمام علیه السلام ویأخذ الإمام منه کلّ شیء، لأنّ کلّ الأشیاء التی بحوزته لیست له، وهذا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راقبنا أنفسنا وطبّقنا عقائدنا ومعتقداتنا فی سلوکنا الشخصی والإجتماعی، نکون ممهّدین ومساعدین ومعاونین علی تحقّق الأرضیة المناسبة لظهور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کلمة سجّلتها عن الإمام أمیر المؤمنین علیه السلام بهذه المناسبة، یقول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نهج البلاغة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تستعجلوا بما لم یعجّله اللّٰه لکم، فإنّه من مات منکم علی فراشه وهو علی معرفة حقّ ربّه وحقّ رسوله وأهل بیته، مات شهیداً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وعندنا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کذا ومات قبل مجیء الإمام علیه السلام مات وله أجر من کان فی خدمته وضرب بالسیف تحت رایته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مات منکم علی فراشه وهو علی معرفة حقّ ربّه وحقّ رسوله وأهل بیته مات شهیداً، ووقع أجره علی اللّٰه، واستوجب ثواب ما نوی من صالح عمله، وقامت النیّة مقام إصلاته لسیفه، فإنّ لکلّ شیء مدّة وأجلاً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نفس الوقت الذی نحن مأمورون بالدعاء بتعجیل الفرج، فنحن مأمورون أیضاً لتهیئة أنفسنا، وللإستعداد الکامل لأن نکون بخدمته، وإذا عمل کلّ فرد منّا بوظائفه، وعرف حقّ ربّه عز وجل وحقّ رسوله صلّی اللّٰه علیه وآله وسلّم وحقّ أهل بیته علیهم السلام، فقد تمّت الأرضیة المناسبة لظهوره علیه السلام، ولا أقل من أنّا أدّینا تکالیفنا ووظائفنا تجاه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أقصد أن أُلخّص البحث فی بعض الجهات الأُخری حتّی أُوفّر وقتاً لهذه النقطة الأخیرة التی بیّنتها لکم، وذکرت لکم الدلیل العقلی والروائی علی وجوب الإلتزام العملی علی کلّ واحد منّا بوظائفه تجاه ربّه وتجاه رسوله وتجاه أهل بیت الرسول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وتعالی أن یعرّفنا حقّه، أن یعرّفنا حقّ رسوله، أن یعرّفنا حقّ الأئمّة الأطهار، أن یعرّفنا حقّ إمامنا، وأنْ یوفّقنا لأداء الوظائف والتکالیف الملقاة علی عواتقنا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87/4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الفصل الثانی والخمسون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الفیض الغماری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علامات مهدی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حدیث معاویة بن أبی سفیان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له إمام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أجدنی آسی علی شیء من أمر الدنیا إلّاأنّی لم أُقاتل الفئة الباغیة، ما آسی عن الدنیا إلّاعلی ثلاث ظمأ الهواجر ومکابدة اللیل وألّا أکون قاتلت هذه الفئة الباغیة التی حلّت بنا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آسی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وتکملتها فی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 لعلّ العبارة السّاقطة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أنّی لم أُقاتل مع علی رضی اللّٰه عنه الفئة الباغیة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وتجد الحدیث فی غیره من المصادر السنّیة، کتفسیر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عیون الأخبار لأبی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کتب الامامیة</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تفسیر النیسابوری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المستدرک، سنن ابن ماجة، 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باختلاف</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 حذیفة بن الیمان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للکنجی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وأبی نعیم، وانظر 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نزول عیسی من کتاب بدء الخلق، صحیح مسلم الباب من کتاب الإیمان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أخبار الإمام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سورء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 عن وجه الامام الغائب عن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والسنّة والأدب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 ط مع کفایة الطالب</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للشیخ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324/2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الغبیة للنعمانی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319/52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فی الألفاظ</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11539</Words>
  <Characters>49293</Characters>
  <CharactersWithSpaces>60295</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2026-08-18T18:08:09Z</dcterms:created>
  <dc:creator>ghaemiyeh.com</dc:creator>
  <dc:description/>
  <dc:language>en-US</dc:language>
  <cp:lastModifiedBy/>
  <dcterms:modified xsi:type="dcterms:W3CDTF">2026-08-18T21:38:12Z</dcterms:modified>
  <cp:revision>1</cp:revision>
  <dc:subject/>
  <dc:title>الامام المهدی علیه السلام</dc:title>
</cp:coreProperties>
</file>

<file path=docProps/custom.xml><?xml version="1.0" encoding="utf-8"?>
<Properties xmlns="http://schemas.openxmlformats.org/officeDocument/2006/custom-properties" xmlns:vt="http://schemas.openxmlformats.org/officeDocument/2006/docPropsVTypes"/>
</file>