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0883_2749589250">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2030885_2749589250">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2030887_2749589250">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2030889_274958925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030891_2749589250">
            <w:r>
              <w:rPr>
                <w:webHidden/>
                <w:rStyle w:val="IndexLink"/>
                <w:rtl w:val="true"/>
              </w:rPr>
              <w:t>تطور انگارۀ معرفت اضطراری در اندیشۀ معتزله</w:t>
            </w:r>
            <w:r>
              <w:rPr>
                <w:rStyle w:val="IndexLink"/>
                <w:rtl w:val="true"/>
              </w:rPr>
              <w:t>/</w:t>
            </w:r>
            <w:r>
              <w:rPr>
                <w:rStyle w:val="IndexLink"/>
                <w:rtl w:val="true"/>
              </w:rPr>
              <w:t>علی امیرخانی</w:t>
            </w:r>
            <w:r>
              <w:rPr>
                <w:rStyle w:val="IndexLink"/>
                <w:rtl w:val="true"/>
              </w:rPr>
              <w:t>-</w:t>
            </w:r>
            <w:r>
              <w:rPr>
                <w:rStyle w:val="IndexLink"/>
                <w:rtl w:val="true"/>
              </w:rPr>
              <w:t>محمدتقی سبحانی</w:t>
            </w:r>
            <w:r>
              <w:rPr>
                <w:rStyle w:val="IndexLink"/>
                <w:rtl w:val="true"/>
              </w:rPr>
              <w:tab/>
            </w:r>
            <w:r>
              <w:rPr>
                <w:rStyle w:val="IndexLink"/>
              </w:rPr>
              <w:t>12</w:t>
            </w:r>
          </w:hyperlink>
        </w:p>
        <w:p>
          <w:pPr>
            <w:pStyle w:val="Contents3"/>
            <w:tabs>
              <w:tab w:val="clear" w:pos="8459"/>
              <w:tab w:val="right" w:pos="9026" w:leader="dot"/>
            </w:tabs>
            <w:rPr/>
          </w:pPr>
          <w:hyperlink w:anchor="__RefHeading___Toc2030893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30895_2749589250">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2030897_2749589250">
            <w:r>
              <w:rPr>
                <w:webHidden/>
                <w:rStyle w:val="IndexLink"/>
                <w:rtl w:val="true"/>
              </w:rPr>
              <w:t>واژگان کلیدی</w:t>
            </w:r>
            <w:r>
              <w:rPr>
                <w:rStyle w:val="IndexLink"/>
                <w:rtl w:val="true"/>
              </w:rPr>
              <w:tab/>
            </w:r>
            <w:r>
              <w:rPr>
                <w:rStyle w:val="IndexLink"/>
              </w:rPr>
              <w:t>12</w:t>
            </w:r>
          </w:hyperlink>
        </w:p>
        <w:p>
          <w:pPr>
            <w:pStyle w:val="Contents3"/>
            <w:tabs>
              <w:tab w:val="clear" w:pos="8459"/>
              <w:tab w:val="right" w:pos="9026" w:leader="dot"/>
            </w:tabs>
            <w:rPr/>
          </w:pPr>
          <w:hyperlink w:anchor="__RefHeading___Toc2030899_274958925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030901_2749589250">
            <w:r>
              <w:rPr>
                <w:webHidden/>
                <w:rStyle w:val="IndexLink"/>
              </w:rPr>
              <w:t>1</w:t>
            </w:r>
            <w:r>
              <w:rPr>
                <w:rStyle w:val="IndexLink"/>
                <w:rtl w:val="true"/>
              </w:rPr>
              <w:t xml:space="preserve">. </w:t>
            </w:r>
            <w:r>
              <w:rPr>
                <w:rStyle w:val="IndexLink"/>
                <w:rtl w:val="true"/>
              </w:rPr>
              <w:t>ابوهذیل علاف</w:t>
            </w:r>
            <w:r>
              <w:rPr>
                <w:rStyle w:val="IndexLink"/>
                <w:rtl w:val="true"/>
              </w:rPr>
              <w:tab/>
            </w:r>
            <w:r>
              <w:rPr>
                <w:rStyle w:val="IndexLink"/>
              </w:rPr>
              <w:t>16</w:t>
            </w:r>
          </w:hyperlink>
        </w:p>
        <w:p>
          <w:pPr>
            <w:pStyle w:val="Contents3"/>
            <w:tabs>
              <w:tab w:val="clear" w:pos="8459"/>
              <w:tab w:val="right" w:pos="9026" w:leader="dot"/>
            </w:tabs>
            <w:rPr/>
          </w:pPr>
          <w:hyperlink w:anchor="__RefHeading___Toc2030903_2749589250">
            <w:r>
              <w:rPr>
                <w:webHidden/>
                <w:rStyle w:val="IndexLink"/>
              </w:rPr>
              <w:t>2</w:t>
            </w:r>
            <w:r>
              <w:rPr>
                <w:rStyle w:val="IndexLink"/>
                <w:rtl w:val="true"/>
              </w:rPr>
              <w:t xml:space="preserve">. </w:t>
            </w:r>
            <w:r>
              <w:rPr>
                <w:rStyle w:val="IndexLink"/>
                <w:rtl w:val="true"/>
              </w:rPr>
              <w:t>نظّام</w:t>
            </w:r>
            <w:r>
              <w:rPr>
                <w:rStyle w:val="IndexLink"/>
                <w:rtl w:val="true"/>
              </w:rPr>
              <w:tab/>
            </w:r>
            <w:r>
              <w:rPr>
                <w:rStyle w:val="IndexLink"/>
              </w:rPr>
              <w:t>17</w:t>
            </w:r>
          </w:hyperlink>
        </w:p>
        <w:p>
          <w:pPr>
            <w:pStyle w:val="Contents3"/>
            <w:tabs>
              <w:tab w:val="clear" w:pos="8459"/>
              <w:tab w:val="right" w:pos="9026" w:leader="dot"/>
            </w:tabs>
            <w:rPr/>
          </w:pPr>
          <w:hyperlink w:anchor="__RefHeading___Toc2030905_2749589250">
            <w:r>
              <w:rPr>
                <w:webHidden/>
                <w:rStyle w:val="IndexLink"/>
              </w:rPr>
              <w:t>3</w:t>
            </w:r>
            <w:r>
              <w:rPr>
                <w:rStyle w:val="IndexLink"/>
                <w:rtl w:val="true"/>
              </w:rPr>
              <w:t xml:space="preserve">. </w:t>
            </w:r>
            <w:r>
              <w:rPr>
                <w:rStyle w:val="IndexLink"/>
                <w:rtl w:val="true"/>
              </w:rPr>
              <w:t>معمّر بن عباد سُلمی</w:t>
            </w:r>
            <w:r>
              <w:rPr>
                <w:rStyle w:val="IndexLink"/>
                <w:rtl w:val="true"/>
              </w:rPr>
              <w:tab/>
            </w:r>
            <w:r>
              <w:rPr>
                <w:rStyle w:val="IndexLink"/>
              </w:rPr>
              <w:t>19</w:t>
            </w:r>
          </w:hyperlink>
        </w:p>
        <w:p>
          <w:pPr>
            <w:pStyle w:val="Contents3"/>
            <w:tabs>
              <w:tab w:val="clear" w:pos="8459"/>
              <w:tab w:val="right" w:pos="9026" w:leader="dot"/>
            </w:tabs>
            <w:rPr/>
          </w:pPr>
          <w:hyperlink w:anchor="__RefHeading___Toc2030907_2749589250">
            <w:r>
              <w:rPr>
                <w:webHidden/>
                <w:rStyle w:val="IndexLink"/>
              </w:rPr>
              <w:t>4</w:t>
            </w:r>
            <w:r>
              <w:rPr>
                <w:rStyle w:val="IndexLink"/>
                <w:rtl w:val="true"/>
              </w:rPr>
              <w:t xml:space="preserve">. </w:t>
            </w:r>
            <w:r>
              <w:rPr>
                <w:rStyle w:val="IndexLink"/>
                <w:rtl w:val="true"/>
              </w:rPr>
              <w:t xml:space="preserve">بِشر بن معتمِر </w:t>
            </w:r>
            <w:r>
              <w:rPr>
                <w:rStyle w:val="IndexLink"/>
                <w:rtl w:val="true"/>
              </w:rPr>
              <w:t>(</w:t>
            </w:r>
            <w:r>
              <w:rPr>
                <w:rStyle w:val="IndexLink"/>
                <w:rtl w:val="true"/>
              </w:rPr>
              <w:t>اکتسابی بودن همۀ معارف</w:t>
            </w:r>
            <w:r>
              <w:rPr>
                <w:rStyle w:val="IndexLink"/>
                <w:rtl w:val="true"/>
              </w:rPr>
              <w:t>)</w:t>
              <w:tab/>
            </w:r>
            <w:r>
              <w:rPr>
                <w:rStyle w:val="IndexLink"/>
              </w:rPr>
              <w:t>20</w:t>
            </w:r>
          </w:hyperlink>
        </w:p>
        <w:p>
          <w:pPr>
            <w:pStyle w:val="Contents3"/>
            <w:tabs>
              <w:tab w:val="clear" w:pos="8459"/>
              <w:tab w:val="right" w:pos="9026" w:leader="dot"/>
            </w:tabs>
            <w:rPr/>
          </w:pPr>
          <w:hyperlink w:anchor="__RefHeading___Toc2030909_2749589250">
            <w:r>
              <w:rPr>
                <w:webHidden/>
                <w:rStyle w:val="IndexLink"/>
              </w:rPr>
              <w:t>5</w:t>
            </w:r>
            <w:r>
              <w:rPr>
                <w:rStyle w:val="IndexLink"/>
                <w:rtl w:val="true"/>
              </w:rPr>
              <w:t xml:space="preserve">. </w:t>
            </w:r>
            <w:r>
              <w:rPr>
                <w:rStyle w:val="IndexLink"/>
                <w:rtl w:val="true"/>
              </w:rPr>
              <w:t>جاحظ و اصحاب معارف</w:t>
            </w:r>
            <w:r>
              <w:rPr>
                <w:rStyle w:val="IndexLink"/>
                <w:rtl w:val="true"/>
              </w:rPr>
              <w:tab/>
            </w:r>
            <w:r>
              <w:rPr>
                <w:rStyle w:val="IndexLink"/>
              </w:rPr>
              <w:t>22</w:t>
            </w:r>
          </w:hyperlink>
        </w:p>
        <w:p>
          <w:pPr>
            <w:pStyle w:val="Contents4"/>
            <w:tabs>
              <w:tab w:val="clear" w:pos="8176"/>
              <w:tab w:val="right" w:pos="9026" w:leader="dot"/>
            </w:tabs>
            <w:rPr/>
          </w:pPr>
          <w:hyperlink w:anchor="__RefHeading___Toc2030911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030913_2749589250">
            <w:r>
              <w:rPr>
                <w:webHidden/>
                <w:rStyle w:val="IndexLink"/>
              </w:rPr>
              <w:t>5</w:t>
            </w:r>
            <w:r>
              <w:rPr>
                <w:rStyle w:val="IndexLink"/>
                <w:rtl w:val="true"/>
              </w:rPr>
              <w:t>ـ</w:t>
            </w:r>
            <w:r>
              <w:rPr>
                <w:rStyle w:val="IndexLink"/>
              </w:rPr>
              <w:t>1</w:t>
            </w:r>
            <w:r>
              <w:rPr>
                <w:rStyle w:val="IndexLink"/>
                <w:rtl w:val="true"/>
              </w:rPr>
              <w:t xml:space="preserve">. </w:t>
            </w:r>
            <w:r>
              <w:rPr>
                <w:rStyle w:val="IndexLink"/>
                <w:rtl w:val="true"/>
              </w:rPr>
              <w:t>عدم کارایی معارف اکتسابی در تشخیص حق از باطل</w:t>
            </w:r>
            <w:r>
              <w:rPr>
                <w:rStyle w:val="IndexLink"/>
                <w:rtl w:val="true"/>
              </w:rPr>
              <w:tab/>
            </w:r>
            <w:r>
              <w:rPr>
                <w:rStyle w:val="IndexLink"/>
              </w:rPr>
              <w:t>23</w:t>
            </w:r>
          </w:hyperlink>
        </w:p>
        <w:p>
          <w:pPr>
            <w:pStyle w:val="Contents4"/>
            <w:tabs>
              <w:tab w:val="clear" w:pos="8176"/>
              <w:tab w:val="right" w:pos="9026" w:leader="dot"/>
            </w:tabs>
            <w:rPr/>
          </w:pPr>
          <w:hyperlink w:anchor="__RefHeading___Toc2030915_2749589250">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اضطراری بودن معرفت الله و معرفت النبی</w:t>
            </w:r>
            <w:r>
              <w:rPr>
                <w:rStyle w:val="IndexLink"/>
                <w:rtl w:val="true"/>
              </w:rPr>
              <w:tab/>
            </w:r>
            <w:r>
              <w:rPr>
                <w:rStyle w:val="IndexLink"/>
              </w:rPr>
              <w:t>23</w:t>
            </w:r>
          </w:hyperlink>
        </w:p>
        <w:p>
          <w:pPr>
            <w:pStyle w:val="Contents4"/>
            <w:tabs>
              <w:tab w:val="clear" w:pos="8176"/>
              <w:tab w:val="right" w:pos="9026" w:leader="dot"/>
            </w:tabs>
            <w:rPr/>
          </w:pPr>
          <w:hyperlink w:anchor="__RefHeading___Toc2030917_2749589250">
            <w:r>
              <w:rPr>
                <w:webHidden/>
                <w:rStyle w:val="IndexLink"/>
              </w:rPr>
              <w:t>5</w:t>
            </w:r>
            <w:r>
              <w:rPr>
                <w:rStyle w:val="IndexLink"/>
                <w:rtl w:val="true"/>
              </w:rPr>
              <w:t>ـ</w:t>
            </w:r>
            <w:r>
              <w:rPr>
                <w:rStyle w:val="IndexLink"/>
              </w:rPr>
              <w:t>3</w:t>
            </w:r>
            <w:r>
              <w:rPr>
                <w:rStyle w:val="IndexLink"/>
                <w:rtl w:val="true"/>
              </w:rPr>
              <w:t xml:space="preserve">. </w:t>
            </w:r>
            <w:r>
              <w:rPr>
                <w:rStyle w:val="IndexLink"/>
                <w:rtl w:val="true"/>
              </w:rPr>
              <w:t>عدم تکلیف به معرفت</w:t>
            </w:r>
            <w:r>
              <w:rPr>
                <w:rStyle w:val="IndexLink"/>
                <w:rtl w:val="true"/>
              </w:rPr>
              <w:tab/>
            </w:r>
            <w:r>
              <w:rPr>
                <w:rStyle w:val="IndexLink"/>
              </w:rPr>
              <w:t>24</w:t>
            </w:r>
          </w:hyperlink>
        </w:p>
        <w:p>
          <w:pPr>
            <w:pStyle w:val="Contents4"/>
            <w:tabs>
              <w:tab w:val="clear" w:pos="8176"/>
              <w:tab w:val="right" w:pos="9026" w:leader="dot"/>
            </w:tabs>
            <w:rPr/>
          </w:pPr>
          <w:hyperlink w:anchor="__RefHeading___Toc2030919_2749589250">
            <w:r>
              <w:rPr>
                <w:webHidden/>
                <w:rStyle w:val="IndexLink"/>
              </w:rPr>
              <w:t>5</w:t>
            </w:r>
            <w:r>
              <w:rPr>
                <w:rStyle w:val="IndexLink"/>
                <w:rtl w:val="true"/>
              </w:rPr>
              <w:t>ـ</w:t>
            </w:r>
            <w:r>
              <w:rPr>
                <w:rStyle w:val="IndexLink"/>
              </w:rPr>
              <w:t>4</w:t>
            </w:r>
            <w:r>
              <w:rPr>
                <w:rStyle w:val="IndexLink"/>
                <w:rtl w:val="true"/>
              </w:rPr>
              <w:t xml:space="preserve">. </w:t>
            </w:r>
            <w:r>
              <w:rPr>
                <w:rStyle w:val="IndexLink"/>
                <w:rtl w:val="true"/>
              </w:rPr>
              <w:t>مُلجأ بودنِ انسان در صورت اکتسابی بودن معارف</w:t>
            </w:r>
            <w:r>
              <w:rPr>
                <w:rStyle w:val="IndexLink"/>
                <w:rtl w:val="true"/>
              </w:rPr>
              <w:tab/>
            </w:r>
            <w:r>
              <w:rPr>
                <w:rStyle w:val="IndexLink"/>
              </w:rPr>
              <w:t>25</w:t>
            </w:r>
          </w:hyperlink>
        </w:p>
        <w:p>
          <w:pPr>
            <w:pStyle w:val="Contents4"/>
            <w:tabs>
              <w:tab w:val="clear" w:pos="8176"/>
              <w:tab w:val="right" w:pos="9026" w:leader="dot"/>
            </w:tabs>
            <w:rPr/>
          </w:pPr>
          <w:hyperlink w:anchor="__RefHeading___Toc2030921_2749589250">
            <w:r>
              <w:rPr>
                <w:webHidden/>
                <w:rStyle w:val="IndexLink"/>
              </w:rPr>
              <w:t>5</w:t>
            </w:r>
            <w:r>
              <w:rPr>
                <w:rStyle w:val="IndexLink"/>
                <w:rtl w:val="true"/>
              </w:rPr>
              <w:t>ـ</w:t>
            </w:r>
            <w:r>
              <w:rPr>
                <w:rStyle w:val="IndexLink"/>
              </w:rPr>
              <w:t>5</w:t>
            </w:r>
            <w:r>
              <w:rPr>
                <w:rStyle w:val="IndexLink"/>
                <w:rtl w:val="true"/>
              </w:rPr>
              <w:t xml:space="preserve">. </w:t>
            </w:r>
            <w:r>
              <w:rPr>
                <w:rStyle w:val="IndexLink"/>
                <w:rtl w:val="true"/>
              </w:rPr>
              <w:t>معرفت طبعی</w:t>
            </w:r>
            <w:r>
              <w:rPr>
                <w:rStyle w:val="IndexLink"/>
                <w:rtl w:val="true"/>
              </w:rPr>
              <w:tab/>
            </w:r>
            <w:r>
              <w:rPr>
                <w:rStyle w:val="IndexLink"/>
              </w:rPr>
              <w:t>26</w:t>
            </w:r>
          </w:hyperlink>
        </w:p>
        <w:p>
          <w:pPr>
            <w:pStyle w:val="Contents3"/>
            <w:tabs>
              <w:tab w:val="clear" w:pos="8459"/>
              <w:tab w:val="right" w:pos="9026" w:leader="dot"/>
            </w:tabs>
            <w:rPr/>
          </w:pPr>
          <w:hyperlink w:anchor="__RefHeading___Toc2030923_2749589250">
            <w:r>
              <w:rPr>
                <w:webHidden/>
                <w:rStyle w:val="IndexLink"/>
              </w:rPr>
              <w:t>6</w:t>
            </w:r>
            <w:r>
              <w:rPr>
                <w:rStyle w:val="IndexLink"/>
                <w:rtl w:val="true"/>
              </w:rPr>
              <w:t xml:space="preserve">. </w:t>
            </w:r>
            <w:r>
              <w:rPr>
                <w:rStyle w:val="IndexLink"/>
                <w:rtl w:val="true"/>
              </w:rPr>
              <w:t>سرانجامِ انگارۀ معرفت اضطراری در اندیشۀ اعتزال</w:t>
            </w:r>
            <w:r>
              <w:rPr>
                <w:rStyle w:val="IndexLink"/>
                <w:rtl w:val="true"/>
              </w:rPr>
              <w:tab/>
            </w:r>
            <w:r>
              <w:rPr>
                <w:rStyle w:val="IndexLink"/>
              </w:rPr>
              <w:t>27</w:t>
            </w:r>
          </w:hyperlink>
        </w:p>
        <w:p>
          <w:pPr>
            <w:pStyle w:val="Contents3"/>
            <w:tabs>
              <w:tab w:val="clear" w:pos="8459"/>
              <w:tab w:val="right" w:pos="9026" w:leader="dot"/>
            </w:tabs>
            <w:rPr/>
          </w:pPr>
          <w:hyperlink w:anchor="__RefHeading___Toc2030925_2749589250">
            <w:r>
              <w:rPr>
                <w:webHidden/>
                <w:rStyle w:val="IndexLink"/>
                <w:rtl w:val="true"/>
              </w:rPr>
              <w:t>جمع‌بندی</w:t>
            </w:r>
            <w:r>
              <w:rPr>
                <w:rStyle w:val="IndexLink"/>
                <w:rtl w:val="true"/>
              </w:rPr>
              <w:tab/>
            </w:r>
            <w:r>
              <w:rPr>
                <w:rStyle w:val="IndexLink"/>
              </w:rPr>
              <w:t>28</w:t>
            </w:r>
          </w:hyperlink>
        </w:p>
        <w:p>
          <w:pPr>
            <w:pStyle w:val="Contents3"/>
            <w:tabs>
              <w:tab w:val="clear" w:pos="8459"/>
              <w:tab w:val="right" w:pos="9026" w:leader="dot"/>
            </w:tabs>
            <w:rPr/>
          </w:pPr>
          <w:hyperlink w:anchor="__RefHeading___Toc2030927_2749589250">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2030929_2749589250">
            <w:r>
              <w:rPr>
                <w:webHidden/>
                <w:rStyle w:val="IndexLink"/>
                <w:rtl w:val="true"/>
              </w:rPr>
              <w:t>مبانی کلامی توسعۀ استنباط از رفتار معصوم</w:t>
            </w:r>
            <w:r>
              <w:rPr>
                <w:rStyle w:val="IndexLink"/>
                <w:rtl w:val="true"/>
              </w:rPr>
              <w:t>/</w:t>
            </w:r>
            <w:r>
              <w:rPr>
                <w:rStyle w:val="IndexLink"/>
                <w:rtl w:val="true"/>
              </w:rPr>
              <w:t xml:space="preserve">مهدی مردانی </w:t>
            </w:r>
            <w:r>
              <w:rPr>
                <w:rStyle w:val="IndexLink"/>
                <w:rtl w:val="true"/>
              </w:rPr>
              <w:t>(</w:t>
            </w:r>
            <w:r>
              <w:rPr>
                <w:rStyle w:val="IndexLink"/>
                <w:rtl w:val="true"/>
              </w:rPr>
              <w:t>گلستانی</w:t>
            </w:r>
            <w:r>
              <w:rPr>
                <w:rStyle w:val="IndexLink"/>
                <w:rtl w:val="true"/>
              </w:rPr>
              <w:t>)-</w:t>
            </w:r>
            <w:r>
              <w:rPr>
                <w:rStyle w:val="IndexLink"/>
                <w:rtl w:val="true"/>
              </w:rPr>
              <w:t>علی راد</w:t>
            </w:r>
            <w:r>
              <w:rPr>
                <w:rStyle w:val="IndexLink"/>
                <w:rtl w:val="true"/>
              </w:rPr>
              <w:tab/>
            </w:r>
            <w:r>
              <w:rPr>
                <w:rStyle w:val="IndexLink"/>
              </w:rPr>
              <w:t>32</w:t>
            </w:r>
          </w:hyperlink>
        </w:p>
        <w:p>
          <w:pPr>
            <w:pStyle w:val="Contents3"/>
            <w:tabs>
              <w:tab w:val="clear" w:pos="8459"/>
              <w:tab w:val="right" w:pos="9026" w:leader="dot"/>
            </w:tabs>
            <w:rPr/>
          </w:pPr>
          <w:hyperlink w:anchor="__RefHeading___Toc2030931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030933_2749589250">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2030935_2749589250">
            <w:r>
              <w:rPr>
                <w:webHidden/>
                <w:rStyle w:val="IndexLink"/>
                <w:rtl w:val="true"/>
              </w:rPr>
              <w:t>واژگان کلیدی</w:t>
            </w:r>
            <w:r>
              <w:rPr>
                <w:rStyle w:val="IndexLink"/>
                <w:rtl w:val="true"/>
              </w:rPr>
              <w:tab/>
            </w:r>
            <w:r>
              <w:rPr>
                <w:rStyle w:val="IndexLink"/>
              </w:rPr>
              <w:t>32</w:t>
            </w:r>
          </w:hyperlink>
        </w:p>
        <w:p>
          <w:pPr>
            <w:pStyle w:val="Contents3"/>
            <w:tabs>
              <w:tab w:val="clear" w:pos="8459"/>
              <w:tab w:val="right" w:pos="9026" w:leader="dot"/>
            </w:tabs>
            <w:rPr/>
          </w:pPr>
          <w:hyperlink w:anchor="__RefHeading___Toc2030937_2749589250">
            <w:r>
              <w:rPr>
                <w:webHidden/>
                <w:rStyle w:val="IndexLink"/>
                <w:rtl w:val="true"/>
              </w:rPr>
              <w:t>درآمد</w:t>
            </w:r>
            <w:r>
              <w:rPr>
                <w:rStyle w:val="IndexLink"/>
                <w:rtl w:val="true"/>
              </w:rPr>
              <w:tab/>
            </w:r>
            <w:r>
              <w:rPr>
                <w:rStyle w:val="IndexLink"/>
              </w:rPr>
              <w:t>33</w:t>
            </w:r>
          </w:hyperlink>
        </w:p>
        <w:p>
          <w:pPr>
            <w:pStyle w:val="Contents3"/>
            <w:tabs>
              <w:tab w:val="clear" w:pos="8459"/>
              <w:tab w:val="right" w:pos="9026" w:leader="dot"/>
            </w:tabs>
            <w:rPr/>
          </w:pPr>
          <w:hyperlink w:anchor="__RefHeading___Toc2030939_2749589250">
            <w:r>
              <w:rPr>
                <w:webHidden/>
                <w:rStyle w:val="IndexLink"/>
              </w:rPr>
              <w:t>1</w:t>
            </w:r>
            <w:r>
              <w:rPr>
                <w:rStyle w:val="IndexLink"/>
                <w:rtl w:val="true"/>
              </w:rPr>
              <w:t xml:space="preserve">. </w:t>
            </w:r>
            <w:r>
              <w:rPr>
                <w:rStyle w:val="IndexLink"/>
                <w:rtl w:val="true"/>
              </w:rPr>
              <w:t>حجیت رفتار معصوم پیش از نبوت</w:t>
            </w:r>
            <w:r>
              <w:rPr>
                <w:rStyle w:val="IndexLink"/>
                <w:rtl w:val="true"/>
              </w:rPr>
              <w:t xml:space="preserve">/ </w:t>
            </w:r>
            <w:r>
              <w:rPr>
                <w:rStyle w:val="IndexLink"/>
                <w:rtl w:val="true"/>
              </w:rPr>
              <w:t>امامت</w:t>
            </w:r>
            <w:r>
              <w:rPr>
                <w:rStyle w:val="IndexLink"/>
                <w:rtl w:val="true"/>
              </w:rPr>
              <w:tab/>
            </w:r>
            <w:r>
              <w:rPr>
                <w:rStyle w:val="IndexLink"/>
              </w:rPr>
              <w:t>33</w:t>
            </w:r>
          </w:hyperlink>
        </w:p>
        <w:p>
          <w:pPr>
            <w:pStyle w:val="Contents4"/>
            <w:tabs>
              <w:tab w:val="clear" w:pos="8176"/>
              <w:tab w:val="right" w:pos="9026" w:leader="dot"/>
            </w:tabs>
            <w:rPr/>
          </w:pPr>
          <w:hyperlink w:anchor="__RefHeading___Toc2030941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30943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35</w:t>
            </w:r>
          </w:hyperlink>
        </w:p>
        <w:p>
          <w:pPr>
            <w:pStyle w:val="Contents4"/>
            <w:tabs>
              <w:tab w:val="clear" w:pos="8176"/>
              <w:tab w:val="right" w:pos="9026" w:leader="dot"/>
            </w:tabs>
            <w:rPr/>
          </w:pPr>
          <w:hyperlink w:anchor="__RefHeading___Toc2030945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دلیل نقلی</w:t>
            </w:r>
            <w:r>
              <w:rPr>
                <w:rStyle w:val="IndexLink"/>
                <w:rtl w:val="true"/>
              </w:rPr>
              <w:tab/>
            </w:r>
            <w:r>
              <w:rPr>
                <w:rStyle w:val="IndexLink"/>
              </w:rPr>
              <w:t>36</w:t>
            </w:r>
          </w:hyperlink>
        </w:p>
        <w:p>
          <w:pPr>
            <w:pStyle w:val="Contents4"/>
            <w:tabs>
              <w:tab w:val="clear" w:pos="8176"/>
              <w:tab w:val="right" w:pos="9026" w:leader="dot"/>
            </w:tabs>
            <w:rPr/>
          </w:pPr>
          <w:hyperlink w:anchor="__RefHeading___Toc2030947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استناد ائمه</w:t>
            </w:r>
            <w:r>
              <w:rPr>
                <w:rStyle w:val="IndexLink"/>
              </w:rPr>
              <w:t></w:t>
            </w:r>
            <w:r>
              <w:rPr>
                <w:rStyle w:val="IndexLink"/>
                <w:rtl w:val="true"/>
              </w:rPr>
              <w:t xml:space="preserve"> به رفتار پیش از نبوت</w:t>
            </w:r>
            <w:r>
              <w:rPr>
                <w:rStyle w:val="IndexLink"/>
                <w:rtl w:val="true"/>
              </w:rPr>
              <w:tab/>
            </w:r>
            <w:r>
              <w:rPr>
                <w:rStyle w:val="IndexLink"/>
              </w:rPr>
              <w:t>37</w:t>
            </w:r>
          </w:hyperlink>
        </w:p>
        <w:p>
          <w:pPr>
            <w:pStyle w:val="Contents3"/>
            <w:tabs>
              <w:tab w:val="clear" w:pos="8459"/>
              <w:tab w:val="right" w:pos="9026" w:leader="dot"/>
            </w:tabs>
            <w:rPr/>
          </w:pPr>
          <w:hyperlink w:anchor="__RefHeading___Toc2030949_2749589250">
            <w:r>
              <w:rPr>
                <w:webHidden/>
                <w:rStyle w:val="IndexLink"/>
              </w:rPr>
              <w:t>2</w:t>
            </w:r>
            <w:r>
              <w:rPr>
                <w:rStyle w:val="IndexLink"/>
                <w:rtl w:val="true"/>
              </w:rPr>
              <w:t xml:space="preserve">. </w:t>
            </w:r>
            <w:r>
              <w:rPr>
                <w:rStyle w:val="IndexLink"/>
                <w:rtl w:val="true"/>
              </w:rPr>
              <w:t>حجیت رفتار انبیای پیشین</w:t>
            </w:r>
            <w:r>
              <w:rPr>
                <w:rStyle w:val="IndexLink"/>
                <w:rtl w:val="true"/>
              </w:rPr>
              <w:tab/>
            </w:r>
            <w:r>
              <w:rPr>
                <w:rStyle w:val="IndexLink"/>
              </w:rPr>
              <w:t>38</w:t>
            </w:r>
          </w:hyperlink>
        </w:p>
        <w:p>
          <w:pPr>
            <w:pStyle w:val="Contents4"/>
            <w:tabs>
              <w:tab w:val="clear" w:pos="8176"/>
              <w:tab w:val="right" w:pos="9026" w:leader="dot"/>
            </w:tabs>
            <w:rPr/>
          </w:pPr>
          <w:hyperlink w:anchor="__RefHeading___Toc2030951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030953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عصمت انبیا</w:t>
            </w:r>
            <w:r>
              <w:rPr>
                <w:rStyle w:val="IndexLink"/>
                <w:rtl w:val="true"/>
              </w:rPr>
              <w:tab/>
            </w:r>
            <w:r>
              <w:rPr>
                <w:rStyle w:val="IndexLink"/>
              </w:rPr>
              <w:t>38</w:t>
            </w:r>
          </w:hyperlink>
        </w:p>
        <w:p>
          <w:pPr>
            <w:pStyle w:val="Contents5"/>
            <w:tabs>
              <w:tab w:val="clear" w:pos="7892"/>
              <w:tab w:val="right" w:pos="9026" w:leader="dot"/>
            </w:tabs>
            <w:rPr/>
          </w:pPr>
          <w:hyperlink w:anchor="__RefHeading___Toc2030955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030957_2749589250">
            <w:r>
              <w:rPr>
                <w:webHidden/>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39</w:t>
            </w:r>
          </w:hyperlink>
        </w:p>
        <w:p>
          <w:pPr>
            <w:pStyle w:val="Contents5"/>
            <w:tabs>
              <w:tab w:val="clear" w:pos="7892"/>
              <w:tab w:val="right" w:pos="9026" w:leader="dot"/>
            </w:tabs>
            <w:rPr/>
          </w:pPr>
          <w:hyperlink w:anchor="__RefHeading___Toc2030959_2749589250">
            <w:r>
              <w:rPr>
                <w:webHidden/>
                <w:rStyle w:val="IndexLink"/>
              </w:rPr>
              <w:t>2</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دلیل نقلی</w:t>
            </w:r>
            <w:r>
              <w:rPr>
                <w:rStyle w:val="IndexLink"/>
                <w:rtl w:val="true"/>
              </w:rPr>
              <w:tab/>
            </w:r>
            <w:r>
              <w:rPr>
                <w:rStyle w:val="IndexLink"/>
              </w:rPr>
              <w:t>39</w:t>
            </w:r>
          </w:hyperlink>
        </w:p>
        <w:p>
          <w:pPr>
            <w:pStyle w:val="Contents5"/>
            <w:tabs>
              <w:tab w:val="clear" w:pos="7892"/>
              <w:tab w:val="right" w:pos="9026" w:leader="dot"/>
            </w:tabs>
            <w:rPr/>
          </w:pPr>
          <w:hyperlink w:anchor="__RefHeading___Toc2030961_2749589250">
            <w:r>
              <w:rPr>
                <w:webHidden/>
                <w:rStyle w:val="IndexLink"/>
              </w:rPr>
              <w:t>2</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استناد معصومان</w:t>
            </w:r>
            <w:r>
              <w:rPr>
                <w:rStyle w:val="IndexLink"/>
                <w:rtl w:val="true"/>
              </w:rPr>
              <w:tab/>
            </w:r>
            <w:r>
              <w:rPr>
                <w:rStyle w:val="IndexLink"/>
              </w:rPr>
              <w:t>40</w:t>
            </w:r>
          </w:hyperlink>
        </w:p>
        <w:p>
          <w:pPr>
            <w:pStyle w:val="Contents4"/>
            <w:tabs>
              <w:tab w:val="clear" w:pos="8176"/>
              <w:tab w:val="right" w:pos="9026" w:leader="dot"/>
            </w:tabs>
            <w:rPr/>
          </w:pPr>
          <w:hyperlink w:anchor="__RefHeading___Toc2030963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تحلیل نگرۀ نسخ شرایع</w:t>
            </w:r>
            <w:r>
              <w:rPr>
                <w:rStyle w:val="IndexLink"/>
                <w:rtl w:val="true"/>
              </w:rPr>
              <w:tab/>
            </w:r>
            <w:r>
              <w:rPr>
                <w:rStyle w:val="IndexLink"/>
              </w:rPr>
              <w:t>40</w:t>
            </w:r>
          </w:hyperlink>
        </w:p>
        <w:p>
          <w:pPr>
            <w:pStyle w:val="Contents3"/>
            <w:tabs>
              <w:tab w:val="clear" w:pos="8459"/>
              <w:tab w:val="right" w:pos="9026" w:leader="dot"/>
            </w:tabs>
            <w:rPr/>
          </w:pPr>
          <w:hyperlink w:anchor="__RefHeading___Toc2030965_2749589250">
            <w:r>
              <w:rPr>
                <w:webHidden/>
                <w:rStyle w:val="IndexLink"/>
              </w:rPr>
              <w:t>3</w:t>
            </w:r>
            <w:r>
              <w:rPr>
                <w:rStyle w:val="IndexLink"/>
                <w:rtl w:val="true"/>
              </w:rPr>
              <w:t xml:space="preserve">. </w:t>
            </w:r>
            <w:r>
              <w:rPr>
                <w:rStyle w:val="IndexLink"/>
                <w:rtl w:val="true"/>
              </w:rPr>
              <w:t>حجیت رفتار حضرت زهرا علیها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030967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30969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دلیل قرآنی</w:t>
            </w:r>
            <w:r>
              <w:rPr>
                <w:rStyle w:val="IndexLink"/>
                <w:rtl w:val="true"/>
              </w:rPr>
              <w:tab/>
            </w:r>
            <w:r>
              <w:rPr>
                <w:rStyle w:val="IndexLink"/>
              </w:rPr>
              <w:t>42</w:t>
            </w:r>
          </w:hyperlink>
        </w:p>
        <w:p>
          <w:pPr>
            <w:pStyle w:val="Contents4"/>
            <w:tabs>
              <w:tab w:val="clear" w:pos="8176"/>
              <w:tab w:val="right" w:pos="9026" w:leader="dot"/>
            </w:tabs>
            <w:rPr/>
          </w:pPr>
          <w:hyperlink w:anchor="__RefHeading___Toc2030971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دلیل روایی</w:t>
            </w:r>
            <w:r>
              <w:rPr>
                <w:rStyle w:val="IndexLink"/>
                <w:rtl w:val="true"/>
              </w:rPr>
              <w:tab/>
            </w:r>
            <w:r>
              <w:rPr>
                <w:rStyle w:val="IndexLink"/>
              </w:rPr>
              <w:t>43</w:t>
            </w:r>
          </w:hyperlink>
        </w:p>
        <w:p>
          <w:pPr>
            <w:pStyle w:val="Contents4"/>
            <w:tabs>
              <w:tab w:val="clear" w:pos="8176"/>
              <w:tab w:val="right" w:pos="9026" w:leader="dot"/>
            </w:tabs>
            <w:rPr/>
          </w:pPr>
          <w:hyperlink w:anchor="__RefHeading___Toc2030973_2749589250">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استناد به رفتار حضرت زهرا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030975_2749589250">
            <w:r>
              <w:rPr>
                <w:webHidden/>
                <w:rStyle w:val="IndexLink"/>
                <w:rtl w:val="true"/>
              </w:rPr>
              <w:t>برآیند</w:t>
            </w:r>
            <w:r>
              <w:rPr>
                <w:rStyle w:val="IndexLink"/>
                <w:rtl w:val="true"/>
              </w:rPr>
              <w:tab/>
            </w:r>
            <w:r>
              <w:rPr>
                <w:rStyle w:val="IndexLink"/>
              </w:rPr>
              <w:t>45</w:t>
            </w:r>
          </w:hyperlink>
        </w:p>
        <w:p>
          <w:pPr>
            <w:pStyle w:val="Contents3"/>
            <w:tabs>
              <w:tab w:val="clear" w:pos="8459"/>
              <w:tab w:val="right" w:pos="9026" w:leader="dot"/>
            </w:tabs>
            <w:rPr/>
          </w:pPr>
          <w:hyperlink w:anchor="__RefHeading___Toc2030977_2749589250">
            <w:r>
              <w:rPr>
                <w:webHidden/>
                <w:rStyle w:val="IndexLink"/>
                <w:rtl w:val="true"/>
              </w:rPr>
              <w:t>منابع</w:t>
            </w:r>
            <w:r>
              <w:rPr>
                <w:rStyle w:val="IndexLink"/>
                <w:rtl w:val="true"/>
              </w:rPr>
              <w:tab/>
            </w:r>
            <w:r>
              <w:rPr>
                <w:rStyle w:val="IndexLink"/>
              </w:rPr>
              <w:t>45</w:t>
            </w:r>
          </w:hyperlink>
        </w:p>
        <w:p>
          <w:pPr>
            <w:pStyle w:val="Contents2"/>
            <w:tabs>
              <w:tab w:val="clear" w:pos="8743"/>
              <w:tab w:val="right" w:pos="9026" w:leader="dot"/>
            </w:tabs>
            <w:rPr/>
          </w:pPr>
          <w:hyperlink w:anchor="__RefHeading___Toc2030979_2749589250">
            <w:r>
              <w:rPr>
                <w:webHidden/>
                <w:rStyle w:val="IndexLink"/>
                <w:rtl w:val="true"/>
              </w:rPr>
              <w:t xml:space="preserve">تحلیلی وجودشناسانه از سیر تطور ارادۀ خداوند در نظام فکری معتزله </w:t>
            </w:r>
            <w:r>
              <w:rPr>
                <w:rStyle w:val="IndexLink"/>
                <w:rtl w:val="true"/>
              </w:rPr>
              <w:t xml:space="preserve">/ </w:t>
            </w:r>
            <w:r>
              <w:rPr>
                <w:rStyle w:val="IndexLink"/>
                <w:rtl w:val="true"/>
              </w:rPr>
              <w:t>اکبر اقوام کرباسی</w:t>
            </w:r>
            <w:r>
              <w:rPr>
                <w:rStyle w:val="IndexLink"/>
                <w:rtl w:val="true"/>
              </w:rPr>
              <w:tab/>
            </w:r>
            <w:r>
              <w:rPr>
                <w:rStyle w:val="IndexLink"/>
              </w:rPr>
              <w:t>48</w:t>
            </w:r>
          </w:hyperlink>
        </w:p>
        <w:p>
          <w:pPr>
            <w:pStyle w:val="Contents3"/>
            <w:tabs>
              <w:tab w:val="clear" w:pos="8459"/>
              <w:tab w:val="right" w:pos="9026" w:leader="dot"/>
            </w:tabs>
            <w:rPr/>
          </w:pPr>
          <w:hyperlink w:anchor="__RefHeading___Toc2030981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030983_2749589250">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2030985_2749589250">
            <w:r>
              <w:rPr>
                <w:webHidden/>
                <w:rStyle w:val="IndexLink"/>
                <w:rtl w:val="true"/>
              </w:rPr>
              <w:t>واژگان کلیدی</w:t>
            </w:r>
            <w:r>
              <w:rPr>
                <w:rStyle w:val="IndexLink"/>
                <w:rtl w:val="true"/>
              </w:rPr>
              <w:tab/>
            </w:r>
            <w:r>
              <w:rPr>
                <w:rStyle w:val="IndexLink"/>
              </w:rPr>
              <w:t>48</w:t>
            </w:r>
          </w:hyperlink>
        </w:p>
        <w:p>
          <w:pPr>
            <w:pStyle w:val="Contents3"/>
            <w:tabs>
              <w:tab w:val="clear" w:pos="8459"/>
              <w:tab w:val="right" w:pos="9026" w:leader="dot"/>
            </w:tabs>
            <w:rPr/>
          </w:pPr>
          <w:hyperlink w:anchor="__RefHeading___Toc2030987_2749589250">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2030989_2749589250">
            <w:r>
              <w:rPr>
                <w:webHidden/>
                <w:rStyle w:val="IndexLink"/>
                <w:rtl w:val="true"/>
              </w:rPr>
              <w:t>ارادۀ الهی در نظر معتزلیان متقدم</w:t>
            </w:r>
            <w:r>
              <w:rPr>
                <w:rStyle w:val="IndexLink"/>
                <w:rtl w:val="true"/>
              </w:rPr>
              <w:tab/>
            </w:r>
            <w:r>
              <w:rPr>
                <w:rStyle w:val="IndexLink"/>
              </w:rPr>
              <w:t>49</w:t>
            </w:r>
          </w:hyperlink>
        </w:p>
        <w:p>
          <w:pPr>
            <w:pStyle w:val="Contents4"/>
            <w:tabs>
              <w:tab w:val="clear" w:pos="8176"/>
              <w:tab w:val="right" w:pos="9026" w:leader="dot"/>
            </w:tabs>
            <w:rPr/>
          </w:pPr>
          <w:hyperlink w:anchor="__RefHeading___Toc2030991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030993_2749589250">
            <w:r>
              <w:rPr>
                <w:webHidden/>
                <w:rStyle w:val="IndexLink"/>
              </w:rPr>
              <w:t>1</w:t>
            </w:r>
            <w:r>
              <w:rPr>
                <w:rStyle w:val="IndexLink"/>
                <w:rtl w:val="true"/>
              </w:rPr>
              <w:t xml:space="preserve">. </w:t>
            </w:r>
            <w:r>
              <w:rPr>
                <w:rStyle w:val="IndexLink"/>
                <w:rtl w:val="true"/>
              </w:rPr>
              <w:t>ابوهذیل علاف و نظریۀ اراده لا فی المحل در معتزلۀ بصره</w:t>
            </w:r>
            <w:r>
              <w:rPr>
                <w:rStyle w:val="IndexLink"/>
                <w:rtl w:val="true"/>
              </w:rPr>
              <w:tab/>
            </w:r>
            <w:r>
              <w:rPr>
                <w:rStyle w:val="IndexLink"/>
              </w:rPr>
              <w:t>50</w:t>
            </w:r>
          </w:hyperlink>
        </w:p>
        <w:p>
          <w:pPr>
            <w:pStyle w:val="Contents4"/>
            <w:tabs>
              <w:tab w:val="clear" w:pos="8176"/>
              <w:tab w:val="right" w:pos="9026" w:leader="dot"/>
            </w:tabs>
            <w:rPr/>
          </w:pPr>
          <w:hyperlink w:anchor="__RefHeading___Toc2030995_2749589250">
            <w:r>
              <w:rPr>
                <w:webHidden/>
                <w:rStyle w:val="IndexLink"/>
              </w:rPr>
              <w:t>2</w:t>
            </w:r>
            <w:r>
              <w:rPr>
                <w:rStyle w:val="IndexLink"/>
                <w:rtl w:val="true"/>
              </w:rPr>
              <w:t xml:space="preserve">. </w:t>
            </w:r>
            <w:r>
              <w:rPr>
                <w:rStyle w:val="IndexLink"/>
                <w:rtl w:val="true"/>
              </w:rPr>
              <w:t>دیدگاه بِشر بن مُعتمر و ایده ارادۀ ذاتی و فعلی خداوند</w:t>
            </w:r>
            <w:r>
              <w:rPr>
                <w:rStyle w:val="IndexLink"/>
                <w:rtl w:val="true"/>
              </w:rPr>
              <w:tab/>
            </w:r>
            <w:r>
              <w:rPr>
                <w:rStyle w:val="IndexLink"/>
              </w:rPr>
              <w:t>54</w:t>
            </w:r>
          </w:hyperlink>
        </w:p>
        <w:p>
          <w:pPr>
            <w:pStyle w:val="Contents4"/>
            <w:tabs>
              <w:tab w:val="clear" w:pos="8176"/>
              <w:tab w:val="right" w:pos="9026" w:leader="dot"/>
            </w:tabs>
            <w:rPr/>
          </w:pPr>
          <w:hyperlink w:anchor="__RefHeading___Toc2030997_2749589250">
            <w:r>
              <w:rPr>
                <w:webHidden/>
                <w:rStyle w:val="IndexLink"/>
              </w:rPr>
              <w:t>3</w:t>
            </w:r>
            <w:r>
              <w:rPr>
                <w:rStyle w:val="IndexLink"/>
                <w:rtl w:val="true"/>
              </w:rPr>
              <w:t xml:space="preserve">. </w:t>
            </w:r>
            <w:r>
              <w:rPr>
                <w:rStyle w:val="IndexLink"/>
                <w:rtl w:val="true"/>
              </w:rPr>
              <w:t>نظّام، کعبی و جاحظ و انکار ارادۀ الهی</w:t>
            </w:r>
            <w:r>
              <w:rPr>
                <w:rStyle w:val="IndexLink"/>
                <w:rtl w:val="true"/>
              </w:rPr>
              <w:tab/>
            </w:r>
            <w:r>
              <w:rPr>
                <w:rStyle w:val="IndexLink"/>
              </w:rPr>
              <w:t>56</w:t>
            </w:r>
          </w:hyperlink>
        </w:p>
        <w:p>
          <w:pPr>
            <w:pStyle w:val="Contents4"/>
            <w:tabs>
              <w:tab w:val="clear" w:pos="8176"/>
              <w:tab w:val="right" w:pos="9026" w:leader="dot"/>
            </w:tabs>
            <w:rPr/>
          </w:pPr>
          <w:hyperlink w:anchor="__RefHeading___Toc2030999_2749589250">
            <w:r>
              <w:rPr>
                <w:webHidden/>
                <w:rStyle w:val="IndexLink"/>
              </w:rPr>
              <w:t>4</w:t>
            </w:r>
            <w:r>
              <w:rPr>
                <w:rStyle w:val="IndexLink"/>
                <w:rtl w:val="true"/>
              </w:rPr>
              <w:t xml:space="preserve">. </w:t>
            </w:r>
            <w:r>
              <w:rPr>
                <w:rStyle w:val="IndexLink"/>
                <w:rtl w:val="true"/>
              </w:rPr>
              <w:t>جبائیان و امتداد نظریۀ مشهور معتزلۀ متقدم در قاضی عبدالجبار</w:t>
            </w:r>
            <w:r>
              <w:rPr>
                <w:rStyle w:val="IndexLink"/>
                <w:rtl w:val="true"/>
              </w:rPr>
              <w:tab/>
            </w:r>
            <w:r>
              <w:rPr>
                <w:rStyle w:val="IndexLink"/>
              </w:rPr>
              <w:t>59</w:t>
            </w:r>
          </w:hyperlink>
        </w:p>
        <w:p>
          <w:pPr>
            <w:pStyle w:val="Contents3"/>
            <w:tabs>
              <w:tab w:val="clear" w:pos="8459"/>
              <w:tab w:val="right" w:pos="9026" w:leader="dot"/>
            </w:tabs>
            <w:rPr/>
          </w:pPr>
          <w:hyperlink w:anchor="__RefHeading___Toc2031001_2749589250">
            <w:r>
              <w:rPr>
                <w:webHidden/>
                <w:rStyle w:val="IndexLink"/>
                <w:rtl w:val="true"/>
              </w:rPr>
              <w:t>معتزلیان متأخر و ارادۀ خداوند</w:t>
            </w:r>
            <w:r>
              <w:rPr>
                <w:rStyle w:val="IndexLink"/>
                <w:rtl w:val="true"/>
              </w:rPr>
              <w:tab/>
            </w:r>
            <w:r>
              <w:rPr>
                <w:rStyle w:val="IndexLink"/>
              </w:rPr>
              <w:t>60</w:t>
            </w:r>
          </w:hyperlink>
        </w:p>
        <w:p>
          <w:pPr>
            <w:pStyle w:val="Contents4"/>
            <w:tabs>
              <w:tab w:val="clear" w:pos="8176"/>
              <w:tab w:val="right" w:pos="9026" w:leader="dot"/>
            </w:tabs>
            <w:rPr/>
          </w:pPr>
          <w:hyperlink w:anchor="__RefHeading___Toc2031003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031005_2749589250">
            <w:r>
              <w:rPr>
                <w:webHidden/>
                <w:rStyle w:val="IndexLink"/>
                <w:rtl w:val="true"/>
              </w:rPr>
              <w:t>ابوالحسین بصری و استقبال از دیدگاه فلاسفه</w:t>
            </w:r>
            <w:r>
              <w:rPr>
                <w:rStyle w:val="IndexLink"/>
                <w:rtl w:val="true"/>
              </w:rPr>
              <w:tab/>
            </w:r>
            <w:r>
              <w:rPr>
                <w:rStyle w:val="IndexLink"/>
              </w:rPr>
              <w:t>61</w:t>
            </w:r>
          </w:hyperlink>
        </w:p>
        <w:p>
          <w:pPr>
            <w:pStyle w:val="Contents3"/>
            <w:tabs>
              <w:tab w:val="clear" w:pos="8459"/>
              <w:tab w:val="right" w:pos="9026" w:leader="dot"/>
            </w:tabs>
            <w:rPr/>
          </w:pPr>
          <w:hyperlink w:anchor="__RefHeading___Toc2031007_2749589250">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2031009_2749589250">
            <w:r>
              <w:rPr>
                <w:webHidden/>
                <w:rStyle w:val="IndexLink"/>
                <w:rtl w:val="true"/>
              </w:rPr>
              <w:t>کاربست توحید ربوبی در تربیت انسان از منظر قرآن</w:t>
            </w:r>
            <w:r>
              <w:rPr>
                <w:rStyle w:val="IndexLink"/>
                <w:rtl w:val="true"/>
              </w:rPr>
              <w:t xml:space="preserve">/ </w:t>
            </w:r>
            <w:r>
              <w:rPr>
                <w:rStyle w:val="IndexLink"/>
                <w:rtl w:val="true"/>
              </w:rPr>
              <w:t>حسین محمدی</w:t>
            </w:r>
            <w:r>
              <w:rPr>
                <w:rStyle w:val="IndexLink"/>
                <w:rtl w:val="true"/>
              </w:rPr>
              <w:t xml:space="preserve">- </w:t>
            </w:r>
            <w:r>
              <w:rPr>
                <w:rStyle w:val="IndexLink"/>
                <w:rtl w:val="true"/>
              </w:rPr>
              <w:t xml:space="preserve">سید اسحاق حسینی کوهساری </w:t>
            </w:r>
            <w:r>
              <w:rPr>
                <w:rStyle w:val="IndexLink"/>
                <w:rtl w:val="true"/>
              </w:rPr>
              <w:t xml:space="preserve">- </w:t>
            </w:r>
            <w:r>
              <w:rPr>
                <w:rStyle w:val="IndexLink"/>
                <w:rtl w:val="true"/>
              </w:rPr>
              <w:t>سید محمد موسوی مقدم</w:t>
            </w:r>
            <w:r>
              <w:rPr>
                <w:rStyle w:val="IndexLink"/>
                <w:rtl w:val="true"/>
              </w:rPr>
              <w:tab/>
            </w:r>
            <w:r>
              <w:rPr>
                <w:rStyle w:val="IndexLink"/>
              </w:rPr>
              <w:t>68</w:t>
            </w:r>
          </w:hyperlink>
        </w:p>
        <w:p>
          <w:pPr>
            <w:pStyle w:val="Contents3"/>
            <w:tabs>
              <w:tab w:val="clear" w:pos="8459"/>
              <w:tab w:val="right" w:pos="9026" w:leader="dot"/>
            </w:tabs>
            <w:rPr/>
          </w:pPr>
          <w:hyperlink w:anchor="__RefHeading___Toc2031011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031013_2749589250">
            <w:r>
              <w:rPr>
                <w:webHidden/>
                <w:rStyle w:val="IndexLink"/>
                <w:rtl w:val="true"/>
              </w:rPr>
              <w:t>چکیده</w:t>
            </w:r>
            <w:r>
              <w:rPr>
                <w:rStyle w:val="IndexLink"/>
                <w:rtl w:val="true"/>
              </w:rPr>
              <w:tab/>
            </w:r>
            <w:r>
              <w:rPr>
                <w:rStyle w:val="IndexLink"/>
              </w:rPr>
              <w:t>68</w:t>
            </w:r>
          </w:hyperlink>
        </w:p>
        <w:p>
          <w:pPr>
            <w:pStyle w:val="Contents3"/>
            <w:tabs>
              <w:tab w:val="clear" w:pos="8459"/>
              <w:tab w:val="right" w:pos="9026" w:leader="dot"/>
            </w:tabs>
            <w:rPr/>
          </w:pPr>
          <w:hyperlink w:anchor="__RefHeading___Toc2031015_2749589250">
            <w:r>
              <w:rPr>
                <w:webHidden/>
                <w:rStyle w:val="IndexLink"/>
                <w:rtl w:val="true"/>
              </w:rPr>
              <w:t>واژگان کلیدی</w:t>
            </w:r>
            <w:r>
              <w:rPr>
                <w:rStyle w:val="IndexLink"/>
                <w:rtl w:val="true"/>
              </w:rPr>
              <w:tab/>
            </w:r>
            <w:r>
              <w:rPr>
                <w:rStyle w:val="IndexLink"/>
              </w:rPr>
              <w:t>68</w:t>
            </w:r>
          </w:hyperlink>
        </w:p>
        <w:p>
          <w:pPr>
            <w:pStyle w:val="Contents3"/>
            <w:tabs>
              <w:tab w:val="clear" w:pos="8459"/>
              <w:tab w:val="right" w:pos="9026" w:leader="dot"/>
            </w:tabs>
            <w:rPr/>
          </w:pPr>
          <w:hyperlink w:anchor="__RefHeading___Toc2031017_2749589250">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2031019_2749589250">
            <w:r>
              <w:rPr>
                <w:webHidden/>
                <w:rStyle w:val="IndexLink"/>
                <w:rtl w:val="true"/>
              </w:rPr>
              <w:t>توحید ربوبی</w:t>
            </w:r>
            <w:r>
              <w:rPr>
                <w:rStyle w:val="IndexLink"/>
                <w:rtl w:val="true"/>
              </w:rPr>
              <w:tab/>
            </w:r>
            <w:r>
              <w:rPr>
                <w:rStyle w:val="IndexLink"/>
              </w:rPr>
              <w:t>70</w:t>
            </w:r>
          </w:hyperlink>
        </w:p>
        <w:p>
          <w:pPr>
            <w:pStyle w:val="Contents4"/>
            <w:tabs>
              <w:tab w:val="clear" w:pos="8176"/>
              <w:tab w:val="right" w:pos="9026" w:leader="dot"/>
            </w:tabs>
            <w:rPr/>
          </w:pPr>
          <w:hyperlink w:anchor="__RefHeading___Toc2031021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031023_2749589250">
            <w:r>
              <w:rPr>
                <w:webHidden/>
                <w:rStyle w:val="IndexLink"/>
                <w:rtl w:val="true"/>
              </w:rPr>
              <w:t>مرحلۀ اول فرآیند تربیت</w:t>
            </w:r>
            <w:r>
              <w:rPr>
                <w:rStyle w:val="IndexLink"/>
                <w:rtl w:val="true"/>
              </w:rPr>
              <w:t xml:space="preserve">: </w:t>
            </w:r>
            <w:r>
              <w:rPr>
                <w:rStyle w:val="IndexLink"/>
                <w:rtl w:val="true"/>
              </w:rPr>
              <w:t>اتخاذ رب</w:t>
            </w:r>
            <w:r>
              <w:rPr>
                <w:rStyle w:val="IndexLink"/>
                <w:rtl w:val="true"/>
              </w:rPr>
              <w:tab/>
            </w:r>
            <w:r>
              <w:rPr>
                <w:rStyle w:val="IndexLink"/>
              </w:rPr>
              <w:t>71</w:t>
            </w:r>
          </w:hyperlink>
        </w:p>
        <w:p>
          <w:pPr>
            <w:pStyle w:val="Contents5"/>
            <w:tabs>
              <w:tab w:val="clear" w:pos="7892"/>
              <w:tab w:val="right" w:pos="9026" w:leader="dot"/>
            </w:tabs>
            <w:rPr/>
          </w:pPr>
          <w:hyperlink w:anchor="__RefHeading___Toc2031025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031027_2749589250">
            <w:r>
              <w:rPr>
                <w:webHidden/>
                <w:rStyle w:val="IndexLink"/>
              </w:rPr>
              <w:t>1</w:t>
            </w:r>
            <w:r>
              <w:rPr>
                <w:rStyle w:val="IndexLink"/>
                <w:rtl w:val="true"/>
              </w:rPr>
              <w:t xml:space="preserve">. </w:t>
            </w:r>
            <w:r>
              <w:rPr>
                <w:rStyle w:val="IndexLink"/>
                <w:rtl w:val="true"/>
              </w:rPr>
              <w:t>برانگیختن شعور فطری انسان دربارۀ خالقیت خداوند</w:t>
            </w:r>
            <w:r>
              <w:rPr>
                <w:rStyle w:val="IndexLink"/>
                <w:rtl w:val="true"/>
              </w:rPr>
              <w:tab/>
            </w:r>
            <w:r>
              <w:rPr>
                <w:rStyle w:val="IndexLink"/>
              </w:rPr>
              <w:t>72</w:t>
            </w:r>
          </w:hyperlink>
        </w:p>
        <w:p>
          <w:pPr>
            <w:pStyle w:val="Contents5"/>
            <w:tabs>
              <w:tab w:val="clear" w:pos="7892"/>
              <w:tab w:val="right" w:pos="9026" w:leader="dot"/>
            </w:tabs>
            <w:rPr/>
          </w:pPr>
          <w:hyperlink w:anchor="__RefHeading___Toc2031029_2749589250">
            <w:r>
              <w:rPr>
                <w:webHidden/>
                <w:rStyle w:val="IndexLink"/>
              </w:rPr>
              <w:t>2</w:t>
            </w:r>
            <w:r>
              <w:rPr>
                <w:rStyle w:val="IndexLink"/>
                <w:rtl w:val="true"/>
              </w:rPr>
              <w:t xml:space="preserve">. </w:t>
            </w:r>
            <w:r>
              <w:rPr>
                <w:rStyle w:val="IndexLink"/>
                <w:rtl w:val="true"/>
              </w:rPr>
              <w:t>اندیشه‌ورزی دربارۀ عدم انفکاک خلقت از ربوبیت</w:t>
            </w:r>
            <w:r>
              <w:rPr>
                <w:rStyle w:val="IndexLink"/>
                <w:rtl w:val="true"/>
              </w:rPr>
              <w:tab/>
            </w:r>
            <w:r>
              <w:rPr>
                <w:rStyle w:val="IndexLink"/>
              </w:rPr>
              <w:t>74</w:t>
            </w:r>
          </w:hyperlink>
        </w:p>
        <w:p>
          <w:pPr>
            <w:pStyle w:val="Contents4"/>
            <w:tabs>
              <w:tab w:val="clear" w:pos="8176"/>
              <w:tab w:val="right" w:pos="9026" w:leader="dot"/>
            </w:tabs>
            <w:rPr/>
          </w:pPr>
          <w:hyperlink w:anchor="__RefHeading___Toc2031031_2749589250">
            <w:r>
              <w:rPr>
                <w:webHidden/>
                <w:rStyle w:val="IndexLink"/>
                <w:rtl w:val="true"/>
              </w:rPr>
              <w:t>مرحلۀ دوم فرآیند تربیت</w:t>
            </w:r>
            <w:r>
              <w:rPr>
                <w:rStyle w:val="IndexLink"/>
                <w:rtl w:val="true"/>
              </w:rPr>
              <w:t xml:space="preserve">: </w:t>
            </w:r>
            <w:r>
              <w:rPr>
                <w:rStyle w:val="IndexLink"/>
                <w:rtl w:val="true"/>
              </w:rPr>
              <w:t>شکل</w:t>
            </w:r>
            <w:r>
              <w:rPr>
                <w:rStyle w:val="IndexLink"/>
                <w:rtl w:val="true"/>
              </w:rPr>
              <w:t>¬</w:t>
            </w:r>
            <w:r>
              <w:rPr>
                <w:rStyle w:val="IndexLink"/>
                <w:rtl w:val="true"/>
              </w:rPr>
              <w:t>گیری شاکلۀ شخصیتی انسان بر مبنای عبودیت</w:t>
            </w:r>
            <w:r>
              <w:rPr>
                <w:rStyle w:val="IndexLink"/>
                <w:rtl w:val="true"/>
              </w:rPr>
              <w:tab/>
            </w:r>
            <w:r>
              <w:rPr>
                <w:rStyle w:val="IndexLink"/>
              </w:rPr>
              <w:t>76</w:t>
            </w:r>
          </w:hyperlink>
        </w:p>
        <w:p>
          <w:pPr>
            <w:pStyle w:val="Contents5"/>
            <w:tabs>
              <w:tab w:val="clear" w:pos="7892"/>
              <w:tab w:val="right" w:pos="9026" w:leader="dot"/>
            </w:tabs>
            <w:rPr/>
          </w:pPr>
          <w:hyperlink w:anchor="__RefHeading___Toc2031033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031035_2749589250">
            <w:r>
              <w:rPr>
                <w:webHidden/>
                <w:rStyle w:val="IndexLink"/>
              </w:rPr>
              <w:t>1</w:t>
            </w:r>
            <w:r>
              <w:rPr>
                <w:rStyle w:val="IndexLink"/>
                <w:rtl w:val="true"/>
              </w:rPr>
              <w:t xml:space="preserve">. </w:t>
            </w:r>
            <w:r>
              <w:rPr>
                <w:rStyle w:val="IndexLink"/>
                <w:rtl w:val="true"/>
              </w:rPr>
              <w:t>اندیشه‌ورزی دربارۀ عدم انفکاک ربوبیت از الوهیت</w:t>
            </w:r>
            <w:r>
              <w:rPr>
                <w:rStyle w:val="IndexLink"/>
                <w:rtl w:val="true"/>
              </w:rPr>
              <w:tab/>
            </w:r>
            <w:r>
              <w:rPr>
                <w:rStyle w:val="IndexLink"/>
              </w:rPr>
              <w:t>76</w:t>
            </w:r>
          </w:hyperlink>
        </w:p>
        <w:p>
          <w:pPr>
            <w:pStyle w:val="Contents5"/>
            <w:tabs>
              <w:tab w:val="clear" w:pos="7892"/>
              <w:tab w:val="right" w:pos="9026" w:leader="dot"/>
            </w:tabs>
            <w:rPr/>
          </w:pPr>
          <w:hyperlink w:anchor="__RefHeading___Toc2031037_2749589250">
            <w:r>
              <w:rPr>
                <w:webHidden/>
                <w:rStyle w:val="IndexLink"/>
              </w:rPr>
              <w:t>2</w:t>
            </w:r>
            <w:r>
              <w:rPr>
                <w:rStyle w:val="IndexLink"/>
                <w:rtl w:val="true"/>
              </w:rPr>
              <w:t xml:space="preserve">. </w:t>
            </w:r>
            <w:r>
              <w:rPr>
                <w:rStyle w:val="IndexLink"/>
                <w:rtl w:val="true"/>
              </w:rPr>
              <w:t>اعتلای گرایش جلب منافع و دفع مضار بر مبنای حبّ عبودی</w:t>
            </w:r>
            <w:r>
              <w:rPr>
                <w:rStyle w:val="IndexLink"/>
                <w:rtl w:val="true"/>
              </w:rPr>
              <w:tab/>
            </w:r>
            <w:r>
              <w:rPr>
                <w:rStyle w:val="IndexLink"/>
              </w:rPr>
              <w:t>78</w:t>
            </w:r>
          </w:hyperlink>
        </w:p>
        <w:p>
          <w:pPr>
            <w:pStyle w:val="Contents6"/>
            <w:tabs>
              <w:tab w:val="clear" w:pos="7609"/>
              <w:tab w:val="right" w:pos="9026" w:leader="dot"/>
            </w:tabs>
            <w:rPr/>
          </w:pPr>
          <w:hyperlink w:anchor="__RefHeading___Toc2031039_274958925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031041_2749589250">
            <w:r>
              <w:rPr>
                <w:webHidden/>
                <w:rStyle w:val="IndexLink"/>
                <w:rtl w:val="true"/>
              </w:rPr>
              <w:t>الف</w:t>
            </w:r>
            <w:r>
              <w:rPr>
                <w:rStyle w:val="IndexLink"/>
                <w:rtl w:val="true"/>
              </w:rPr>
              <w:t xml:space="preserve">. </w:t>
            </w:r>
            <w:r>
              <w:rPr>
                <w:rStyle w:val="IndexLink"/>
                <w:rtl w:val="true"/>
              </w:rPr>
              <w:t>مبدأ میل نخستین؛ جلب منافع و دفع مضار</w:t>
            </w:r>
            <w:r>
              <w:rPr>
                <w:rStyle w:val="IndexLink"/>
                <w:rtl w:val="true"/>
              </w:rPr>
              <w:tab/>
            </w:r>
            <w:r>
              <w:rPr>
                <w:rStyle w:val="IndexLink"/>
              </w:rPr>
              <w:t>78</w:t>
            </w:r>
          </w:hyperlink>
        </w:p>
        <w:p>
          <w:pPr>
            <w:pStyle w:val="Contents6"/>
            <w:tabs>
              <w:tab w:val="clear" w:pos="7609"/>
              <w:tab w:val="right" w:pos="9026" w:leader="dot"/>
            </w:tabs>
            <w:rPr/>
          </w:pPr>
          <w:hyperlink w:anchor="__RefHeading___Toc2031043_2749589250">
            <w:r>
              <w:rPr>
                <w:webHidden/>
                <w:rStyle w:val="IndexLink"/>
                <w:rtl w:val="true"/>
              </w:rPr>
              <w:t>ب</w:t>
            </w:r>
            <w:r>
              <w:rPr>
                <w:rStyle w:val="IndexLink"/>
                <w:rtl w:val="true"/>
              </w:rPr>
              <w:t xml:space="preserve">. </w:t>
            </w:r>
            <w:r>
              <w:rPr>
                <w:rStyle w:val="IndexLink"/>
                <w:rtl w:val="true"/>
              </w:rPr>
              <w:t>مبدأ میل عالی؛ حبّ عبودی</w:t>
            </w:r>
            <w:r>
              <w:rPr>
                <w:rStyle w:val="IndexLink"/>
                <w:rtl w:val="true"/>
              </w:rPr>
              <w:tab/>
            </w:r>
            <w:r>
              <w:rPr>
                <w:rStyle w:val="IndexLink"/>
              </w:rPr>
              <w:t>79</w:t>
            </w:r>
          </w:hyperlink>
        </w:p>
        <w:p>
          <w:pPr>
            <w:pStyle w:val="Contents4"/>
            <w:tabs>
              <w:tab w:val="clear" w:pos="8176"/>
              <w:tab w:val="right" w:pos="9026" w:leader="dot"/>
            </w:tabs>
            <w:rPr/>
          </w:pPr>
          <w:hyperlink w:anchor="__RefHeading___Toc2031045_2749589250">
            <w:r>
              <w:rPr>
                <w:webHidden/>
                <w:rStyle w:val="IndexLink"/>
                <w:rtl w:val="true"/>
              </w:rPr>
              <w:t>مرحلۀ سوم فرآیند تربیت</w:t>
            </w:r>
            <w:r>
              <w:rPr>
                <w:rStyle w:val="IndexLink"/>
                <w:rtl w:val="true"/>
              </w:rPr>
              <w:t xml:space="preserve">: </w:t>
            </w:r>
            <w:r>
              <w:rPr>
                <w:rStyle w:val="IndexLink"/>
                <w:rtl w:val="true"/>
              </w:rPr>
              <w:t>باریابی به عالم ملکوت</w:t>
            </w:r>
            <w:r>
              <w:rPr>
                <w:rStyle w:val="IndexLink"/>
                <w:rtl w:val="true"/>
              </w:rPr>
              <w:tab/>
            </w:r>
            <w:r>
              <w:rPr>
                <w:rStyle w:val="IndexLink"/>
              </w:rPr>
              <w:t>81</w:t>
            </w:r>
          </w:hyperlink>
        </w:p>
        <w:p>
          <w:pPr>
            <w:pStyle w:val="Contents3"/>
            <w:tabs>
              <w:tab w:val="clear" w:pos="8459"/>
              <w:tab w:val="right" w:pos="9026" w:leader="dot"/>
            </w:tabs>
            <w:rPr/>
          </w:pPr>
          <w:hyperlink w:anchor="__RefHeading___Toc2031047_2749589250">
            <w:r>
              <w:rPr>
                <w:webHidden/>
                <w:rStyle w:val="IndexLink"/>
                <w:rtl w:val="true"/>
              </w:rPr>
              <w:t>پیشنهاد</w:t>
            </w:r>
            <w:r>
              <w:rPr>
                <w:rStyle w:val="IndexLink"/>
                <w:rtl w:val="true"/>
              </w:rPr>
              <w:tab/>
            </w:r>
            <w:r>
              <w:rPr>
                <w:rStyle w:val="IndexLink"/>
              </w:rPr>
              <w:t>83</w:t>
            </w:r>
          </w:hyperlink>
        </w:p>
        <w:p>
          <w:pPr>
            <w:pStyle w:val="Contents3"/>
            <w:tabs>
              <w:tab w:val="clear" w:pos="8459"/>
              <w:tab w:val="right" w:pos="9026" w:leader="dot"/>
            </w:tabs>
            <w:rPr/>
          </w:pPr>
          <w:hyperlink w:anchor="__RefHeading___Toc2031049_2749589250">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2031051_2749589250">
            <w:r>
              <w:rPr>
                <w:webHidden/>
                <w:rStyle w:val="IndexLink"/>
                <w:rtl w:val="true"/>
              </w:rPr>
              <w:t>احباط و تکفیر عمل، از دیدگاه آیت‌الله جوادی آملی</w:t>
            </w:r>
            <w:r>
              <w:rPr>
                <w:rStyle w:val="IndexLink"/>
                <w:rtl w:val="true"/>
              </w:rPr>
              <w:t xml:space="preserve">/ </w:t>
            </w:r>
            <w:r>
              <w:rPr>
                <w:rStyle w:val="IndexLink"/>
                <w:rtl w:val="true"/>
              </w:rPr>
              <w:t xml:space="preserve">اقدس یزدی </w:t>
            </w:r>
            <w:r>
              <w:rPr>
                <w:rStyle w:val="IndexLink"/>
                <w:rtl w:val="true"/>
              </w:rPr>
              <w:t xml:space="preserve">- </w:t>
            </w:r>
            <w:r>
              <w:rPr>
                <w:rStyle w:val="IndexLink"/>
                <w:rtl w:val="true"/>
              </w:rPr>
              <w:t>زینب عباسی آغوی</w:t>
            </w:r>
            <w:r>
              <w:rPr>
                <w:rStyle w:val="IndexLink"/>
                <w:rtl w:val="true"/>
              </w:rPr>
              <w:tab/>
            </w:r>
            <w:r>
              <w:rPr>
                <w:rStyle w:val="IndexLink"/>
              </w:rPr>
              <w:t>86</w:t>
            </w:r>
          </w:hyperlink>
        </w:p>
        <w:p>
          <w:pPr>
            <w:pStyle w:val="Contents3"/>
            <w:tabs>
              <w:tab w:val="clear" w:pos="8459"/>
              <w:tab w:val="right" w:pos="9026" w:leader="dot"/>
            </w:tabs>
            <w:rPr/>
          </w:pPr>
          <w:hyperlink w:anchor="__RefHeading___Toc2031053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031055_2749589250">
            <w:r>
              <w:rPr>
                <w:webHidden/>
                <w:rStyle w:val="IndexLink"/>
                <w:rtl w:val="true"/>
              </w:rPr>
              <w:t>چکیده</w:t>
            </w:r>
            <w:r>
              <w:rPr>
                <w:rStyle w:val="IndexLink"/>
                <w:rtl w:val="true"/>
              </w:rPr>
              <w:tab/>
            </w:r>
            <w:r>
              <w:rPr>
                <w:rStyle w:val="IndexLink"/>
              </w:rPr>
              <w:t>86</w:t>
            </w:r>
          </w:hyperlink>
        </w:p>
        <w:p>
          <w:pPr>
            <w:pStyle w:val="Contents3"/>
            <w:tabs>
              <w:tab w:val="clear" w:pos="8459"/>
              <w:tab w:val="right" w:pos="9026" w:leader="dot"/>
            </w:tabs>
            <w:rPr/>
          </w:pPr>
          <w:hyperlink w:anchor="__RefHeading___Toc2031057_2749589250">
            <w:r>
              <w:rPr>
                <w:webHidden/>
                <w:rStyle w:val="IndexLink"/>
                <w:rtl w:val="true"/>
              </w:rPr>
              <w:t>واژگان کلیدی</w:t>
            </w:r>
            <w:r>
              <w:rPr>
                <w:rStyle w:val="IndexLink"/>
                <w:rtl w:val="true"/>
              </w:rPr>
              <w:tab/>
            </w:r>
            <w:r>
              <w:rPr>
                <w:rStyle w:val="IndexLink"/>
              </w:rPr>
              <w:t>86</w:t>
            </w:r>
          </w:hyperlink>
        </w:p>
        <w:p>
          <w:pPr>
            <w:pStyle w:val="Contents3"/>
            <w:tabs>
              <w:tab w:val="clear" w:pos="8459"/>
              <w:tab w:val="right" w:pos="9026" w:leader="dot"/>
            </w:tabs>
            <w:rPr/>
          </w:pPr>
          <w:hyperlink w:anchor="__RefHeading___Toc2031059_2749589250">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2031061_2749589250">
            <w:r>
              <w:rPr>
                <w:webHidden/>
                <w:rStyle w:val="IndexLink"/>
                <w:rtl w:val="true"/>
              </w:rPr>
              <w:t>مفهوم شناسی</w:t>
            </w:r>
            <w:r>
              <w:rPr>
                <w:rStyle w:val="IndexLink"/>
                <w:rtl w:val="true"/>
              </w:rPr>
              <w:tab/>
            </w:r>
            <w:r>
              <w:rPr>
                <w:rStyle w:val="IndexLink"/>
              </w:rPr>
              <w:t>88</w:t>
            </w:r>
          </w:hyperlink>
        </w:p>
        <w:p>
          <w:pPr>
            <w:pStyle w:val="Contents3"/>
            <w:tabs>
              <w:tab w:val="clear" w:pos="8459"/>
              <w:tab w:val="right" w:pos="9026" w:leader="dot"/>
            </w:tabs>
            <w:rPr/>
          </w:pPr>
          <w:hyperlink w:anchor="__RefHeading___Toc2031063_2749589250">
            <w:r>
              <w:rPr>
                <w:webHidden/>
                <w:rStyle w:val="IndexLink"/>
                <w:rtl w:val="true"/>
              </w:rPr>
              <w:t xml:space="preserve">دیدگاه‌های مختلف کلامی دربارۀ </w:t>
            </w:r>
            <w:r>
              <w:rPr>
                <w:rStyle w:val="IndexLink"/>
                <w:rtl w:val="true"/>
              </w:rPr>
              <w:t>«</w:t>
            </w:r>
            <w:r>
              <w:rPr>
                <w:rStyle w:val="IndexLink"/>
                <w:rtl w:val="true"/>
              </w:rPr>
              <w:t>احباط و تکفیر</w:t>
            </w:r>
            <w:r>
              <w:rPr>
                <w:rStyle w:val="IndexLink"/>
                <w:rtl w:val="true"/>
              </w:rPr>
              <w:t>»</w:t>
              <w:tab/>
            </w:r>
            <w:r>
              <w:rPr>
                <w:rStyle w:val="IndexLink"/>
              </w:rPr>
              <w:t>89</w:t>
            </w:r>
          </w:hyperlink>
        </w:p>
        <w:p>
          <w:pPr>
            <w:pStyle w:val="Contents4"/>
            <w:tabs>
              <w:tab w:val="clear" w:pos="8176"/>
              <w:tab w:val="right" w:pos="9026" w:leader="dot"/>
            </w:tabs>
            <w:rPr/>
          </w:pPr>
          <w:hyperlink w:anchor="__RefHeading___Toc2031065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031067_2749589250">
            <w:r>
              <w:rPr>
                <w:webHidden/>
                <w:rStyle w:val="IndexLink"/>
              </w:rPr>
              <w:t>1</w:t>
            </w:r>
            <w:r>
              <w:rPr>
                <w:rStyle w:val="IndexLink"/>
                <w:rtl w:val="true"/>
              </w:rPr>
              <w:t xml:space="preserve">. </w:t>
            </w:r>
            <w:r>
              <w:rPr>
                <w:rStyle w:val="IndexLink"/>
                <w:rtl w:val="true"/>
              </w:rPr>
              <w:t>دیدگاه معتزله</w:t>
            </w:r>
            <w:r>
              <w:rPr>
                <w:rStyle w:val="IndexLink"/>
                <w:rtl w:val="true"/>
              </w:rPr>
              <w:tab/>
            </w:r>
            <w:r>
              <w:rPr>
                <w:rStyle w:val="IndexLink"/>
              </w:rPr>
              <w:t>89</w:t>
            </w:r>
          </w:hyperlink>
        </w:p>
        <w:p>
          <w:pPr>
            <w:pStyle w:val="Contents4"/>
            <w:tabs>
              <w:tab w:val="clear" w:pos="8176"/>
              <w:tab w:val="right" w:pos="9026" w:leader="dot"/>
            </w:tabs>
            <w:rPr/>
          </w:pPr>
          <w:hyperlink w:anchor="__RefHeading___Toc2031069_2749589250">
            <w:r>
              <w:rPr>
                <w:webHidden/>
                <w:rStyle w:val="IndexLink"/>
              </w:rPr>
              <w:t>2</w:t>
            </w:r>
            <w:r>
              <w:rPr>
                <w:rStyle w:val="IndexLink"/>
                <w:rtl w:val="true"/>
              </w:rPr>
              <w:t xml:space="preserve">. </w:t>
            </w:r>
            <w:r>
              <w:rPr>
                <w:rStyle w:val="IndexLink"/>
                <w:rtl w:val="true"/>
              </w:rPr>
              <w:t>دیدگاه اشاعره</w:t>
            </w:r>
            <w:r>
              <w:rPr>
                <w:rStyle w:val="IndexLink"/>
                <w:rtl w:val="true"/>
              </w:rPr>
              <w:tab/>
            </w:r>
            <w:r>
              <w:rPr>
                <w:rStyle w:val="IndexLink"/>
              </w:rPr>
              <w:t>90</w:t>
            </w:r>
          </w:hyperlink>
        </w:p>
        <w:p>
          <w:pPr>
            <w:pStyle w:val="Contents4"/>
            <w:tabs>
              <w:tab w:val="clear" w:pos="8176"/>
              <w:tab w:val="right" w:pos="9026" w:leader="dot"/>
            </w:tabs>
            <w:rPr/>
          </w:pPr>
          <w:hyperlink w:anchor="__RefHeading___Toc2031071_2749589250">
            <w:r>
              <w:rPr>
                <w:webHidden/>
                <w:rStyle w:val="IndexLink"/>
              </w:rPr>
              <w:t>3</w:t>
            </w:r>
            <w:r>
              <w:rPr>
                <w:rStyle w:val="IndexLink"/>
                <w:rtl w:val="true"/>
              </w:rPr>
              <w:t xml:space="preserve">. </w:t>
            </w:r>
            <w:r>
              <w:rPr>
                <w:rStyle w:val="IndexLink"/>
                <w:rtl w:val="true"/>
              </w:rPr>
              <w:t>دیدگاه امامیه</w:t>
            </w:r>
            <w:r>
              <w:rPr>
                <w:rStyle w:val="IndexLink"/>
                <w:rtl w:val="true"/>
              </w:rPr>
              <w:tab/>
            </w:r>
            <w:r>
              <w:rPr>
                <w:rStyle w:val="IndexLink"/>
              </w:rPr>
              <w:t>91</w:t>
            </w:r>
          </w:hyperlink>
        </w:p>
        <w:p>
          <w:pPr>
            <w:pStyle w:val="Contents5"/>
            <w:tabs>
              <w:tab w:val="clear" w:pos="7892"/>
              <w:tab w:val="right" w:pos="9026" w:leader="dot"/>
            </w:tabs>
            <w:rPr/>
          </w:pPr>
          <w:hyperlink w:anchor="__RefHeading___Toc2031073_274958925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031075_2749589250">
            <w:r>
              <w:rPr>
                <w:webHidden/>
                <w:rStyle w:val="IndexLink"/>
                <w:rtl w:val="true"/>
              </w:rPr>
              <w:t>الف</w:t>
            </w:r>
            <w:r>
              <w:rPr>
                <w:rStyle w:val="IndexLink"/>
                <w:rtl w:val="true"/>
              </w:rPr>
              <w:t xml:space="preserve">. </w:t>
            </w:r>
            <w:r>
              <w:rPr>
                <w:rStyle w:val="IndexLink"/>
                <w:rtl w:val="true"/>
              </w:rPr>
              <w:t xml:space="preserve">دیدگاه تفسیری آیت‌الله جوادی آملی دربارۀ </w:t>
            </w:r>
            <w:r>
              <w:rPr>
                <w:rStyle w:val="IndexLink"/>
                <w:rtl w:val="true"/>
              </w:rPr>
              <w:t>«</w:t>
            </w:r>
            <w:r>
              <w:rPr>
                <w:rStyle w:val="IndexLink"/>
                <w:rtl w:val="true"/>
              </w:rPr>
              <w:t>احباط و تکفیر</w:t>
            </w:r>
            <w:r>
              <w:rPr>
                <w:rStyle w:val="IndexLink"/>
                <w:rtl w:val="true"/>
              </w:rPr>
              <w:t>»</w:t>
              <w:tab/>
            </w:r>
            <w:r>
              <w:rPr>
                <w:rStyle w:val="IndexLink"/>
              </w:rPr>
              <w:t>92</w:t>
            </w:r>
          </w:hyperlink>
        </w:p>
        <w:p>
          <w:pPr>
            <w:pStyle w:val="Contents5"/>
            <w:tabs>
              <w:tab w:val="clear" w:pos="7892"/>
              <w:tab w:val="right" w:pos="9026" w:leader="dot"/>
            </w:tabs>
            <w:rPr/>
          </w:pPr>
          <w:hyperlink w:anchor="__RefHeading___Toc2031077_2749589250">
            <w:r>
              <w:rPr>
                <w:webHidden/>
                <w:rStyle w:val="IndexLink"/>
                <w:rtl w:val="true"/>
              </w:rPr>
              <w:t>ب</w:t>
            </w:r>
            <w:r>
              <w:rPr>
                <w:rStyle w:val="IndexLink"/>
                <w:rtl w:val="true"/>
              </w:rPr>
              <w:t xml:space="preserve">. </w:t>
            </w:r>
            <w:r>
              <w:rPr>
                <w:rStyle w:val="IndexLink"/>
                <w:rtl w:val="true"/>
              </w:rPr>
              <w:t xml:space="preserve">دیدگاه کلامی آیت‌الله جوادی آملی دربارۀ </w:t>
            </w:r>
            <w:r>
              <w:rPr>
                <w:rStyle w:val="IndexLink"/>
                <w:rtl w:val="true"/>
              </w:rPr>
              <w:t>«</w:t>
            </w:r>
            <w:r>
              <w:rPr>
                <w:rStyle w:val="IndexLink"/>
                <w:rtl w:val="true"/>
              </w:rPr>
              <w:t>احباط و تکفیر</w:t>
            </w:r>
            <w:r>
              <w:rPr>
                <w:rStyle w:val="IndexLink"/>
                <w:rtl w:val="true"/>
              </w:rPr>
              <w:t>»</w:t>
              <w:tab/>
            </w:r>
            <w:r>
              <w:rPr>
                <w:rStyle w:val="IndexLink"/>
              </w:rPr>
              <w:t>94</w:t>
            </w:r>
          </w:hyperlink>
        </w:p>
        <w:p>
          <w:pPr>
            <w:pStyle w:val="Contents5"/>
            <w:tabs>
              <w:tab w:val="clear" w:pos="7892"/>
              <w:tab w:val="right" w:pos="9026" w:leader="dot"/>
            </w:tabs>
            <w:rPr/>
          </w:pPr>
          <w:hyperlink w:anchor="__RefHeading___Toc2031079_2749589250">
            <w:r>
              <w:rPr>
                <w:webHidden/>
                <w:rStyle w:val="IndexLink"/>
                <w:rtl w:val="true"/>
              </w:rPr>
              <w:t>ج</w:t>
            </w:r>
            <w:r>
              <w:rPr>
                <w:rStyle w:val="IndexLink"/>
                <w:rtl w:val="true"/>
              </w:rPr>
              <w:t xml:space="preserve">. </w:t>
            </w:r>
            <w:r>
              <w:rPr>
                <w:rStyle w:val="IndexLink"/>
                <w:rtl w:val="true"/>
              </w:rPr>
              <w:t xml:space="preserve">دیدگاه فلسفی آیت‌الله جوادی آملی دربارۀ </w:t>
            </w:r>
            <w:r>
              <w:rPr>
                <w:rStyle w:val="IndexLink"/>
                <w:rtl w:val="true"/>
              </w:rPr>
              <w:t>«</w:t>
            </w:r>
            <w:r>
              <w:rPr>
                <w:rStyle w:val="IndexLink"/>
                <w:rtl w:val="true"/>
              </w:rPr>
              <w:t>احباط و تکفیر</w:t>
            </w:r>
            <w:r>
              <w:rPr>
                <w:rStyle w:val="IndexLink"/>
                <w:rtl w:val="true"/>
              </w:rPr>
              <w:t>»</w:t>
              <w:tab/>
            </w:r>
            <w:r>
              <w:rPr>
                <w:rStyle w:val="IndexLink"/>
              </w:rPr>
              <w:t>96</w:t>
            </w:r>
          </w:hyperlink>
        </w:p>
        <w:p>
          <w:pPr>
            <w:pStyle w:val="Contents4"/>
            <w:tabs>
              <w:tab w:val="clear" w:pos="8176"/>
              <w:tab w:val="right" w:pos="9026" w:leader="dot"/>
            </w:tabs>
            <w:rPr/>
          </w:pPr>
          <w:hyperlink w:anchor="__RefHeading___Toc2031081_2749589250">
            <w:r>
              <w:rPr>
                <w:webHidden/>
                <w:rStyle w:val="IndexLink"/>
                <w:rtl w:val="true"/>
              </w:rPr>
              <w:t>احباط و تکفیر و حرکت جوهری</w:t>
            </w:r>
            <w:r>
              <w:rPr>
                <w:rStyle w:val="IndexLink"/>
                <w:rtl w:val="true"/>
              </w:rPr>
              <w:tab/>
            </w:r>
            <w:r>
              <w:rPr>
                <w:rStyle w:val="IndexLink"/>
              </w:rPr>
              <w:t>96</w:t>
            </w:r>
          </w:hyperlink>
        </w:p>
        <w:p>
          <w:pPr>
            <w:pStyle w:val="Contents4"/>
            <w:tabs>
              <w:tab w:val="clear" w:pos="8176"/>
              <w:tab w:val="right" w:pos="9026" w:leader="dot"/>
            </w:tabs>
            <w:rPr/>
          </w:pPr>
          <w:hyperlink w:anchor="__RefHeading___Toc2031083_2749589250">
            <w:r>
              <w:rPr>
                <w:webHidden/>
                <w:rStyle w:val="IndexLink"/>
                <w:rtl w:val="true"/>
              </w:rPr>
              <w:t>احباط و تکفیر و استحقاق ثواب و عقاب عمل</w:t>
            </w:r>
            <w:r>
              <w:rPr>
                <w:rStyle w:val="IndexLink"/>
                <w:rtl w:val="true"/>
              </w:rPr>
              <w:tab/>
            </w:r>
            <w:r>
              <w:rPr>
                <w:rStyle w:val="IndexLink"/>
              </w:rPr>
              <w:t>98</w:t>
            </w:r>
          </w:hyperlink>
        </w:p>
        <w:p>
          <w:pPr>
            <w:pStyle w:val="Contents4"/>
            <w:tabs>
              <w:tab w:val="clear" w:pos="8176"/>
              <w:tab w:val="right" w:pos="9026" w:leader="dot"/>
            </w:tabs>
            <w:rPr/>
          </w:pPr>
          <w:hyperlink w:anchor="__RefHeading___Toc2031085_2749589250">
            <w:r>
              <w:rPr>
                <w:webHidden/>
                <w:rStyle w:val="IndexLink"/>
                <w:rtl w:val="true"/>
              </w:rPr>
              <w:t>احباط و تکفیر و تجسم عمل</w:t>
            </w:r>
            <w:r>
              <w:rPr>
                <w:rStyle w:val="IndexLink"/>
                <w:rtl w:val="true"/>
              </w:rPr>
              <w:tab/>
            </w:r>
            <w:r>
              <w:rPr>
                <w:rStyle w:val="IndexLink"/>
              </w:rPr>
              <w:t>100</w:t>
            </w:r>
          </w:hyperlink>
        </w:p>
        <w:p>
          <w:pPr>
            <w:pStyle w:val="Contents3"/>
            <w:tabs>
              <w:tab w:val="clear" w:pos="8459"/>
              <w:tab w:val="right" w:pos="9026" w:leader="dot"/>
            </w:tabs>
            <w:rPr/>
          </w:pPr>
          <w:hyperlink w:anchor="__RefHeading___Toc2031087_2749589250">
            <w:r>
              <w:rPr>
                <w:webHidden/>
                <w:rStyle w:val="IndexLink"/>
                <w:rtl w:val="true"/>
              </w:rPr>
              <w:t>نتیجه گیری</w:t>
            </w:r>
            <w:r>
              <w:rPr>
                <w:rStyle w:val="IndexLink"/>
                <w:rtl w:val="true"/>
              </w:rPr>
              <w:tab/>
            </w:r>
            <w:r>
              <w:rPr>
                <w:rStyle w:val="IndexLink"/>
              </w:rPr>
              <w:t>102</w:t>
            </w:r>
          </w:hyperlink>
        </w:p>
        <w:p>
          <w:pPr>
            <w:pStyle w:val="Contents3"/>
            <w:tabs>
              <w:tab w:val="clear" w:pos="8459"/>
              <w:tab w:val="right" w:pos="9026" w:leader="dot"/>
            </w:tabs>
            <w:rPr/>
          </w:pPr>
          <w:hyperlink w:anchor="__RefHeading___Toc2031089_2749589250">
            <w:r>
              <w:rPr>
                <w:webHidden/>
                <w:rStyle w:val="IndexLink"/>
                <w:rtl w:val="true"/>
              </w:rPr>
              <w:t>برداشت و تحلیل نهایی نگارنده</w:t>
            </w:r>
            <w:r>
              <w:rPr>
                <w:rStyle w:val="IndexLink"/>
                <w:rtl w:val="true"/>
              </w:rPr>
              <w:tab/>
            </w:r>
            <w:r>
              <w:rPr>
                <w:rStyle w:val="IndexLink"/>
              </w:rPr>
              <w:t>103</w:t>
            </w:r>
          </w:hyperlink>
        </w:p>
        <w:p>
          <w:pPr>
            <w:pStyle w:val="Contents3"/>
            <w:tabs>
              <w:tab w:val="clear" w:pos="8459"/>
              <w:tab w:val="right" w:pos="9026" w:leader="dot"/>
            </w:tabs>
            <w:rPr/>
          </w:pPr>
          <w:hyperlink w:anchor="__RefHeading___Toc2031091_2749589250">
            <w:r>
              <w:rPr>
                <w:webHidden/>
                <w:rStyle w:val="IndexLink"/>
                <w:rtl w:val="true"/>
              </w:rPr>
              <w:t>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2031093_2749589250">
            <w:r>
              <w:rPr>
                <w:webHidden/>
                <w:rStyle w:val="IndexLink"/>
                <w:rtl w:val="true"/>
              </w:rPr>
              <w:t xml:space="preserve">تحلیل و نقد فرضیۀ تأثیر سامریّت بر اسلام </w:t>
            </w:r>
            <w:r>
              <w:rPr>
                <w:rStyle w:val="IndexLink"/>
                <w:rtl w:val="true"/>
              </w:rPr>
              <w:t xml:space="preserve">/ </w:t>
            </w:r>
            <w:r>
              <w:rPr>
                <w:rStyle w:val="IndexLink"/>
                <w:rtl w:val="true"/>
              </w:rPr>
              <w:t xml:space="preserve">علی راد </w:t>
            </w:r>
            <w:r>
              <w:rPr>
                <w:rStyle w:val="IndexLink"/>
                <w:rtl w:val="true"/>
              </w:rPr>
              <w:t xml:space="preserve">- </w:t>
            </w:r>
            <w:r>
              <w:rPr>
                <w:rStyle w:val="IndexLink"/>
                <w:rtl w:val="true"/>
              </w:rPr>
              <w:t>سعید کریم پور</w:t>
            </w:r>
            <w:r>
              <w:rPr>
                <w:rStyle w:val="IndexLink"/>
                <w:rtl w:val="true"/>
              </w:rPr>
              <w:tab/>
            </w:r>
            <w:r>
              <w:rPr>
                <w:rStyle w:val="IndexLink"/>
              </w:rPr>
              <w:t>108</w:t>
            </w:r>
          </w:hyperlink>
        </w:p>
        <w:p>
          <w:pPr>
            <w:pStyle w:val="Contents3"/>
            <w:tabs>
              <w:tab w:val="clear" w:pos="8459"/>
              <w:tab w:val="right" w:pos="9026" w:leader="dot"/>
            </w:tabs>
            <w:rPr/>
          </w:pPr>
          <w:hyperlink w:anchor="__RefHeading___Toc2031095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031097_2749589250">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2031099_2749589250">
            <w:r>
              <w:rPr>
                <w:webHidden/>
                <w:rStyle w:val="IndexLink"/>
                <w:rtl w:val="true"/>
              </w:rPr>
              <w:t>واژگان کلیدی</w:t>
            </w:r>
            <w:r>
              <w:rPr>
                <w:rStyle w:val="IndexLink"/>
                <w:rtl w:val="true"/>
              </w:rPr>
              <w:tab/>
            </w:r>
            <w:r>
              <w:rPr>
                <w:rStyle w:val="IndexLink"/>
              </w:rPr>
              <w:t>108</w:t>
            </w:r>
          </w:hyperlink>
        </w:p>
        <w:p>
          <w:pPr>
            <w:pStyle w:val="Contents3"/>
            <w:tabs>
              <w:tab w:val="clear" w:pos="8459"/>
              <w:tab w:val="right" w:pos="9026" w:leader="dot"/>
            </w:tabs>
            <w:rPr/>
          </w:pPr>
          <w:hyperlink w:anchor="__RefHeading___Toc2031101_2749589250">
            <w:r>
              <w:rPr>
                <w:webHidden/>
                <w:rStyle w:val="IndexLink"/>
                <w:rtl w:val="true"/>
              </w:rPr>
              <w:t>درآمد</w:t>
            </w:r>
            <w:r>
              <w:rPr>
                <w:rStyle w:val="IndexLink"/>
                <w:rtl w:val="true"/>
              </w:rPr>
              <w:tab/>
            </w:r>
            <w:r>
              <w:rPr>
                <w:rStyle w:val="IndexLink"/>
              </w:rPr>
              <w:t>109</w:t>
            </w:r>
          </w:hyperlink>
        </w:p>
        <w:p>
          <w:pPr>
            <w:pStyle w:val="Contents3"/>
            <w:tabs>
              <w:tab w:val="clear" w:pos="8459"/>
              <w:tab w:val="right" w:pos="9026" w:leader="dot"/>
            </w:tabs>
            <w:rPr/>
          </w:pPr>
          <w:hyperlink w:anchor="__RefHeading___Toc2031103_2749589250">
            <w:r>
              <w:rPr>
                <w:webHidden/>
                <w:rStyle w:val="IndexLink"/>
                <w:rtl w:val="true"/>
              </w:rPr>
              <w:t>اندیشۀ سامریت؛ پیشینه و آموزه‌ها</w:t>
            </w:r>
            <w:r>
              <w:rPr>
                <w:rStyle w:val="IndexLink"/>
                <w:rtl w:val="true"/>
              </w:rPr>
              <w:tab/>
            </w:r>
            <w:r>
              <w:rPr>
                <w:rStyle w:val="IndexLink"/>
              </w:rPr>
              <w:t>110</w:t>
            </w:r>
          </w:hyperlink>
        </w:p>
        <w:p>
          <w:pPr>
            <w:pStyle w:val="Contents3"/>
            <w:tabs>
              <w:tab w:val="clear" w:pos="8459"/>
              <w:tab w:val="right" w:pos="9026" w:leader="dot"/>
            </w:tabs>
            <w:rPr/>
          </w:pPr>
          <w:hyperlink w:anchor="__RefHeading___Toc2031105_2749589250">
            <w:r>
              <w:rPr>
                <w:webHidden/>
                <w:rStyle w:val="IndexLink"/>
                <w:rtl w:val="true"/>
              </w:rPr>
              <w:t>تحلیل و نقد ابعاد تأثیرپذیری اسلام از سامریت</w:t>
            </w:r>
            <w:r>
              <w:rPr>
                <w:rStyle w:val="IndexLink"/>
                <w:rtl w:val="true"/>
              </w:rPr>
              <w:tab/>
            </w:r>
            <w:r>
              <w:rPr>
                <w:rStyle w:val="IndexLink"/>
              </w:rPr>
              <w:t>110</w:t>
            </w:r>
          </w:hyperlink>
        </w:p>
        <w:p>
          <w:pPr>
            <w:pStyle w:val="Contents4"/>
            <w:tabs>
              <w:tab w:val="clear" w:pos="8176"/>
              <w:tab w:val="right" w:pos="9026" w:leader="dot"/>
            </w:tabs>
            <w:rPr/>
          </w:pPr>
          <w:hyperlink w:anchor="__RefHeading___Toc2031107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031109_2749589250">
            <w:r>
              <w:rPr>
                <w:webHidden/>
                <w:rStyle w:val="IndexLink"/>
              </w:rPr>
              <w:t>1</w:t>
            </w:r>
            <w:r>
              <w:rPr>
                <w:rStyle w:val="IndexLink"/>
                <w:rtl w:val="true"/>
              </w:rPr>
              <w:t xml:space="preserve">. </w:t>
            </w:r>
            <w:r>
              <w:rPr>
                <w:rStyle w:val="IndexLink"/>
                <w:rtl w:val="true"/>
              </w:rPr>
              <w:t xml:space="preserve">نام </w:t>
            </w:r>
            <w:r>
              <w:rPr>
                <w:rStyle w:val="IndexLink"/>
                <w:rtl w:val="true"/>
              </w:rPr>
              <w:t>«</w:t>
            </w:r>
            <w:r>
              <w:rPr>
                <w:rStyle w:val="IndexLink"/>
                <w:rtl w:val="true"/>
              </w:rPr>
              <w:t>اسلام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2031111_2749589250">
            <w:r>
              <w:rPr>
                <w:webHidden/>
                <w:rStyle w:val="IndexLink"/>
              </w:rPr>
              <w:t>2</w:t>
            </w:r>
            <w:r>
              <w:rPr>
                <w:rStyle w:val="IndexLink"/>
                <w:rtl w:val="true"/>
              </w:rPr>
              <w:t xml:space="preserve">. </w:t>
            </w:r>
            <w:r>
              <w:rPr>
                <w:rStyle w:val="IndexLink"/>
                <w:rtl w:val="true"/>
              </w:rPr>
              <w:t>شهادت توحید</w:t>
            </w:r>
            <w:r>
              <w:rPr>
                <w:rStyle w:val="IndexLink"/>
                <w:rtl w:val="true"/>
              </w:rPr>
              <w:t>:</w:t>
              <w:tab/>
            </w:r>
            <w:r>
              <w:rPr>
                <w:rStyle w:val="IndexLink"/>
              </w:rPr>
              <w:t>113</w:t>
            </w:r>
          </w:hyperlink>
        </w:p>
        <w:p>
          <w:pPr>
            <w:pStyle w:val="Contents4"/>
            <w:tabs>
              <w:tab w:val="clear" w:pos="8176"/>
              <w:tab w:val="right" w:pos="9026" w:leader="dot"/>
            </w:tabs>
            <w:rPr/>
          </w:pPr>
          <w:hyperlink w:anchor="__RefHeading___Toc2031113_2749589250">
            <w:r>
              <w:rPr>
                <w:webHidden/>
                <w:rStyle w:val="IndexLink"/>
              </w:rPr>
              <w:t>3</w:t>
            </w:r>
            <w:r>
              <w:rPr>
                <w:rStyle w:val="IndexLink"/>
                <w:rtl w:val="true"/>
              </w:rPr>
              <w:t xml:space="preserve">. </w:t>
            </w:r>
            <w:r>
              <w:rPr>
                <w:rStyle w:val="IndexLink"/>
                <w:rtl w:val="true"/>
              </w:rPr>
              <w:t>ارتباط مقدس بین حرم و کوه</w:t>
            </w:r>
            <w:r>
              <w:rPr>
                <w:rStyle w:val="IndexLink"/>
                <w:rtl w:val="true"/>
              </w:rPr>
              <w:t>:</w:t>
              <w:tab/>
            </w:r>
            <w:r>
              <w:rPr>
                <w:rStyle w:val="IndexLink"/>
              </w:rPr>
              <w:t>114</w:t>
            </w:r>
          </w:hyperlink>
        </w:p>
        <w:p>
          <w:pPr>
            <w:pStyle w:val="Contents4"/>
            <w:tabs>
              <w:tab w:val="clear" w:pos="8176"/>
              <w:tab w:val="right" w:pos="9026" w:leader="dot"/>
            </w:tabs>
            <w:rPr/>
          </w:pPr>
          <w:hyperlink w:anchor="__RefHeading___Toc2031115_2749589250">
            <w:r>
              <w:rPr>
                <w:webHidden/>
                <w:rStyle w:val="IndexLink"/>
              </w:rPr>
              <w:t>4</w:t>
            </w:r>
            <w:r>
              <w:rPr>
                <w:rStyle w:val="IndexLink"/>
                <w:rtl w:val="true"/>
              </w:rPr>
              <w:t xml:space="preserve">. </w:t>
            </w:r>
            <w:r>
              <w:rPr>
                <w:rStyle w:val="IndexLink"/>
                <w:rtl w:val="true"/>
              </w:rPr>
              <w:t xml:space="preserve">واژۀ </w:t>
            </w:r>
            <w:r>
              <w:rPr>
                <w:rStyle w:val="IndexLink"/>
                <w:rtl w:val="true"/>
              </w:rPr>
              <w:t>«</w:t>
            </w:r>
            <w:r>
              <w:rPr>
                <w:rStyle w:val="IndexLink"/>
                <w:rtl w:val="true"/>
              </w:rPr>
              <w:t>بکّه</w:t>
            </w:r>
            <w:r>
              <w:rPr>
                <w:rStyle w:val="IndexLink"/>
                <w:rtl w:val="true"/>
              </w:rPr>
              <w:t>»:</w:t>
              <w:tab/>
            </w:r>
            <w:r>
              <w:rPr>
                <w:rStyle w:val="IndexLink"/>
              </w:rPr>
              <w:t>115</w:t>
            </w:r>
          </w:hyperlink>
        </w:p>
        <w:p>
          <w:pPr>
            <w:pStyle w:val="Contents4"/>
            <w:tabs>
              <w:tab w:val="clear" w:pos="8176"/>
              <w:tab w:val="right" w:pos="9026" w:leader="dot"/>
            </w:tabs>
            <w:rPr/>
          </w:pPr>
          <w:hyperlink w:anchor="__RefHeading___Toc2031117_2749589250">
            <w:r>
              <w:rPr>
                <w:webHidden/>
                <w:rStyle w:val="IndexLink"/>
              </w:rPr>
              <w:t>5</w:t>
            </w:r>
            <w:r>
              <w:rPr>
                <w:rStyle w:val="IndexLink"/>
                <w:rtl w:val="true"/>
              </w:rPr>
              <w:t xml:space="preserve">. </w:t>
            </w:r>
            <w:r>
              <w:rPr>
                <w:rStyle w:val="IndexLink"/>
                <w:rtl w:val="true"/>
              </w:rPr>
              <w:t>تغییر قبله</w:t>
            </w:r>
            <w:r>
              <w:rPr>
                <w:rStyle w:val="IndexLink"/>
                <w:rtl w:val="true"/>
              </w:rPr>
              <w:t>:</w:t>
              <w:tab/>
            </w:r>
            <w:r>
              <w:rPr>
                <w:rStyle w:val="IndexLink"/>
              </w:rPr>
              <w:t>117</w:t>
            </w:r>
          </w:hyperlink>
        </w:p>
        <w:p>
          <w:pPr>
            <w:pStyle w:val="Contents4"/>
            <w:tabs>
              <w:tab w:val="clear" w:pos="8176"/>
              <w:tab w:val="right" w:pos="9026" w:leader="dot"/>
            </w:tabs>
            <w:rPr/>
          </w:pPr>
          <w:hyperlink w:anchor="__RefHeading___Toc2031119_2749589250">
            <w:r>
              <w:rPr>
                <w:webHidden/>
                <w:rStyle w:val="IndexLink"/>
              </w:rPr>
              <w:t>6</w:t>
            </w:r>
            <w:r>
              <w:rPr>
                <w:rStyle w:val="IndexLink"/>
                <w:rtl w:val="true"/>
              </w:rPr>
              <w:t xml:space="preserve">. </w:t>
            </w:r>
            <w:r>
              <w:rPr>
                <w:rStyle w:val="IndexLink"/>
                <w:rtl w:val="true"/>
              </w:rPr>
              <w:t>شباهت امامت و کهانت</w:t>
            </w:r>
            <w:r>
              <w:rPr>
                <w:rStyle w:val="IndexLink"/>
                <w:rtl w:val="true"/>
              </w:rPr>
              <w:t>:</w:t>
              <w:tab/>
            </w:r>
            <w:r>
              <w:rPr>
                <w:rStyle w:val="IndexLink"/>
              </w:rPr>
              <w:t>117</w:t>
            </w:r>
          </w:hyperlink>
        </w:p>
        <w:p>
          <w:pPr>
            <w:pStyle w:val="Contents3"/>
            <w:tabs>
              <w:tab w:val="clear" w:pos="8459"/>
              <w:tab w:val="right" w:pos="9026" w:leader="dot"/>
            </w:tabs>
            <w:rPr/>
          </w:pPr>
          <w:hyperlink w:anchor="__RefHeading___Toc2031121_2749589250">
            <w:r>
              <w:rPr>
                <w:webHidden/>
                <w:rStyle w:val="IndexLink"/>
                <w:rtl w:val="true"/>
              </w:rPr>
              <w:t>نتیجه گیری</w:t>
            </w:r>
            <w:r>
              <w:rPr>
                <w:rStyle w:val="IndexLink"/>
                <w:rtl w:val="true"/>
              </w:rPr>
              <w:tab/>
            </w:r>
            <w:r>
              <w:rPr>
                <w:rStyle w:val="IndexLink"/>
              </w:rPr>
              <w:t>121</w:t>
            </w:r>
          </w:hyperlink>
        </w:p>
        <w:p>
          <w:pPr>
            <w:pStyle w:val="Contents3"/>
            <w:tabs>
              <w:tab w:val="clear" w:pos="8459"/>
              <w:tab w:val="right" w:pos="9026" w:leader="dot"/>
            </w:tabs>
            <w:rPr/>
          </w:pPr>
          <w:hyperlink w:anchor="__RefHeading___Toc2031123_2749589250">
            <w:r>
              <w:rPr>
                <w:webHidden/>
                <w:rStyle w:val="IndexLink"/>
                <w:rtl w:val="true"/>
              </w:rPr>
              <w:t>منابع</w:t>
            </w:r>
            <w:r>
              <w:rPr>
                <w:rStyle w:val="IndexLink"/>
                <w:rtl w:val="true"/>
              </w:rPr>
              <w:tab/>
            </w:r>
            <w:r>
              <w:rPr>
                <w:rStyle w:val="IndexLink"/>
              </w:rPr>
              <w:t>122</w:t>
            </w:r>
          </w:hyperlink>
        </w:p>
        <w:p>
          <w:pPr>
            <w:pStyle w:val="Contents4"/>
            <w:tabs>
              <w:tab w:val="clear" w:pos="8176"/>
              <w:tab w:val="right" w:pos="9026" w:leader="dot"/>
            </w:tabs>
            <w:rPr/>
          </w:pPr>
          <w:hyperlink w:anchor="__RefHeading___Toc2031125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031127_2749589250">
            <w:r>
              <w:rPr>
                <w:webHidden/>
                <w:rStyle w:val="IndexLink"/>
              </w:rPr>
              <w:t>Point</w:t>
            </w:r>
            <w:r>
              <w:rPr>
                <w:rStyle w:val="IndexLink"/>
                <w:rtl w:val="true"/>
              </w:rPr>
              <w:tab/>
            </w:r>
            <w:r>
              <w:rPr>
                <w:rStyle w:val="IndexLink"/>
              </w:rPr>
              <w:t>122</w:t>
            </w:r>
          </w:hyperlink>
        </w:p>
        <w:p>
          <w:pPr>
            <w:pStyle w:val="Contents2"/>
            <w:tabs>
              <w:tab w:val="clear" w:pos="8743"/>
              <w:tab w:val="right" w:pos="9026" w:leader="dot"/>
            </w:tabs>
            <w:rPr/>
          </w:pPr>
          <w:hyperlink w:anchor="__RefHeading___Toc2031129_2749589250">
            <w:r>
              <w:rPr>
                <w:webHidden/>
                <w:rStyle w:val="IndexLink"/>
                <w:rtl w:val="true"/>
              </w:rPr>
              <w:t>خلاصة المقالات باللغة العربیة</w:t>
            </w:r>
            <w:r>
              <w:rPr>
                <w:rStyle w:val="IndexLink"/>
                <w:rtl w:val="true"/>
              </w:rPr>
              <w:tab/>
            </w:r>
            <w:r>
              <w:rPr>
                <w:rStyle w:val="IndexLink"/>
              </w:rPr>
              <w:t>124</w:t>
            </w:r>
          </w:hyperlink>
        </w:p>
        <w:p>
          <w:pPr>
            <w:pStyle w:val="Contents3"/>
            <w:tabs>
              <w:tab w:val="clear" w:pos="8459"/>
              <w:tab w:val="right" w:pos="9026" w:leader="dot"/>
            </w:tabs>
            <w:rPr/>
          </w:pPr>
          <w:hyperlink w:anchor="__RefHeading___Toc2031131_2749589250">
            <w:r>
              <w:rPr>
                <w:webHidden/>
                <w:rStyle w:val="IndexLink"/>
                <w:rtl w:val="true"/>
              </w:rPr>
              <w:t>تطور عقیدة المعرفة الاضطراریة فی معارف المعتزلة</w:t>
            </w:r>
            <w:r>
              <w:rPr>
                <w:rStyle w:val="IndexLink"/>
                <w:rtl w:val="true"/>
              </w:rPr>
              <w:t>/</w:t>
            </w:r>
            <w:r>
              <w:rPr>
                <w:rStyle w:val="IndexLink"/>
                <w:rtl w:val="true"/>
              </w:rPr>
              <w:t xml:space="preserve">علی أمیرخانی </w:t>
            </w:r>
            <w:r>
              <w:rPr>
                <w:rStyle w:val="IndexLink"/>
                <w:rtl w:val="true"/>
              </w:rPr>
              <w:t xml:space="preserve">- </w:t>
            </w:r>
            <w:r>
              <w:rPr>
                <w:rStyle w:val="IndexLink"/>
                <w:rtl w:val="true"/>
              </w:rPr>
              <w:t>محمدتقی السبحانی</w:t>
            </w:r>
            <w:r>
              <w:rPr>
                <w:rStyle w:val="IndexLink"/>
                <w:rtl w:val="true"/>
              </w:rPr>
              <w:tab/>
            </w:r>
            <w:r>
              <w:rPr>
                <w:rStyle w:val="IndexLink"/>
              </w:rPr>
              <w:t>124</w:t>
            </w:r>
          </w:hyperlink>
        </w:p>
        <w:p>
          <w:pPr>
            <w:pStyle w:val="Contents4"/>
            <w:tabs>
              <w:tab w:val="clear" w:pos="8176"/>
              <w:tab w:val="right" w:pos="9026" w:leader="dot"/>
            </w:tabs>
            <w:rPr/>
          </w:pPr>
          <w:hyperlink w:anchor="__RefHeading___Toc2031133_274958925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031135_2749589250">
            <w:r>
              <w:rPr>
                <w:webHidden/>
                <w:rStyle w:val="IndexLink"/>
                <w:rtl w:val="true"/>
              </w:rPr>
              <w:t>الألفاظ المحوریة</w:t>
            </w:r>
            <w:r>
              <w:rPr>
                <w:rStyle w:val="IndexLink"/>
                <w:rtl w:val="true"/>
              </w:rPr>
              <w:tab/>
            </w:r>
            <w:r>
              <w:rPr>
                <w:rStyle w:val="IndexLink"/>
              </w:rPr>
              <w:t>124</w:t>
            </w:r>
          </w:hyperlink>
        </w:p>
        <w:p>
          <w:pPr>
            <w:pStyle w:val="Contents3"/>
            <w:tabs>
              <w:tab w:val="clear" w:pos="8459"/>
              <w:tab w:val="right" w:pos="9026" w:leader="dot"/>
            </w:tabs>
            <w:rPr/>
          </w:pPr>
          <w:hyperlink w:anchor="__RefHeading___Toc2031137_2749589250">
            <w:r>
              <w:rPr>
                <w:webHidden/>
                <w:rStyle w:val="IndexLink"/>
                <w:rtl w:val="true"/>
              </w:rPr>
              <w:t xml:space="preserve">المبانی الکلامیة لتوسعة الاستنباط من فعل المعصوم </w:t>
            </w:r>
            <w:r>
              <w:rPr>
                <w:rStyle w:val="IndexLink"/>
                <w:rtl w:val="true"/>
              </w:rPr>
              <w:t>/</w:t>
            </w:r>
            <w:r>
              <w:rPr>
                <w:rStyle w:val="IndexLink"/>
                <w:rtl w:val="true"/>
              </w:rPr>
              <w:t xml:space="preserve">مهدی المردانی </w:t>
            </w:r>
            <w:r>
              <w:rPr>
                <w:rStyle w:val="IndexLink"/>
                <w:rtl w:val="true"/>
              </w:rPr>
              <w:t xml:space="preserve">- </w:t>
            </w:r>
            <w:r>
              <w:rPr>
                <w:rStyle w:val="IndexLink"/>
                <w:rtl w:val="true"/>
              </w:rPr>
              <w:t>علی راد</w:t>
            </w:r>
            <w:r>
              <w:rPr>
                <w:rStyle w:val="IndexLink"/>
                <w:rtl w:val="true"/>
              </w:rPr>
              <w:tab/>
            </w:r>
            <w:r>
              <w:rPr>
                <w:rStyle w:val="IndexLink"/>
              </w:rPr>
              <w:t>125</w:t>
            </w:r>
          </w:hyperlink>
        </w:p>
        <w:p>
          <w:pPr>
            <w:pStyle w:val="Contents4"/>
            <w:tabs>
              <w:tab w:val="clear" w:pos="8176"/>
              <w:tab w:val="right" w:pos="9026" w:leader="dot"/>
            </w:tabs>
            <w:rPr/>
          </w:pPr>
          <w:hyperlink w:anchor="__RefHeading___Toc2031139_274958925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031141_2749589250">
            <w:r>
              <w:rPr>
                <w:webHidden/>
                <w:rStyle w:val="IndexLink"/>
                <w:rtl w:val="true"/>
              </w:rPr>
              <w:t>الألفاظ المحوریة</w:t>
            </w:r>
            <w:r>
              <w:rPr>
                <w:rStyle w:val="IndexLink"/>
                <w:rtl w:val="true"/>
              </w:rPr>
              <w:tab/>
            </w:r>
            <w:r>
              <w:rPr>
                <w:rStyle w:val="IndexLink"/>
              </w:rPr>
              <w:t>125</w:t>
            </w:r>
          </w:hyperlink>
        </w:p>
        <w:p>
          <w:pPr>
            <w:pStyle w:val="Contents3"/>
            <w:tabs>
              <w:tab w:val="clear" w:pos="8459"/>
              <w:tab w:val="right" w:pos="9026" w:leader="dot"/>
            </w:tabs>
            <w:rPr/>
          </w:pPr>
          <w:hyperlink w:anchor="__RefHeading___Toc2031143_2749589250">
            <w:r>
              <w:rPr>
                <w:webHidden/>
                <w:rStyle w:val="IndexLink"/>
                <w:rtl w:val="true"/>
              </w:rPr>
              <w:t>تحلیل لسیر تطور الإرادة الإلهیة فی المنظومة الفکریة للمعتزلة</w:t>
            </w:r>
            <w:r>
              <w:rPr>
                <w:rStyle w:val="IndexLink"/>
                <w:rtl w:val="true"/>
              </w:rPr>
              <w:t xml:space="preserve">/ </w:t>
            </w:r>
            <w:r>
              <w:rPr>
                <w:rStyle w:val="IndexLink"/>
                <w:rtl w:val="true"/>
              </w:rPr>
              <w:t>اکبر اقوام الکرباسی</w:t>
            </w:r>
            <w:r>
              <w:rPr>
                <w:rStyle w:val="IndexLink"/>
                <w:rtl w:val="true"/>
              </w:rPr>
              <w:tab/>
            </w:r>
            <w:r>
              <w:rPr>
                <w:rStyle w:val="IndexLink"/>
              </w:rPr>
              <w:t>126</w:t>
            </w:r>
          </w:hyperlink>
        </w:p>
        <w:p>
          <w:pPr>
            <w:pStyle w:val="Contents4"/>
            <w:tabs>
              <w:tab w:val="clear" w:pos="8176"/>
              <w:tab w:val="right" w:pos="9026" w:leader="dot"/>
            </w:tabs>
            <w:rPr/>
          </w:pPr>
          <w:hyperlink w:anchor="__RefHeading___Toc2031145_274958925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031147_2749589250">
            <w:r>
              <w:rPr>
                <w:webHidden/>
                <w:rStyle w:val="IndexLink"/>
                <w:rtl w:val="true"/>
              </w:rPr>
              <w:t>الألفاظ المحوریة</w:t>
            </w:r>
            <w:r>
              <w:rPr>
                <w:rStyle w:val="IndexLink"/>
                <w:rtl w:val="true"/>
              </w:rPr>
              <w:tab/>
            </w:r>
            <w:r>
              <w:rPr>
                <w:rStyle w:val="IndexLink"/>
              </w:rPr>
              <w:t>126</w:t>
            </w:r>
          </w:hyperlink>
        </w:p>
        <w:p>
          <w:pPr>
            <w:pStyle w:val="Contents3"/>
            <w:tabs>
              <w:tab w:val="clear" w:pos="8459"/>
              <w:tab w:val="right" w:pos="9026" w:leader="dot"/>
            </w:tabs>
            <w:rPr/>
          </w:pPr>
          <w:hyperlink w:anchor="__RefHeading___Toc2031149_2749589250">
            <w:r>
              <w:rPr>
                <w:webHidden/>
                <w:rStyle w:val="IndexLink"/>
                <w:rtl w:val="true"/>
              </w:rPr>
              <w:t>توظیف التوحید الربوبی فی تربیة الانسان من منظار القرآن الکریم</w:t>
            </w:r>
            <w:r>
              <w:rPr>
                <w:rStyle w:val="IndexLink"/>
                <w:rtl w:val="true"/>
              </w:rPr>
              <w:t xml:space="preserve">/ </w:t>
            </w:r>
            <w:r>
              <w:rPr>
                <w:rStyle w:val="IndexLink"/>
                <w:rtl w:val="true"/>
              </w:rPr>
              <w:t xml:space="preserve">حسین المحمدی </w:t>
            </w:r>
            <w:r>
              <w:rPr>
                <w:rStyle w:val="IndexLink"/>
                <w:rtl w:val="true"/>
              </w:rPr>
              <w:t xml:space="preserve">- </w:t>
            </w:r>
            <w:r>
              <w:rPr>
                <w:rStyle w:val="IndexLink"/>
                <w:rtl w:val="true"/>
              </w:rPr>
              <w:t>السید اسحاق الحسینی الکوهساری</w:t>
            </w:r>
            <w:r>
              <w:rPr>
                <w:rStyle w:val="IndexLink"/>
                <w:rtl w:val="true"/>
              </w:rPr>
              <w:t xml:space="preserve">- </w:t>
            </w:r>
            <w:r>
              <w:rPr>
                <w:rStyle w:val="IndexLink"/>
                <w:rtl w:val="true"/>
              </w:rPr>
              <w:t>السید محمد الموسوی المقدم</w:t>
            </w:r>
            <w:r>
              <w:rPr>
                <w:rStyle w:val="IndexLink"/>
                <w:rtl w:val="true"/>
              </w:rPr>
              <w:tab/>
            </w:r>
            <w:r>
              <w:rPr>
                <w:rStyle w:val="IndexLink"/>
              </w:rPr>
              <w:t>127</w:t>
            </w:r>
          </w:hyperlink>
        </w:p>
        <w:p>
          <w:pPr>
            <w:pStyle w:val="Contents4"/>
            <w:tabs>
              <w:tab w:val="clear" w:pos="8176"/>
              <w:tab w:val="right" w:pos="9026" w:leader="dot"/>
            </w:tabs>
            <w:rPr/>
          </w:pPr>
          <w:hyperlink w:anchor="__RefHeading___Toc2031151_274958925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031153_2749589250">
            <w:r>
              <w:rPr>
                <w:webHidden/>
                <w:rStyle w:val="IndexLink"/>
                <w:rtl w:val="true"/>
              </w:rPr>
              <w:t>الألفاظ المحوریة</w:t>
            </w:r>
            <w:r>
              <w:rPr>
                <w:rStyle w:val="IndexLink"/>
                <w:rtl w:val="true"/>
              </w:rPr>
              <w:tab/>
            </w:r>
            <w:r>
              <w:rPr>
                <w:rStyle w:val="IndexLink"/>
              </w:rPr>
              <w:t>127</w:t>
            </w:r>
          </w:hyperlink>
        </w:p>
        <w:p>
          <w:pPr>
            <w:pStyle w:val="Contents3"/>
            <w:tabs>
              <w:tab w:val="clear" w:pos="8459"/>
              <w:tab w:val="right" w:pos="9026" w:leader="dot"/>
            </w:tabs>
            <w:rPr/>
          </w:pPr>
          <w:hyperlink w:anchor="__RefHeading___Toc2031155_2749589250">
            <w:r>
              <w:rPr>
                <w:webHidden/>
                <w:rStyle w:val="IndexLink"/>
                <w:rtl w:val="true"/>
              </w:rPr>
              <w:t>«</w:t>
            </w:r>
            <w:r>
              <w:rPr>
                <w:rStyle w:val="IndexLink"/>
                <w:rtl w:val="true"/>
              </w:rPr>
              <w:t>الإحباط و تکفیر العمل</w:t>
            </w:r>
            <w:r>
              <w:rPr>
                <w:rStyle w:val="IndexLink"/>
                <w:rtl w:val="true"/>
              </w:rPr>
              <w:t xml:space="preserve">» </w:t>
            </w:r>
            <w:r>
              <w:rPr>
                <w:rStyle w:val="IndexLink"/>
                <w:rtl w:val="true"/>
              </w:rPr>
              <w:t>من منظار آیة الله جوادی الآملی</w:t>
            </w:r>
            <w:r>
              <w:rPr>
                <w:rStyle w:val="IndexLink"/>
                <w:rtl w:val="true"/>
              </w:rPr>
              <w:t xml:space="preserve">/ </w:t>
            </w:r>
            <w:r>
              <w:rPr>
                <w:rStyle w:val="IndexLink"/>
                <w:rtl w:val="true"/>
              </w:rPr>
              <w:t xml:space="preserve">أقدس الیزدی </w:t>
            </w:r>
            <w:r>
              <w:rPr>
                <w:rStyle w:val="IndexLink"/>
                <w:rtl w:val="true"/>
              </w:rPr>
              <w:t>-</w:t>
            </w:r>
            <w:r>
              <w:rPr>
                <w:rStyle w:val="IndexLink"/>
                <w:rtl w:val="true"/>
              </w:rPr>
              <w:t>زینب العباسی الآغوری</w:t>
            </w:r>
            <w:r>
              <w:rPr>
                <w:rStyle w:val="IndexLink"/>
                <w:rtl w:val="true"/>
              </w:rPr>
              <w:tab/>
            </w:r>
            <w:r>
              <w:rPr>
                <w:rStyle w:val="IndexLink"/>
              </w:rPr>
              <w:t>128</w:t>
            </w:r>
          </w:hyperlink>
        </w:p>
        <w:p>
          <w:pPr>
            <w:pStyle w:val="Contents4"/>
            <w:tabs>
              <w:tab w:val="clear" w:pos="8176"/>
              <w:tab w:val="right" w:pos="9026" w:leader="dot"/>
            </w:tabs>
            <w:rPr/>
          </w:pPr>
          <w:hyperlink w:anchor="__RefHeading___Toc2031157_274958925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031159_2749589250">
            <w:r>
              <w:rPr>
                <w:webHidden/>
                <w:rStyle w:val="IndexLink"/>
                <w:rtl w:val="true"/>
              </w:rPr>
              <w:t>الألفاظ المحوریة</w:t>
            </w:r>
            <w:r>
              <w:rPr>
                <w:rStyle w:val="IndexLink"/>
                <w:rtl w:val="true"/>
              </w:rPr>
              <w:tab/>
            </w:r>
            <w:r>
              <w:rPr>
                <w:rStyle w:val="IndexLink"/>
              </w:rPr>
              <w:t>128</w:t>
            </w:r>
          </w:hyperlink>
        </w:p>
        <w:p>
          <w:pPr>
            <w:pStyle w:val="Contents3"/>
            <w:tabs>
              <w:tab w:val="clear" w:pos="8459"/>
              <w:tab w:val="right" w:pos="9026" w:leader="dot"/>
            </w:tabs>
            <w:rPr/>
          </w:pPr>
          <w:hyperlink w:anchor="__RefHeading___Toc2031161_2749589250">
            <w:r>
              <w:rPr>
                <w:webHidden/>
                <w:rStyle w:val="IndexLink"/>
                <w:rtl w:val="true"/>
              </w:rPr>
              <w:t>تحلیل و نقد فرضیة تأثیر السامریة علی الإسلام</w:t>
            </w:r>
            <w:r>
              <w:rPr>
                <w:rStyle w:val="IndexLink"/>
                <w:rtl w:val="true"/>
              </w:rPr>
              <w:t xml:space="preserve">/ </w:t>
            </w:r>
            <w:r>
              <w:rPr>
                <w:rStyle w:val="IndexLink"/>
                <w:rtl w:val="true"/>
              </w:rPr>
              <w:t xml:space="preserve">علی راد </w:t>
            </w:r>
            <w:r>
              <w:rPr>
                <w:rStyle w:val="IndexLink"/>
                <w:rtl w:val="true"/>
              </w:rPr>
              <w:t xml:space="preserve">- </w:t>
            </w:r>
            <w:r>
              <w:rPr>
                <w:rStyle w:val="IndexLink"/>
                <w:rtl w:val="true"/>
              </w:rPr>
              <w:t>سعید کریم بور</w:t>
            </w:r>
            <w:r>
              <w:rPr>
                <w:rStyle w:val="IndexLink"/>
                <w:rtl w:val="true"/>
              </w:rPr>
              <w:tab/>
            </w:r>
            <w:r>
              <w:rPr>
                <w:rStyle w:val="IndexLink"/>
              </w:rPr>
              <w:t>129</w:t>
            </w:r>
          </w:hyperlink>
        </w:p>
        <w:p>
          <w:pPr>
            <w:pStyle w:val="Contents4"/>
            <w:tabs>
              <w:tab w:val="clear" w:pos="8176"/>
              <w:tab w:val="right" w:pos="9026" w:leader="dot"/>
            </w:tabs>
            <w:rPr/>
          </w:pPr>
          <w:hyperlink w:anchor="__RefHeading___Toc2031163_274958925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031165_2749589250">
            <w:r>
              <w:rPr>
                <w:webHidden/>
                <w:rStyle w:val="IndexLink"/>
                <w:rtl w:val="true"/>
              </w:rPr>
              <w:t>الألفاظ المحوریة</w:t>
            </w:r>
            <w:r>
              <w:rPr>
                <w:rStyle w:val="IndexLink"/>
                <w:rtl w:val="true"/>
              </w:rPr>
              <w:tab/>
            </w:r>
            <w:r>
              <w:rPr>
                <w:rStyle w:val="IndexLink"/>
              </w:rPr>
              <w:t>129</w:t>
            </w:r>
          </w:hyperlink>
        </w:p>
        <w:p>
          <w:pPr>
            <w:pStyle w:val="Contents2"/>
            <w:tabs>
              <w:tab w:val="clear" w:pos="8743"/>
              <w:tab w:val="right" w:pos="9026" w:leader="dot"/>
            </w:tabs>
            <w:rPr/>
          </w:pPr>
          <w:hyperlink w:anchor="__RefHeading___Toc2031167_2749589250">
            <w:r>
              <w:rPr>
                <w:webHidden/>
                <w:rStyle w:val="IndexLink"/>
              </w:rPr>
              <w:t>Abstracts</w:t>
            </w:r>
            <w:r>
              <w:rPr>
                <w:rStyle w:val="IndexLink"/>
                <w:rtl w:val="true"/>
              </w:rPr>
              <w:tab/>
            </w:r>
            <w:r>
              <w:rPr>
                <w:rStyle w:val="IndexLink"/>
              </w:rPr>
              <w:t>130</w:t>
            </w:r>
          </w:hyperlink>
        </w:p>
        <w:p>
          <w:pPr>
            <w:pStyle w:val="Contents3"/>
            <w:tabs>
              <w:tab w:val="clear" w:pos="8459"/>
              <w:tab w:val="right" w:pos="9026" w:leader="dot"/>
            </w:tabs>
            <w:rPr/>
          </w:pPr>
          <w:hyperlink w:anchor="__RefHeading___Toc2031169_2749589250">
            <w:r>
              <w:rPr>
                <w:webHidden/>
                <w:rStyle w:val="IndexLink"/>
              </w:rPr>
              <w:t>The Development of the Idea of Exigent Knowledge in the Mu'tazilite Thought /Ali Amirkhani - MohammadTaghi Sobhani</w:t>
            </w:r>
            <w:r>
              <w:rPr>
                <w:rStyle w:val="IndexLink"/>
                <w:rtl w:val="true"/>
              </w:rPr>
              <w:tab/>
            </w:r>
            <w:r>
              <w:rPr>
                <w:rStyle w:val="IndexLink"/>
              </w:rPr>
              <w:t>130</w:t>
            </w:r>
          </w:hyperlink>
        </w:p>
        <w:p>
          <w:pPr>
            <w:pStyle w:val="Contents4"/>
            <w:tabs>
              <w:tab w:val="clear" w:pos="8176"/>
              <w:tab w:val="right" w:pos="9026" w:leader="dot"/>
            </w:tabs>
            <w:rPr/>
          </w:pPr>
          <w:hyperlink w:anchor="__RefHeading___Toc2031171_2749589250">
            <w:r>
              <w:rPr>
                <w:webHidden/>
                <w:rStyle w:val="IndexLink"/>
              </w:rPr>
              <w:t>Point</w:t>
            </w:r>
            <w:r>
              <w:rPr>
                <w:rStyle w:val="IndexLink"/>
                <w:rtl w:val="true"/>
              </w:rPr>
              <w:tab/>
            </w:r>
            <w:r>
              <w:rPr>
                <w:rStyle w:val="IndexLink"/>
              </w:rPr>
              <w:t>130</w:t>
            </w:r>
          </w:hyperlink>
        </w:p>
        <w:p>
          <w:pPr>
            <w:pStyle w:val="Contents4"/>
            <w:tabs>
              <w:tab w:val="clear" w:pos="8176"/>
              <w:tab w:val="right" w:pos="9026" w:leader="dot"/>
            </w:tabs>
            <w:rPr/>
          </w:pPr>
          <w:hyperlink w:anchor="__RefHeading___Toc2031173_2749589250">
            <w:r>
              <w:rPr>
                <w:webHidden/>
                <w:rStyle w:val="IndexLink"/>
              </w:rPr>
              <w:t>Keywords</w:t>
            </w:r>
            <w:r>
              <w:rPr>
                <w:rStyle w:val="IndexLink"/>
                <w:rtl w:val="true"/>
              </w:rPr>
              <w:tab/>
            </w:r>
            <w:r>
              <w:rPr>
                <w:rStyle w:val="IndexLink"/>
              </w:rPr>
              <w:t>130</w:t>
            </w:r>
          </w:hyperlink>
        </w:p>
        <w:p>
          <w:pPr>
            <w:pStyle w:val="Contents3"/>
            <w:tabs>
              <w:tab w:val="clear" w:pos="8459"/>
              <w:tab w:val="right" w:pos="9026" w:leader="dot"/>
            </w:tabs>
            <w:rPr/>
          </w:pPr>
          <w:hyperlink w:anchor="__RefHeading___Toc2031175_2749589250">
            <w:r>
              <w:rPr>
                <w:webHidden/>
                <w:rStyle w:val="IndexLink"/>
              </w:rPr>
              <w:t>The Kalami Bases for the Development of Deduction from the Behavior of the Infallibles / Mehdi Mardani - Ali Rad</w:t>
            </w:r>
            <w:r>
              <w:rPr>
                <w:rStyle w:val="IndexLink"/>
                <w:rtl w:val="true"/>
              </w:rPr>
              <w:tab/>
            </w:r>
            <w:r>
              <w:rPr>
                <w:rStyle w:val="IndexLink"/>
              </w:rPr>
              <w:t>131</w:t>
            </w:r>
          </w:hyperlink>
        </w:p>
        <w:p>
          <w:pPr>
            <w:pStyle w:val="Contents4"/>
            <w:tabs>
              <w:tab w:val="clear" w:pos="8176"/>
              <w:tab w:val="right" w:pos="9026" w:leader="dot"/>
            </w:tabs>
            <w:rPr/>
          </w:pPr>
          <w:hyperlink w:anchor="__RefHeading___Toc2031177_2749589250">
            <w:r>
              <w:rPr>
                <w:webHidden/>
                <w:rStyle w:val="IndexLink"/>
              </w:rPr>
              <w:t>Point</w:t>
            </w:r>
            <w:r>
              <w:rPr>
                <w:rStyle w:val="IndexLink"/>
                <w:rtl w:val="true"/>
              </w:rPr>
              <w:tab/>
            </w:r>
            <w:r>
              <w:rPr>
                <w:rStyle w:val="IndexLink"/>
              </w:rPr>
              <w:t>131</w:t>
            </w:r>
          </w:hyperlink>
        </w:p>
        <w:p>
          <w:pPr>
            <w:pStyle w:val="Contents4"/>
            <w:tabs>
              <w:tab w:val="clear" w:pos="8176"/>
              <w:tab w:val="right" w:pos="9026" w:leader="dot"/>
            </w:tabs>
            <w:rPr/>
          </w:pPr>
          <w:hyperlink w:anchor="__RefHeading___Toc2031179_2749589250">
            <w:r>
              <w:rPr>
                <w:webHidden/>
                <w:rStyle w:val="IndexLink"/>
              </w:rPr>
              <w:t>Keywords</w:t>
            </w:r>
            <w:r>
              <w:rPr>
                <w:rStyle w:val="IndexLink"/>
                <w:rtl w:val="true"/>
              </w:rPr>
              <w:tab/>
            </w:r>
            <w:r>
              <w:rPr>
                <w:rStyle w:val="IndexLink"/>
              </w:rPr>
              <w:t>131</w:t>
            </w:r>
          </w:hyperlink>
        </w:p>
        <w:p>
          <w:pPr>
            <w:pStyle w:val="Contents3"/>
            <w:tabs>
              <w:tab w:val="clear" w:pos="8459"/>
              <w:tab w:val="right" w:pos="9026" w:leader="dot"/>
            </w:tabs>
            <w:rPr/>
          </w:pPr>
          <w:hyperlink w:anchor="__RefHeading___Toc2031181_2749589250">
            <w:r>
              <w:rPr>
                <w:webHidden/>
                <w:rStyle w:val="IndexLink"/>
              </w:rPr>
              <w:t>An Ontological Analysis of the Development of the Divine Will in the Mu'tazlite Thought System / Akbar Aghwam Karbasi</w:t>
            </w:r>
            <w:r>
              <w:rPr>
                <w:rStyle w:val="IndexLink"/>
                <w:rtl w:val="true"/>
              </w:rPr>
              <w:tab/>
            </w:r>
            <w:r>
              <w:rPr>
                <w:rStyle w:val="IndexLink"/>
              </w:rPr>
              <w:t>132</w:t>
            </w:r>
          </w:hyperlink>
        </w:p>
        <w:p>
          <w:pPr>
            <w:pStyle w:val="Contents4"/>
            <w:tabs>
              <w:tab w:val="clear" w:pos="8176"/>
              <w:tab w:val="right" w:pos="9026" w:leader="dot"/>
            </w:tabs>
            <w:rPr/>
          </w:pPr>
          <w:hyperlink w:anchor="__RefHeading___Toc2031183_2749589250">
            <w:r>
              <w:rPr>
                <w:webHidden/>
                <w:rStyle w:val="IndexLink"/>
              </w:rPr>
              <w:t>Point</w:t>
            </w:r>
            <w:r>
              <w:rPr>
                <w:rStyle w:val="IndexLink"/>
                <w:rtl w:val="true"/>
              </w:rPr>
              <w:tab/>
            </w:r>
            <w:r>
              <w:rPr>
                <w:rStyle w:val="IndexLink"/>
              </w:rPr>
              <w:t>132</w:t>
            </w:r>
          </w:hyperlink>
        </w:p>
        <w:p>
          <w:pPr>
            <w:pStyle w:val="Contents4"/>
            <w:tabs>
              <w:tab w:val="clear" w:pos="8176"/>
              <w:tab w:val="right" w:pos="9026" w:leader="dot"/>
            </w:tabs>
            <w:rPr/>
          </w:pPr>
          <w:hyperlink w:anchor="__RefHeading___Toc2031185_2749589250">
            <w:r>
              <w:rPr>
                <w:webHidden/>
                <w:rStyle w:val="IndexLink"/>
              </w:rPr>
              <w:t>Keywords</w:t>
            </w:r>
            <w:r>
              <w:rPr>
                <w:rStyle w:val="IndexLink"/>
                <w:rtl w:val="true"/>
              </w:rPr>
              <w:tab/>
            </w:r>
            <w:r>
              <w:rPr>
                <w:rStyle w:val="IndexLink"/>
              </w:rPr>
              <w:t>132</w:t>
            </w:r>
          </w:hyperlink>
        </w:p>
        <w:p>
          <w:pPr>
            <w:pStyle w:val="Contents3"/>
            <w:tabs>
              <w:tab w:val="clear" w:pos="8459"/>
              <w:tab w:val="right" w:pos="9026" w:leader="dot"/>
            </w:tabs>
            <w:rPr/>
          </w:pPr>
          <w:hyperlink w:anchor="__RefHeading___Toc2031187_2749589250">
            <w:r>
              <w:rPr>
                <w:webHidden/>
                <w:rStyle w:val="IndexLink"/>
              </w:rPr>
              <w:t>he Function of the Contrivance Unity in the Education from the Quran Point of View / Hossein Mohammadi -Sayed Eshaq Hosseini Kohsari -Sayed Mohammad MousaviMoghaddam</w:t>
            </w:r>
            <w:r>
              <w:rPr>
                <w:rStyle w:val="IndexLink"/>
                <w:rtl w:val="true"/>
              </w:rPr>
              <w:tab/>
            </w:r>
            <w:r>
              <w:rPr>
                <w:rStyle w:val="IndexLink"/>
              </w:rPr>
              <w:t>133</w:t>
            </w:r>
          </w:hyperlink>
        </w:p>
        <w:p>
          <w:pPr>
            <w:pStyle w:val="Contents4"/>
            <w:tabs>
              <w:tab w:val="clear" w:pos="8176"/>
              <w:tab w:val="right" w:pos="9026" w:leader="dot"/>
            </w:tabs>
            <w:rPr/>
          </w:pPr>
          <w:hyperlink w:anchor="__RefHeading___Toc2031189_2749589250">
            <w:r>
              <w:rPr>
                <w:webHidden/>
                <w:rStyle w:val="IndexLink"/>
              </w:rPr>
              <w:t>Point</w:t>
            </w:r>
            <w:r>
              <w:rPr>
                <w:rStyle w:val="IndexLink"/>
                <w:rtl w:val="true"/>
              </w:rPr>
              <w:tab/>
            </w:r>
            <w:r>
              <w:rPr>
                <w:rStyle w:val="IndexLink"/>
              </w:rPr>
              <w:t>133</w:t>
            </w:r>
          </w:hyperlink>
        </w:p>
        <w:p>
          <w:pPr>
            <w:pStyle w:val="Contents4"/>
            <w:tabs>
              <w:tab w:val="clear" w:pos="8176"/>
              <w:tab w:val="right" w:pos="9026" w:leader="dot"/>
            </w:tabs>
            <w:rPr/>
          </w:pPr>
          <w:hyperlink w:anchor="__RefHeading___Toc2031191_2749589250">
            <w:r>
              <w:rPr>
                <w:webHidden/>
                <w:rStyle w:val="IndexLink"/>
              </w:rPr>
              <w:t>Keywords</w:t>
            </w:r>
            <w:r>
              <w:rPr>
                <w:rStyle w:val="IndexLink"/>
                <w:rtl w:val="true"/>
              </w:rPr>
              <w:tab/>
            </w:r>
            <w:r>
              <w:rPr>
                <w:rStyle w:val="IndexLink"/>
              </w:rPr>
              <w:t>133</w:t>
            </w:r>
          </w:hyperlink>
        </w:p>
        <w:p>
          <w:pPr>
            <w:pStyle w:val="Contents3"/>
            <w:tabs>
              <w:tab w:val="clear" w:pos="8459"/>
              <w:tab w:val="right" w:pos="9026" w:leader="dot"/>
            </w:tabs>
            <w:rPr/>
          </w:pPr>
          <w:hyperlink w:anchor="__RefHeading___Toc2031193_2749589250">
            <w:r>
              <w:rPr>
                <w:webHidden/>
                <w:rStyle w:val="IndexLink"/>
                <w:rtl w:val="true"/>
              </w:rPr>
              <w:t>"</w:t>
            </w:r>
            <w:r>
              <w:rPr>
                <w:rStyle w:val="IndexLink"/>
              </w:rPr>
              <w:t>The Act Annihilationand Recompense" from the Ayatullah Jawadi Amoli Point of View/ Aghdas Yazdi -Zeynab Abbasi Aghavi</w:t>
            </w:r>
            <w:r>
              <w:rPr>
                <w:rStyle w:val="IndexLink"/>
                <w:rtl w:val="true"/>
              </w:rPr>
              <w:tab/>
            </w:r>
            <w:r>
              <w:rPr>
                <w:rStyle w:val="IndexLink"/>
              </w:rPr>
              <w:t>134</w:t>
            </w:r>
          </w:hyperlink>
        </w:p>
        <w:p>
          <w:pPr>
            <w:pStyle w:val="Contents4"/>
            <w:tabs>
              <w:tab w:val="clear" w:pos="8176"/>
              <w:tab w:val="right" w:pos="9026" w:leader="dot"/>
            </w:tabs>
            <w:rPr/>
          </w:pPr>
          <w:hyperlink w:anchor="__RefHeading___Toc2031195_2749589250">
            <w:r>
              <w:rPr>
                <w:webHidden/>
                <w:rStyle w:val="IndexLink"/>
              </w:rPr>
              <w:t>Point</w:t>
            </w:r>
            <w:r>
              <w:rPr>
                <w:rStyle w:val="IndexLink"/>
                <w:rtl w:val="true"/>
              </w:rPr>
              <w:tab/>
            </w:r>
            <w:r>
              <w:rPr>
                <w:rStyle w:val="IndexLink"/>
              </w:rPr>
              <w:t>134</w:t>
            </w:r>
          </w:hyperlink>
        </w:p>
        <w:p>
          <w:pPr>
            <w:pStyle w:val="Contents4"/>
            <w:tabs>
              <w:tab w:val="clear" w:pos="8176"/>
              <w:tab w:val="right" w:pos="9026" w:leader="dot"/>
            </w:tabs>
            <w:rPr/>
          </w:pPr>
          <w:hyperlink w:anchor="__RefHeading___Toc2031197_2749589250">
            <w:r>
              <w:rPr>
                <w:webHidden/>
                <w:rStyle w:val="IndexLink"/>
              </w:rPr>
              <w:t>Keywords</w:t>
            </w:r>
            <w:r>
              <w:rPr>
                <w:rStyle w:val="IndexLink"/>
                <w:rtl w:val="true"/>
              </w:rPr>
              <w:tab/>
            </w:r>
            <w:r>
              <w:rPr>
                <w:rStyle w:val="IndexLink"/>
              </w:rPr>
              <w:t>134</w:t>
            </w:r>
          </w:hyperlink>
        </w:p>
        <w:p>
          <w:pPr>
            <w:pStyle w:val="Contents3"/>
            <w:tabs>
              <w:tab w:val="clear" w:pos="8459"/>
              <w:tab w:val="right" w:pos="9026" w:leader="dot"/>
            </w:tabs>
            <w:rPr/>
          </w:pPr>
          <w:hyperlink w:anchor="__RefHeading___Toc2031199_2749589250">
            <w:r>
              <w:rPr>
                <w:webHidden/>
                <w:rStyle w:val="IndexLink"/>
              </w:rPr>
              <w:t>Analysis and Criticism of the Hypothesis of the Samarian Influence on Islam / Ali Rad -Saeid Karimpour</w:t>
            </w:r>
            <w:r>
              <w:rPr>
                <w:rStyle w:val="IndexLink"/>
                <w:rtl w:val="true"/>
              </w:rPr>
              <w:tab/>
            </w:r>
            <w:r>
              <w:rPr>
                <w:rStyle w:val="IndexLink"/>
              </w:rPr>
              <w:t>135</w:t>
            </w:r>
          </w:hyperlink>
        </w:p>
        <w:p>
          <w:pPr>
            <w:pStyle w:val="Contents4"/>
            <w:tabs>
              <w:tab w:val="clear" w:pos="8176"/>
              <w:tab w:val="right" w:pos="9026" w:leader="dot"/>
            </w:tabs>
            <w:rPr/>
          </w:pPr>
          <w:hyperlink w:anchor="__RefHeading___Toc2031201_2749589250">
            <w:r>
              <w:rPr>
                <w:webHidden/>
                <w:rStyle w:val="IndexLink"/>
              </w:rPr>
              <w:t>Point</w:t>
            </w:r>
            <w:r>
              <w:rPr>
                <w:rStyle w:val="IndexLink"/>
                <w:rtl w:val="true"/>
              </w:rPr>
              <w:tab/>
            </w:r>
            <w:r>
              <w:rPr>
                <w:rStyle w:val="IndexLink"/>
              </w:rPr>
              <w:t>135</w:t>
            </w:r>
          </w:hyperlink>
        </w:p>
        <w:p>
          <w:pPr>
            <w:pStyle w:val="Contents4"/>
            <w:tabs>
              <w:tab w:val="clear" w:pos="8176"/>
              <w:tab w:val="right" w:pos="9026" w:leader="dot"/>
            </w:tabs>
            <w:rPr/>
          </w:pPr>
          <w:hyperlink w:anchor="__RefHeading___Toc2031203_2749589250">
            <w:r>
              <w:rPr>
                <w:webHidden/>
                <w:rStyle w:val="IndexLink"/>
              </w:rPr>
              <w:t>Keywords</w:t>
            </w:r>
            <w:r>
              <w:rPr>
                <w:rStyle w:val="IndexLink"/>
                <w:rtl w:val="true"/>
              </w:rPr>
              <w:tab/>
            </w:r>
            <w:r>
              <w:rPr>
                <w:rStyle w:val="IndexLink"/>
              </w:rPr>
              <w:t>135</w:t>
            </w:r>
          </w:hyperlink>
        </w:p>
        <w:p>
          <w:pPr>
            <w:pStyle w:val="Contents3"/>
            <w:tabs>
              <w:tab w:val="clear" w:pos="8459"/>
              <w:tab w:val="right" w:pos="9026" w:leader="dot"/>
            </w:tabs>
            <w:rPr/>
          </w:pPr>
          <w:hyperlink w:anchor="__RefHeading___Toc2031205_2749589250">
            <w:r>
              <w:rPr>
                <w:webHidden/>
                <w:rStyle w:val="IndexLink"/>
              </w:rPr>
              <w:t>Tahqīqāt-e Kalāmi</w:t>
            </w:r>
            <w:r>
              <w:rPr>
                <w:rStyle w:val="IndexLink"/>
                <w:rtl w:val="true"/>
              </w:rPr>
              <w:tab/>
            </w:r>
            <w:r>
              <w:rPr>
                <w:rStyle w:val="IndexLink"/>
              </w:rPr>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3_17287"/>
      <w:bookmarkStart w:id="1" w:name="pg3253_17287"/>
      <w:bookmarkEnd w:id="1"/>
    </w:p>
    <w:p>
      <w:pPr>
        <w:pStyle w:val="Heading2"/>
        <w:numPr>
          <w:ilvl w:val="1"/>
          <w:numId w:val="1"/>
        </w:numPr>
        <w:rPr/>
      </w:pPr>
      <w:bookmarkStart w:id="2" w:name="pg3253_17287"/>
      <w:bookmarkStart w:id="3" w:name="__RefHeading___Toc2030883_2749589250"/>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چهارم، شماره سیزدهم، 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0885_2749589250"/>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 توجه به ارزیـابی کـمیسیون نـشریات علمی حوزه، شورای اعطای مجوزها و امتیازهای علمی در جـلسه مورخ </w:t>
      </w:r>
      <w:r>
        <w:rPr>
          <w:rFonts w:eastAsia="IRNazanin" w:cs="IRNazanin"/>
          <w:color w:val="111111"/>
          <w:sz w:val="28"/>
          <w:szCs w:val="28"/>
          <w:lang w:bidi="fa-IR"/>
        </w:rPr>
        <w:t>28/03/1392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رتـبه عـلمی ـ پـژوهشی بهنـشریه تـحقیقات کـلامی اعـطاء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حـوزه، دارای اعـتبار رسمی بـوده و مـوجد امـتیازات قـانونی در دانـشگاه ها و حوزه های علمیه می باشد</w:t>
      </w:r>
      <w:bookmarkStart w:id="7" w:name="pg3253_17290"/>
    </w:p>
    <w:p>
      <w:pPr>
        <w:pStyle w:val="Heading2"/>
        <w:numPr>
          <w:ilvl w:val="1"/>
          <w:numId w:val="1"/>
        </w:numPr>
        <w:rPr/>
      </w:pPr>
      <w:bookmarkStart w:id="8" w:name="__RefHeading___Toc2030887_2749589250"/>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اطناب و ایجاز بی مورد؛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سال نیست </w:t>
      </w:r>
      <w:r>
        <w:rPr>
          <w:rFonts w:eastAsia="IRNazanin" w:cs="IRNazanin"/>
          <w:color w:val="111111"/>
          <w:sz w:val="28"/>
          <w:szCs w:val="28"/>
          <w:rtl w:val="true"/>
          <w:lang w:bidi="fa-IR"/>
        </w:rPr>
        <w:t>.</w:t>
      </w:r>
      <w:bookmarkStart w:id="10" w:name="pg3253_17291"/>
    </w:p>
    <w:p>
      <w:pPr>
        <w:pStyle w:val="Heading2"/>
        <w:numPr>
          <w:ilvl w:val="1"/>
          <w:numId w:val="1"/>
        </w:numPr>
        <w:rPr/>
      </w:pPr>
      <w:bookmarkStart w:id="11" w:name="__RefHeading___Toc2030889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تطور انگارۀ معرفت اضطراری در اندیشۀ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امیرخانی، محمدتقی سبحانی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مبانی کلامی توسعۀ استنباط از 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تحلیلی وجودشناسانه از سیر تطور ارادۀ خداوند در نظام فکری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اقوام کرباسی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کاربست توحید ربوبی در تربیت انسان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حسین محمدی، سیداسحاق حسینی کوهساری، سیدمحمد موسوی مقدم</w:t>
      </w:r>
    </w:p>
    <w:p>
      <w:pPr>
        <w:pStyle w:val="BookText"/>
        <w:rPr/>
      </w:pPr>
      <w:r>
        <w:rPr>
          <w:rFonts w:ascii="IRNazanin" w:hAnsi="IRNazanin" w:eastAsia="IRNazanin"/>
          <w:color w:val="111111"/>
          <w:sz w:val="28"/>
          <w:sz w:val="28"/>
          <w:szCs w:val="28"/>
          <w:rtl w:val="true"/>
          <w:lang w:bidi="fa-IR"/>
        </w:rPr>
        <w:t>احباط و تکفیر عمل، از دیدگاه 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یزدی، زینب عباسی آغوی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تحلیل و نقد فرضیۀ تأثیر سامریّت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راد، سعید کریم پور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ترجمه چکیده مقالات به زبان عربی</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چکیده مقالات به زبان انگلیسی</w:t>
      </w:r>
      <w:r>
        <w:rPr>
          <w:rFonts w:eastAsia="IRNazanin" w:cs="IRNazanin"/>
          <w:color w:val="111111"/>
          <w:sz w:val="28"/>
          <w:szCs w:val="28"/>
          <w:lang w:bidi="fa-IR"/>
        </w:rPr>
        <w:t>125</w:t>
      </w:r>
      <w:bookmarkStart w:id="13" w:name="pg3253_17293"/>
    </w:p>
    <w:p>
      <w:pPr>
        <w:pStyle w:val="Heading2"/>
        <w:numPr>
          <w:ilvl w:val="1"/>
          <w:numId w:val="1"/>
        </w:numPr>
        <w:rPr/>
      </w:pPr>
      <w:bookmarkStart w:id="14" w:name="__RefHeading___Toc2030891_2749589250"/>
      <w:bookmarkStart w:id="15" w:name="_Toc5"/>
      <w:bookmarkEnd w:id="13"/>
      <w:bookmarkEnd w:id="14"/>
      <w:r>
        <w:rPr>
          <w:rtl w:val="true"/>
        </w:rPr>
        <w:t>تطور انگارۀ معرفت اضطراری در اندیشۀ معتزله</w:t>
      </w:r>
      <w:r>
        <w:rPr>
          <w:rtl w:val="true"/>
        </w:rPr>
        <w:t>/</w:t>
      </w:r>
      <w:r>
        <w:rPr>
          <w:rtl w:val="true"/>
        </w:rPr>
        <w:t>علی امیرخانی</w:t>
      </w:r>
      <w:r>
        <w:rPr>
          <w:rtl w:val="true"/>
        </w:rPr>
        <w:t>-</w:t>
      </w:r>
      <w:r>
        <w:rPr>
          <w:rtl w:val="true"/>
        </w:rPr>
        <w:t>محمدتقی سبحانی</w:t>
      </w:r>
      <w:bookmarkEnd w:id="15"/>
    </w:p>
    <w:p>
      <w:pPr>
        <w:pStyle w:val="Heading3"/>
        <w:numPr>
          <w:ilvl w:val="2"/>
          <w:numId w:val="1"/>
        </w:numPr>
        <w:rPr/>
      </w:pPr>
      <w:bookmarkStart w:id="16" w:name="__RefHeading___Toc2030893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علی امیرخانی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محمدتقی سبحانی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15/08/1395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30/10/1395</w:t>
      </w:r>
    </w:p>
    <w:p>
      <w:pPr>
        <w:pStyle w:val="Heading3"/>
        <w:numPr>
          <w:ilvl w:val="2"/>
          <w:numId w:val="1"/>
        </w:numPr>
        <w:rPr/>
      </w:pPr>
      <w:bookmarkStart w:id="18" w:name="__RefHeading___Toc2030895_2749589250"/>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 xml:space="preserve">انگارۀ معرفت اضطراری از جانب معتزلی ها، با دو معیار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و در طول تاریخ تفکر اعتزال، با تحول و تطور فراوانی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ابوهذیل علاف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معرفت الله را اضطراری و سایر معارف را اکتسابی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معتمِر با همان معیار، همۀ معارف را اکتسابی خواند و منکر هرگونه معرفت اضطراری شد، در حالی که جاحظ و اصحاب معارف، همۀ معارف را اضطراری برشمردند و منکر هر گونه معرفت اختیاری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نخستین معتزلی بود که با تغییر سنجۀ معرفت اضطراری، تنها معارف حسی را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نظر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اضطراری خواند و سایر معارف نظری را نیازمند نظر و فکر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اضطراری بودن معرفت الله، نه تنها آن را نخستین تکلیف نمی‌دانستند، بلکه اساساً تکلیف به معرفت را نامعقول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معتقدان به اکتسابی بودن معرفت الله، آن را نخستین تکلیف برشمرده و بر آن بودند که باید در فاصلۀ بین شناخت نفس ـ که بالاضطرار محقق می‌شود ـ و شناخت خدا، مهلتِ نظر و فکر باشد تا مکلف با اختیار خود، معرفت الله را کسب و اختیار کند</w:t>
      </w:r>
      <w:r>
        <w:rPr>
          <w:rFonts w:eastAsia="IRNazanin" w:cs="IRNazanin"/>
          <w:color w:val="111111"/>
          <w:sz w:val="28"/>
          <w:szCs w:val="28"/>
          <w:rtl w:val="true"/>
          <w:lang w:bidi="fa-IR"/>
        </w:rPr>
        <w:t>.</w:t>
      </w:r>
    </w:p>
    <w:p>
      <w:pPr>
        <w:pStyle w:val="Heading3"/>
        <w:numPr>
          <w:ilvl w:val="2"/>
          <w:numId w:val="1"/>
        </w:numPr>
        <w:rPr/>
      </w:pPr>
      <w:bookmarkStart w:id="20" w:name="__RefHeading___Toc2030897_2749589250"/>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اضطراری، معرفت اکتسابی، معرفت طبعی، اصحاب المعارف، اصحاب المهلة، تکلیف نخستین</w:t>
      </w:r>
      <w:r>
        <w:rPr>
          <w:rFonts w:eastAsia="IRNazanin" w:cs="IRNazanin"/>
          <w:color w:val="111111"/>
          <w:sz w:val="28"/>
          <w:szCs w:val="28"/>
          <w:rtl w:val="true"/>
          <w:lang w:bidi="fa-IR"/>
        </w:rPr>
        <w:t>.</w:t>
      </w:r>
      <w:bookmarkStart w:id="22" w:name="pg3253_17294"/>
    </w:p>
    <w:p>
      <w:pPr>
        <w:pStyle w:val="Heading3"/>
        <w:numPr>
          <w:ilvl w:val="2"/>
          <w:numId w:val="1"/>
        </w:numPr>
        <w:rPr/>
      </w:pPr>
      <w:bookmarkStart w:id="23" w:name="__RefHeading___Toc2030899_2749589250"/>
      <w:bookmarkStart w:id="24" w:name="_Toc9"/>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چگونگی دست‌یابی به معرفت ـ به‌ویژه معرفت خدا ـ در محافل علمی مسلمانان و در بین طیف‌ها و جریان‌های فکری آنان، همواره به عنوان یک مسئله و دغدغۀ جدی مطرح بوده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یکی از مهم‌ترین مباحث در این عرصه، اکتسابی یا اضطراری بودن معرفت برای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از این‌جا آغاز شد که آیا حصول معرفت ـ به صورت کلی یا در خصوصِ معرفت الله ـ با اراده و اختیار انسان حاصل می‌شود و یا از قلمرو اختیار انسان خارج است؟</w:t>
      </w:r>
    </w:p>
    <w:p>
      <w:pPr>
        <w:pStyle w:val="BookText"/>
        <w:rPr/>
      </w:pPr>
      <w:r>
        <w:rPr>
          <w:rFonts w:ascii="IRNazanin" w:hAnsi="IRNazanin" w:eastAsia="IRNazanin"/>
          <w:color w:val="111111"/>
          <w:sz w:val="28"/>
          <w:sz w:val="28"/>
          <w:szCs w:val="28"/>
          <w:rtl w:val="true"/>
          <w:lang w:bidi="fa-IR"/>
        </w:rPr>
        <w:t>در تاریخ اندیشه کلامی، اصحاب امامیه از نخستین باورمندان به معرفت اضطراری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دانشوران نخستین امامی به پیروی از روایات اهل‌بیت علیهم السلام تحقق و حصول معرفت و شناخت را صُنع خداوند می‌دانستند و بر آن بودند برآیند معرفت، در قلمرو اراده و اختیار انسان نیست و انسان در این مرحله هیچ نقشی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جمهور امامیه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همۀ معارف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برآیند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غیراختیاری می‌دانستند؛ هرچند انسان را در فرآیند و تحصیل مقدمات معرفت و شناخت، صاحب اختیار و تأثیر برمی‌شمردند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حصول معرفت را خارج از اراده و اختیار انسان می‌دانستند، تکلیف به معرفت و شناخت ـ و از جمله تکلیف به معرفت الله ـ را جایز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اهل حدیث که به رغم آن‌که معرفت را صُنع و اعطای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ابن‌حزم،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معرفت را سمعاً تحت تکلیف می‌پنداشتند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لالکایی،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تاریخ اندیشۀ نخستین اسلامی، غیلان دمشقی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سان جمهور امامیه و اهل حدیث، اصل معرفت الله را ضروری می‌دانستند و معتقد بودند معرفت انسان به این‌که مصنوع است و خالقش غیر از خودش است، ضروری است و هر انسانی ذاتاً و بالطبع آن را از آغاز تولد با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ابن‌صلاح شرفی،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ضروری بودن معرفت الله باور داشتند، آن را از حوزۀ ایمان و تکلیف اختیاری خارج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آنان، وقتِ وجوبِ ایمان، هنگامی بود که مکلف، معرفت به خود و خدای خویش داشته باشد؛ اگر معرفت حاصل باشد،</w:t>
      </w:r>
    </w:p>
    <w:p>
      <w:pPr>
        <w:pStyle w:val="BookText"/>
        <w:rPr/>
      </w:pPr>
      <w:r>
        <w:rPr>
          <w:rFonts w:ascii="IRNazanin" w:hAnsi="IRNazanin" w:eastAsia="IRNazanin"/>
          <w:color w:val="111111"/>
          <w:sz w:val="28"/>
          <w:sz w:val="28"/>
          <w:szCs w:val="28"/>
          <w:rtl w:val="true"/>
          <w:lang w:bidi="fa-IR"/>
        </w:rPr>
        <w:t xml:space="preserve">ایمان به خدا نخستین وظیفه و تکلیف او خواهد بود و در این صورت، اگر تصدیق نکند و ایمان نیاورد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غیلانیه تنها اصل معرفت الله را ضروری و فعل الله می‌دانستند، اما دیگر معارف مربوط به خدا و اسما و صفات، از جمله معرفت به یگانگی صانع متعال و هم‌چنین معرفت پیامبر و شناخت شریعت، از نظرگاه آنان اکتسابی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ملاک و معیار معرفت اضطراری در بین دانشوران نخستین اسلامی، غیراختیاری بودن معرفت بوده است؛ به این معنا که آنان تحقق معرفت را فعل اختیاری انسان به حساب نمی‌آوردند،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بایجاب الخلقة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بطبع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معیار معرفت اضطراری، غیراختیاری بودن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معرفت بوده است؛ در نتیجه چون معرفت به ارادۀ انسان محقق نمی‌شود، فاعل معرفت،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ابوهذیل علاف نیز بر اساس همین معیار، معرفت الله را ضروری می‌دانست و دیگر علوم ـ حتی علوم به‌دست‌آمده از طریق حواس ـ را اختیاری و اکتسابی برمی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معتمِر ـ بنیان‌گذار معتزلۀ بغداد ـ تلاش کرد با همان ملاک و معیار مشایخ معتزلی و دانشوران نخستین اسلامی، ثابت کند نه تنها معرفت الله، بلکه همۀ معارف بشری ـ حتی معارف حسی ـ اختیاری و اکتسابی است و در واقع منکر هرگونه معرفت اضطراری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از معتزلیان به جلوداری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با همان ملاک و معیار ـ اما برخلاف بشر بن معتمِر ـ معتقد شدند همۀ معارف بشری ـ حتی معارف حسی ـ خارج از سلطه و اختیار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المعارف</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به سبب اعتقاد به فرآیند طبعی برخی از معارف،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دیری نپایید که همین مسئله اضطراری یا اکتسابی بودنِ معرفت، با تعریف دیگری از اضطرار و اختیار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معتزلیان با این معیار جدید به داوری در این مسئله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نظّام برای معرفت اضطراری متفاوت با معیار مشایخ نخستین اعتزال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او، معرفت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بود که بی‌نیاز از نظر و استدلال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معارف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دیگر معارف که به نوعی نیازمند نظر، فکر و استدلالند، اکتسابی‌اند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w:t>
      </w:r>
      <w:r>
        <w:rPr>
          <w:rStyle w:val="FootnoteAnchor"/>
          <w:rtl w:val="true"/>
        </w:rPr>
        <w:footnoteReference w:id="6"/>
      </w:r>
      <w:r>
        <w:rPr>
          <w:rFonts w:ascii="IRNazanin" w:hAnsi="IRNazanin" w:eastAsia="IRNazanin"/>
          <w:color w:val="111111"/>
          <w:sz w:val="28"/>
          <w:sz w:val="28"/>
          <w:szCs w:val="28"/>
          <w:rtl w:val="true"/>
          <w:lang w:bidi="fa-IR"/>
        </w:rPr>
        <w:t>به کار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میان دو معیار و سنجۀ اضطراری بودن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 بودن یا بی‌نیازی از نظر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و خاص من وجه است؛ از این رو ممکن است معرفتی، با معیار نخست، اضطراری و با معیار دوم اکتسابی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معارف نظری از دیدگاه اصحاب امامیه و اصحاب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معرفتی، با معیار نخست اکتسابی و با معیار دوم اضطراری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معارف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هر دو معیار اضطراری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معارف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توجه به مفهوم و معیار معرفت اضطراری از منظر صاحبان اندیشه، در شناخت دقیق نظریه‌های معرفت‌شناختی آنان از اهمیت شایانی برخوردار است و بی‌توجهی یا نادیده گرفتن آن باعث خلط برخی مباحث در طول تاریخ تفکر کلامی شده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بنیان‌گذاران قَدَریه و مشایخ نخستین معتزله در مدرسۀ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غیلان دمشقی و ابوهذیل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اصحاب المعارف از معتزلیان مدرسه بصره، به اضطراری بودن معرفت الله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همین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معتزلیانِ بصره را مخالف معرفت الله اکتسابی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تطور و تحول انگارۀ معرفت اضطراری در بین معتزلیان، صحتِ اجمالی گزارش شیخ مفید دربارۀ اکثر بزرگان مدرسه بصره ـ به استثنای نظّام ـ و در عین حال نادرستی دیدگاه برخی مسشترقان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مکدرموت در کتاب اندیشه‌های کلامی شیخ مفید گزارشِ شیخ مفید دربارۀ بصریان را غلط پنداشته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 آن بودند که انسان باید معرفت خدا را از طریق استدلال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توجیه گزارش شیخ مفید پرداخته و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سخن مفید دربارۀ جهان آخرت است، نه در خصوص دنیا؛ چون بصریان معتقد بودند خداوند در آخرت بالضرورة شناخته می‌شود</w:t>
      </w:r>
      <w:r>
        <w:rPr>
          <w:rFonts w:eastAsia="IRNazanin" w:cs="IRNazanin"/>
          <w:color w:val="111111"/>
          <w:sz w:val="28"/>
          <w:szCs w:val="28"/>
          <w:rtl w:val="true"/>
          <w:lang w:bidi="fa-IR"/>
        </w:rPr>
        <w:t>»</w:t>
      </w:r>
      <w:bookmarkStart w:id="25" w:name="pg3253_17297"/>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توجیه نمی‌تواند درست باشد؛ زیرا همان‌طور که در ادامۀ مقاله نشان خواهیم داد، باور به اکتسابی بودنِ معرفت الله و سایر معارف دینی، از آنِ متأخران از بصری‌ها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جبائیان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اکثر بصریانِ متقدم، مخالفِ معرفت الله اکتسابی بودند و آن را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آن‌که حتی نظّام هم ـ که یک استثنا بود و معرفت الله را اکتسابی می‌دانست ـ به معرفت الله اضطراری در آخرت، باور نداشت و آن را اکتسابی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توجیه مکدرموت دربارۀ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بصریان به اضطراری بودنِ معرفت الله در آخرت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مفید چنین گفته است، توجیه مفیدی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مقالۀ حاضر، به سیر تطور و تحول انگارۀ معرفت اضطراری از نظرگاه دانشوران معتزله و با در نظر گرفتن ملاک‌ها و معیار‌های متفاوت آنان پرداخته و فراز و فرود و زوال اندیشۀ معرفت اضطراری در بین معتزلیان را رصد کرده است</w:t>
      </w:r>
      <w:r>
        <w:rPr>
          <w:rFonts w:eastAsia="IRNazanin" w:cs="IRNazanin"/>
          <w:color w:val="111111"/>
          <w:sz w:val="28"/>
          <w:szCs w:val="28"/>
          <w:rtl w:val="true"/>
          <w:lang w:bidi="fa-IR"/>
        </w:rPr>
        <w:t>.</w:t>
      </w:r>
    </w:p>
    <w:p>
      <w:pPr>
        <w:pStyle w:val="Heading3"/>
        <w:numPr>
          <w:ilvl w:val="2"/>
          <w:numId w:val="1"/>
        </w:numPr>
        <w:rPr/>
      </w:pPr>
      <w:bookmarkStart w:id="26" w:name="__RefHeading___Toc2030901_2749589250"/>
      <w:bookmarkStart w:id="27" w:name="_Toc10"/>
      <w:bookmarkEnd w:id="26"/>
      <w:r>
        <w:rPr/>
        <w:t>1</w:t>
      </w:r>
      <w:r>
        <w:rPr>
          <w:rtl w:val="true"/>
        </w:rPr>
        <w:t xml:space="preserve">. </w:t>
      </w:r>
      <w:r>
        <w:rPr>
          <w:rtl w:val="true"/>
        </w:rPr>
        <w:t>ابوهذیل علاف</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از بنیان‌گذاران و مشایخ نخستین 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 و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به دست ما نرسیده است، اما از ابوهذیل علاف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عثمان الطویل، شاگردِ باواسطۀ واصل بن عطاست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ابن‌مرتضی،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گزارش‌هایی به جا مانده است که او هم مانند جمهور اندیشوران امامیه، اهل حدیث و غیلانیه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الله را نخستین تکلیف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ابوهذیل بر آن بود که شناخت خدا و شناختِ دلیلی که منجر به معرفت الله می‌شود، ضروری است، اما دیگر معارف‌ـ چه معارف حسی و چه معارف غیرحسی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اختیاری و اکتسابی‌اند؛ با این حال خداوند می‌تواند برخلافِ عادت، آن‌ها را هم بالضرورة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علاف در واقع معتقد بود انسان به طور طبیعی و در سرشت خود به خدا آگاه می‌شود، اما در کنار این خداآگاهی، وقتی به بلوغ فکری می‌رسد، باید بکوشد که دیگر اعتقادات دینی را به تفصیل و بی‌هیچ درنگی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نخستین ضرورتاً ـ نه با اختیار و اکتساب ـ حاصل می‌شود، زیرا تجربه و احساس مخلوق بودن و معرفت الله آن‌چنان به هم پیوند خورده‌اند که هیچ فردی نمی‌تواند از این معرفت سرباز زند؛ از این رو، انسان در قبال آن مسئولیت و تکلیفی ندارد؛ اما معرفت‌های بعدی هیچ‌کدام ضروری نیست و باید انسان به هنگام رسیدن به بلوغ فکری و کمال عقل، معرفت دوم را به دست بیاورد و نسبت به آن مکلف و موظف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28" w:name="pg3253_17298"/>
    </w:p>
    <w:p>
      <w:pPr>
        <w:pStyle w:val="BookText"/>
        <w:rPr/>
      </w:pPr>
      <w:bookmarkEnd w:id="28"/>
      <w:r>
        <w:rPr>
          <w:rFonts w:ascii="IRNazanin" w:hAnsi="IRNazanin" w:eastAsia="IRNazanin"/>
          <w:color w:val="111111"/>
          <w:sz w:val="28"/>
          <w:sz w:val="28"/>
          <w:szCs w:val="28"/>
          <w:rtl w:val="true"/>
          <w:lang w:bidi="fa-IR"/>
        </w:rPr>
        <w:t>با توجه به این‌که علاف، معارف حسی را اختیاری و اکتسابی می‌دانست، معلوم می‌شود معیار و ملاک او در معرفت اکتسابی معرفتی است که تحت اراده و اختیار انسان باشد و در مقابل، معرفت اضطراری، معرفتی است که غیراختیاری و خارج از ارادۀ انسان است، نه این‌که بی‌نیاز از نظر و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هم‌سو با اندیشۀ دانشوران امامیه، اهل حدیث و غیلانیه، اصل معرفت الله را اضطراری و خارج از حیطۀ اختیار انسان می‌داند و بر همین اساس، معرفت الله را تحت تکلیف نمی‌داند؛ در نتیجه از دیدگاه او نخستین تکلیف، شناخت خدا یا نظر و استدلال برای شناخت خدا نمی‌تواند باشد، چون معرفت و شناخت خداوند متعال از حیطۀ اختیار که شرط تکلیف است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او، نخستین تکلیف برای انسان بعد از شناخت خود و خدای خود، معنا پیدا می‌کند و آن در مرحلۀ اول، وجوب تحصیل معارف توحید و عدل است که باید تلاش کند و به دست آورد، و سپس باید به تکالیف شرعی از راه سمع و شریعت دست یابد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اقدام به شناخت معارف توحید و عدل و نیز شناخت شریعت و تکالیف شرعی نکند، در این صورت کافر و دشمن خدا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مهم‌ترین دغدغۀ ابوهذیل از طرح بحث معرفت، حل مسئلۀ تکلیفِ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در میان متکلمان اسلامی مطرح بود که نخستین تکلیف انسان چیست؟ اگر معرفت الله تکلیفِ نخستین باشد، محذور دور دارد، زیرا تا خدایی شناخته و ثابت نباشد، تکلیف بی‌معناست و اگر خداوند شناخته‌شده و ثابت باشد، تکلیف به شناخت آن،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زعم خویش، با این بیان مشکلِ تکلیفِ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حل کرد که انسان، مکلف به اصل معرفت الله نیست، بلکه تکلیف بعد از تحققِ اصلِ معرفت الله آغاز می‌شود که در واقع تکلیف به اکتساب سایر معارف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 w:name="__RefHeading___Toc2030903_2749589250"/>
      <w:bookmarkStart w:id="30" w:name="_Toc11"/>
      <w:bookmarkEnd w:id="29"/>
      <w:r>
        <w:rPr/>
        <w:t>2</w:t>
      </w:r>
      <w:r>
        <w:rPr>
          <w:rtl w:val="true"/>
        </w:rPr>
        <w:t xml:space="preserve">. </w:t>
      </w:r>
      <w:r>
        <w:rPr>
          <w:rtl w:val="true"/>
        </w:rPr>
        <w:t>نظّام</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واکنش به دیدگاه قَدَریه و ابوهذیل، از سوی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برجسته‌ترین شاگردِ ابوهذیل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نظریه‌پرداز معتزلی است که ملاک و معیارِ اضطراری بودن را تغییر داد و با معیار و سنجۀ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نیازمندی به نظر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معارف،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کرد که آن دسته از معارفی که از راه حواس پنج‌گانه به دست می‌آیند اضطراری‌اند، چون نیازمند استدلال و نظر نیستند؛ هم‌چنین معارفی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معرفت به شهرها و سیر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انسان‌ها در مقام مواجهه و مخاطبه، متوجه</w:t>
      </w:r>
    </w:p>
    <w:p>
      <w:pPr>
        <w:pStyle w:val="BookText"/>
        <w:rPr/>
      </w:pPr>
      <w:r>
        <w:rPr>
          <w:rFonts w:ascii="IRNazanin" w:hAnsi="IRNazanin" w:eastAsia="IRNazanin"/>
          <w:color w:val="111111"/>
          <w:sz w:val="28"/>
          <w:sz w:val="28"/>
          <w:szCs w:val="28"/>
          <w:rtl w:val="true"/>
          <w:lang w:bidi="fa-IR"/>
        </w:rPr>
        <w:t>مقصودِ مخاطب خود می‌شوند، نیز اضطراری‌اند، چراکه نیازمند نظر و استدلال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معارف که عمدتاً از راه غیر حواس پنج‌گانه به دست می‌آیند ـ از جمله معرفت به خدا و رسول و معرفت به شریعت و هر چیزی که در آن اختلاف و منازعه پیش می‌آید و طریق معرفتش چیزی جز فکر و نظر و استدلال نیست ـ اکتسابی و غیراضطراری‌اند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ـ برخلاف مشایخ معتزلی خویش ـ بر آن بود معرفت الله، خودبه‌خود حاصل نمی‌شود، بلکه نیازمند نظر و استدلال است؛ در نتیجه غیراضطراری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از منظر او اگر معرفت الله ضروری بود و در همۀ انسان‌ها وجود داشت، نباید مورد اختلاف قرار می‌گرفت؛ در حالی که وجود منکرین خداوند متعال ـ مانند دهریان، طبیعیان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ملحدان و کافران ـ می‌تواند بهترین شاهد بر ضروری نبودن شناختِ خداوند و نیازمندی معرفت الله به نظر و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معرفت الله، نه تنها ضروری نیست، بلکه هم نیازمند تفکر و استدلال است و هم در مقام عمل، مورد مناقشه و انکار خیلی‌ها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نظّام و پیروانش، اساساً هر آنچه با قیاس و نظر به دست می‌آید، نمی‌تواند معلوم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حتی در آخرت هم معرفت به آن با استدلال و نظر باید حاصل شود و بالاضطرار حاصل نمی‌شود، چون تغییر و تبدیل چیزی که طریق معرفت آن استدلال است به چیزی که بدون استدلال و بدون اختیار حاصل می‌شود، اساساً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نظّام، معرفت‌النفس را ـ مانند استادش ابوهذیل ـ ضروری می‌دانست، ولی برخلاف او معرفت الله را اضطراری نمی‌شمرد؛ یعنی ملازمه‌ای بین معرفت النفس و معرفت الله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واجب نخستین را کسب معرفت الله می‌داند و بر آن است که زمان وجوب آن، هنگامی است که طفل به بلوغ عقلی برسد و خود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طفل پس از شناخت خویش ـ که بالضروره و بدون نیاز به نظر و استدلال حاصل می‌شود ـ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نظر و فکر و استدلال داشته باشد تا بتواند معرفت الله را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نظّام، کسب معرفت الله فعل اختیاری انسان است و در مبنای او، فعل اختیاری شرایطی دارد؛ از جمله این‌که باید در انسان میان دواعی انجام یا ترک آن، تساوی برقرار باشد، تا انسان مضطر و مُلجأ به انجام یا ترک نباشد و به بیان دیگر، مختار باشد</w:t>
      </w:r>
      <w:r>
        <w:rPr>
          <w:rFonts w:eastAsia="IRNazanin" w:cs="IRNazanin"/>
          <w:color w:val="111111"/>
          <w:sz w:val="28"/>
          <w:szCs w:val="28"/>
          <w:rtl w:val="true"/>
          <w:lang w:bidi="fa-IR"/>
        </w:rPr>
        <w:t>.</w:t>
      </w:r>
      <w:bookmarkStart w:id="31" w:name="pg3253_17300"/>
    </w:p>
    <w:p>
      <w:pPr>
        <w:pStyle w:val="BookText"/>
        <w:rPr/>
      </w:pPr>
      <w:bookmarkEnd w:id="31"/>
      <w:r>
        <w:rPr>
          <w:rFonts w:ascii="IRNazanin" w:hAnsi="IRNazanin" w:eastAsia="IRNazanin"/>
          <w:color w:val="111111"/>
          <w:sz w:val="28"/>
          <w:sz w:val="28"/>
          <w:szCs w:val="28"/>
          <w:rtl w:val="true"/>
          <w:lang w:bidi="fa-IR"/>
        </w:rPr>
        <w:t xml:space="preserve">بر این اساس، او معتقد بود خداوند برای آن‌که انسان‌ها به تکلیف نخستین خود متوجه شوند و با فعل اختیاری خود آن را کسب کنند، در قلب هر انسانی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که یکی از آن‌ها او را به معرفت و نظر و استدلال فرا می‌خواند و انگیزه می‌دهد، و دیگری بر ضد و خلاف آن فرا می‌خواند، تا انگیزۀ فعل یا ترک در انسان، یک‌سان گردد، وگرنه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فعل را می‌آفرید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انگیزۀ انجام فعل معرفت را ایجاد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انسان عدم تساوی دواعی به وجود می‌آمد که با اختیار انسان ناسازگار بود و به الجاء و اضطرار </w:t>
      </w:r>
      <w:r>
        <w:rPr>
          <w:rStyle w:val="FootnoteAnchor"/>
          <w:rtl w:val="true"/>
        </w:rPr>
        <w:footnoteReference w:id="9"/>
      </w:r>
      <w:r>
        <w:rPr>
          <w:rFonts w:ascii="IRNazanin" w:hAnsi="IRNazanin" w:eastAsia="IRNazanin"/>
          <w:color w:val="111111"/>
          <w:sz w:val="28"/>
          <w:sz w:val="28"/>
          <w:szCs w:val="28"/>
          <w:rtl w:val="true"/>
          <w:lang w:bidi="fa-IR"/>
        </w:rPr>
        <w:t xml:space="preserve">می‌انجامید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بغدای،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هم داعی و خاطر انجام و ترک را آفریده تا آدمی شرایط مساوی و با اختیار کاملِ انجام یا ترک را انتخاب کند؛ در نتیجه، با اختیار و ارادۀ خویش یا مؤمن می‌شود یا کافر و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انسان‌ها مکلف هستند که خداوند را بشناسند و این نخستین تکلیف آن‌هاست</w:t>
      </w:r>
      <w:r>
        <w:rPr>
          <w:rFonts w:eastAsia="IRNazanin" w:cs="IRNazanin"/>
          <w:color w:val="111111"/>
          <w:sz w:val="28"/>
          <w:szCs w:val="28"/>
          <w:rtl w:val="true"/>
          <w:lang w:bidi="fa-IR"/>
        </w:rPr>
        <w:t>.</w:t>
      </w:r>
    </w:p>
    <w:p>
      <w:pPr>
        <w:pStyle w:val="Heading3"/>
        <w:numPr>
          <w:ilvl w:val="2"/>
          <w:numId w:val="1"/>
        </w:numPr>
        <w:rPr/>
      </w:pPr>
      <w:bookmarkStart w:id="32" w:name="__RefHeading___Toc2030905_2749589250"/>
      <w:bookmarkStart w:id="33" w:name="_Toc12"/>
      <w:bookmarkEnd w:id="32"/>
      <w:r>
        <w:rPr/>
        <w:t>3</w:t>
      </w:r>
      <w:r>
        <w:rPr>
          <w:rtl w:val="true"/>
        </w:rPr>
        <w:t xml:space="preserve">. </w:t>
      </w:r>
      <w:r>
        <w:rPr>
          <w:rtl w:val="true"/>
        </w:rPr>
        <w:t>معمّر بن عباد سُلمی</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بن عباد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215/220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دانشوران معتزله و هم‌طبقۀ با نظّام است، با همان ملاک و معیار مورد نظر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نزدیک به دیدگاه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علاوه بر معارف به‌دست‌آمده از حواس پنج‌گانه و نیز معرفت به‌دست‌آمده از طریق اخبار و در مقام تخاطب، معرفت و شناخت انسان به احوالات نفسانی خویش، و هم‌چنین معرفت انسان به برخی معارف ابتدایی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انسان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قدیم است و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ضروری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معمّر معتقد بود معرفتِ انسان به این‌که قدیم نیست بلکه حادث و مصنوع است، اضطراری است و نیازی به نظر و استدلال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رغم آن‌که معیار و ملاک نظام را پذیرفته بود، با این حال برخلاف نظّام و هم‌سو با</w:t>
      </w:r>
      <w:bookmarkStart w:id="34" w:name="pg3253_17301"/>
    </w:p>
    <w:p>
      <w:pPr>
        <w:pStyle w:val="BookText"/>
        <w:rPr/>
      </w:pPr>
      <w:bookmarkEnd w:id="34"/>
      <w:r>
        <w:rPr>
          <w:rFonts w:ascii="IRNazanin" w:hAnsi="IRNazanin" w:eastAsia="IRNazanin"/>
          <w:color w:val="111111"/>
          <w:sz w:val="28"/>
          <w:sz w:val="28"/>
          <w:szCs w:val="28"/>
          <w:rtl w:val="true"/>
          <w:lang w:bidi="fa-IR"/>
        </w:rPr>
        <w:t xml:space="preserve">ابوهذیل، اصل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ضروری می‌دانست؛ به این معنا که اصل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نظر و استدلال ندارد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5" w:name="__RefHeading___Toc2030907_2749589250"/>
      <w:bookmarkStart w:id="36" w:name="_Toc13"/>
      <w:bookmarkEnd w:id="35"/>
      <w:r>
        <w:rPr/>
        <w:t>4</w:t>
      </w:r>
      <w:r>
        <w:rPr>
          <w:rtl w:val="true"/>
        </w:rPr>
        <w:t xml:space="preserve">. </w:t>
      </w:r>
      <w:r>
        <w:rPr>
          <w:rtl w:val="true"/>
        </w:rPr>
        <w:t xml:space="preserve">بِشر بن معتمِر </w:t>
      </w:r>
      <w:r>
        <w:rPr>
          <w:rtl w:val="true"/>
        </w:rPr>
        <w:t>(</w:t>
      </w:r>
      <w:r>
        <w:rPr>
          <w:rtl w:val="true"/>
        </w:rPr>
        <w:t>اکتسابی بودن همۀ معارف</w:t>
      </w:r>
      <w:r>
        <w:rPr>
          <w:rtl w:val="true"/>
        </w:rPr>
        <w:t>)</w:t>
      </w:r>
      <w:bookmarkEnd w:id="36"/>
    </w:p>
    <w:p>
      <w:pPr>
        <w:pStyle w:val="BookText"/>
        <w:rPr/>
      </w:pPr>
      <w:r>
        <w:rPr>
          <w:rFonts w:ascii="IRNazanin" w:hAnsi="IRNazanin" w:eastAsia="IRNazanin"/>
          <w:color w:val="111111"/>
          <w:sz w:val="28"/>
          <w:sz w:val="28"/>
          <w:szCs w:val="28"/>
          <w:rtl w:val="true"/>
          <w:lang w:bidi="fa-IR"/>
        </w:rPr>
        <w:t xml:space="preserve">بشر 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بیان‌گذار معتزلۀ بغداد ـ در معیار معرفت به همان تعریفِ نخستین که مورد توجه ابوهذیل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او، معیار اضطراری بودن معرفت، آن است که معرفت تحت اختیار و ارادۀ آدمی نباشد و در مقابل، معرفت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است که در اختیار و ارادۀ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همۀ معارف انسان‌ها </w:t>
      </w:r>
      <w:r>
        <w:rPr>
          <w:rStyle w:val="FootnoteAnchor"/>
          <w:rtl w:val="true"/>
        </w:rPr>
        <w:footnoteReference w:id="11"/>
      </w:r>
      <w:r>
        <w:rPr>
          <w:rFonts w:ascii="IRNazanin" w:hAnsi="IRNazanin" w:eastAsia="IRNazanin"/>
          <w:color w:val="111111"/>
          <w:sz w:val="28"/>
          <w:sz w:val="28"/>
          <w:szCs w:val="28"/>
          <w:rtl w:val="true"/>
          <w:lang w:bidi="fa-IR"/>
        </w:rPr>
        <w:t xml:space="preserve">را اکتسابی دانست، زیرا معتقد بود همۀ معارف انسان‌ها ـ چه از طریق حواس به دست آمده باشند و چه از غیر طریق حواس ـ با اختیار و ارادۀ انسان به دست می‌آیند و انسان با اختیار و ارادۀ خودش، معارف را کسب می‌کند؛ مگر آن‌که معرفتی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بی‌اختیار حاصل شود که در این صورت معرفت، اضطراری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بشر، در فرآیند حصول معرفت، بر تسلط انسان به ابزار و مقدمات معرفت، تمرکز دارد که بر اساس آن همان‌گونه که معارف به‌دست‌آمده از غیرحواس را اکتسابی می‌خواند، عیناً حصول معارف از طریق حواس را نیز اختیاری و اکتسابی می‌داند، زیرا بر آن است آدمی بر ابزار معرفت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 سیطره دارد و با اختیار خویش و به وسیلۀ آن‌ها، معرفت و شناخت را کسب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بینان‌گذار اعتزال بغداد، از آن‌جا که مقدمات حصول همۀ معارف در دست ما و تحت سیطره و اختیار ماست، معلوم می‌شود فاعل معرفت ما هستیم و معرفت تحت اختیار و قدرت ماست؛ پس همۀ معارف از هر طریقی که حاصل شود، اکتسابی و غیراضطراری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بشر بن معتمر، معتقد به رابطۀ سببیت تام، بین مقدمات تحصیل معرفت و نتیجۀ معرفت بود و بر این اساس، برآیند معرفت به دلیل تسلط کامل انسان بر فرآیند معرفت، فعل اختیاری انسان به شمار می‌آورد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بر این اساس معتقد بود اگر کسی چشم شخص دیگری را با دستانش باز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 کسی است که چشم‌ها را باز کرده است و نیز اگر چشمان</w:t>
      </w:r>
    </w:p>
    <w:p>
      <w:pPr>
        <w:pStyle w:val="BookText"/>
        <w:rPr/>
      </w:pPr>
      <w:r>
        <w:rPr>
          <w:rFonts w:ascii="IRNazanin" w:hAnsi="IRNazanin" w:eastAsia="IRNazanin"/>
          <w:color w:val="111111"/>
          <w:sz w:val="28"/>
          <w:sz w:val="28"/>
          <w:szCs w:val="28"/>
          <w:rtl w:val="true"/>
          <w:lang w:bidi="fa-IR"/>
        </w:rPr>
        <w:t xml:space="preserve">شخصی را با دستانش ببندد، نابینایی فعل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مبنا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متولده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افعال متولده،همان شخصی است که اسباب آن فعل را ایجاد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اگر معرفتی از طریق حواس پنج‌گانه، ناگهانی و بغتةً حاصل آید، از آن جهت که اسباب و مقدمات آن غیراختیاری بوده، فعل آن شخص به حساب نمی‌آید، بلکه فاعل معرفت کسی است که اسباب آن فعل را ایجاد کرده است و اگر فاعل مشخصی نداشته باشد، لاجرم به خداوند متعال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او انسان، به گاهِ بلوغ و پس از آن‌که خویشتن را شناخت، باید با اراده و اختیار خویش، به نظر و استدلال و فکر فرو رود تا بتواند به معارف عقلی چون معرفت الله و توحید و عدل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فاصلۀ شناخت خویشتن تا شناخت خداوند متعال،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فرصتی برای تدبّر و استدلال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او و کسانی که معرفت را اکتسابی می‌دانند، زمان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وجوب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ایمان، صحیح باشد و وقت آن هنگامی است که عقلِ کودک کامل شده باشد و ملاک تکمیل عقل نیز صحت صدور استدلال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منظر بِشر، نخستین تکلیف، معرفت و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برای تحقق معرفت الله ـ مانند نظّام ـ معتقد است خداوند در قلب انسان‌ها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تا انگیزه برای کسب معرفت ایجاد شود، اما برخلاف نظّام، وجود دو خاطر در قلوب انسان‌ها را لازم و ضروری نمی‌داند، بلکه معتقد است گاهی اوقات شخصِ مختار، از وجود دو خاطر بی‌نیاز است؛ چنان‌که نخستین شیطانی که خداوند متعال خلق کرد، فقط خاطر مثبت داشته است و در واقع برای او شیطانی وجود نداشت تا خاطر منفی </w:t>
      </w:r>
      <w:r>
        <w:rPr>
          <w:rStyle w:val="FootnoteAnchor"/>
          <w:rtl w:val="true"/>
        </w:rPr>
        <w:footnoteReference w:id="13"/>
      </w:r>
      <w:r>
        <w:rPr>
          <w:rFonts w:ascii="IRNazanin" w:hAnsi="IRNazanin" w:eastAsia="IRNazanin"/>
          <w:color w:val="111111"/>
          <w:sz w:val="28"/>
          <w:sz w:val="28"/>
          <w:szCs w:val="28"/>
          <w:rtl w:val="true"/>
          <w:lang w:bidi="fa-IR"/>
        </w:rPr>
        <w:t xml:space="preserve">ایجاد کند؛ پس معلوم می‌شود ایجاد دو خاطر خوب و بد در انسان‌ها ضروری 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مدرسۀ</w:t>
      </w:r>
      <w:bookmarkStart w:id="37" w:name="pg3253_17303"/>
    </w:p>
    <w:p>
      <w:pPr>
        <w:pStyle w:val="BookText"/>
        <w:rPr/>
      </w:pPr>
      <w:bookmarkEnd w:id="37"/>
      <w:r>
        <w:rPr>
          <w:rFonts w:ascii="IRNazanin" w:hAnsi="IRNazanin" w:eastAsia="IRNazanin"/>
          <w:color w:val="111111"/>
          <w:sz w:val="28"/>
          <w:sz w:val="28"/>
          <w:szCs w:val="28"/>
          <w:rtl w:val="true"/>
          <w:lang w:bidi="fa-IR"/>
        </w:rPr>
        <w:t xml:space="preserve">بغداد، دیدگاه ابوجعفر اسکافی، جعفر بن حرب، جعفر بن مبشر و ابوالقاسم کعبی، گزارش شده است که آنان نیز اصطلاحاً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 آن بودند عاقل بعد از شناخت خود باید مهلت داشته باشد تا معرفت الله و دیگر معارف اعتقادی را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نیز معرفت الله را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نمی‌دانستند</w:t>
      </w:r>
      <w:r>
        <w:rPr>
          <w:rFonts w:eastAsia="IRNazanin" w:cs="IRNazanin"/>
          <w:color w:val="111111"/>
          <w:sz w:val="28"/>
          <w:szCs w:val="28"/>
          <w:rtl w:val="true"/>
          <w:lang w:bidi="fa-IR"/>
        </w:rPr>
        <w:t>.</w:t>
      </w:r>
    </w:p>
    <w:p>
      <w:pPr>
        <w:pStyle w:val="Heading3"/>
        <w:numPr>
          <w:ilvl w:val="2"/>
          <w:numId w:val="1"/>
        </w:numPr>
        <w:rPr/>
      </w:pPr>
      <w:bookmarkStart w:id="38" w:name="__RefHeading___Toc2030909_2749589250"/>
      <w:bookmarkStart w:id="39" w:name="_Toc14"/>
      <w:bookmarkEnd w:id="38"/>
      <w:r>
        <w:rPr/>
        <w:t>5</w:t>
      </w:r>
      <w:r>
        <w:rPr>
          <w:rtl w:val="true"/>
        </w:rPr>
        <w:t xml:space="preserve">. </w:t>
      </w:r>
      <w:r>
        <w:rPr>
          <w:rtl w:val="true"/>
        </w:rPr>
        <w:t>جاحظ و اصحاب معارف</w:t>
      </w:r>
      <w:bookmarkEnd w:id="39"/>
    </w:p>
    <w:p>
      <w:pPr>
        <w:pStyle w:val="Heading4"/>
        <w:numPr>
          <w:ilvl w:val="3"/>
          <w:numId w:val="1"/>
        </w:numPr>
        <w:rPr/>
      </w:pPr>
      <w:bookmarkStart w:id="40" w:name="__RefHeading___Toc2030911_274958925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پس از آن‌که بِشر بن معتمر با معیار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و غیراختیاری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همۀ معارف بشری را اکتسابی و غیراضطراری دانست، برخی معتزلیان بصری و بغدادی با در نظر گرفتن همان ملاک و معیار ـ اما برخلاف او ـ همۀ معارف را اضطراری و خارج از حیطۀ اراده انسان دانستند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اضطراری بودن همۀ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مدرسۀ اعتزال بصره و از شاگردان بی‌واسطه یا باواسطه نظّام بودند؛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ابن‌صلاح شرفی،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ابوالحسین محمد بن مسلم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قُبّه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شطوی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ابن‌داعی حسنی،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ابن‌داعی حسنی،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مدرسۀ اعتزال بغداد و از شاگردان بشر بن معتمر، ثُمامة بن 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همۀ معارف را اضطراری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مشهورترین و برترین نظریه‌پرداز اصحاب معارف </w:t>
      </w:r>
      <w:r>
        <w:rPr>
          <w:rStyle w:val="FootnoteAnchor"/>
          <w:rtl w:val="true"/>
        </w:rPr>
        <w:footnoteReference w:id="17"/>
      </w:r>
      <w:r>
        <w:rPr>
          <w:rFonts w:ascii="IRNazanin" w:hAnsi="IRNazanin" w:eastAsia="IRNazanin"/>
          <w:color w:val="111111"/>
          <w:sz w:val="28"/>
          <w:sz w:val="28"/>
          <w:szCs w:val="28"/>
          <w:rtl w:val="true"/>
          <w:lang w:bidi="fa-IR"/>
        </w:rPr>
        <w:t xml:space="preserve">، در رسالۀ کوتاهِ المسائل و الجوابات فی المعرفة و رساله حجج النبوة استدلال‌های معتقدان به معرفت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سپس ادلۀ غیراختیاری بودن همۀ معارف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ادلۀ اصحاب معارف مبنی بر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 معارف، از قرار ذیل است</w:t>
      </w:r>
      <w:r>
        <w:rPr>
          <w:rFonts w:eastAsia="IRNazanin" w:cs="IRNazanin"/>
          <w:color w:val="111111"/>
          <w:sz w:val="28"/>
          <w:szCs w:val="28"/>
          <w:rtl w:val="true"/>
          <w:lang w:bidi="fa-IR"/>
        </w:rPr>
        <w:t>:</w:t>
      </w:r>
      <w:bookmarkStart w:id="42" w:name="pg3253_17304"/>
    </w:p>
    <w:p>
      <w:pPr>
        <w:pStyle w:val="Heading4"/>
        <w:numPr>
          <w:ilvl w:val="3"/>
          <w:numId w:val="1"/>
        </w:numPr>
        <w:rPr/>
      </w:pPr>
      <w:bookmarkStart w:id="43" w:name="__RefHeading___Toc2030913_2749589250"/>
      <w:bookmarkStart w:id="44" w:name="_Toc16"/>
      <w:bookmarkEnd w:id="42"/>
      <w:bookmarkEnd w:id="43"/>
      <w:r>
        <w:rPr/>
        <w:t>5</w:t>
      </w:r>
      <w:r>
        <w:rPr>
          <w:rtl w:val="true"/>
        </w:rPr>
        <w:t>ـ</w:t>
      </w:r>
      <w:r>
        <w:rPr/>
        <w:t>1</w:t>
      </w:r>
      <w:r>
        <w:rPr>
          <w:rtl w:val="true"/>
        </w:rPr>
        <w:t xml:space="preserve">. </w:t>
      </w:r>
      <w:r>
        <w:rPr>
          <w:rtl w:val="true"/>
        </w:rPr>
        <w:t>عدم کارایی معارف اکتسابی در تشخیص حق از باطل</w:t>
      </w:r>
      <w:bookmarkEnd w:id="44"/>
    </w:p>
    <w:p>
      <w:pPr>
        <w:pStyle w:val="BookText"/>
        <w:rPr/>
      </w:pPr>
      <w:r>
        <w:rPr>
          <w:rFonts w:ascii="IRNazanin" w:hAnsi="IRNazanin" w:eastAsia="IRNazanin"/>
          <w:color w:val="111111"/>
          <w:sz w:val="28"/>
          <w:sz w:val="28"/>
          <w:szCs w:val="28"/>
          <w:rtl w:val="true"/>
          <w:lang w:bidi="fa-IR"/>
        </w:rPr>
        <w:t xml:space="preserve">ابوعثمان جاحظ در ردّ دیدگاه معتقدان به اکتسابی بودن معارف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نظّام و 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الله، معرفت النبی و معرفت الشریعة اکتسابی باشد، در این صورت در مقام اثبات، ملاکی برای تشخیص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از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w:t>
      </w:r>
      <w:r>
        <w:rPr>
          <w:rStyle w:val="FootnoteAnchor"/>
          <w:rtl w:val="true"/>
        </w:rPr>
        <w:footnoteReference w:id="18"/>
      </w:r>
      <w:r>
        <w:rPr>
          <w:rFonts w:ascii="IRNazanin" w:hAnsi="IRNazanin" w:eastAsia="IRNazanin"/>
          <w:color w:val="111111"/>
          <w:sz w:val="28"/>
          <w:sz w:val="28"/>
          <w:szCs w:val="28"/>
          <w:rtl w:val="true"/>
          <w:lang w:bidi="fa-IR"/>
        </w:rPr>
        <w:t xml:space="preserve">؛ به دلیل آن‌که از دیدگاه او، معیار تشخیص حق از باطل و حق‌دار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موارد ذیل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 نفس؛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بیشتر؛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بدیهیات و 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ابوعثمان، سکون نفس در مباحث معرفت‌شناختی نمی‌تواند معیار تشخیص حق از باطل باشد، زیرا از نظر او این معیار هم در صدق و هم در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تعبیر دیگر، هم حق‌دار و هم ناحق نسبت به نتیجه‌ای که رسیده‌اند، سکون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او، انگیزه و تلاش بیشتر برای فعل هم نمی‌تواند معیار صدق و کذب باشد، زیرا آن هم در هر دو محقق است و حتی در مواردی انگیزه و تلاش اهل باطل در راستای اندیشه و مذهب باطلشان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حق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نقطه نظر جاحظ، استناد به ضروریات و محکماتِ بدیهی نیز ـ در مقام اثبات ـ نمی‌تواند معیار درستی برای تشخیص صدق و کذب باشد؛ به دلیل آن‌که همۀ کسب‌کنندگان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 و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خودشان برآنند که از ضروریات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نظّام و دیگر معتقدان به معرفت اکتسابی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می‌کنید فقط شما در مقام استدلال از ضروریات بهره می‌برید، پس چرا خود شما در امور مختلف با هم اختلاف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ملاکی می‌خواهید بفهمید که کدام یک از شما حقید و کدام یک ناحق؟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5" w:name="__RefHeading___Toc2030915_2749589250"/>
      <w:bookmarkStart w:id="46" w:name="_Toc17"/>
      <w:bookmarkEnd w:id="45"/>
      <w:r>
        <w:rPr/>
        <w:t>5</w:t>
      </w:r>
      <w:r>
        <w:rPr>
          <w:rtl w:val="true"/>
        </w:rPr>
        <w:t>ـ</w:t>
      </w:r>
      <w:r>
        <w:rPr/>
        <w:t>2</w:t>
      </w:r>
      <w:r>
        <w:rPr>
          <w:rtl w:val="true"/>
        </w:rPr>
        <w:t xml:space="preserve">. </w:t>
      </w:r>
      <w:r>
        <w:rPr>
          <w:rtl w:val="true"/>
        </w:rPr>
        <w:t>اضطراری بودن معرفت الله و معرفت النبی</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جاحظ معرفت النبی بر معرفت الله مقدم است، چراکه او معتقد است مردم از طریق پیامبران به خداشناسی می‌رسند، نه از طریق براهین حرکت و سکون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گروهی از موحدان پس از آن‌که خداوند متعال را از طریق پیامبران شناختند، ادله‌ای بر اثبات خداوند ارائه کرده‌اند، اما این کار آنان تکاپویی بی‌فایده و تکلّفی غیرمفید برای عوام</w:t>
      </w:r>
      <w:bookmarkStart w:id="47" w:name="pg3253_17305"/>
    </w:p>
    <w:p>
      <w:pPr>
        <w:pStyle w:val="BookText"/>
        <w:rPr/>
      </w:pPr>
      <w:bookmarkEnd w:id="47"/>
      <w:r>
        <w:rPr>
          <w:rFonts w:ascii="IRNazanin" w:hAnsi="IRNazanin" w:eastAsia="IRNazanin"/>
          <w:color w:val="111111"/>
          <w:sz w:val="28"/>
          <w:sz w:val="28"/>
          <w:szCs w:val="28"/>
          <w:rtl w:val="true"/>
          <w:lang w:bidi="fa-IR"/>
        </w:rPr>
        <w:t xml:space="preserve">بر اثبات خداوند ارائه کرده‌اند، اما این کار آنان تکاپویی بی‌فایده و تکلّفی غیرمفید برای عوام است، زیرا ادلۀ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و شواهد آنان واضح بوده و شبهه‌ای باقی نمی‌گذاشت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در چگونگی تشخیص نبی از متنبّی و این‌که چگونه باید ادلۀ رسول واقعی را از رسولان ادعایی تشخیص 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نبی از متنبی نیز غیرارادی حاصل می‌شود، نه با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 پیش از این‌که با ادلۀ انبیا مواجه شود، با تجاربی که از قبل دارد، همه این مقدمات را داراست؛ از این رو برای تشخیص ممکن از غیرممکن و معجزه از غیرمعجزه، لازم نیست استدلال کند تا به صدق استدلال نبی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تجربه‌های متراکمِ دوران قبل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به صورت غیرارادی و غیرقصدی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حاصل شده است، برای پی بردن به صدق نبی می‌بایست استدلال، اختبار و امتحان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هنگامی که تجارب طفل کامل شد و این امور را شناخت، خداوند متعال دیدگان او را برای دیدن دلایل قانع‌کننده و گوش‌های آنان را برای شنیدن اخبار اطمینان‌بخش، مهیا می‌سازد و نبی با ادلۀ فراوانش، بر او هجوم می‌آورد؛ و چون خداوند متعال طبع او را آماده ساخته، در حین مشاهدۀ معجزه ـ مثلاً زنده کردن اموات ـ بدون نیاز به تجربه، تفکر و امتحان، اضطراراً به حقانیت نبی پی می‌برد؛ از این رو، هنگامی که از سوی نبی معجزه‌ای ارائه می‌شود، با تجارب معرفتی که دارد، بی‌اختیار معرفت پیدا می‌کند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بشر ساخته نیست و اتفاقی و تصادفی هم نمی‌تواند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48" w:name="__RefHeading___Toc2030917_2749589250"/>
      <w:bookmarkStart w:id="49" w:name="_Toc18"/>
      <w:bookmarkEnd w:id="48"/>
      <w:r>
        <w:rPr/>
        <w:t>5</w:t>
      </w:r>
      <w:r>
        <w:rPr>
          <w:rtl w:val="true"/>
        </w:rPr>
        <w:t>ـ</w:t>
      </w:r>
      <w:r>
        <w:rPr/>
        <w:t>3</w:t>
      </w:r>
      <w:r>
        <w:rPr>
          <w:rtl w:val="true"/>
        </w:rPr>
        <w:t xml:space="preserve">. </w:t>
      </w:r>
      <w:r>
        <w:rPr>
          <w:rtl w:val="true"/>
        </w:rPr>
        <w:t>عدم تکلیف به معرفت</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اصحاب معارف، اساساً هیچ انسانی مکلّف به تکلیف نیست مگر آن‌که اضطراراً به معرفت نایل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معرفت نیز مانند عقل و دیگر شرایط تکلیف است که اگر حاصل باشد تکلیف هست و اگر نباشد، تکلیفی در کار نیست و البته استحقاق عقاب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به اضطراری بودن معارف در مقابل متکلمانی که نخستین تکلیف را نظر و استدلال برای نیل به معرفت الله می‌دانستند، ایرادهای</w:t>
      </w:r>
      <w:bookmarkStart w:id="50" w:name="pg3253_17306"/>
    </w:p>
    <w:p>
      <w:pPr>
        <w:pStyle w:val="BookText"/>
        <w:rPr/>
      </w:pPr>
      <w:bookmarkEnd w:id="50"/>
      <w:r>
        <w:rPr>
          <w:rFonts w:ascii="IRNazanin" w:hAnsi="IRNazanin" w:eastAsia="IRNazanin"/>
          <w:color w:val="111111"/>
          <w:sz w:val="28"/>
          <w:sz w:val="28"/>
          <w:szCs w:val="28"/>
          <w:rtl w:val="true"/>
          <w:lang w:bidi="fa-IR"/>
        </w:rPr>
        <w:t>متعددی وارد می‌کردند؛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ندارد و خدایی را نمی‌شناسد، چه کسی بر او تکلیف کرده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عقلی باشد یا تکلیف اخلاقی باشد، لزوم تبعیت از آن بر چه مبنایی استوار است و ثواب و عقاب الهی در قبال انجام یا ترک آن بر چه اصلی تکیه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اصلاً وجوب تکلیف معنا ندارد؛، چه رسد به این‌که نخستین تکلیف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نظر و استدلالی واجب است که منجر بشود به معرفت الله، تشخیص این نوع نظر برای مبتدی که خدا را نمی‌شناسد، ناممکن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بداند این نظر و فکر، حتماً او را به معرفت الله رهنمون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توحیدی،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51" w:name="__RefHeading___Toc2030919_2749589250"/>
      <w:bookmarkStart w:id="52" w:name="_Toc19"/>
      <w:bookmarkEnd w:id="51"/>
      <w:r>
        <w:rPr/>
        <w:t>5</w:t>
      </w:r>
      <w:r>
        <w:rPr>
          <w:rtl w:val="true"/>
        </w:rPr>
        <w:t>ـ</w:t>
      </w:r>
      <w:r>
        <w:rPr/>
        <w:t>4</w:t>
      </w:r>
      <w:r>
        <w:rPr>
          <w:rtl w:val="true"/>
        </w:rPr>
        <w:t xml:space="preserve">. </w:t>
      </w:r>
      <w:r>
        <w:rPr>
          <w:rtl w:val="true"/>
        </w:rPr>
        <w:t>مُلجأ بودنِ انسان در صورت اکتسابی بودن معارف</w:t>
      </w:r>
      <w:bookmarkEnd w:id="52"/>
    </w:p>
    <w:p>
      <w:pPr>
        <w:pStyle w:val="BookText"/>
        <w:rPr/>
      </w:pPr>
      <w:r>
        <w:rPr>
          <w:rFonts w:ascii="IRNazanin" w:hAnsi="IRNazanin" w:eastAsia="IRNazanin"/>
          <w:color w:val="111111"/>
          <w:sz w:val="28"/>
          <w:sz w:val="28"/>
          <w:szCs w:val="28"/>
          <w:rtl w:val="true"/>
          <w:lang w:bidi="fa-IR"/>
        </w:rPr>
        <w:t>جاحظ بر آن است اگر معارف بشری اکتسابی باشند، انسان ها در افعال و اعمالشان مختار نخواهند بود، در حالی که اگر معارف اضطراری باشند بعد از تحقق معرفت، انسان در کمال اختیار و آزادیِ اراده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انسانی مختار است و استطاعت دارد که انگیزه و داعی انجام یا ترک فعل در او یکسان و مساوی باشد و او در کمال اختیار فعل یا ترک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دواعی مساوی نباشند و طرفِ فعل یا ترک، راجح و طرف دیگر مرجوح باشد، انسان خودبه‌خود و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راجح را برمی‌گزیند؛ در نتیجه ملجأ و مضطر به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او، نه تنها انسان ـ اولاً و بالذات ـ مقهور قوای طبع و خواهش‌های نفسانی است، بلکه قوۀ عقل او نیز مقهور قوای طبع و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کارآمدی و برای این‌که مقهور قوای طبع و خواهش‌های نفسانی نشود، نیازمند به معارف و تجاربی است که او را ورزیده و تقویت کند تا بتواند انسان را در مقابل کشش‌های نفسانی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قوای طبع در وجود انسان قوی‌تر از قوای عقل باشد و دواعی تبعیت از قوۀ طبع بیشتر از قوۀ عقل باشد، در این صورت طبع، کارآمدی عقل را سست کرده و حتی تغییرش می‌دهد، به حدی که کارکرد عقل در برابر طبع، تحت‌الشعاع قرار می‌گیرد، و حتی ممکن است به خاطر غلبۀ طبع و درخواست‌های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و ارزش‌ها در عقل تغییر و تحول پیدا کند و عقل خاصیت دوراندیشی و عاقبت‌اندیشی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ابوعثمان درگیری بین عقل و سایر غرایز یا طبایع ـ مانند غضب، رضا، بخل، خشم،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در نظر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توانایی جلوگیری از سرکشی این غرایز را</w:t>
      </w:r>
      <w:bookmarkStart w:id="53" w:name="pg3253_17307"/>
    </w:p>
    <w:p>
      <w:pPr>
        <w:pStyle w:val="BookText"/>
        <w:rPr/>
      </w:pPr>
      <w:bookmarkEnd w:id="53"/>
      <w:r>
        <w:rPr>
          <w:rFonts w:ascii="IRNazanin" w:hAnsi="IRNazanin" w:eastAsia="IRNazanin"/>
          <w:color w:val="111111"/>
          <w:sz w:val="28"/>
          <w:sz w:val="28"/>
          <w:szCs w:val="28"/>
          <w:rtl w:val="true"/>
          <w:lang w:bidi="fa-IR"/>
        </w:rPr>
        <w:t>ندارد، مگر زمانی که به واسطۀ تجارب، تیز و دقیق شود و رشد کند و تحت تأثیر حوایج و دواعی به طرف نظر و استدلال سوق داده شود؛ لذا معتقد است قوۀ عقل از طریق بحث و استدلال، قوی می‌شود و دقت و حساسیت آن افزایش می‌یابد و تجارب مختلف نیز آن را توانمند می‌سازد، به طوری که می‌تواند بر همه قوای طبیعی و شهوات انسان احاطه یابد و آن‌ها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استدلال زیاد نمی‌شود، مگر آن‌که خواطر و اندیشه افزایش یابد و خواطر و اندیشه‌ها افزایش نمی‌یابند، مگر آن‌که حوایج و خواسته‌ها زیاد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54" w:name="__RefHeading___Toc2030921_2749589250"/>
      <w:bookmarkStart w:id="55" w:name="_Toc20"/>
      <w:bookmarkEnd w:id="54"/>
      <w:r>
        <w:rPr/>
        <w:t>5</w:t>
      </w:r>
      <w:r>
        <w:rPr>
          <w:rtl w:val="true"/>
        </w:rPr>
        <w:t>ـ</w:t>
      </w:r>
      <w:r>
        <w:rPr/>
        <w:t>5</w:t>
      </w:r>
      <w:r>
        <w:rPr>
          <w:rtl w:val="true"/>
        </w:rPr>
        <w:t xml:space="preserve">. </w:t>
      </w:r>
      <w:r>
        <w:rPr>
          <w:rtl w:val="true"/>
        </w:rPr>
        <w:t>معرفت طبعی</w:t>
      </w:r>
      <w:bookmarkEnd w:id="55"/>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مؤلفه‌های معرفتی یادشده که اضطراری بودن معارف را ضروری دانست، به دلیل آن‌که آن را شرط اختیار و آزادی ارادۀ انسان به شمار می‌آورد، بر آن بود معارف در انسان ضرورتاً و بالطبع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هنگامی که انسان با نظر در ادله مواجه می‌شود، معرفت بالطبع برای او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ابوعثمان معرفت، فعلِ مباشر انسان نیست، بلکه از افعال متولد اوست؛ و مبنای او در افعال متولده آن است که به اقتضای طبع محل است و در واقع انسان هیچ فعل مباشری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نتیجه معرفت، فعل مباشر انسان نیست، بلکه متولد او و به مقتضای طبع او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معرفت از نگاه جاحظ در واقع فعل اختیاری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مقتضای طبع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فعل خداوند به واسطۀ طبع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با طرح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اثبات این امر است که نیازهای درونی و بیرونی انسان بر چگونگی شکل‌گیری معرفت در او تأثیر می‌گذارد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هم‌سو با اطبای قدیم بر آن بود طبیعت انسان در اعمال خویش به اخلاطی که در بدنش وجود دارد، بستگی دارد؛ هنگامی که این اخلاط معتدل باشند، اعمال و رفتار انسان طبیعی است، و در غیر این صورت رفتارهای غیرارادی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تصمیم‌گیری خردمندانه در انسان، کاملاً به حالت طبیعی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بر آن بود انسان در حالت معمولی و طبیعی نیز مقهور دواعی و انگیزه‌های غیرارادی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ابوعثمان، عقل به تنهایی توانایی احراز علم را ندارد و به ناچار باید از کتب دینی و آثار گذشتگان استفاده کند؛ آثاری که نتایج تجارب گذشتگان و برگزیدۀ عقول آن‌ها در آن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اگر انسان‌ها در حد قوای غریزی‌شان رها</w:t>
      </w:r>
      <w:bookmarkStart w:id="56" w:name="pg3253_17308"/>
    </w:p>
    <w:p>
      <w:pPr>
        <w:pStyle w:val="BookText"/>
        <w:rPr/>
      </w:pPr>
      <w:bookmarkEnd w:id="56"/>
      <w:r>
        <w:rPr>
          <w:rFonts w:ascii="IRNazanin" w:hAnsi="IRNazanin" w:eastAsia="IRNazanin"/>
          <w:color w:val="111111"/>
          <w:sz w:val="28"/>
          <w:sz w:val="28"/>
          <w:szCs w:val="28"/>
          <w:rtl w:val="true"/>
          <w:lang w:bidi="fa-IR"/>
        </w:rPr>
        <w:t xml:space="preserve">شوند و با اندیشه‌ها و آثار گذشتگان و کتب الهی آشنا نباشند، در این صورت درکشان از علم بسیار کم و تشخیصشان از امور بسیار قلیل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وقتی جاحظ می‌گوید انسان قادر بر معرفت نیست، منظور او این است که انسان توانایی تحکّم و تسلط بر معرفت را ندارد و منظور او این نیست که انسان عاجز از تحصیل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 اراده را در معرفت ملغی نمی‌کند، بلکه این نقش را محدود می‌سازد، به حدی که معرفت محصول صرف اراده نیست، بلکه امور غیرارادی و غیراختیاری دیگر هم در تحقق معرفت دخیلند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دره‌باغی،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دیدگاه جاحظ مبتنی بر انسان‌شناسی متمایزی است که نفس انسان را به دلیل انس با قوای طبع، متمایل به امور طبعی و شهوانی می‌داند؛ خداوند متعال در برابر آن، عقل را آفریده است که به امور عقلانی و خیر گرایش داشته باشد، اما کارکردِ عقل، منوط به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قوۀ عقل، ابزار معرفت و شناخت نداشته باشد، مغلوب قوای طبع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برون‌رفت از آن، تساوی قوای طبع و قوۀ عقل است به این‌که خداوند ابزار کارکرد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عقل اعطا کند تا انگیزۀ نفس انسان در مقابل فجور و تقوا یک‌سان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با توجه به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الهام فجور و تقوا برای نفس، تعادل و تسویۀ نفس را ایجاد می‌کند، وگرنه اگر بدون الهام و تهیّئ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شناسایی بود، در این صورت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زاید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57" w:name="__RefHeading___Toc2030923_2749589250"/>
      <w:bookmarkStart w:id="58" w:name="_Toc21"/>
      <w:bookmarkEnd w:id="57"/>
      <w:r>
        <w:rPr/>
        <w:t>6</w:t>
      </w:r>
      <w:r>
        <w:rPr>
          <w:rtl w:val="true"/>
        </w:rPr>
        <w:t xml:space="preserve">. </w:t>
      </w:r>
      <w:r>
        <w:rPr>
          <w:rtl w:val="true"/>
        </w:rPr>
        <w:t>سرانجامِ انگارۀ معرفت اضطراری در اندیشۀ اعتزال</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انگارۀ اصحاب معارف به دلایل متعددی ـ از جمله نادیده انگاشتن معیار دقیق برای معرفت اضطراری و نیز مخالفت ظاهری و ابتدایی با برخی اصول روش‌شناختی معتزله ـ از جمله اختیارگرایی و 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ابورشید 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کم‌کم با مخالفت‌های دیگر بزرگان معتزله روبه‌رو شد و برای همیشه در تفکر معتزله به محاق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ناشی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مخالفت با اصحاب معارف، با دیدگاه اصحاب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مخالفت برخاستند و در واقع به تئوری ابوهذیل علاف روی آوردند و بر آن شدند که انسان مضطر به معرفت الله هست تا تکلیف صحیح باشد و اگر به صورت غیرارادی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حاصل نشود که به چیزی مکلف شده ـ هر تکلیفی که باشد ـ تکلیف از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می‌کند به این‌که اگر</w:t>
      </w:r>
      <w:bookmarkStart w:id="59" w:name="pg3253_17309"/>
    </w:p>
    <w:p>
      <w:pPr>
        <w:pStyle w:val="BookText"/>
        <w:rPr/>
      </w:pPr>
      <w:bookmarkEnd w:id="59"/>
      <w:r>
        <w:rPr>
          <w:rFonts w:ascii="IRNazanin" w:hAnsi="IRNazanin" w:eastAsia="IRNazanin"/>
          <w:color w:val="111111"/>
          <w:sz w:val="28"/>
          <w:sz w:val="28"/>
          <w:szCs w:val="28"/>
          <w:rtl w:val="true"/>
          <w:lang w:bidi="fa-IR"/>
        </w:rPr>
        <w:t xml:space="preserve">کسی همۀ معارف را اضطراری بداند، در واقع استدلال به وجود خداوند را فاسد دانسته است و کسی هم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اکتسابی بداند، در واقع گمان کرده خداوند بندگان را بدون آن‌که شناختی از او داشته باشند، مکلف ساخته است؛ از این رو معتقد بود معرفت در مرحلۀ اول باید اضطراری باشد تا تکلیف به آن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اکثر معتزلی‌ها ـ چه از مدرسۀ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از مدرسۀ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مکتب معتزله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پیروانشان ـ به مخالفت و نقد مبانی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و اثبات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بر اساس همان مفهوم و معیار معرفت اضطراری مورد نظر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نظر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نقد انگارۀ اصحاب معارف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ابورشید 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 ملاحمی با نادیده گرفتن مفهوم و معیار معرفت اضطراریِ معتقدان به معارف اضطراری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از اضطرای بودن معارف آن است که معارف ابتدائاً و بدون در نظر گرفتن نظر و تأمل در انسان‌ها حاصلند، این خلاف وجدان است، و اگر مقصود آن است که معارف با نظر و استدلال حاصل می‌شوند ولی ضروری‌اند، غرض حاصل شده مبنی بر این‌که معارف دینی محتاج نظر و استدلالند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اصحاب معارف به رغم اشتراک مبانی و هم‌سانی اندیشه‌ها، با این حال در مسائلی چون امکان تبدیل معرفت اکتسابی به اضطراری و برعکس و نیز دربارۀ نخستین تکلیف که آیا معرفت الله، نخستین تکلیف است یا نظر در ادله معرفت الله، نخستین واجب است، اختلاف‌های جزئی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ابورشید 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 و دلایل و بیان اختلاف‌های آنان، خود نوشتاری مستقل و فرصتی فراخ‌تر می‌طلبد و از موضوع مقالۀ حاضر خارج است؛ همان‌گونه که تبیین تفاوت‌های اندیشۀ معرفت اضطراری امامیه، اهل حدیث و غیلانیه نیز نوشتاری دیگر می‌طلبد</w:t>
      </w:r>
      <w:r>
        <w:rPr>
          <w:rFonts w:eastAsia="IRNazanin" w:cs="IRNazanin"/>
          <w:color w:val="111111"/>
          <w:sz w:val="28"/>
          <w:szCs w:val="28"/>
          <w:rtl w:val="true"/>
          <w:lang w:bidi="fa-IR"/>
        </w:rPr>
        <w:t>.</w:t>
      </w:r>
    </w:p>
    <w:p>
      <w:pPr>
        <w:pStyle w:val="Heading3"/>
        <w:numPr>
          <w:ilvl w:val="2"/>
          <w:numId w:val="1"/>
        </w:numPr>
        <w:rPr/>
      </w:pPr>
      <w:bookmarkStart w:id="60" w:name="__RefHeading___Toc2030925_2749589250"/>
      <w:bookmarkStart w:id="61" w:name="_Toc22"/>
      <w:bookmarkEnd w:id="60"/>
      <w:r>
        <w:rPr>
          <w:rtl w:val="true"/>
        </w:rPr>
        <w:t>جمع‌بندی</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دیدیم، مناقشۀ معرفت در بین معتزلیان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سایر معارف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همۀ معارف ـ حتی معارف حسی ـ را اختیاری خواندند و منکر معرفت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معارف ـ حتی معارف حسی ـ را اضطراری و غیراختیاری به شمار آوردند و در واقع منکر معرفت اختیاری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بین معارف فرق گذاشته و قائل به</w:t>
      </w:r>
    </w:p>
    <w:p>
      <w:pPr>
        <w:pStyle w:val="BookText"/>
        <w:rPr/>
      </w:pPr>
      <w:r>
        <w:rPr>
          <w:rFonts w:ascii="IRNazanin" w:hAnsi="IRNazanin" w:eastAsia="IRNazanin"/>
          <w:color w:val="111111"/>
          <w:sz w:val="28"/>
          <w:sz w:val="28"/>
          <w:szCs w:val="28"/>
          <w:rtl w:val="true"/>
          <w:lang w:bidi="fa-IR"/>
        </w:rPr>
        <w:t>تفصیل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اصل معرفت الله را اضطراری و سایر معارف ـ حتی معارف حسی ـ را غیراضطراری خواندند و برخی دیگر معرفت الله و سایر معارف دینی را اکتسابی خوانده و معارف حسی ـ و معارف قریب به حس ـ را اضطراری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تحول و تطور اندیشۀ معرفت اضطراری در بین معتزلی‌ها حاکی از آن است که در بین آنان، معرفت اضطراری با دو مفهوم متفاوت و دو ملاک و معیار مجزا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غیراختیاری و الجائی بودن معرفت؛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غیرنیازمند به نظر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دست‌آوردهای تحقیق حاضر آن است که هم کسانی که معیار اول و هم کسانی که معیار دوم را در معرفت اضطراری مد نظر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اضطراری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معرفت النفس و معرفت الله ملازمه قائل بودند و به تبع، معرفت الله را هم اضطراری برمی‌شمردند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نظام و 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بوده و بر آن بودند در فاصلۀ بین تحقق معرفت النفس و ایجاد معرفت الله، باید مهلت نظر و فکر باشد تا معرفت الله اکتساب شود و آن را نخستین تکلیف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معتزلیانی که معرفت الله را اعطایی و اضطراری می‌پنداشتند، معرفت الله را نه تنها نخستین تکلیف به شمار نمی‌آوردند، بلکه اساساً تکلیف به معرفت الله را معقول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دانشوران نخستین مدرسه بصره</w:t>
      </w:r>
    </w:p>
    <w:p>
      <w:pPr>
        <w:pStyle w:val="BookText"/>
        <w:rPr/>
      </w:pPr>
      <w:r>
        <w:rPr>
          <w:rFonts w:ascii="IRNazanin" w:hAnsi="IRNazanin" w:eastAsia="IRNazanin"/>
          <w:color w:val="111111"/>
          <w:sz w:val="28"/>
          <w:sz w:val="28"/>
          <w:szCs w:val="28"/>
          <w:rtl w:val="true"/>
          <w:lang w:bidi="fa-IR"/>
        </w:rPr>
        <w:t>ـ به جز نظّام ـ خصوص معرفت الله را اضطراری می‌دانستند و در مقابل، اکثر بغدادی‌ها ـ به استثنای ثُمامة بن اشرس ـ معرفت الله را اکتسابی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معتزلیان متأخر بصره و نیز مکتب معتزله متأخر،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نظر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اضطراری، همۀ معارف دینی و از جمله معرفت الله را اکتسابی می‌دانستند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دانسته شد اصحاب معارف که همۀ معارف را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مخالفتی با تفکر نداشتند، بلکه بر آن بودند تفکر، عمل پیچیده‌ای است که عوامل متعددی از قبیل انگیزه‌های داخلی و خارجی در آن دخالت دارند و نقش انگیزه‌ها تنها تحریک این توانایی و ظرفیت، به سوی عمل تفکر و نتیجه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معارف گرچه معرفت الله را اضطراری می‌دانستند، اما ـ برخلاف جمهور امامیان نخستین، اهل حدیث و غیلانیه ـ توجهی به معرفت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سرشته‌شده در سرشت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بلکه بر آن بودند معرفت الله یا از طریق شناخت نفس و یا با دیدن یا شنیدن معجزه‌های انبیا و شواهد قاطع انبیا و اولیا، به صورت غیرقصدی و اضطراری ایجاد می‌شود</w:t>
      </w:r>
      <w:r>
        <w:rPr>
          <w:rFonts w:eastAsia="IRNazanin" w:cs="IRNazanin"/>
          <w:color w:val="111111"/>
          <w:sz w:val="28"/>
          <w:szCs w:val="28"/>
          <w:rtl w:val="true"/>
          <w:lang w:bidi="fa-IR"/>
        </w:rPr>
        <w:t>.</w:t>
      </w:r>
      <w:bookmarkStart w:id="62" w:name="pg3253_17311"/>
    </w:p>
    <w:p>
      <w:pPr>
        <w:pStyle w:val="Heading3"/>
        <w:numPr>
          <w:ilvl w:val="2"/>
          <w:numId w:val="1"/>
        </w:numPr>
        <w:rPr/>
      </w:pPr>
      <w:bookmarkStart w:id="63" w:name="__RefHeading___Toc2030927_2749589250"/>
      <w:bookmarkStart w:id="64" w:name="_Toc23"/>
      <w:bookmarkEnd w:id="62"/>
      <w:bookmarkEnd w:id="63"/>
      <w:r>
        <w:rPr>
          <w:rtl w:val="true"/>
        </w:rPr>
        <w:t>منابع</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ابن‌داعی حسنی رازی، سید مرتضی،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العوام فی معرفة الامام مقالات الانام،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آشتیانی، تهران، اساطیر،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ابومحمد علی بن احمد،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الاهواء و النحل، بیروت، دار الصادر،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ابن‌صلاح شرفی،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الاساس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عارف، صنعا، دار الحکمة الیمانیة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ابن‌مرتضی،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المعتزلة،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دیفلد سوسنة، بیروت، دار المکتب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ابورشید النیسابوری، سعید بن محمد بن سعید،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فی الخلاف بین البصریین و البغدایین،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زیادة و رضوان السید، طرابلس، معهد الانماء العربی،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ابوحیان توحیدی، علی بن محمد بن عباس،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البصائر و الدرجات،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وداد قاضی، بیروت، دار صادر، 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وسیبادن، فرانس شتاینر،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علی،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نظریۀ معرفت اضطراری در مدرسه کلامی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کلام اهل‌بیت علیهم السلام ،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رمضان،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و بیان فرقة الناجیة منهم، بیروت،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ابوعثمان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حجج النبوة،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الجاحظ، تقدیم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بوملحم،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و الجوابات فی المعرفة،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الجاحظ، تقدیم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بوملحم،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دره‌باغی، فاطمه،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معرفت طبعی جاحظ، تهران، دانشگاه امام صادق علیه السلام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احمد بن خلیل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قوام‌الدین مانکدیم،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ابی‌هاشم، بیروت، دار إحیاء التراث العربی، الطبعة الاولی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قنواتی، قاهره، الدار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الجوهر النضید، و یلیه رسالة التصور و التصدیق لصدر المتألهین، قم،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 الحبیب،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الکلام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 المسألة و روافدها و تطور الجدل فیها بین اهم الفرق الاسلامیة الی القرن الخامس الهجری،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الشرفی، بیروت، دار المدار الاسلامی،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اس، ژوزف،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مسئله‌ای دینی در تفکر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خلیفه سلطانی،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عرفان و فلسفه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سومین کنگره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مطالعات و تحقیقات فرهنگی وابسته به وزارت فرهنگ و آموزش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آخوندی و محمد آخوندی، تهران، دار الکتب الاسلامیه،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اللالکایی، ابوالقاسم هبة الله بن الحسن الطبری،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اعتقادات اهل السنة و الجماعة من الکتاب و السنة و اجماع الصحابة و التابعین من بعدهم،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سعد حمدان، الریاض، دار طیبة للنشر و التوزیع،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المؤتمر العالمی للشیخ المفید،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رکن‌الدین محمود بن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الفائق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و مارتین مکدرموت، تهران، مؤسسه پژوهشی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المعتمد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تهران، میراث مکتوب،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ملاعبدالله، ابن‌شهاب‌الدین الحسین الیزدی،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الحاشیة علی تهذیب المنطق،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 چاپ دوم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ایمانی، قم، مرکز مطالعات و تحقیقات ادیان و مذاهب، چاپ اول</w:t>
      </w:r>
      <w:r>
        <w:rPr>
          <w:rFonts w:eastAsia="IRNazanin" w:cs="IRNazanin"/>
          <w:color w:val="111111"/>
          <w:sz w:val="28"/>
          <w:szCs w:val="28"/>
          <w:rtl w:val="true"/>
          <w:lang w:bidi="fa-IR"/>
        </w:rPr>
        <w:t>.</w:t>
      </w:r>
      <w:bookmarkStart w:id="65" w:name="pg3253_17313"/>
    </w:p>
    <w:p>
      <w:pPr>
        <w:pStyle w:val="Heading2"/>
        <w:numPr>
          <w:ilvl w:val="1"/>
          <w:numId w:val="1"/>
        </w:numPr>
        <w:rPr/>
      </w:pPr>
      <w:bookmarkStart w:id="66" w:name="__RefHeading___Toc2030929_2749589250"/>
      <w:bookmarkStart w:id="67" w:name="_Toc24"/>
      <w:bookmarkEnd w:id="65"/>
      <w:bookmarkEnd w:id="66"/>
      <w:r>
        <w:rPr>
          <w:rtl w:val="true"/>
        </w:rPr>
        <w:t>مبانی کلامی توسعۀ استنباط از رفتار معصوم</w:t>
      </w:r>
      <w:r>
        <w:rPr>
          <w:rtl w:val="true"/>
        </w:rPr>
        <w:t>/</w:t>
      </w:r>
      <w:r>
        <w:rPr>
          <w:rtl w:val="true"/>
        </w:rPr>
        <w:t xml:space="preserve">مهدی مردانی </w:t>
      </w:r>
      <w:r>
        <w:rPr>
          <w:rtl w:val="true"/>
        </w:rPr>
        <w:t>(</w:t>
      </w:r>
      <w:r>
        <w:rPr>
          <w:rtl w:val="true"/>
        </w:rPr>
        <w:t>گلستانی</w:t>
      </w:r>
      <w:r>
        <w:rPr>
          <w:rtl w:val="true"/>
        </w:rPr>
        <w:t>)-</w:t>
      </w:r>
      <w:r>
        <w:rPr>
          <w:rtl w:val="true"/>
        </w:rPr>
        <w:t>علی راد</w:t>
      </w:r>
      <w:bookmarkEnd w:id="67"/>
    </w:p>
    <w:p>
      <w:pPr>
        <w:pStyle w:val="Heading3"/>
        <w:numPr>
          <w:ilvl w:val="2"/>
          <w:numId w:val="1"/>
        </w:numPr>
        <w:rPr/>
      </w:pPr>
      <w:bookmarkStart w:id="68" w:name="__RefHeading___Toc2030931_274958925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علی راد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24/07/1395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04/12/1395</w:t>
      </w:r>
    </w:p>
    <w:p>
      <w:pPr>
        <w:pStyle w:val="Heading3"/>
        <w:numPr>
          <w:ilvl w:val="2"/>
          <w:numId w:val="1"/>
        </w:numPr>
        <w:rPr/>
      </w:pPr>
      <w:bookmarkStart w:id="70" w:name="__RefHeading___Toc2030933_2749589250"/>
      <w:bookmarkStart w:id="71" w:name="_Toc26"/>
      <w:bookmarkEnd w:id="70"/>
      <w:r>
        <w:rPr>
          <w:rtl w:val="true"/>
        </w:rPr>
        <w:t>چکیده</w:t>
      </w:r>
      <w:bookmarkEnd w:id="71"/>
    </w:p>
    <w:p>
      <w:pPr>
        <w:pStyle w:val="BookText"/>
        <w:rPr/>
      </w:pPr>
      <w:r>
        <w:rPr>
          <w:rFonts w:ascii="IRNazanin" w:hAnsi="IRNazanin" w:eastAsia="IRNazanin"/>
          <w:color w:val="111111"/>
          <w:sz w:val="28"/>
          <w:sz w:val="28"/>
          <w:szCs w:val="28"/>
          <w:rtl w:val="true"/>
          <w:lang w:bidi="fa-IR"/>
        </w:rPr>
        <w:t xml:space="preserve">بر پایۀ اندیشۀ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استنباط آموزه‌های دینی است که به دلیل عدم تنقیح مبانی اعتبارسنجی و دلالت‌شناسی، آن‌چنان که باید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افزایش دامنۀ بهره‌گیری از سنت عملی، تبیین مبانی و پیش‌فرض هایی است که پذیرش آن‌ها موجب به‌کارگیری بیشتر رفتار معصوم و در نتیجه، توسعۀ استناد و استنباط از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تلاش دارد تا به روش تحلیلی ـ اکتشافی، مبانی کلامی استنباط از رفتار معصوم را که بر پایۀ حجیت منابع رفتارشناختی معصوم استوار گردیده است، تبیین کند و زمینۀ بهره‌گیری افزون از سنت فعلی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حجیت رفتار انبیای پیشین و حجیت رفتار حضرت زهرا علیها السلام از جمله مبانی مؤثر در توسعۀ استنباط آموزه‌های دینی از رفتار معصوم است</w:t>
      </w:r>
      <w:r>
        <w:rPr>
          <w:rFonts w:eastAsia="IRNazanin" w:cs="IRNazanin"/>
          <w:color w:val="111111"/>
          <w:sz w:val="28"/>
          <w:szCs w:val="28"/>
          <w:rtl w:val="true"/>
          <w:lang w:bidi="fa-IR"/>
        </w:rPr>
        <w:t>.</w:t>
      </w:r>
    </w:p>
    <w:p>
      <w:pPr>
        <w:pStyle w:val="Heading3"/>
        <w:numPr>
          <w:ilvl w:val="2"/>
          <w:numId w:val="1"/>
        </w:numPr>
        <w:rPr/>
      </w:pPr>
      <w:bookmarkStart w:id="72" w:name="__RefHeading___Toc2030935_2749589250"/>
      <w:bookmarkStart w:id="73" w:name="_Toc27"/>
      <w:bookmarkEnd w:id="72"/>
      <w:r>
        <w:rPr>
          <w:rtl w:val="true"/>
        </w:rPr>
        <w:t>واژگان کلیدی</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فعلی، استنباط آموزه‌های دینی، کارکرد فعل معصوم، پیش‌فرض های اعتقادی</w:t>
      </w:r>
      <w:r>
        <w:rPr>
          <w:rFonts w:eastAsia="IRNazanin" w:cs="IRNazanin"/>
          <w:color w:val="111111"/>
          <w:sz w:val="28"/>
          <w:szCs w:val="28"/>
          <w:rtl w:val="true"/>
          <w:lang w:bidi="fa-IR"/>
        </w:rPr>
        <w:t>.</w:t>
      </w:r>
      <w:bookmarkStart w:id="74" w:name="pg3253_17314"/>
    </w:p>
    <w:p>
      <w:pPr>
        <w:pStyle w:val="Heading3"/>
        <w:numPr>
          <w:ilvl w:val="2"/>
          <w:numId w:val="1"/>
        </w:numPr>
        <w:rPr/>
      </w:pPr>
      <w:bookmarkStart w:id="75" w:name="__RefHeading___Toc2030937_2749589250"/>
      <w:bookmarkStart w:id="76" w:name="_Toc28"/>
      <w:bookmarkEnd w:id="74"/>
      <w:bookmarkEnd w:id="75"/>
      <w:r>
        <w:rPr>
          <w:rtl w:val="true"/>
        </w:rPr>
        <w:t>درآمد</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تشکیل‌دهندۀ سنت است که نقش مهمی در استنباط آموزه‌های دینی دارد، لکن عدم تنقیح مبانی و روش‌های کارآمد رفتارشناختی موجب گردید تا آن‌چنان که در خور این منبع دین‌شناخت است، به فهم آن پرداخته نشود و در مقام استنباط نیز مورد اعتنا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بر پایه مؤلفه‌های بنیادین رفتارشناسی، چارچوب نظری استنباط از رفتار معصوم را تعریف گردد و زمینۀ بهره‌گیری افزون از آن را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مؤلفه‌هایی که تعریف مبانی مرتبط با آن موجب توسعۀ استنباط از سنت فعلی می‌گردد، اعتبار رفتار معصوم است، زیرا اعتبارسنجی منابع فهم دین، یکی از مؤلفه‌های اصلی نظریه‌پردازی دینی است که از خلال آن، سره از ناسره بازشناخته می‌شود و نتایج معتبر و قابل استناد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مبانی توسعۀ استنباط از رفتار معصوم، بر پایۀ اعتبار آن شکل می‌گیرد که در این تحقیق سه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رفتار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رفتار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پیش‌فرض هایی است که نسبت به گزاره‌های رفتارشناختی معصوم اتخاذ می گردد و با مبنا قرار دادن آن‌ها، میزان کارآمدی رفتار معصوم در استنباط آموزه‌های دینی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عمدۀ اختلاف نظرِ صاحب‌نظران دربارۀ گستره کارکرد رفتار معصوم، به تفاوت مبانی ایشان برمی‌گردد که با پذیرش یا عدم پذیرش برخی پیش‌فرض ها، قائل به کارکرد حداکثری یا حداقلی سنت فعلی در استنباط آموزه‌های دینی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غیر از نگاشته هایی که به تبیین اصل حجیت رفتار معصومان پرداخته و ادلۀ عقلی و نقلی آن را بررسی کرده‌اند، اثر مستقلی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مقاله آقای محمدحسین فاریاب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بر نظریۀ عصمت امام از آغاز تا سده پنجم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 مرتضی سمنون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شریعت و حجیت 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آقای محمد عالم زاده نوری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حکم اخلاقی از سیره و عمل معصوم علیهم السلام دشواری های نظری و ملاحظات روش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ضمنی به بخشی از مباحث مطرح در این مقاله توجه نشان داده‌اند که به جهت مساله، رویکرد و دامنه، با تحقیق حاضر متفاوت بوده است</w:t>
      </w:r>
      <w:r>
        <w:rPr>
          <w:rFonts w:eastAsia="IRNazanin" w:cs="IRNazanin"/>
          <w:color w:val="111111"/>
          <w:sz w:val="28"/>
          <w:szCs w:val="28"/>
          <w:rtl w:val="true"/>
          <w:lang w:bidi="fa-IR"/>
        </w:rPr>
        <w:t>.</w:t>
      </w:r>
    </w:p>
    <w:p>
      <w:pPr>
        <w:pStyle w:val="Heading3"/>
        <w:numPr>
          <w:ilvl w:val="2"/>
          <w:numId w:val="1"/>
        </w:numPr>
        <w:rPr/>
      </w:pPr>
      <w:bookmarkStart w:id="77" w:name="__RefHeading___Toc2030939_2749589250"/>
      <w:bookmarkStart w:id="78" w:name="_Toc29"/>
      <w:bookmarkEnd w:id="77"/>
      <w:r>
        <w:rPr/>
        <w:t>1</w:t>
      </w:r>
      <w:r>
        <w:rPr>
          <w:rtl w:val="true"/>
        </w:rPr>
        <w:t xml:space="preserve">. </w:t>
      </w:r>
      <w:r>
        <w:rPr>
          <w:rtl w:val="true"/>
        </w:rPr>
        <w:t>حجیت رفتار معصوم پیش از نبوت</w:t>
      </w:r>
      <w:r>
        <w:rPr>
          <w:rtl w:val="true"/>
        </w:rPr>
        <w:t xml:space="preserve">/ </w:t>
      </w:r>
      <w:r>
        <w:rPr>
          <w:rtl w:val="true"/>
        </w:rPr>
        <w:t>امامت</w:t>
      </w:r>
      <w:bookmarkEnd w:id="78"/>
    </w:p>
    <w:p>
      <w:pPr>
        <w:pStyle w:val="Heading4"/>
        <w:numPr>
          <w:ilvl w:val="3"/>
          <w:numId w:val="1"/>
        </w:numPr>
        <w:rPr/>
      </w:pPr>
      <w:bookmarkStart w:id="79" w:name="__RefHeading___Toc2030941_2749589250"/>
      <w:bookmarkStart w:id="80" w:name="_Toc30"/>
      <w:bookmarkEnd w:id="79"/>
      <w:r>
        <w:rPr>
          <w:rtl w:val="true"/>
        </w:rPr>
        <w:t>اشاره</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مؤثر در گسترش کارآمدی رفتار معصوم، تعیین قلمرو زمانی اعتبار رفتار معصوم و توسعۀ آن به دورۀ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مبنایی که بر باور به عصمت معصومان</w:t>
      </w:r>
    </w:p>
    <w:p>
      <w:pPr>
        <w:pStyle w:val="BookText"/>
        <w:rPr/>
      </w:pPr>
      <w:r>
        <w:rPr>
          <w:rFonts w:ascii="IRNazanin" w:hAnsi="IRNazanin" w:eastAsia="IRNazanin"/>
          <w:color w:val="111111"/>
          <w:sz w:val="28"/>
          <w:sz w:val="28"/>
          <w:szCs w:val="28"/>
          <w:rtl w:val="true"/>
          <w:lang w:bidi="fa-IR"/>
        </w:rPr>
        <w:t>استوار است و به این آموزۀ کلامی گره خورده است، چراکه لازمۀ پذیرش عصمت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پذیرش حجیت گفتار و رفتار ایشان 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منشأ حجیت را عصمت ندانیم و اثبات حجیت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معصوم را منوط به احراز امر دیگری بشماریم؛ چنان‌که بعضی، با وجود پذیرش عصمت پیامبر صلی الله و علیه و اله و سلم در دورۀ پیش از نبوت، تلازم آن با حجیت قول و فعل حضرت را نفی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طبق باور مشهور،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تنگاتنگ داشته و گفتار و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نیز جزو سنت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عجاج خطیب،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رشاد،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نیز دارد و برخی با عدم پذیرش آن، مانع توسعۀ کارایی رفتار معصوم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صدوق دربارۀ این‌که آیا امام علیه السلام از گناهان کبیره پیش از تصدی مقام امامت معصوم است یا خیر، به گونه‌ای سخن گفته که عده‌ای از محققان وی را قائل به عدم عصمت امام علیه السلام در این محدودۀ زمانی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نقل روایاتی که بر صدور گناه صغیره از انبیا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عبارت دوپهلوی وی در توصیف عصمت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که وی متصدی منصب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از گناه صغیرۀ پیش از آن دوره، معصوم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شیخ مفید نیز ـ با وجود آن‌که روایاتی که پیامبر صلی الله و علیه و اله و سلم و امامان را از همۀ گناهان پیش و پس از تصدی منصب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معصوم می‌داند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اخبار یادشده را یقین‌آور نمی‌داند و بر این باور است که عقل دربارۀ عصمت پیامبر صلی الله و علیه و اله و سلم و ائمه از گناهان پیش از تصدی نبوت و امامت حکمی ندارد، قائل به توقف شده و ارتکاب برخی گناهان صغیره را که فاعل آن خوار نشود و از روی عمد نباشد، جایز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گسترۀ زمانی عصمت معصوم و توسعۀ آن به دورۀ پیش از تصدی نبوت و امامت، موضوعی است که اکثر اندیشمندان شیعه بدان اعتقاد داشته و در آثار خود بدان اشاره کرده‌اند؛ چنان‌که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 پیامبر صلی الله و علیه و اله و سلم و امامان از گناه کبیره پیش از تصدی مقام نبوت و امامت اذعان داشته‌اند؛ سید مرتضی، قائل به عصمت مطلق پیامبر صلی الله و علیه و اله و سلم و امامان از هر گونه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و پس از نبوت و امامت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نیز دربارۀ عصمت امام علیه السلام از همۀ گناهان، بین دورۀ پیش از امامت و پس از آن تفاوتی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bookmarkStart w:id="81" w:name="pg3253_17316"/>
    </w:p>
    <w:p>
      <w:pPr>
        <w:pStyle w:val="Heading4"/>
        <w:numPr>
          <w:ilvl w:val="3"/>
          <w:numId w:val="1"/>
        </w:numPr>
        <w:rPr/>
      </w:pPr>
      <w:bookmarkStart w:id="82" w:name="__RefHeading___Toc2030943_2749589250"/>
      <w:bookmarkStart w:id="83" w:name="_Toc31"/>
      <w:bookmarkEnd w:id="81"/>
      <w:bookmarkEnd w:id="82"/>
      <w:r>
        <w:rPr/>
        <w:t>1</w:t>
      </w:r>
      <w:r>
        <w:rPr>
          <w:rtl w:val="true"/>
        </w:rPr>
        <w:t>ـ</w:t>
      </w:r>
      <w:r>
        <w:rPr/>
        <w:t>1</w:t>
      </w:r>
      <w:r>
        <w:rPr>
          <w:rtl w:val="true"/>
        </w:rPr>
        <w:t xml:space="preserve">. </w:t>
      </w:r>
      <w:r>
        <w:rPr>
          <w:rtl w:val="true"/>
        </w:rPr>
        <w:t>دلیل عقلی</w:t>
      </w:r>
      <w:bookmarkEnd w:id="83"/>
    </w:p>
    <w:p>
      <w:pPr>
        <w:pStyle w:val="BookText"/>
        <w:rPr/>
      </w:pPr>
      <w:r>
        <w:rPr>
          <w:rFonts w:ascii="IRNazanin" w:hAnsi="IRNazanin" w:eastAsia="IRNazanin"/>
          <w:color w:val="111111"/>
          <w:sz w:val="28"/>
          <w:sz w:val="28"/>
          <w:szCs w:val="28"/>
          <w:rtl w:val="true"/>
          <w:lang w:bidi="fa-IR"/>
        </w:rPr>
        <w:t xml:space="preserve">متکلمان شیعه برای اثبات عصمت پیامبر صلی الله و علیه و اله و سلم و ائمه علیهم السلام از گناهان، براهین عقلی متعددی اقامه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دلیلی که عصمت از گناه در دورۀ پیش از مقام نبوت و امامت را ثابت کند، نخستین بار سید مرتضی آن را طرح کرده و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روی‌گردانی مردم از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دلیل را برای اثبات عصمت پیامبران طرح کرده است که با توجه به تصریح وی به جاری بودن چنین برهانی در حق ائمه معصومین علیهم السلام ، دربارۀ عصمت امام نیز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این باره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گناهان کبیره و صغیره از پیامبران و امامان ـ خواه پیش از تصدی منصب نبوت و امامت باشد یا پس از آن ـ موجب نفرت مردم از پذیرش سخن آنان می‌شود و در مقابل، مبرّا بودن آن‌ها از گناهان موجب آرامش نفس دربارۀ سخنان ایشان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دلیل را شیخ طوسی با تقریری دیگر بیان کرده و آورده است که ارتکاب گناه از امام پیش از منصب امامت، موجب روی‌گردانی و نفرت و سلب اعتماد مردم از او و بطلان هدف از امامت 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آن‌که برخی گناهان صغیره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توانسته است به صورت مخفیانه و به دور از چشم مردم انجام گیرد، طبیعتاً خللی به موقعیت معصوم نزد مردم نمی‌رساند؛ علاوه بر آن‌که برخی گناهان کوچکی که در دورۀ قبل از سنّ تکلیف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عریان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سبب تنفر مردم نمی‌گردد و ضرری به جایگاه معصوم پس از امامت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ملاحظات ذکرشده، به نظر می‌رسد که دلیل عقلی مخدوش بوده و نتوان از حکم عقل برای عصمت پیامبر صلی الله و علیه و اله و سلم و جانشینانش پیش از دورۀ نبوت و امامت بهره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به صورت پنهانی و به دور از چشم مردم انجام می گیرد، خارج از موضوع بحث است و ثمرۀ استدلال دربارۀ گناهانی حاصل می‌شود که علنی و در انظار عموم انجام گیرد؛ از سوی دیگر،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اشتباهاتی که در دورۀ قبل از سنّ تکلیف انجام می‌گیرد نیز دور از واقع بوده و ثمره‌ای ندارد و موجب تضعیف استدلال یادشده نمی‌گردد</w:t>
      </w:r>
      <w:r>
        <w:rPr>
          <w:rFonts w:eastAsia="IRNazanin" w:cs="IRNazanin"/>
          <w:color w:val="111111"/>
          <w:sz w:val="28"/>
          <w:szCs w:val="28"/>
          <w:rtl w:val="true"/>
          <w:lang w:bidi="fa-IR"/>
        </w:rPr>
        <w:t>.</w:t>
      </w:r>
      <w:bookmarkStart w:id="84" w:name="pg3253_17317"/>
    </w:p>
    <w:p>
      <w:pPr>
        <w:pStyle w:val="Heading4"/>
        <w:numPr>
          <w:ilvl w:val="3"/>
          <w:numId w:val="1"/>
        </w:numPr>
        <w:rPr/>
      </w:pPr>
      <w:bookmarkStart w:id="85" w:name="__RefHeading___Toc2030945_2749589250"/>
      <w:bookmarkStart w:id="86" w:name="_Toc32"/>
      <w:bookmarkEnd w:id="84"/>
      <w:bookmarkEnd w:id="85"/>
      <w:r>
        <w:rPr/>
        <w:t>1</w:t>
      </w:r>
      <w:r>
        <w:rPr>
          <w:rtl w:val="true"/>
        </w:rPr>
        <w:t>ـ</w:t>
      </w:r>
      <w:r>
        <w:rPr/>
        <w:t>2</w:t>
      </w:r>
      <w:r>
        <w:rPr>
          <w:rtl w:val="true"/>
        </w:rPr>
        <w:t xml:space="preserve">. </w:t>
      </w:r>
      <w:r>
        <w:rPr>
          <w:rtl w:val="true"/>
        </w:rPr>
        <w:t>دلیل نقلی</w:t>
      </w:r>
      <w:bookmarkEnd w:id="86"/>
    </w:p>
    <w:p>
      <w:pPr>
        <w:pStyle w:val="BookText"/>
        <w:rPr/>
      </w:pPr>
      <w:r>
        <w:rPr>
          <w:rFonts w:ascii="IRNazanin" w:hAnsi="IRNazanin" w:eastAsia="IRNazanin"/>
          <w:color w:val="111111"/>
          <w:sz w:val="28"/>
          <w:sz w:val="28"/>
          <w:szCs w:val="28"/>
          <w:rtl w:val="true"/>
          <w:lang w:bidi="fa-IR"/>
        </w:rPr>
        <w:t>غیر از برهان عقلی، مجموعه‌ای از ادلۀ نقلی وجود دارد که عصمت پیامبر صلی الله و علیه و اله و سلم و امام علیه السلام پیش از نبوت و امامت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متون تنوع و تعدد قابل توجهی دارند، زیرا گزاره‌های نقل‌شده به جهت موضوع، تاریخی و روایی است و به جهت تاریخ، شامل روایات عصر صحابه، راویان و محدثان می‌گردد و به جهت دلالت، به صورت نص و ظاهر، نشان از عصمت پیامبر صلی الله و علیه و اله و سلم و امام علیه السلام پیش از تصدی منصب نبوت و امامت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گزارش‌هایی که در این بخش وجود دارد روایاتی است که گروهی از صحابه نقل کرده‌اند و بیان‌گر محفوظ ماندن پیامبر صلی الله و علیه و اله و سلم در سنین مختلف پیش از نبوت، از برخی گناهان است؛ برای نمونه، امّ‌ایمن نقل کرده است که روزی در یکی از اعیاد عرب پیش از اسلام، حضرت ابوطالب از پیامبر خواست که در عید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 اله و سلم نخست مخالفت کرد، اما به اصرار عمه‌هایش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در حالی که هراسان بود، بازگشت و به عمه‌هایش فرمود که از وقوع گناه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عمه‌های پیامبر صلی الله و علیه و اله و سلم با اذعان به مصونیت پیامبر از شیطان، اعتقاد خود به پاکی و عصمت پیامبر صلی الله و علیه و اله و سلم در آن سن را ابراز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جابر بن عبدالله انصاری نقل می‌کند که رسول خدا صلی الله و علیه و اله و سلم همراه سایر مردم در حال انتقال سنگ‌ها به سوی کعبه بود، در حالی که ازاری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صلی الله و علیه و اله و سلم از ایشان خواست که ازار را بر کتف خود اندازد تا راحت‌تر باشد که در</w:t>
      </w:r>
    </w:p>
    <w:p>
      <w:pPr>
        <w:pStyle w:val="BookText"/>
        <w:rPr/>
      </w:pPr>
      <w:r>
        <w:rPr>
          <w:rFonts w:ascii="IRNazanin" w:hAnsi="IRNazanin" w:eastAsia="IRNazanin"/>
          <w:color w:val="111111"/>
          <w:sz w:val="28"/>
          <w:sz w:val="28"/>
          <w:szCs w:val="28"/>
          <w:rtl w:val="true"/>
          <w:lang w:bidi="fa-IR"/>
        </w:rPr>
        <w:t>این صورت، پایین‌تنۀ حضرت عریان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اله و سلم بنا بر بعضی نقل‌ها، با شنیدن این جمله به زمین افتاد و مطابق برخی دیگر به آسمان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بخواهم برهنه راه بروم، نهی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روایاتی که از پیامبر صلی الله و علیه و اله و سلم و اهل‌بیت علیهم السلام نقل شده و حکایت از امداد غیبی خداوند برای مصونیت پیامبر صلی الله و علیه و اله و سلم از گناه و لغزش دارد نیز گواه دیگری بر عصمت پیامبر صلی الله و علیه و اله و سلم پیش از نبوت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متون یادشده می‌توان نتیجه گرفت که رسول خدا صلی الله و علیه و اله و سلم پیش از مقام نبوت، تحت حمایت و لطف ویژۀ خداوند قرار داشتند که این امر موجب پرهیز ایشان از امور ناپسند می‌گردیده است</w:t>
      </w:r>
      <w:r>
        <w:rPr>
          <w:rFonts w:eastAsia="IRNazanin" w:cs="IRNazanin"/>
          <w:color w:val="111111"/>
          <w:sz w:val="28"/>
          <w:szCs w:val="28"/>
          <w:rtl w:val="true"/>
          <w:lang w:bidi="fa-IR"/>
        </w:rPr>
        <w:t>.</w:t>
      </w:r>
      <w:bookmarkStart w:id="87" w:name="pg3253_17318"/>
    </w:p>
    <w:p>
      <w:pPr>
        <w:pStyle w:val="Heading4"/>
        <w:numPr>
          <w:ilvl w:val="3"/>
          <w:numId w:val="1"/>
        </w:numPr>
        <w:rPr/>
      </w:pPr>
      <w:bookmarkStart w:id="88" w:name="__RefHeading___Toc2030947_2749589250"/>
      <w:bookmarkStart w:id="89" w:name="_Toc33"/>
      <w:bookmarkEnd w:id="87"/>
      <w:bookmarkEnd w:id="88"/>
      <w:r>
        <w:rPr/>
        <w:t>1</w:t>
      </w:r>
      <w:r>
        <w:rPr>
          <w:rtl w:val="true"/>
        </w:rPr>
        <w:t>ـ</w:t>
      </w:r>
      <w:r>
        <w:rPr/>
        <w:t>3</w:t>
      </w:r>
      <w:r>
        <w:rPr>
          <w:rtl w:val="true"/>
        </w:rPr>
        <w:t xml:space="preserve">. </w:t>
      </w:r>
      <w:r>
        <w:rPr>
          <w:rtl w:val="true"/>
        </w:rPr>
        <w:t>استناد ائمه</w:t>
      </w:r>
      <w:r>
        <w:rPr/>
        <w:t></w:t>
      </w:r>
      <w:r>
        <w:rPr>
          <w:rtl w:val="true"/>
        </w:rPr>
        <w:t xml:space="preserve"> به رفتار پیش از نبوت</w:t>
      </w:r>
      <w:bookmarkEnd w:id="89"/>
    </w:p>
    <w:p>
      <w:pPr>
        <w:pStyle w:val="BookText"/>
        <w:rPr/>
      </w:pPr>
      <w:r>
        <w:rPr>
          <w:rFonts w:ascii="IRNazanin" w:hAnsi="IRNazanin" w:eastAsia="IRNazanin"/>
          <w:color w:val="111111"/>
          <w:sz w:val="28"/>
          <w:sz w:val="28"/>
          <w:szCs w:val="28"/>
          <w:rtl w:val="true"/>
          <w:lang w:bidi="fa-IR"/>
        </w:rPr>
        <w:t>یکی دیگر از دلایلی که می‌توان بر حجیت رفتار معصوم پیش از دورۀ تصدی نبوت و امامت اقامه کرد، استناداتی است که از سوی معصوم دربارۀ رفتارهای آن دوره صورت گرفته است؛ از جمله، در روایتی آمده است که میان شترداران و گوسفندداران اختلافی درگرفت و شترداران در برابر گوسفندداران گردن‌فرازی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و علیه و اله و سلم رسید و حضرت با استناد به شبانی خود پیش از بعثت، گوسفندداران را ترجیح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در حالی به پیامبری برانگیخته شد که گوسفند می‌چرانید و داوود علیه السلام هم در حالی به پیامبری برانگیخته شد که گوسفند می‌چرانید و من نیز در حالی برانگیخته شدم که در منطقۀ اَجیاد گوسفندان طایفه‌ام را می‌چرانیدم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ابن‌مبارک،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صلی الله و علیه و اله و سلم برای تمجید از گوسفندداران و ترجیح شغل شبانی، به رفتار خود پیش از بعثت استناد کردند که با این سخن، هم موجب اعتبار دینی پیشۀ شبانی شدند و هم اعتبار رفتار خویش را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استناد امام صادق علیه السلام به رفتار پیش از نبوت پیامبر صلی الله و علیه و اله و سلم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عمر بن مسلم از ما پرسید که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تجارت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رسول خدا صلی الله و علیه و اله و سلم کاروانی را که از شام می‌آمد، خرید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 آن بدهکاری‌اش را پرداخت و بخشی را نیز میان خویشاوندان خود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تجارت پیامبر صلی الله و علیه و اله و سلم پیش از تصدی مقام نبوت بوده است، می‌توان گفت استناد امام صادق علیه السلام به رفتار پیامبر صلی الله و علیه و آله و سلم ، دلیل بر حجیت رفتار حضرت پیش از بعثت است و موجب می‌گردد اعتبار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نیز ثابت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ستایش امام علیه السلام از فرزند معصوم خود و تأیید رفتار وی پیش از مقام امامت، قرینۀ دیگری در این باره است که موجب می‌شود تا حجیت رفتار امام علیه السلام پیش از تصدی مقام امامت ثابت گردد؛ چنان‌که در روایتی از محمد بن مسلم آمده است که وقتی ابوحنیفه از نحوۀ نماز گزاردن موسی بن جعفر علیه السلام نزد امام صادق علیه السلام شکایت کرد، حضرت رفتار فرزندش را تأیید کرد و وی را مورد ستایش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هادی علیه السلام رفتار فرزند</w:t>
      </w:r>
      <w:bookmarkStart w:id="90" w:name="pg3253_17319"/>
    </w:p>
    <w:p>
      <w:pPr>
        <w:pStyle w:val="BookText"/>
        <w:rPr/>
      </w:pPr>
      <w:bookmarkEnd w:id="90"/>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رثای برادرش تقریر کرده و بر شیوۀ تعزیه ایشان صحه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مبنای مورد نظر و توسعۀ حجیت رفتار معصوم به دورۀ قبل نبوت و امامت موجب می‌گردد حجم متون رفتارشناسی معصوم افزایش یابد و بخش بیشتری از روایات سیره در دایرۀ استناد و استنباط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 یادشده حکایت از تأیید تمام رفتارهای معصومان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ندارد، بلکه تنها نمونه از اصل اعتبار رفتار معصوم در آن دوره دارد و به نحو موجبه جزئیه، مدعای یادشده را ثابت می‌کند</w:t>
      </w:r>
      <w:r>
        <w:rPr>
          <w:rFonts w:eastAsia="IRNazanin" w:cs="IRNazanin"/>
          <w:color w:val="111111"/>
          <w:sz w:val="28"/>
          <w:szCs w:val="28"/>
          <w:rtl w:val="true"/>
          <w:lang w:bidi="fa-IR"/>
        </w:rPr>
        <w:t>.</w:t>
      </w:r>
    </w:p>
    <w:p>
      <w:pPr>
        <w:pStyle w:val="Heading3"/>
        <w:numPr>
          <w:ilvl w:val="2"/>
          <w:numId w:val="1"/>
        </w:numPr>
        <w:rPr/>
      </w:pPr>
      <w:bookmarkStart w:id="91" w:name="__RefHeading___Toc2030949_2749589250"/>
      <w:bookmarkStart w:id="92" w:name="_Toc34"/>
      <w:bookmarkEnd w:id="91"/>
      <w:r>
        <w:rPr/>
        <w:t>2</w:t>
      </w:r>
      <w:r>
        <w:rPr>
          <w:rtl w:val="true"/>
        </w:rPr>
        <w:t xml:space="preserve">. </w:t>
      </w:r>
      <w:r>
        <w:rPr>
          <w:rtl w:val="true"/>
        </w:rPr>
        <w:t>حجیت رفتار انبیای پیشین</w:t>
      </w:r>
      <w:bookmarkEnd w:id="92"/>
    </w:p>
    <w:p>
      <w:pPr>
        <w:pStyle w:val="Heading4"/>
        <w:numPr>
          <w:ilvl w:val="3"/>
          <w:numId w:val="1"/>
        </w:numPr>
        <w:rPr/>
      </w:pPr>
      <w:bookmarkStart w:id="93" w:name="__RefHeading___Toc2030951_274958925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یکی دیگر از مبانی مؤثر در توسعۀ استنباط از رفتار معصوم، حجیت رفتار انبیای پیشین برای مسلمانان است؛ پیش‌فرضی که پذیرش آن موجب می‌گردد میزان گزاره‌های رفتارشناختی معصوم افزایش یابد و دایرۀ منابع استنباط آموزه‌های دینی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عمدتاً</w:t>
      </w:r>
    </w:p>
    <w:p>
      <w:pPr>
        <w:pStyle w:val="BookText"/>
        <w:rPr/>
      </w:pPr>
      <w:r>
        <w:rPr>
          <w:rFonts w:ascii="IRNazanin" w:hAnsi="IRNazanin" w:eastAsia="IRNazanin"/>
          <w:color w:val="111111"/>
          <w:sz w:val="28"/>
          <w:sz w:val="28"/>
          <w:szCs w:val="28"/>
          <w:rtl w:val="true"/>
          <w:lang w:bidi="fa-IR"/>
        </w:rPr>
        <w:t>در کشف و تبیین آموزه‌های دینی مورد استناد محققان قرار می‌گیرد، گزاره‌های رفتاری پیامبر صلی الله و علیه و اله و سلم و ائمه معصومین علیهم السلام است و کمتر به سیره و سنت انبیای سلف به عنوان یک</w:t>
      </w:r>
    </w:p>
    <w:p>
      <w:pPr>
        <w:pStyle w:val="BookText"/>
        <w:rPr/>
      </w:pPr>
      <w:r>
        <w:rPr>
          <w:rFonts w:ascii="IRNazanin" w:hAnsi="IRNazanin" w:eastAsia="IRNazanin"/>
          <w:color w:val="111111"/>
          <w:sz w:val="28"/>
          <w:sz w:val="28"/>
          <w:szCs w:val="28"/>
          <w:rtl w:val="true"/>
          <w:lang w:bidi="fa-IR"/>
        </w:rPr>
        <w:t xml:space="preserve">منبع، استناد شده است، چراکه بعضی با استناد به برخی آیات موهم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برخی روایات نافی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حلبی،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انبیای پیش از رسول خدا صلی الله و علیه و اله و سلم را حجت ندانسته و صلاحیت آن برای استنباط آموزه‌های دینی را نپذیرفته‌اند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رازی،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w:t>
      </w:r>
    </w:p>
    <w:p>
      <w:pPr>
        <w:pStyle w:val="BookText"/>
        <w:rPr/>
      </w:pPr>
      <w:r>
        <w:rPr>
          <w:rFonts w:ascii="IRNazanin" w:hAnsi="IRNazanin" w:eastAsia="IRNazanin"/>
          <w:color w:val="111111"/>
          <w:sz w:val="28"/>
          <w:sz w:val="28"/>
          <w:szCs w:val="28"/>
          <w:rtl w:val="true"/>
          <w:lang w:bidi="fa-IR"/>
        </w:rPr>
        <w:t>اگر عصمت انبیای پیشین را ـ که بر پایۀ ادله عقلی و نقلی ثابت شده است ـ بپذیریم، اعتبار رفتار ایشان نیز تأیید شده، به عنوان یکی از منابع کشف آموزه‌های دینی مورد پذیرش قرار می‌گیرد؛ از این رو شایسته است برای اثبات حجیت رفتار انبیای پیشین، دلایل عصمت ایشان بررسی گردد</w:t>
      </w:r>
      <w:r>
        <w:rPr>
          <w:rFonts w:eastAsia="IRNazanin" w:cs="IRNazanin"/>
          <w:color w:val="111111"/>
          <w:sz w:val="28"/>
          <w:szCs w:val="28"/>
          <w:rtl w:val="true"/>
          <w:lang w:bidi="fa-IR"/>
        </w:rPr>
        <w:t>.</w:t>
      </w:r>
    </w:p>
    <w:p>
      <w:pPr>
        <w:pStyle w:val="Heading4"/>
        <w:numPr>
          <w:ilvl w:val="3"/>
          <w:numId w:val="1"/>
        </w:numPr>
        <w:rPr/>
      </w:pPr>
      <w:bookmarkStart w:id="95" w:name="__RefHeading___Toc2030953_2749589250"/>
      <w:bookmarkStart w:id="96" w:name="_Toc36"/>
      <w:bookmarkEnd w:id="95"/>
      <w:r>
        <w:rPr/>
        <w:t>2</w:t>
      </w:r>
      <w:r>
        <w:rPr>
          <w:rtl w:val="true"/>
        </w:rPr>
        <w:t>ـ</w:t>
      </w:r>
      <w:r>
        <w:rPr/>
        <w:t>1</w:t>
      </w:r>
      <w:r>
        <w:rPr>
          <w:rtl w:val="true"/>
        </w:rPr>
        <w:t xml:space="preserve">. </w:t>
      </w:r>
      <w:r>
        <w:rPr>
          <w:rtl w:val="true"/>
        </w:rPr>
        <w:t>عصمت انبیا</w:t>
      </w:r>
      <w:bookmarkEnd w:id="96"/>
    </w:p>
    <w:p>
      <w:pPr>
        <w:pStyle w:val="Heading5"/>
        <w:numPr>
          <w:ilvl w:val="4"/>
          <w:numId w:val="1"/>
        </w:numPr>
        <w:rPr/>
      </w:pPr>
      <w:bookmarkStart w:id="97" w:name="__RefHeading___Toc2030955_2749589250"/>
      <w:bookmarkStart w:id="98" w:name="_Toc37"/>
      <w:bookmarkEnd w:id="97"/>
      <w:r>
        <w:rPr>
          <w:rtl w:val="true"/>
        </w:rPr>
        <w:t>اشاره</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بر حجیت رفتار انبیای پیشین، عصمت ایشان است؛ آموزه‌ای که مورد پذیرش اکثر اندیشمندان اسلامی قرار داشته و به کمک ادلۀ عقلی و نقلی در پی اثبات آن برآمده‌اند</w:t>
      </w:r>
      <w:r>
        <w:rPr>
          <w:rFonts w:eastAsia="IRNazanin" w:cs="IRNazanin"/>
          <w:color w:val="111111"/>
          <w:sz w:val="28"/>
          <w:szCs w:val="28"/>
          <w:rtl w:val="true"/>
          <w:lang w:bidi="fa-IR"/>
        </w:rPr>
        <w:t>.</w:t>
      </w:r>
      <w:bookmarkStart w:id="99" w:name="pg3253_17320"/>
    </w:p>
    <w:p>
      <w:pPr>
        <w:pStyle w:val="Heading5"/>
        <w:numPr>
          <w:ilvl w:val="4"/>
          <w:numId w:val="1"/>
        </w:numPr>
        <w:rPr/>
      </w:pPr>
      <w:bookmarkStart w:id="100" w:name="__RefHeading___Toc2030957_2749589250"/>
      <w:bookmarkStart w:id="101" w:name="_Toc38"/>
      <w:bookmarkEnd w:id="99"/>
      <w:bookmarkEnd w:id="100"/>
      <w:r>
        <w:rPr/>
        <w:t>2</w:t>
      </w:r>
      <w:r>
        <w:rPr>
          <w:rtl w:val="true"/>
        </w:rPr>
        <w:t>ـ</w:t>
      </w:r>
      <w:r>
        <w:rPr/>
        <w:t>1</w:t>
      </w:r>
      <w:r>
        <w:rPr>
          <w:rtl w:val="true"/>
        </w:rPr>
        <w:t>ـ</w:t>
      </w:r>
      <w:r>
        <w:rPr/>
        <w:t>1</w:t>
      </w:r>
      <w:r>
        <w:rPr>
          <w:rtl w:val="true"/>
        </w:rPr>
        <w:t xml:space="preserve">. </w:t>
      </w:r>
      <w:r>
        <w:rPr>
          <w:rtl w:val="true"/>
        </w:rPr>
        <w:t>دلیل عقلی</w:t>
      </w:r>
      <w:bookmarkEnd w:id="101"/>
    </w:p>
    <w:p>
      <w:pPr>
        <w:pStyle w:val="BookText"/>
        <w:rPr/>
      </w:pPr>
      <w:r>
        <w:rPr>
          <w:rFonts w:ascii="IRNazanin" w:hAnsi="IRNazanin" w:eastAsia="IRNazanin"/>
          <w:color w:val="111111"/>
          <w:sz w:val="28"/>
          <w:sz w:val="28"/>
          <w:szCs w:val="28"/>
          <w:rtl w:val="true"/>
          <w:lang w:bidi="fa-IR"/>
        </w:rPr>
        <w:t>انسان فطرتاً طالب سعادت و کمال خویش است و سعی می‌کند بهترین راه وصول به کمال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ابزاری که برای درک و شناخت در اختیار انسان قرار داده شده است ـ یعنی حس و عقل ـ برای نیل به سعادت ابدی کافی نیست؛ از این رو با توجه به حکمت خداوند درمی‌یابد که حتماً راه دیگری در اختیار انسان قرار دارد که آن راه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حکم می‌کند که بدون وحی هدف خلقت به ثمر نمی‌نشیند و غرض خداوند از آفرینش نقض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تمسک به این دلیل عقلی که ضرورت وحی و نبوت را اثبات می‌کند، می‌توان ضرورت عصمت و مصونیت وحی الهی را از هر گونه سهو و اشتباه اثبات کرد، زیرا در غیر این صورت هدف از بعثت انبیا تأمین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از امام رضا علیه السلام است که در پاسخ کسی که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شناخت پیامبران و ایمان به آنان بر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عقلی ضرورت نبوت استناد کردند و از نارسایی قوای ادراکی مردم برای شناخت مصالح و مفاسد خود، به عنوان دلیل مشترک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عقلی دیگری که بر عصمت انبیا وجود دارد این است که اعطای معجزه به پیامبران، عقلاً دلالت می‌کند بر این‌که دروغ در آنچه انبیا به خداوند نسبت می‌دهند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اعطای معجزه به شخص، به منزلۀ تأیید و تصدیق او در گفتارش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انبیا به دروغ چیزی را به خداوند نسبت دهند، تأیید چنین پیامبری با معجزه، در حکم تصدیق شخص دروغ‌گوست، که چنین عملی قبیح است و از خدای حکیم سر نمی‌زند</w:t>
      </w:r>
      <w:r>
        <w:rPr>
          <w:rFonts w:eastAsia="IRNazanin" w:cs="IRNazanin"/>
          <w:color w:val="111111"/>
          <w:sz w:val="28"/>
          <w:szCs w:val="28"/>
          <w:rtl w:val="true"/>
          <w:lang w:bidi="fa-IR"/>
        </w:rPr>
        <w:t>.</w:t>
      </w:r>
    </w:p>
    <w:p>
      <w:pPr>
        <w:pStyle w:val="Heading5"/>
        <w:numPr>
          <w:ilvl w:val="4"/>
          <w:numId w:val="1"/>
        </w:numPr>
        <w:rPr/>
      </w:pPr>
      <w:bookmarkStart w:id="102" w:name="__RefHeading___Toc2030959_2749589250"/>
      <w:bookmarkStart w:id="103" w:name="_Toc39"/>
      <w:bookmarkEnd w:id="102"/>
      <w:r>
        <w:rPr/>
        <w:t>2</w:t>
      </w:r>
      <w:r>
        <w:rPr>
          <w:rtl w:val="true"/>
        </w:rPr>
        <w:t>ـ</w:t>
      </w:r>
      <w:r>
        <w:rPr/>
        <w:t>1</w:t>
      </w:r>
      <w:r>
        <w:rPr>
          <w:rtl w:val="true"/>
        </w:rPr>
        <w:t>ـ</w:t>
      </w:r>
      <w:r>
        <w:rPr/>
        <w:t>2</w:t>
      </w:r>
      <w:r>
        <w:rPr>
          <w:rtl w:val="true"/>
        </w:rPr>
        <w:t xml:space="preserve">. </w:t>
      </w:r>
      <w:r>
        <w:rPr>
          <w:rtl w:val="true"/>
        </w:rPr>
        <w:t>دلیل نقلی</w:t>
      </w:r>
      <w:bookmarkEnd w:id="103"/>
    </w:p>
    <w:p>
      <w:pPr>
        <w:pStyle w:val="BookText"/>
        <w:rPr/>
      </w:pPr>
      <w:r>
        <w:rPr>
          <w:rFonts w:ascii="IRNazanin" w:hAnsi="IRNazanin" w:eastAsia="IRNazanin"/>
          <w:color w:val="111111"/>
          <w:sz w:val="28"/>
          <w:sz w:val="28"/>
          <w:szCs w:val="28"/>
          <w:rtl w:val="true"/>
          <w:lang w:bidi="fa-IR"/>
        </w:rPr>
        <w:t xml:space="preserve">قرآن کریم در آیات متعددی، عصمت انبیا در مقام تلقی و ابلاغ وحی را بیان کرده است؛ از جمله در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واحد و یک‌دست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پدید آمدن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پیامبرانی را مژده‌دهنده و بیم‌رسان برانگیخت و با آنان به درستی و راستی کتاب را نازل کرد، تا میان مردم در آنچه با هم اختلاف داشتند، داوری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ضمیمۀ برخی دیگر از آیات به خوبی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از ارسال رسل و انزال کتب، برداشتن و از بین بردن اختلاف در بین مردم و بیان راه صواب است؛ یعنی پیامبران</w:t>
      </w:r>
      <w:bookmarkStart w:id="104" w:name="pg3253_17321"/>
    </w:p>
    <w:p>
      <w:pPr>
        <w:pStyle w:val="BookText"/>
        <w:rPr/>
      </w:pPr>
      <w:bookmarkEnd w:id="104"/>
      <w:r>
        <w:rPr>
          <w:rFonts w:ascii="IRNazanin" w:hAnsi="IRNazanin" w:eastAsia="IRNazanin"/>
          <w:color w:val="111111"/>
          <w:sz w:val="28"/>
          <w:sz w:val="28"/>
          <w:szCs w:val="28"/>
          <w:rtl w:val="true"/>
          <w:lang w:bidi="fa-IR"/>
        </w:rPr>
        <w:t>الهی میزانی برای سنجش حق از ناحق و صواب از ناصوابند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برای رسیدن به هدف و غایت خود، هرگز با مشکلی رو‌به‌رو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یَضِلُّ رَبِّی وَ لَا یَنسَی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چیز نمی‌تواند مانع و سدّ راه او در وصول به هدف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بَالِغُ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پیامبران در مقام دریافت وحی و یا رساندن پیام الهی به مردم معصوم نباشند ـ و احتمال خطا و اشتباه و انحراف از حق دربارۀ آن‌ها داده شود ـ نه تنها رفع اختلاف نشده و از کج‌اندیشی‌ها جلوگیری نمی‌شود، بلکه خود عاملی در ایجاد اختلافات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خداوند بخواهد به هدف خویش از بعثت انبیا برسد، باید پیام‌آوران الهی از هر گونه خطا و لغزش در مقام تلقی و ابلاغ وحی مصون باشند؛ در غیر این صورت، نقض غرض خواهد بود و این بر خداوند حکیم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105" w:name="__RefHeading___Toc2030961_2749589250"/>
      <w:bookmarkStart w:id="106" w:name="_Toc40"/>
      <w:bookmarkEnd w:id="105"/>
      <w:r>
        <w:rPr/>
        <w:t>2</w:t>
      </w:r>
      <w:r>
        <w:rPr>
          <w:rtl w:val="true"/>
        </w:rPr>
        <w:t>ـ</w:t>
      </w:r>
      <w:r>
        <w:rPr/>
        <w:t>1</w:t>
      </w:r>
      <w:r>
        <w:rPr>
          <w:rtl w:val="true"/>
        </w:rPr>
        <w:t>ـ</w:t>
      </w:r>
      <w:r>
        <w:rPr/>
        <w:t>3</w:t>
      </w:r>
      <w:r>
        <w:rPr>
          <w:rtl w:val="true"/>
        </w:rPr>
        <w:t xml:space="preserve">. </w:t>
      </w:r>
      <w:r>
        <w:rPr>
          <w:rtl w:val="true"/>
        </w:rPr>
        <w:t>استناد معصومان</w:t>
      </w:r>
      <w:bookmarkEnd w:id="106"/>
    </w:p>
    <w:p>
      <w:pPr>
        <w:pStyle w:val="BookText"/>
        <w:rPr/>
      </w:pPr>
      <w:r>
        <w:rPr>
          <w:rFonts w:ascii="IRNazanin" w:hAnsi="IRNazanin" w:eastAsia="IRNazanin"/>
          <w:color w:val="111111"/>
          <w:sz w:val="28"/>
          <w:sz w:val="28"/>
          <w:szCs w:val="28"/>
          <w:rtl w:val="true"/>
          <w:lang w:bidi="fa-IR"/>
        </w:rPr>
        <w:t>از دیگر دلایل حجیت رفتار انبیا، استناداتی است که از سوی ائمه معصومین علیهم السلام به رفتار ایشان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که ائمه علیهم السلام در مقام پاسخ به پرسش راوی یا احتجاج و یا مستند ساختن گفتار یا رفتار خودشان، به عمل انبیای پیشین استشهاد کرده‌اند؛ خواه به سیرۀ پیامبری خاص باشد و خواه به سیرۀ جمعی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آن‌گاه که درباره علت پذیرش ولایت‌عهدی مأمون از امام رضا علیه السلام سؤال شد، حضرت به رفتار حضرت یوسف علیه السلام در پذیرش منصب خزانه‌داری عزیز مصر استناد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آن‌گاه که امیرالمومنین علیه السلام اصحاب خود را به زهد و ساده‌زیستی دعوت می‌کند، از رفتار بعضی انبیای پیشین مثال آورده و به زهد داود، موسی و عیسی علیه السلام استناد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راوی دربارۀ سنت بودن فرق باز کردن موی سر از امام صادق علیه السلام سؤال کرد، حضرت با استناد به رفتار انبیا، آن را مورد انکار قرار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و علیه و اله و سلم فرق باز نمی‌کرد و هیچ‌یک از انبیا نیز موی سر خود را نگاه نمی‌داشت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از متون نشان می‌دهند که رفتار انبیا نزد ائمه معصومین علیهم السلام منبعی معتبر تلقی می‌شد و ایشان برای تأیید و تقویت گفتار یا رفتار خود، بدان استناد می‌کردند</w:t>
      </w:r>
      <w:r>
        <w:rPr>
          <w:rFonts w:eastAsia="IRNazanin" w:cs="IRNazanin"/>
          <w:color w:val="111111"/>
          <w:sz w:val="28"/>
          <w:szCs w:val="28"/>
          <w:rtl w:val="true"/>
          <w:lang w:bidi="fa-IR"/>
        </w:rPr>
        <w:t>.</w:t>
      </w:r>
    </w:p>
    <w:p>
      <w:pPr>
        <w:pStyle w:val="Heading4"/>
        <w:numPr>
          <w:ilvl w:val="3"/>
          <w:numId w:val="1"/>
        </w:numPr>
        <w:rPr/>
      </w:pPr>
      <w:bookmarkStart w:id="107" w:name="__RefHeading___Toc2030963_2749589250"/>
      <w:bookmarkStart w:id="108" w:name="_Toc41"/>
      <w:bookmarkEnd w:id="107"/>
      <w:r>
        <w:rPr/>
        <w:t>2</w:t>
      </w:r>
      <w:r>
        <w:rPr>
          <w:rtl w:val="true"/>
        </w:rPr>
        <w:t>ـ</w:t>
      </w:r>
      <w:r>
        <w:rPr/>
        <w:t>2</w:t>
      </w:r>
      <w:r>
        <w:rPr>
          <w:rtl w:val="true"/>
        </w:rPr>
        <w:t xml:space="preserve">. </w:t>
      </w:r>
      <w:r>
        <w:rPr>
          <w:rtl w:val="true"/>
        </w:rPr>
        <w:t>تحلیل نگرۀ نسخ شرایع</w:t>
      </w:r>
      <w:bookmarkEnd w:id="10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پرسشی که این‌جا مطرح 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خاتم بودن رسول خدا صلی الله و علیه و اله و سلم و نیز باور به نسخ شرایع گذشته، تأسی به رفتار انبیای پیشین چگونه امکان‌پذیر است و آیا می‌توان رفتار انبیا را جزو منابع فهم و کشف آموزه‌های دین اسلام به حساب آورد؟</w:t>
      </w:r>
    </w:p>
    <w:p>
      <w:pPr>
        <w:pStyle w:val="BookText"/>
        <w:rPr/>
      </w:pPr>
      <w:r>
        <w:rPr>
          <w:rFonts w:ascii="IRNazanin" w:hAnsi="IRNazanin" w:eastAsia="IRNazanin"/>
          <w:color w:val="111111"/>
          <w:sz w:val="28"/>
          <w:sz w:val="28"/>
          <w:szCs w:val="28"/>
          <w:rtl w:val="true"/>
          <w:lang w:bidi="fa-IR"/>
        </w:rPr>
        <w:t>برای پاسخ به این پرسش باید ابتدا به تقریر پرسش پرداخت و محل نزاع را به روشنی معلوم کرد؛ این‌که به درستی منظور از نسخ شرایع چیست و گسترۀ آن چقدر است؟ آیا مقصود از نسخ شرایع آن است که دین اسلام تمام شریعت‌های پیشین را نسخ کرده و یا آن‌که تنها برخی احکام و آموزه‌های آنان را نسخ کرده است؟ اساساً باور به نسخ شرایع پیشین با تکامل شریعت‌ها و نیز وحدت آن‌ها در آموزه‌های مشترک چه نسبتی دارد و چگونه قابل جمع است؟</w:t>
      </w:r>
    </w:p>
    <w:p>
      <w:pPr>
        <w:pStyle w:val="BookText"/>
        <w:rPr/>
      </w:pPr>
      <w:r>
        <w:rPr>
          <w:rFonts w:ascii="IRNazanin" w:hAnsi="IRNazanin" w:eastAsia="IRNazanin"/>
          <w:color w:val="111111"/>
          <w:sz w:val="28"/>
          <w:sz w:val="28"/>
          <w:szCs w:val="28"/>
          <w:rtl w:val="true"/>
          <w:lang w:bidi="fa-IR"/>
        </w:rPr>
        <w:t xml:space="preserve">بیشتر متکلمان و فقیهان اسلامی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دلایلی بر درستی آن اقامه کرده‌اند، لکن بر پایۀ آموزه‌های قرآن، اصل در اوامر و احکام الهی ثبات و بقاست، مگر آن‌که شارع آن را با حکم یا شریعت دیگر نسخ کند؛ چنان‌که خداوند متعال دربارۀ قضاوت میان اهل کتاب، خطاب به پیامبر صلی الله و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 وَ لا تَتَّبِعْ أَهْواءَهُمْ وَ احْذَرْهُمْ أَنْ یَفْتِنُوکَ عَنْ بَعْضِ ما أَنْزَلَ اللَّهُ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میان آنان بر طبق آنچه خدا نازل کرده است داوری کن و از هواهای نفسانی آنان پیروی مکن و از آنان بر حذر باش که مبادا تو را از بخشی از آنچه خدا به سویت نازل کرده است، منحرف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بما انزل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آیه شریفه، احکام تورات است که هم‌چنان اعتبار داشته و پیامبر صلی الله و علیه و اله و سلم به صدور حکم بر اساس آن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فحوای آیه نیز برمی‌آید که برخی احکام اهل کتاب هم‌چنان از گزند تحریف در امان بوده و منسوخ نشده بودند؛ هم‌چنان‌که در برخی روایات نیز تلویحاً به حجیت و عدم نسخ آن‌ها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برخی فقها در بیان معنای نظریۀ نسخ شرایع بر این باورند که نسخ شریعت بدین معناست که مجموع احکام آن نسخ می‌شود نه تک تک احکام آن، و این‌چنین نیست که همۀ احکام شریعت پیشین منسوخ شده باشد و تعیین احکام منسوخ شریعت پیشین نیز به دست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باید اذعان داشت که اولاً، شرایع آسمانی مشترکاتی دارند که اقامه آن‌ها در شرایع دیگر بر همگان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گزاره‌های شرایع پیشین تنها در صورت نسخ شرعی و یا مخالفت شارع در شریعت جدید، قابل عمل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شیخ مفید ضمن بیان وجوب اعتقاد به تمامی پیامبران الهی، شرط نسخ گزاره‌های حکمی شرایع پیشین را مخالفت آن‌ها با احکام اسلامی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09" w:name="pg3253_17323"/>
    </w:p>
    <w:p>
      <w:pPr>
        <w:pStyle w:val="BookText"/>
        <w:rPr/>
      </w:pPr>
      <w:bookmarkEnd w:id="109"/>
      <w:r>
        <w:rPr>
          <w:rFonts w:ascii="IRNazanin" w:hAnsi="IRNazanin" w:eastAsia="IRNazanin"/>
          <w:color w:val="111111"/>
          <w:sz w:val="28"/>
          <w:sz w:val="28"/>
          <w:szCs w:val="28"/>
          <w:rtl w:val="true"/>
          <w:lang w:bidi="fa-IR"/>
        </w:rPr>
        <w:t>در نتیجه باید گفت، رفتار انبیا تا زمانی که دلیل روشنی بر نسخ آن وجود نداشته باشد و مخالفتی از سوی پیامبر صلی الله و علیه و اله و سلم یا ائمه علیهم السلام با آن نشده باشد، معتبر بوده و در حقّ مسلمانان حجیت دارد و می‌توان از گزاره‌های رفتاری ایشان در کشف و تبیین آموزه‌های فقهی، اخلاقی، سیاسی،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Heading3"/>
        <w:numPr>
          <w:ilvl w:val="2"/>
          <w:numId w:val="1"/>
        </w:numPr>
        <w:rPr/>
      </w:pPr>
      <w:bookmarkStart w:id="110" w:name="__RefHeading___Toc2030965_2749589250"/>
      <w:bookmarkStart w:id="111" w:name="_Toc42"/>
      <w:bookmarkEnd w:id="110"/>
      <w:r>
        <w:rPr/>
        <w:t>3</w:t>
      </w:r>
      <w:r>
        <w:rPr>
          <w:rtl w:val="true"/>
        </w:rPr>
        <w:t xml:space="preserve">. </w:t>
      </w:r>
      <w:r>
        <w:rPr>
          <w:rtl w:val="true"/>
        </w:rPr>
        <w:t>حجیت رفتار حضرت زهرا علیها السلام</w:t>
      </w:r>
      <w:bookmarkEnd w:id="111"/>
    </w:p>
    <w:p>
      <w:pPr>
        <w:pStyle w:val="Heading4"/>
        <w:numPr>
          <w:ilvl w:val="3"/>
          <w:numId w:val="1"/>
        </w:numPr>
        <w:rPr/>
      </w:pPr>
      <w:bookmarkStart w:id="112" w:name="__RefHeading___Toc2030967_274958925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اعتقاد به حجیت رفتار حضرت زهرا علیها السلام و باور به اعتبار سیرۀ عملی ایشان، از دیگر مبانی مؤثر در کارکردشناسی سنت فعلی است که موجب افزایش دامنۀ کارآمدی رفتار معصوم می‌گردد، زیرا اگرچه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دو منبع کشف و تبیین آموزه‌های دینی شناخته شده است، اما آنچه در عمل مورد توجه محققان قرار گرفته و بدان استناد شده است، سیرۀ پیامبر صلی الله و علیه و اله و سلم و ائمه معصومین علیهم السلام است و کمتر به سنت و سیرۀ حضرت زهرا علیها السلام به مثابۀ یک منبع معرفتی نگریسته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بر پایۀ باور به عصمت حضرت زهرا علیها السلام ، برخی شئون انبیا و ائمه علیهم السلام همچون مرجعیت دینی و صلاحیت تفسیر و تبیین دین، برای ایشان نیز ثابت می‌گردد و سیرۀ عملی و موضع‌گیری‌های حضرت در مسائل مختلف نیز مدار تشخیص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با بررسی دلایل عصمت حضرت زهرا علیها السلام ، اعتبار رفتار ایشان اثبات، و بنیان نظری کارایی آن در استنباط آموزه‌های دینی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عالمان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پیشینۀ طرح عصمت حضرت زهرا علیها السلام ، به زمان رسول خدا صلی الله و علیه و اله و سلم و به برخی سخنان آن حضرت دربارۀ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برخی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صلی الله و علیه و آله و سلم ، استناد حضرت زهرا علیها السلام و امام علی علیه السلام بر معصوم بودن خود، از جمله اولین گزارش‌های تاریخی دالّ بر عصمت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114" w:name="__RefHeading___Toc2030969_2749589250"/>
      <w:bookmarkStart w:id="115" w:name="_Toc44"/>
      <w:bookmarkEnd w:id="114"/>
      <w:r>
        <w:rPr/>
        <w:t>3</w:t>
      </w:r>
      <w:r>
        <w:rPr>
          <w:rtl w:val="true"/>
        </w:rPr>
        <w:t>ـ</w:t>
      </w:r>
      <w:r>
        <w:rPr/>
        <w:t>1</w:t>
      </w:r>
      <w:r>
        <w:rPr>
          <w:rtl w:val="true"/>
        </w:rPr>
        <w:t xml:space="preserve">. </w:t>
      </w:r>
      <w:r>
        <w:rPr>
          <w:rtl w:val="true"/>
        </w:rPr>
        <w:t>دلیل قرآنی</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شیعه برای اثبات عصمت حضرت زهرا علیها السلام فقط از دلایل نقلی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آیه‌ای که برای اثبات عصمت اهل‌بیت علیهم السلام و حضرت زهرا علیها السلام به آن تمسک شده، آیۀ</w:t>
      </w:r>
      <w:bookmarkStart w:id="116" w:name="pg3253_17324"/>
    </w:p>
    <w:p>
      <w:pPr>
        <w:pStyle w:val="BookText"/>
        <w:rPr/>
      </w:pPr>
      <w:bookmarkEnd w:id="116"/>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نیست که همواره خدا می‌خواهد هر گونه پلیدی را از شما اهل‌بیت برطرف کند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عالمان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تعابیر این آیه، آن را دالّ بر عصمت و پاک بودن اهل‌بیت علیهم السلام از گناه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تعابیر مرتبط با عصمت در این آیه که محل بحث مفسران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با بهره‌گیری از روایات و تبیین معانی و مصادیق این تعابیر، عصمت اهل‌بیت علیهم السلام از جمله حضرت زهرا علیها السلام را ثابت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عصارۀ نظر عالمان شیعی تا قرن ششم هجری دربارۀ آیه تطهیر، به بیان طبرسی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باور پیروان مذهب اهل‌بیت علیهم السلام ، آیه تطهیر ویژۀ پیامبر صلی الله و علیه و آله و سلم ، امیرمؤمنان علیه السلام ، حضرت فاطمه علیها السلام ، امام حسن علیه السلام و امام حسین علیه السلام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و برای اثبات مطلب پس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در این آیه، خواست تشریعی خدا نیست، چراکه چنین اراده‌ای شامل همه انسان‌ها می‌شود و خدا برای همه، درست‌اندیشی و شایسته‌کرداری را خواسته است و این خواست به اهل‌بیت علیهم السلام اختصاص ندارد، و چون این بیان برای ستایش و مدح آنان است، تردیدی نمی‌ماند که خواست و ارادۀ خدا در آیه، خواست تکوینی است برای مصون داشتن آنان از هر گونه پلیدی و گناه و لغزش و این موهبت ویژۀ پیامبر و خاندان اوست که البته وجه اعطای آن، شایستگی‌های اختیاری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4"/>
        <w:numPr>
          <w:ilvl w:val="3"/>
          <w:numId w:val="1"/>
        </w:numPr>
        <w:rPr/>
      </w:pPr>
      <w:bookmarkStart w:id="117" w:name="__RefHeading___Toc2030971_2749589250"/>
      <w:bookmarkStart w:id="118" w:name="_Toc45"/>
      <w:bookmarkEnd w:id="117"/>
      <w:r>
        <w:rPr/>
        <w:t>3</w:t>
      </w:r>
      <w:r>
        <w:rPr>
          <w:rtl w:val="true"/>
        </w:rPr>
        <w:t>ـ</w:t>
      </w:r>
      <w:r>
        <w:rPr/>
        <w:t>2</w:t>
      </w:r>
      <w:r>
        <w:rPr>
          <w:rtl w:val="true"/>
        </w:rPr>
        <w:t xml:space="preserve">. </w:t>
      </w:r>
      <w:r>
        <w:rPr>
          <w:rtl w:val="true"/>
        </w:rPr>
        <w:t>دلیل روایی</w:t>
      </w:r>
      <w:bookmarkEnd w:id="118"/>
    </w:p>
    <w:p>
      <w:pPr>
        <w:pStyle w:val="BookText"/>
        <w:rPr/>
      </w:pPr>
      <w:r>
        <w:rPr>
          <w:rFonts w:ascii="IRNazanin" w:hAnsi="IRNazanin" w:eastAsia="IRNazanin"/>
          <w:color w:val="111111"/>
          <w:sz w:val="28"/>
          <w:sz w:val="28"/>
          <w:szCs w:val="28"/>
          <w:rtl w:val="true"/>
          <w:lang w:bidi="fa-IR"/>
        </w:rPr>
        <w:t>دربارۀ عصمت حضرت زهرا علیها السلام به چند دسته روایت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نخست، روایاتی است که به صراحت بر عصمت ایشان یا معنای آن دلالت دارد؛ مانند روایتی که امام صادق علیه السلام با اشاره به غسل حضرت مریم علیها السلام به دست حضرت عیسی علیه السلام و لزوم غسل داده شدن فاطمه علیها السلام به دست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دل‌تنگ مباش، زیرا او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معصوم نباید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مریم را جز عیسی غسل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شرح این حدیث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 که مراد از صدیقه، معصومه است، چراکه صدیقه کسی است که به غایتِ تصدیق در قول و فعل نایل آمده</w:t>
      </w:r>
      <w:bookmarkStart w:id="119" w:name="pg3253_17325"/>
    </w:p>
    <w:p>
      <w:pPr>
        <w:pStyle w:val="BookText"/>
        <w:rPr/>
      </w:pPr>
      <w:bookmarkEnd w:id="119"/>
      <w:r>
        <w:rPr>
          <w:rFonts w:ascii="IRNazanin" w:hAnsi="IRNazanin" w:eastAsia="IRNazanin"/>
          <w:color w:val="111111"/>
          <w:sz w:val="28"/>
          <w:sz w:val="28"/>
          <w:szCs w:val="28"/>
          <w:rtl w:val="true"/>
          <w:lang w:bidi="fa-IR"/>
        </w:rPr>
        <w:t xml:space="preserve">باشد، و این جز با عصمت تحقق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دوم، احادیثی است که در آن‌ها حضرت زهرا علیها السلام جزو اهل‌بیت علیهم السلام و یکی از آن‌ها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سیوطی،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ـ که عمدتاًً ذیل آیۀ تطهیر آورده شده‌اند ـ تمام اهل‌بیت علیهم السلام و به تبع آن حضرت زهرا علیها السلام را یکی از معصومان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 احادیثی است که از مدلول التزامی آن‌ها عصمت حضرت زهرا علیها السلام استفاده شده است؛ از جمله روایاتی که بر وجوب اطاعت از ایشان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روایاتی که حضرت فاطمه علیها السلام را حجت الهی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روایاتی که غضب و رضای فاطمه علیها السلام را غضب و رضای خداوند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120" w:name="__RefHeading___Toc2030973_2749589250"/>
      <w:bookmarkStart w:id="121" w:name="_Toc46"/>
      <w:bookmarkEnd w:id="120"/>
      <w:r>
        <w:rPr/>
        <w:t>3</w:t>
      </w:r>
      <w:r>
        <w:rPr>
          <w:rtl w:val="true"/>
        </w:rPr>
        <w:t>ـ</w:t>
      </w:r>
      <w:r>
        <w:rPr/>
        <w:t>3</w:t>
      </w:r>
      <w:r>
        <w:rPr>
          <w:rtl w:val="true"/>
        </w:rPr>
        <w:t xml:space="preserve">. </w:t>
      </w:r>
      <w:r>
        <w:rPr>
          <w:rtl w:val="true"/>
        </w:rPr>
        <w:t>استناد به رفتار حضرت زهرا علیها السلام</w:t>
      </w:r>
      <w:bookmarkEnd w:id="121"/>
    </w:p>
    <w:p>
      <w:pPr>
        <w:pStyle w:val="BookText"/>
        <w:rPr/>
      </w:pPr>
      <w:r>
        <w:rPr>
          <w:rFonts w:ascii="IRNazanin" w:hAnsi="IRNazanin" w:eastAsia="IRNazanin"/>
          <w:color w:val="111111"/>
          <w:sz w:val="28"/>
          <w:sz w:val="28"/>
          <w:szCs w:val="28"/>
          <w:rtl w:val="true"/>
          <w:lang w:bidi="fa-IR"/>
        </w:rPr>
        <w:t>از دیگر دلایل حجیت سیرۀ عملی حضرت زهرا علیها السلام ، استناد ائمه معصومین علیهم السلام به رفتار حضرت و نیز استفادۀ عالمان شیعه در موضوعات فقهی، اخلاقی،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ایشان است؛ برای نمونه، امام صادق علیه السلام در واکنش به زنی که ازدواج را ترک گفته بود، به رفتار حضرت زهرا علیها السلام و ازدواج ایشان استناد کرده و عمل وی را نادرست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جواز چشیدن غذا توسط روزه‌دار، امام صادق علیه السلام به رفتار حضرت زهرا علیها السلام استناد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علیها السلام در حالی که در ماه رمضان روزه بود، برای حسن و حسین غذا را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برخی عالمان شیعه در تبیین آموزه‌های دینی، به رفتار حضرت زهرا علیها السلام اعتماد کرده و از آن استفاده‌های فقهی و اخلاقی کرده‌اند؛ چنان‌که ملاصالح مازندرانی پس از نقل روایت امام صادق علیه السلام دربارۀ سلام کردن پیامبر صلی الله و علیه و اله و سلم بر زنان و پاسخ دادن به سلام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جواز سلام بر زنان کرده و برای تأیید آن به رفتار حضرت زهرا علیها السلام در سخن گفتن با سلمان و بلال استشهاد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علامه مجلسی پس از نقل روایت امام صادق علیه السلام دربارۀ احوالات حضرت زهرا علیها السلام پس از رحلت پیامبر صلی الله و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رفتار حضرت، زیارت قبور در دو روز دوشنبه و پنج‌شنبه را برای زنان مستحب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bookmarkStart w:id="122" w:name="pg3253_17326"/>
    </w:p>
    <w:p>
      <w:pPr>
        <w:pStyle w:val="BookText"/>
        <w:rPr/>
      </w:pPr>
      <w:bookmarkEnd w:id="122"/>
      <w:r>
        <w:rPr>
          <w:rFonts w:ascii="IRNazanin" w:hAnsi="IRNazanin" w:eastAsia="IRNazanin"/>
          <w:color w:val="111111"/>
          <w:sz w:val="28"/>
          <w:sz w:val="28"/>
          <w:szCs w:val="28"/>
          <w:rtl w:val="true"/>
          <w:lang w:bidi="fa-IR"/>
        </w:rPr>
        <w:t>بنابراین می‌توان گفت، رفتار حضرت زهرا علیها السلام همچون رفتار انبیا و ائمه معصومین علیهم السلام حجت و معتبر بوده و صلاحیت کشف آموزه‌های دینی را دارد</w:t>
      </w:r>
      <w:r>
        <w:rPr>
          <w:rFonts w:eastAsia="IRNazanin" w:cs="IRNazanin"/>
          <w:color w:val="111111"/>
          <w:sz w:val="28"/>
          <w:szCs w:val="28"/>
          <w:rtl w:val="true"/>
          <w:lang w:bidi="fa-IR"/>
        </w:rPr>
        <w:t>.</w:t>
      </w:r>
    </w:p>
    <w:p>
      <w:pPr>
        <w:pStyle w:val="Heading3"/>
        <w:numPr>
          <w:ilvl w:val="2"/>
          <w:numId w:val="1"/>
        </w:numPr>
        <w:rPr/>
      </w:pPr>
      <w:bookmarkStart w:id="123" w:name="__RefHeading___Toc2030975_2749589250"/>
      <w:bookmarkStart w:id="124" w:name="_Toc47"/>
      <w:bookmarkEnd w:id="123"/>
      <w:r>
        <w:rPr>
          <w:rtl w:val="true"/>
        </w:rPr>
        <w:t>برآیند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استنباط آموزه‌های دینی است که تعریف مبانی و پیش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مرتبط با آن، موجب افزایش میزان بهره‌گیری از این بخش از سنت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مؤلفه‌های مؤثر در توسعۀ استنباط از رفتار معصوم، اعتبار رفتار معصوم است که بر پایۀ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رفتار معصوم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رفتار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رفتار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مبانی موجب می‌گردد قلمرو اثرگذاری رفتار معصوم افزایش یابد و کارکرد رفتار معصوم در استنباط آموزه‌های دینی توسعه پیدا کند</w:t>
      </w:r>
      <w:r>
        <w:rPr>
          <w:rFonts w:eastAsia="IRNazanin" w:cs="IRNazanin"/>
          <w:color w:val="111111"/>
          <w:sz w:val="28"/>
          <w:szCs w:val="28"/>
          <w:rtl w:val="true"/>
          <w:lang w:bidi="fa-IR"/>
        </w:rPr>
        <w:t>.</w:t>
      </w:r>
    </w:p>
    <w:p>
      <w:pPr>
        <w:pStyle w:val="Heading3"/>
        <w:numPr>
          <w:ilvl w:val="2"/>
          <w:numId w:val="1"/>
        </w:numPr>
        <w:rPr/>
      </w:pPr>
      <w:bookmarkStart w:id="125" w:name="__RefHeading___Toc2030977_2749589250"/>
      <w:bookmarkStart w:id="126" w:name="_Toc48"/>
      <w:bookmarkEnd w:id="125"/>
      <w:r>
        <w:rPr>
          <w:rtl w:val="true"/>
        </w:rPr>
        <w:t>منابع</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ابن‌حنبل، احمد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المسند، دمشق، مؤسسة الرساله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ابن‌مبارک،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و الرقائق،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بیروت، دار النفائس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احمد،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زبدة البیان فی أحکام القرآن، تهران،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المسند الصحیح، بیروت، دار طوق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النبوة و معرفة أحوال صاحب الشریعة،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 بیروت، دار الغرب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حصری، احمد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آیات الاحکام،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علی بن برهان‌الدین،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الحلبیة،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الإسلام و وفیات المشاهیر و الأعلام، بیروت، دار الغرب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عصمة الانبیاء، حمص، 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علی‌اکبر،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و حقوق،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و معیشت، تهران، صراط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مسعود،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أقصی البیان فی آیات الأحکام و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عتیق بن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بی‌جا، بنیاد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 قم، بنیاد 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علی بن حسین،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الشافی فی الإمامۀ، تهران، مؤسسۀ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الأنبیاء، قم، دار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التفسیر بالمأثور،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 چی، 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فقاهت در کلام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قرآن، ش</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من لایحضره الفقیه،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اهل اللجاج، مشهد،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العشر،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الاصول فی علم الکلام،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عجاج خطیب،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الحدیث علومه و مصطلحه،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التفسیر،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فاریاب، محمدحسین،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امام در تاریخ تفکر امامیه تا پایان قرن پنجم هجری، قم، مؤسسه آموزشی ـ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عبدالحسین و جواد شفیعیان،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فاطمی، تهران، پژوهشگاه فرهنگ و اندیشه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 الکتب الاسلامیة،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محمدصالح،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المکتبة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رمضان،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از نگاه پیامبر صلی الله و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فاطمی، تهران، پژوهشگاه فرهنگ و اندیشه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المقنعه، قم، کنگره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الإعتقادات الامامیه، قم، کنگره شیخ مفید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متقابل کتاب و سنت، تهران، پژوهشگاه فرهنگ و اندیشه اسلامی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حسن و احمدحسین شریفی،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عصمت معصومان، تهران، پژوهشگاه فرهنگ و اندیشه اسلامی</w:t>
      </w:r>
      <w:r>
        <w:rPr>
          <w:rFonts w:eastAsia="IRNazanin" w:cs="IRNazanin"/>
          <w:color w:val="111111"/>
          <w:sz w:val="28"/>
          <w:szCs w:val="28"/>
          <w:rtl w:val="true"/>
          <w:lang w:bidi="fa-IR"/>
        </w:rPr>
        <w:t>.</w:t>
      </w:r>
      <w:bookmarkStart w:id="127" w:name="pg3253_17329"/>
    </w:p>
    <w:p>
      <w:pPr>
        <w:pStyle w:val="Heading2"/>
        <w:numPr>
          <w:ilvl w:val="1"/>
          <w:numId w:val="1"/>
        </w:numPr>
        <w:rPr/>
      </w:pPr>
      <w:bookmarkStart w:id="128" w:name="__RefHeading___Toc2030979_2749589250"/>
      <w:bookmarkStart w:id="129" w:name="_Toc49"/>
      <w:bookmarkEnd w:id="127"/>
      <w:bookmarkEnd w:id="128"/>
      <w:r>
        <w:rPr>
          <w:rtl w:val="true"/>
        </w:rPr>
        <w:t xml:space="preserve">تحلیلی وجودشناسانه از سیر تطور ارادۀ خداوند در نظام فکری معتزله </w:t>
      </w:r>
      <w:r>
        <w:rPr>
          <w:rtl w:val="true"/>
        </w:rPr>
        <w:t xml:space="preserve">/ </w:t>
      </w:r>
      <w:r>
        <w:rPr>
          <w:rtl w:val="true"/>
        </w:rPr>
        <w:t>اکبر اقوام کرباسی</w:t>
      </w:r>
      <w:bookmarkEnd w:id="129"/>
    </w:p>
    <w:p>
      <w:pPr>
        <w:pStyle w:val="Heading3"/>
        <w:numPr>
          <w:ilvl w:val="2"/>
          <w:numId w:val="1"/>
        </w:numPr>
        <w:rPr/>
      </w:pPr>
      <w:bookmarkStart w:id="130" w:name="__RefHeading___Toc2030981_2749589250"/>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اکبر اقوام کرباسی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01/09/1395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15/10/1395</w:t>
      </w:r>
    </w:p>
    <w:p>
      <w:pPr>
        <w:pStyle w:val="Heading3"/>
        <w:numPr>
          <w:ilvl w:val="2"/>
          <w:numId w:val="1"/>
        </w:numPr>
        <w:rPr/>
      </w:pPr>
      <w:bookmarkStart w:id="132" w:name="__RefHeading___Toc2030983_2749589250"/>
      <w:bookmarkStart w:id="133" w:name="_Toc51"/>
      <w:bookmarkEnd w:id="132"/>
      <w:r>
        <w:rPr>
          <w:rtl w:val="true"/>
        </w:rPr>
        <w:t>چکیده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ارکان الهیات افعال است که تحلیلهای وجودشناسانه و معناشناسانۀ گوناگونی دربارۀ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جریان فکری معتزله بیش از دیگران، از ارادۀ خداوند و زوایای گوناگون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شایع میان این جریان، حاوی این ایده است که ارادۀ خداوند، عَرَضی حادث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المحل بودن اراده در این نظریه، برگرفته از تلقی معتزلۀ متقدم از معنای عَرَض بود که اجازه میداد چنین حقیقتی بدون محل در نظر گرفته شود؛ اما این تلقی از عَرَض در معتزلیان متأخر، به دلیل همگرایی با تفکر فلسفه مشائی، به سمت و سوی خوانشِ فلسفی سوق پیدا کرد و عملاً این مفهوم را با چالشی جدی روبه‌رو ساخت که چگونه ممکن است عَرَضی را تصور کرد که حالّ در محل نباشد؟ از همین رو، معتزلیان متأخر، راهکار و حل این معضل را در کاربست نسخۀ فلسفیِ تبیینِ اراده دیدند که بر اساس آن اراده به داعی و داعی، به علم به نظام احسن شناسانده میشد</w:t>
      </w:r>
      <w:r>
        <w:rPr>
          <w:rFonts w:eastAsia="IRNazanin" w:cs="IRNazanin"/>
          <w:color w:val="111111"/>
          <w:sz w:val="28"/>
          <w:szCs w:val="28"/>
          <w:rtl w:val="true"/>
          <w:lang w:bidi="fa-IR"/>
        </w:rPr>
        <w:t>.</w:t>
      </w:r>
    </w:p>
    <w:p>
      <w:pPr>
        <w:pStyle w:val="Heading3"/>
        <w:numPr>
          <w:ilvl w:val="2"/>
          <w:numId w:val="1"/>
        </w:numPr>
        <w:rPr/>
      </w:pPr>
      <w:bookmarkStart w:id="134" w:name="__RefHeading___Toc2030985_2749589250"/>
      <w:bookmarkStart w:id="135" w:name="_Toc52"/>
      <w:bookmarkEnd w:id="134"/>
      <w:r>
        <w:rPr>
          <w:rtl w:val="true"/>
        </w:rPr>
        <w:t>واژگان کلیدی</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فعل، داعی، عرض، لا فی المحل</w:t>
      </w:r>
      <w:r>
        <w:rPr>
          <w:rFonts w:eastAsia="IRNazanin" w:cs="IRNazanin"/>
          <w:color w:val="111111"/>
          <w:sz w:val="28"/>
          <w:szCs w:val="28"/>
          <w:rtl w:val="true"/>
          <w:lang w:bidi="fa-IR"/>
        </w:rPr>
        <w:t>.</w:t>
      </w:r>
      <w:bookmarkStart w:id="136" w:name="pg3253_17330"/>
    </w:p>
    <w:p>
      <w:pPr>
        <w:pStyle w:val="Heading3"/>
        <w:numPr>
          <w:ilvl w:val="2"/>
          <w:numId w:val="1"/>
        </w:numPr>
        <w:rPr/>
      </w:pPr>
      <w:bookmarkStart w:id="137" w:name="__RefHeading___Toc2030987_2749589250"/>
      <w:bookmarkStart w:id="138" w:name="_Toc53"/>
      <w:bookmarkEnd w:id="136"/>
      <w:bookmarkEnd w:id="137"/>
      <w:r>
        <w:rPr>
          <w:rtl w:val="true"/>
        </w:rPr>
        <w:t>مقدمه</w:t>
      </w:r>
      <w:bookmarkEnd w:id="138"/>
    </w:p>
    <w:p>
      <w:pPr>
        <w:pStyle w:val="BookText"/>
        <w:rPr/>
      </w:pPr>
      <w:r>
        <w:rPr>
          <w:rFonts w:ascii="IRNazanin" w:hAnsi="IRNazanin" w:eastAsia="IRNazanin"/>
          <w:color w:val="111111"/>
          <w:sz w:val="28"/>
          <w:sz w:val="28"/>
          <w:szCs w:val="28"/>
          <w:rtl w:val="true"/>
          <w:lang w:bidi="fa-IR"/>
        </w:rPr>
        <w:t xml:space="preserve">بازشناسی و واخوانی آرای معتزلیان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بسیاریِ باور‌ها و تئوری‌ها میان این گروه، اندکی پردردسر و به راستی مشکل خواهد بود، چراکه ارائه نظریه واحد از این جریانِ کلامی تقریباً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موضوع اراده الهی را در دائرة المعارفِ کلامی قاضی عبدالجبار در باور‌های معتزله ـ المغنی فی ابواب التوحید و العدل ـ دنبال کنیم، دومین قسم از مجلد ششمِ این اثر را منحصر در اراده و مباحث پیرامونی آن خواهیم یافت که تقریباً جامع تمامی دیدگاه‌ها و نظریات معتزلیان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گزارش‌های مطلع این مجلد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المعتزلة فی أنّ الإرادة من صفات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ادامه خواهیم دید این ادعا نشان‌دهندۀ اعتقاد تمامی معتزلیان نیست، بلکه به نظر می‌رسد بیش از همه، نشان‌دهندۀ باور‌های مشایخ معتزلۀ بصره ـ که نویسندۀ المغنی بدان تعلق خاطر دارد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کتاب پیش‌گفته خالی از گزارش‌های اعتقادیِ نخستین سردمداران تفکر اعتزالی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 نحل شهرستانی نیز چونان دائرةالمعارف مختصری از ادیان، مذاهب، فِرق و باور‌های فلاسفه، کتاب شناخته‌شده و مفیدی است، اما شیوۀ معرفی گروهیِ اعتقاداتِ جریان‌ها در این کتاب، نمی‌تواند تصویر جامع و نظام‌یافته‌ای از اعتقاد این جریان در اختیار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بهتر است موضوع نوشتار را بر پایۀ شخصیت‌های صاحب‌نظر و ایده‌پرداز این جریان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مقالات الاسلامیین اشعری بهترین منبع برای این مطالعه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اشعری هم‌دوره و شاگرد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طبعاً آرای مطرح‌شده در کتاب مقالات اشعری، نهایتاً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دیدگاه و آرای دیگرِ بزرگان معتزله را باید از آثار بعدی جست و یافت</w:t>
      </w:r>
      <w:r>
        <w:rPr>
          <w:rFonts w:eastAsia="IRNazanin" w:cs="IRNazanin"/>
          <w:color w:val="111111"/>
          <w:sz w:val="28"/>
          <w:szCs w:val="28"/>
          <w:rtl w:val="true"/>
          <w:lang w:bidi="fa-IR"/>
        </w:rPr>
        <w:t>.</w:t>
      </w:r>
    </w:p>
    <w:p>
      <w:pPr>
        <w:pStyle w:val="Heading3"/>
        <w:numPr>
          <w:ilvl w:val="2"/>
          <w:numId w:val="1"/>
        </w:numPr>
        <w:rPr/>
      </w:pPr>
      <w:bookmarkStart w:id="139" w:name="__RefHeading___Toc2030989_2749589250"/>
      <w:bookmarkStart w:id="140" w:name="_Toc54"/>
      <w:bookmarkEnd w:id="139"/>
      <w:r>
        <w:rPr>
          <w:rtl w:val="true"/>
        </w:rPr>
        <w:t>ارادۀ الهی در نظر معتزلیان متقدم</w:t>
      </w:r>
      <w:bookmarkEnd w:id="140"/>
    </w:p>
    <w:p>
      <w:pPr>
        <w:pStyle w:val="Heading4"/>
        <w:numPr>
          <w:ilvl w:val="3"/>
          <w:numId w:val="1"/>
        </w:numPr>
        <w:rPr/>
      </w:pPr>
      <w:bookmarkStart w:id="141" w:name="__RefHeading___Toc2030991_2749589250"/>
      <w:bookmarkStart w:id="142" w:name="_Toc55"/>
      <w:bookmarkEnd w:id="141"/>
      <w:r>
        <w:rPr>
          <w:rtl w:val="true"/>
        </w:rPr>
        <w:t>اشاره</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ascii="IRNazanin" w:hAnsi="IRNazanin" w:eastAsia="IRNazanin"/>
          <w:color w:val="111111"/>
          <w:sz w:val="28"/>
          <w:sz w:val="28"/>
          <w:szCs w:val="28"/>
          <w:rtl w:val="true"/>
          <w:lang w:bidi="fa-IR"/>
        </w:rPr>
        <w:t>مطالعۀ استقرایی گرداگرد نظریات گوناگون اراده میان معتزلیان متقدم، خبر از تئوری اصلی و اساسی بین شیوخ اصلی این جریان و دست‌کم دو نظریۀ حاشیه‌ای می‌دهد که البته رشد و</w:t>
      </w:r>
      <w:bookmarkStart w:id="143" w:name="pg3253_17331"/>
    </w:p>
    <w:p>
      <w:pPr>
        <w:pStyle w:val="BookText"/>
        <w:rPr/>
      </w:pPr>
      <w:bookmarkEnd w:id="143"/>
      <w:r>
        <w:rPr>
          <w:rFonts w:ascii="IRNazanin" w:hAnsi="IRNazanin" w:eastAsia="IRNazanin"/>
          <w:color w:val="111111"/>
          <w:sz w:val="28"/>
          <w:sz w:val="28"/>
          <w:szCs w:val="28"/>
          <w:rtl w:val="true"/>
          <w:lang w:bidi="fa-IR"/>
        </w:rPr>
        <w:t>نموّ چندانی نداشته و بیشتر میان طراحان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ایده‌ها را اگرچه می‌توان در چند نقطه از کتاب مقالات الاسلامیین جست، اما اشعری به صورت متمرکز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أنّ الله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 معتزلیان تا دورۀ خودش را دربارۀ ماهیت ارادۀ خداوند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دیدگاه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دیدگاه بعد 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از گزارش‌های قاضی عبد‌الجبار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ابوهذیل دیدگاه مقبول و پذیرفته‌شدۀ بیشتر شیوخ اعتزال ـ هم‌چون ابوعلی و ابوهاشم جبائی ـ بوده و دو دیدگاه بعدی چندان مورد اقبال معتزلیان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سه تن، بارزترین ایده‌های مرتبط با اراده را برای اولین بار میان معتزله مطرح کرده‌اند</w:t>
      </w:r>
      <w:r>
        <w:rPr>
          <w:rFonts w:eastAsia="IRNazanin" w:cs="IRNazanin"/>
          <w:color w:val="111111"/>
          <w:sz w:val="28"/>
          <w:szCs w:val="28"/>
          <w:rtl w:val="true"/>
          <w:lang w:bidi="fa-IR"/>
        </w:rPr>
        <w:t>.</w:t>
      </w:r>
    </w:p>
    <w:p>
      <w:pPr>
        <w:pStyle w:val="Heading4"/>
        <w:numPr>
          <w:ilvl w:val="3"/>
          <w:numId w:val="1"/>
        </w:numPr>
        <w:rPr/>
      </w:pPr>
      <w:bookmarkStart w:id="144" w:name="__RefHeading___Toc2030993_2749589250"/>
      <w:bookmarkStart w:id="145" w:name="_Toc56"/>
      <w:bookmarkEnd w:id="144"/>
      <w:r>
        <w:rPr/>
        <w:t>1</w:t>
      </w:r>
      <w:r>
        <w:rPr>
          <w:rtl w:val="true"/>
        </w:rPr>
        <w:t xml:space="preserve">. </w:t>
      </w:r>
      <w:r>
        <w:rPr>
          <w:rtl w:val="true"/>
        </w:rPr>
        <w:t>ابوهذیل علاف و نظریۀ اراده لا فی المحل در معتزلۀ بصره</w:t>
      </w:r>
      <w:bookmarkEnd w:id="145"/>
    </w:p>
    <w:p>
      <w:pPr>
        <w:pStyle w:val="BookText"/>
        <w:rPr/>
      </w:pPr>
      <w:r>
        <w:rPr>
          <w:rFonts w:ascii="IRNazanin" w:hAnsi="IRNazanin" w:eastAsia="IRNazanin"/>
          <w:color w:val="111111"/>
          <w:sz w:val="28"/>
          <w:sz w:val="28"/>
          <w:szCs w:val="28"/>
          <w:rtl w:val="true"/>
          <w:lang w:bidi="fa-IR"/>
        </w:rPr>
        <w:t>نخستین دیدگاه، از آنِ ابوهذیل علاف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متکلمانی است که با هشام بن حکم ـ متکلم برجستۀ امامیه در مدرسه کوفه ـ مناظراتی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راستی در عِداد نخستین نظریه‌پردازان معتزله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سکوت گزارش‌های تاریخی دربارۀ پندار پیشینیانِ ابوهذیل ـ همچون واصل بن عطاء و عمرو بن عبید ـ در بیشتر موضوعات کلامی و به‌ویژه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او دربارۀ اراده، به مثابۀ نظریه رسمی معتزلۀ بصره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اشعری از دیدگاه او و اصحابش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یزعمون أنّ إرادۀ الله غیرُ مرادهِ و غیر أمرهِ، و أنّ إرادتهُ لمفعولاتهِ لیست بمخلوقةٍ علی الحقیقة،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کونی خلقٌ لها، و أرادته للایمان لیس بخلقٍ له و هی غیرُ الامر بهِ، و إرادة الله قائمةٌ به لا فی مکانٍ، و قال بعض اصحاب ابی‌الهذیل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إرادة اللّه موجودة لا فی مکان و لم یقل هی قائمة باللّه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مزبور از دیدگاه ابوهذیل در واقع می‌کوشد به چند سؤال پاسخ دهد؛ این‌که ماهیت اراده چیست و نسبتش با ذات چگونه است؟ آیا اراده مخلوق است؟ و آیا اراده، فعلی از افعال الهی به حساب می‌آید؟ اگر چنین است، حقیقت فعل چیست؟ و جایگاه و محل آن کجاست؟ آیا محلش ذات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اشعری، اراده در نظر ابوالهذیل به معنای خلق و فعل در حوزۀ تکوین و امر در حوزۀ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تبیین این مطلب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می‌کند تا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قاضی</w:t>
      </w:r>
    </w:p>
    <w:p>
      <w:pPr>
        <w:pStyle w:val="BookText"/>
        <w:rPr/>
      </w:pPr>
      <w:r>
        <w:rPr>
          <w:rFonts w:ascii="IRNazanin" w:hAnsi="IRNazanin" w:eastAsia="IRNazanin"/>
          <w:color w:val="111111"/>
          <w:sz w:val="28"/>
          <w:sz w:val="28"/>
          <w:szCs w:val="28"/>
          <w:rtl w:val="true"/>
          <w:lang w:bidi="fa-IR"/>
        </w:rPr>
        <w:t xml:space="preserve">عبدالجبار نیز واگویه‌ای از همین تفکیک است که اراده در نظر ابو‌الهذیل، امری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المحکی عن شیخنا أبیالهذیل رحمه اللّه أنّ إرادة اللّه غیر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تأکیدِ منابع بر تمایزِ اراده و مراد را باید به حساب دیدگاه‌های رقیبِ نظریۀ علاف ـ همچون نظریه نظّام ـ نوشت که اراده را عین شیء خارجی و مراد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دیدگاه‌ها در ادامه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تبیین اندیشۀ ابوهذیل باید به نکتهای توجه داشت و آن سهم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مفهوم‌سازی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 به ایدۀ ابو‌هذیل، می‌توان گفت وی به دو رتبه از اراده برای خداوند اعتقاد داشته است؛ مرتبه‌ای که خداوند مرید است، اما هنوز مرادی در خارج برای او نیست و رتبۀ دیگر، مرتبه‌ای که مراد و شیء خارجی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ابوهذیل، اراده‌ای که در وهلۀ اول از خداوند برای ایجاد فعل متمشی می‌شود، حقیقتاً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بمخلوقةٍ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اشعری ناظر به همین مرتبه از ارادۀ الهی است که هنوز مخلوق، تحقق بیرونی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چنین پنداشت که مخلوق نبودن اراده، به معنای ذاتی پنداشتن آن است، چراکه اساساً خلق در نظر ابوهذیل، محصول ضمیمه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این پندار را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الشی‌ء، هو تکوینه بعد ان لم یکن هو غیره و هو 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الخلق مع المخلوق فی حاله و لیس بجائز ان یخلق اللّه سبحانه شیئا لا یریده و لا یقول له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ابوهذیل، اراده را مخلوق ندانسته است، از این روست که برای مخلوق بودن، جدای از اراده، ضمیمه شدن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نظر او، آن هنگام که شیء، تکوّن خارجی می‌یابد، می‌توان گفت اراده نیز مخلوق شده است، چراکه حتماً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ضمیمه شده است که شیء، تحقق عینی یافته است؛ اما هنگامه‌ای که هنوز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اراده را هم نمی‌توان مخلوق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اشعری در جایی دیگر تأکید کرده است که ابوهذیل معتقد است ارادۀ شیء غیر از شیء مکوّن است و نباید محصولِ فعل را همان اراده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سبحانه لکون الشی‌ء، هی غیر الشی‌ء المکوّن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این‌که اشعری به غیریتِ شیءِ مکوّن و اراده تصریح می‌کند، بیش از همه برای نشان دادن نقطۀ تمایز دیدگاه ابوهذیل با امثال نظّام و کعبی است که در ادامه از آن</w:t>
      </w:r>
    </w:p>
    <w:p>
      <w:pPr>
        <w:pStyle w:val="BookText"/>
        <w:rPr/>
      </w:pPr>
      <w:r>
        <w:rPr>
          <w:rFonts w:ascii="IRNazanin" w:hAnsi="IRNazanin" w:eastAsia="IRNazanin"/>
          <w:color w:val="111111"/>
          <w:sz w:val="28"/>
          <w:sz w:val="28"/>
          <w:szCs w:val="28"/>
          <w:rtl w:val="true"/>
          <w:lang w:bidi="fa-IR"/>
        </w:rPr>
        <w:t>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ابوهذیل در صدد آن است که تأکید کند اراده غیر از مراد که همان شیء مکوّن خارجی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دیگری در این میان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ابوهذیل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اراده چیست؟ آیا وی در پاسخ به کجایی محل ارادۀ مخلوق چنین گفته است؟ این پاسخ، اندکی عجیب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گزارش شهرستانی، ابوهذیل نخستین فردی بوده که چنین ایده‌ای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الهذیلیّة، أصحاب أبیالهذیل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إرادات لا محل لها، یکون الباری تعالی مریدا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أحدث هذه المقالة، و تابعه علیها المتأخرون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قاضی عبدالجبار هم گزارش کرده و بعید نیست ادعای شهرستانی برگرفته از گزارش قاضی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سند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أول من سبق الی القول بجواز إرادة اللّه لا فی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در ابراز چنین اعتقادی چندان پراهمیت نیست، بلکه آنچه حایز اهمیت است دیدگاهی است که در آن اراده، اولاً قائم به ذات الهی و ثانیاً لا فی المکان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قیام اراده به ذات الهی، پاسخی به نسبتِ اراده با ذات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اراده ذاتی نیت و از سویی دیگر مخلوق هم دانسته نمی‌شود، پس چه نسبتی بین اراده و ذات وجود دارد؟ وی در پاسخ به این پرسش، اراده را غیر ذات، اما قائم به ذات دانسته و بعید نیست مراد او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شبیه قیام صدوری در فلسفه باشد که به حسب آن، اراده عارض بر ذات نیست، بلکه ذات الهی منشأ صدور اراده در رتبۀ فعل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ویژگی دومِ نظریۀ ابوهذیل مبنی بر جایگاه و محلِ خلق اراده، باید نظام جهان‌شناسی این گروه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نیست که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جسم، جوهر، عرض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اصلی در نظام جهان‌شناسی متکلمان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عام‌ترین مفهوم نزد معتزلیان،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علاوه بر موجودات، معدوم را هم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العیاد، بی 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گروه، حقایق موجود در این عالم به عنوان موجودِ حادث،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در وجودش مستقل و بی‌نیاز از غیر است، اما عَرَض با این‌که همانند جواهر، حقایقی در عالم را نشان می‌دهد، ولی برخلاف جواهر که قائم به ذات خویش بودند، به یک جوهری قائمند و وجودی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و خوانش در حالی</w:t>
      </w:r>
    </w:p>
    <w:p>
      <w:pPr>
        <w:pStyle w:val="BookText"/>
        <w:rPr/>
      </w:pPr>
      <w:r>
        <w:rPr>
          <w:rFonts w:ascii="IRNazanin" w:hAnsi="IRNazanin" w:eastAsia="IRNazanin"/>
          <w:color w:val="111111"/>
          <w:sz w:val="28"/>
          <w:sz w:val="28"/>
          <w:szCs w:val="28"/>
          <w:rtl w:val="true"/>
          <w:lang w:bidi="fa-IR"/>
        </w:rPr>
        <w:t>است که ملاحمی خوارزمی توضیح می‌دهد که مشایخ فکری معتزله لازم نمی‌دیده‌اند که عرض حتماً در محلّی حلول کند و از آن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دیدگاهی را که بر اساس آن عرض در جواهر حادث می‌شود، به متأخرین معتزله منسوب 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معتزله، عرض را هر آن چیزی می‌دانستند که در وجود می‌آید، اما ماندگاری و دوام جوهر و جسم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شیوخنا بأنه الذی یعرض فی الوجود و لیس له لبث کلبث الجواهر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 در چرایی این اعتقاد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قالوا یعرض فی الوجود، لتدخل فیه ارادة القدیم و کراهته و الفناء، لأنها لا تعرض علی الاجسام، بل تحدث عندهم لا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در نظر نخستین متکلمان معتزله، ویژگی‌هایی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نمی‌توانسته بر جسم عارض گردد، چراکه در صورتِ عروض چنین ویژگی‌ای، جسمی باقی نخواهد ماند که عرضی مثل فنا را حمل کند؛ از همین رو، پاره‌ای از اعراض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کراهت و فنا را عرض لا فی المحل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توجه و دقت میان هواداران فکری ابوهذیل نیز وجود داشته که نظریۀ استادشان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الله قائمةٌ به لا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می‌تواند زیان‌بخش و غیرمنسجم با دیدگاهش دربارۀ جوهر و عرض باشد؛ از همین رو، پاره‌ای از اصحاب ابوهذیل، اصلاحیه ای بر گفتار استاد ارائه و توضیح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به لا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ایدۀ ابوهذیل با تلقی‌اش از جوهر و عرض هماهنگ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آخری که در دیدگاه ابوهذیل باید مدنظر داشت، به اراده‌ای بازمی‌گردد که در ابتدای گزارش از آن به مرتبه‌ای یاد شد که خداوند مرید بوده، اما هنوز مرادی در خارج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وی این اراده را غیرمخلوق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خداوند در این مرتبه مجازاً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الّذی هو تألیف و الّذی هو لون و الّذی هو طول و الّذی هو کذا کل ذلک، مخلوق فی الحقیقة و هو واقع عن قول و إرادة، و الخلق الّذی هو قول و إرادة لیس بمخلوق فی الحقیقة و انما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فی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بیش از هر چیز ممکن است به این مشکل بازگردد که اگر اراده را از نخستین گام، حقیقتاً مخلوق بدانیم، آن‌گاه آفرینش آن به اراده‌ای دیگر نیازمند است، چراکه مخلوق، محصول ترکیبی قول و اراده است و این تلقی، مستلزم تسلسل خواهد بود، زیرا هر ارادهای بر</w:t>
      </w:r>
      <w:bookmarkStart w:id="146" w:name="pg3253_17335"/>
    </w:p>
    <w:p>
      <w:pPr>
        <w:pStyle w:val="BookText"/>
        <w:rPr/>
      </w:pPr>
      <w:bookmarkEnd w:id="146"/>
      <w:r>
        <w:rPr>
          <w:rFonts w:ascii="IRNazanin" w:hAnsi="IRNazanin" w:eastAsia="IRNazanin"/>
          <w:color w:val="111111"/>
          <w:sz w:val="28"/>
          <w:sz w:val="28"/>
          <w:szCs w:val="28"/>
          <w:rtl w:val="true"/>
          <w:lang w:bidi="fa-IR"/>
        </w:rPr>
        <w:t>ارادهای دیگر متوقف خواهد شد؛ از همین رو، ابوهذیل نخستین اراده را حقیقتاً مخلوق نمی‌داند و اگر مخلوق خوانده شده، از سر مجاز بوده است</w:t>
      </w:r>
      <w:r>
        <w:rPr>
          <w:rFonts w:eastAsia="IRNazanin" w:cs="IRNazanin"/>
          <w:color w:val="111111"/>
          <w:sz w:val="28"/>
          <w:szCs w:val="28"/>
          <w:rtl w:val="true"/>
          <w:lang w:bidi="fa-IR"/>
        </w:rPr>
        <w:t>.</w:t>
      </w:r>
    </w:p>
    <w:p>
      <w:pPr>
        <w:pStyle w:val="Heading4"/>
        <w:numPr>
          <w:ilvl w:val="3"/>
          <w:numId w:val="1"/>
        </w:numPr>
        <w:rPr/>
      </w:pPr>
      <w:bookmarkStart w:id="147" w:name="__RefHeading___Toc2030995_2749589250"/>
      <w:bookmarkStart w:id="148" w:name="_Toc57"/>
      <w:bookmarkEnd w:id="147"/>
      <w:r>
        <w:rPr/>
        <w:t>2</w:t>
      </w:r>
      <w:r>
        <w:rPr>
          <w:rtl w:val="true"/>
        </w:rPr>
        <w:t xml:space="preserve">. </w:t>
      </w:r>
      <w:r>
        <w:rPr>
          <w:rtl w:val="true"/>
        </w:rPr>
        <w:t>دیدگاه بِشر بن مُعتمر و ایده ارادۀ ذاتی و فعلی خداوند</w:t>
      </w:r>
      <w:bookmarkEnd w:id="148"/>
    </w:p>
    <w:p>
      <w:pPr>
        <w:pStyle w:val="BookText"/>
        <w:rPr/>
      </w:pPr>
      <w:r>
        <w:rPr>
          <w:rFonts w:ascii="IRNazanin" w:hAnsi="IRNazanin" w:eastAsia="IRNazanin"/>
          <w:color w:val="111111"/>
          <w:sz w:val="28"/>
          <w:sz w:val="28"/>
          <w:szCs w:val="28"/>
          <w:rtl w:val="true"/>
          <w:lang w:bidi="fa-IR"/>
        </w:rPr>
        <w:t xml:space="preserve">اشعری از دیدگاه دومی خبر داده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هرچند پیش از ابوهذیل از دنیا رفته است، اما همچون او، شاگردی شاگردان واصل بن عطاء را در کارنامه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تاریخی متعددی در دست است که میتوان از آنها اختلافات فکری و حتی غیردوستانۀ بشر بن معتمر با ابوهذیل را استنباط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بزرگ و مؤسس اعتزالِ بغدادی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ابن‌مرتضی،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اشعری از دیدگاه او دربارۀ اراده خداوند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أنّ إرادة الله علی ضربین إرادة وُصف بهِ الله فی ذاتهِ و إرادةٌ وُصف بها و هی الفعل مِن افعاله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تصریح می‌شود که ارادۀ خداوند، دو مقام دارد و در هر دو حالت، خداوند مرید است؛ یکی در مقام ذات که ذات به اراده نسبت داده می‌شود و دیگری در مقام فعل که فعل او منسوب به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محتوای این گزارش را می‌توان با گزارش قاضی عبدالجبار در المغنی یکسان دانست، با این حال نکاتی در دو گزارش اخیر وجود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ضمن اشاره به این مطلب که میان اهل اعتزال اختلافی در صفتِ فعل بودن اراده وجود ندارد، تنها مورد خلاف را در بِشر بن معتمر دانسته و از پندار او چنین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من اللّه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ذات، و صفة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یزل مریداً لجمیع أفعاله، و جمیع طاعات عباده، لأنه لا یجوز عنده أن یعلم عالم صلاحاً و خیراً، و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عالماً بذلک أجمع کان مریدا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الإرادة التی هی صفة فعل، أو المراد بها فعل نفسه، و هی خَلقٌ له، و هی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الشیئین لا یکون أحدهما یصاحبه، 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أراد به فعل عباده، فهی الأمر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می‌شود بِشر بن معتمر، جدای از اعتقاد به ارادۀ فعلی، از ارادۀ ذاتی خداوند هم سخن گفته و آن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نکتۀ قابل توجه در دو گزارش اخیر، شمول و دایرۀ ارادۀ ذاتی است که نه تنها عرصۀ تکوین،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هم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فعلی نیز در نظر بِشر چنین دانسته شده؛ هم شامل افعال خداست و هم افعال بندگان او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 اگرچه مقصود از ارادۀ فعلی در افعال بندگان همان امر و نهی الهی است، اما منظور از همین اراده دربارۀ افعال خداوند، خلق و آفرینش الهی</w:t>
      </w:r>
    </w:p>
    <w:p>
      <w:pPr>
        <w:pStyle w:val="BookText"/>
        <w:rPr/>
      </w:pPr>
      <w:r>
        <w:rPr>
          <w:rFonts w:ascii="IRNazanin" w:hAnsi="IRNazanin" w:eastAsia="IRNazanin"/>
          <w:color w:val="111111"/>
          <w:sz w:val="28"/>
          <w:sz w:val="28"/>
          <w:szCs w:val="28"/>
          <w:rtl w:val="true"/>
          <w:lang w:bidi="fa-IR"/>
        </w:rPr>
        <w:t>است؛ چونان که در نظریۀ ابوهذیل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دوباره نیست و به خوبی از دو گزارش اخیر برمی‌آید که در نظر بِشر بن معتمر، اراده فعلی همان نفس فعل الهی است و نه محصول این فعل</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توسط اِخبار اشعری نیز مورد تأیید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بشر بن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الشی‌ءَ غیرُه و الخلقُ قبل المخلوق و هو الإرادة من اللّه للشی‌ء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بِشر نیز آفرینش را غیر از آفریده می‌داند و برای آن رتبه‌ای پیش از مخلوق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فعل، به اراده تعبیر کرده است؛ اراده‌ای که در رتبۀ فعل و خلق الهی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توجه داریم تمامی گزارش‌های مربوط به تلقی بِشر، دربارۀ محل و مکانِ ارادۀ فعلی خداوند سکوت کرده‌اند تا نتوان حکم کرد که آیا او نیز اراده را لا فی المکان می‌داند یا دیدگاه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 از شمول اراده، ارتباط ارادۀ ذاتی خداوند با علم و حکمت در گزارش پیشین از قاضی عبدالجبار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دادۀ تاریخی اگرچه در گزارش اشعری نمودی ندارد، اما مهم است، چراکه می‌تواند چونان آغازی برای تلقی‌های فلسفی آیندگان به اراده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این‌همانیِ ارادۀ ذاتی با علم ذاتی در دیدگاه بِشر، به علمِ خیر و صلاحی بازگشت داده شده است که تداعی‌کنندۀ علم خداوند به نظام اصلحِ فلاسفۀ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نیز به تصریح اشاره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صفة الذات؛ فهی أن اللّه تعالی لم یزل مریداً لجمیع أفعاله، و لجمیع الطاعات من عباده، فإنه حکیمٌ و لا یجوز أن یعلم الحکیم صلاحاً و خیراً و لا یریده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بدین صورت نشان داده باشد در نظر بِشر بن معتمر، اراده در مقام ذات چه ربط و نسبتی با حکمت و طبعاً علم به خیر و صلاح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نشان دهیم مهم‌ترین انگیزۀ بشر برای ایرادِ صریح نظریه‌ای مبنی بر دوساحتی دانستن اراده در ذات و فعل، احتراز از معاصی بندگان و انتساب آن‌ها به خداوند بوده است، چندان به کار نمی‌آید، بلکه آنچه شایستۀ توجه است آن است که بِشر بن معتمر هرچند ارادۀ ذاتی را به علم و حکمت تحویل برده، اما هم‌چنان برای اراده، حقیقتی عینی قائل است و کارکرد آن در حوزۀ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سو، بعید نیست اقرار به وجود صفتی حقیقی و ذاتی همچون اراده، در تعارض با میل غالب و عمومی جریان اعتزال بغدادی دیده شده باشد که عمدتاً می‌کوشد صفات الهی را به</w:t>
      </w:r>
      <w:bookmarkStart w:id="149" w:name="pg3253_17337"/>
    </w:p>
    <w:p>
      <w:pPr>
        <w:pStyle w:val="BookText"/>
        <w:rPr/>
      </w:pPr>
      <w:bookmarkEnd w:id="149"/>
      <w:r>
        <w:rPr>
          <w:rFonts w:ascii="IRNazanin" w:hAnsi="IRNazanin" w:eastAsia="IRNazanin"/>
          <w:color w:val="111111"/>
          <w:sz w:val="28"/>
          <w:sz w:val="28"/>
          <w:szCs w:val="28"/>
          <w:rtl w:val="true"/>
          <w:lang w:bidi="fa-IR"/>
        </w:rPr>
        <w:t xml:space="preserve">دو صفت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همین رو امثال نظّام، جاحظ و کعبی در صدد انکار حقیقیت اراده در رتبۀ ذات برآمده و آن را مجاز دانسته‌اند</w:t>
      </w:r>
      <w:r>
        <w:rPr>
          <w:rFonts w:eastAsia="IRNazanin" w:cs="IRNazanin"/>
          <w:color w:val="111111"/>
          <w:sz w:val="28"/>
          <w:szCs w:val="28"/>
          <w:rtl w:val="true"/>
          <w:lang w:bidi="fa-IR"/>
        </w:rPr>
        <w:t>.</w:t>
      </w:r>
    </w:p>
    <w:p>
      <w:pPr>
        <w:pStyle w:val="Heading4"/>
        <w:numPr>
          <w:ilvl w:val="3"/>
          <w:numId w:val="1"/>
        </w:numPr>
        <w:rPr/>
      </w:pPr>
      <w:bookmarkStart w:id="150" w:name="__RefHeading___Toc2030997_2749589250"/>
      <w:bookmarkStart w:id="151" w:name="_Toc58"/>
      <w:bookmarkEnd w:id="150"/>
      <w:r>
        <w:rPr/>
        <w:t>3</w:t>
      </w:r>
      <w:r>
        <w:rPr>
          <w:rtl w:val="true"/>
        </w:rPr>
        <w:t xml:space="preserve">. </w:t>
      </w:r>
      <w:r>
        <w:rPr>
          <w:rtl w:val="true"/>
        </w:rPr>
        <w:t>نظّام، کعبی و جاحظ و انکار ارادۀ الهی</w:t>
      </w:r>
      <w:bookmarkEnd w:id="151"/>
    </w:p>
    <w:p>
      <w:pPr>
        <w:pStyle w:val="BookText"/>
        <w:rPr/>
      </w:pPr>
      <w:r>
        <w:rPr>
          <w:rFonts w:ascii="IRNazanin" w:hAnsi="IRNazanin" w:eastAsia="IRNazanin"/>
          <w:color w:val="111111"/>
          <w:sz w:val="28"/>
          <w:sz w:val="28"/>
          <w:szCs w:val="28"/>
          <w:rtl w:val="true"/>
          <w:lang w:bidi="fa-IR"/>
        </w:rPr>
        <w:t>نظّام از بزرگ‌ترین شاگردان ابوهذیل و آشنا با اندیشههای فلسفی بوده که در تحلیل باورهای او نباید از آن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دربارۀ دیدگاه نظام دربارۀ اراده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الباری تعالی لیس موصوفاً بها علی الحقیقة؛ فإذا وصف بها شرعاً فی أفعاله، فالمراد بذلک أنه خالقها و منشئها علی حسب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وصف بکونه مریدا لأفعال العباد، فالمعنی به أنه آمر بها و ناه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خبر، باورمندی به خدای مرید از آن روست که شارع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تا اندازۀ قابل توجهی با تلقی شیخ مفید در امامیه هماهنگ، بلکه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نظّام در این‌که مقصود از ارادۀ خداوند در افعالش،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سرمنشأ آن بر اساس علمش باشد، با نظریۀ ابوهذیل و بِشر بن معتمر هماهنگ است؛ همان‌طور که همانند این دو معتقد است، منظور از ارادۀ خداوند در حوزۀ اعمال انسان، معنایی غیر از امر و نهی یا همان ارادۀ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نیز اشاره می‌کند که انتساب اراده به خداوند در نظر نظّام، به معنای فعل، امر و یا حکم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اما، کعبی را نیز هماهنگ و هم‌عقیده با نظّام معرفی کرده که اعتقاد خویش به اراده را از او اخذ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در حمایت از دیدگاه نظّام، دو برهان ارائه می‌کند که گزارش پیشینِ شهرستانی دربارۀ نظّام را بیشتر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کرده که اراده تنها در انسان میتواند تحلیل‌پذیر باشد، چراکه منشأ حقیقی اراده، بیاطلاعی و عدم آگاهی انسان به زوایای مختلف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دل الاختصاص علی الإرادة فی الشاهد؛ لأن الفاعل لا یحیط علما بکل الوجوه فی الفعل و لا بالمغیب عنه و لا بالوقت و المقدار، فاحتاج إلی قصد و عزم إلی تخصیص وقت دون وقت و مقدار دون مقدار؛ و البارئ تعالی عالم بالغیوب، مطلع علی سرائرها و أحکامها، فکان علمه بها مع القدرة علیها کافیا عن الإرادة و القصد إلی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لما علم أنه یختص کل حادث بوقت و شکل و قدرة فلا یکون إلا ما علم، فأی حاجة به إلی القصد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الإرادة لو تحققت فإما أن تکون سابقة علی الفعل أو حادثة مع الفعل، فإن کانت سابقة، فهی عزیمة، و العزم لا یتصور إلا فی حق من یتردد</w:t>
      </w:r>
    </w:p>
    <w:p>
      <w:pPr>
        <w:pStyle w:val="BookText"/>
        <w:rPr/>
      </w:pPr>
      <w:r>
        <w:rPr>
          <w:rFonts w:ascii="IRNazanin" w:hAnsi="IRNazanin" w:eastAsia="IRNazanin"/>
          <w:color w:val="111111"/>
          <w:sz w:val="28"/>
          <w:sz w:val="28"/>
          <w:szCs w:val="28"/>
          <w:rtl w:val="true"/>
          <w:lang w:bidi="fa-IR"/>
        </w:rPr>
        <w:t>فی شی‌ء، ثم أزمع علیه أو انتهی عن شی‌ء ثم أقبل إلیه، و إن کانت مقارنة، فهی إما أن تحدث فی ذاته، أو فی محل، أو لا فی ذاته و لا فی محل، و الأقسام الثلاثة باطلة بما سبق بطلانه، فتعین أن الإرادة للقدیم سبحانه لا معنی لها إلا کونه عالماً قادراً فاعلاً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خوانده شد، اراده در انسان به معنای لغویِ قصد و عزم دیده شده که منشأ آن نیز بی‌اطلاعی و عدم آگاهی انسان دانسته شده است؛ اما چون همین منشأ در خداوند وجود ندارد و خداوند عالمِ بر همه‌چیز است و در کنار آن، قدرت بر همه کار نیز دارد، طبعاً قصد، عزم و اراده‌ای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می‌توان دید که نظّام، تمام ظرفیتی را که از اراده مورد انتظار است، در علم و قدرت الهی خلاصه می‌بیند و از همین رو هم خداوند را ذاتاً و حقیقتاً مرید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دربارۀ اراده خداوند، نخستین نقطۀ اشتراک دیدگاه نظّام با کعبی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گزارشی دربارۀ نظّام دارد که منافاتی با اقوال پیش‌گفته ندارد، چراکه این اقوال ارادۀ ذاتی خداوند را نفی میکند و مرید بودن خداوند را در آن مقام مجاز میداند، اما میتوان گفت این گزارش اشعری در واقع نشان‌دهندۀ ارادۀ فعلی خداوند از دیدگاه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اشعری از دیدگاه نظّام و اصحابش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الفرقة الرابعة اصحاب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أنّ الوصف بأنّه مریدٌ لتکوین الاشیاء معناه أنّه کوّنها و إرادته للتّکوین هی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الوصف له بأنه مرید لافعال عباده معناه أنه آمر بها و الأمر بها غیرها، قال و قد نقول أنه مرید الساعة أن یقیم القیامة و معنی ذلک انه حاکم بذلک مخبر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 تئوری ابوهذیل از سه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جمعِ اراده با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ارادۀ فعلی خداوند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معتمر نیز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رویکردها بعد از امر، فعل مصدری تکوین و پس از تکوین، مراد و مکوّن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دوباره نیست که در این فرآیند، اراده هم با فعل به معنای مصدری و هم به معنای حاصل مصدری آن، متفاوت و ممتاز است و حقیقتی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معتزلیانِ پیش از نظّام، این فرایند کامل است و درآن اراده، زائد بر ذات و غیر از تکوین و مراد است؛ اما از نظّام به بعد، اراده به ذات منتقل شده و ارادۀ فعلی به مراد تحویل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 نظّام، به جای اراده، امر و مراد، با سه‌گانۀ جدیدی هم‌چون ذات،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که در آن ارادۀ تکوینِ شیء، چیزی جز خودِ تکوین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تحلیل نظّام از اراده، وصف خدا به مرید بودن، چیزی جز إراده به معنای مصدری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نظّام، فعل تنها به معنای مصدری ـ و نه حاصل مصدر ـ است و این‌که</w:t>
      </w:r>
    </w:p>
    <w:p>
      <w:pPr>
        <w:pStyle w:val="BookText"/>
        <w:rPr/>
      </w:pPr>
      <w:r>
        <w:rPr>
          <w:rFonts w:ascii="IRNazanin" w:hAnsi="IRNazanin" w:eastAsia="IRNazanin"/>
          <w:color w:val="111111"/>
          <w:sz w:val="28"/>
          <w:sz w:val="28"/>
          <w:szCs w:val="28"/>
          <w:rtl w:val="true"/>
          <w:lang w:bidi="fa-IR"/>
        </w:rPr>
        <w:t xml:space="preserve">خدا اراده کرده چیزی را ایجاد کند، در واقع 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خدا دربارۀ افعالش، عین فعلِ خلق و آفرینش آن‌هاست و از آن سو دربارۀ افعال بندگانش، عین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معتقد است، ممکن است به خداوند نسبت داده شود که واقعه‌ای را در آینده اراده کرده است، اما این تنها بدین معناست که بر وقوع آن حکم کرده و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کعبی اگرچه همانند تمام معتزلیان اراده را در انسان حقیقتاً ثابت می‌دانند، اما مجموع ادلۀ پیش‌گفته، ایشان را بدین سو رهنمون ساخته بود که اساساً منکر امری به عنوان ارادۀ خداوند باشند و آن را در مرتبۀ ذات، به علم، و در مرتبۀ فعل، به شی‌ء مکوّن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خود تأکید داشت که بحث از ارادۀ خداوند، تنها از آن سوست که در لسان شارع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چنین باور داشت که اگر در زبان شرع، خداوند را مرید خوانده‌اند، بدان معناست که او خالق و ایجادکنندۀ افعال خویش است و اگر بگویند خداوند فعلی را از بندگان خود اراده می‌کند، به معنای آن است که آنان را به آن فعل مأمور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جاحظ نیز در انکارِ اصل اراده با نظّام و کعبی هم‌داستان است، اما برخلاف این دو، چنین دیدگاهی را دربارۀ مطلقِ فاعل ـ و نه تنها خداوند ـ ساری و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بودن اراده را نمی‌پذیرد، چراکه از نظّام، پای را فراتر می‌نهد و دیدگاه او را دربارۀ مطلق فاعل جاری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أنکر أصل الإرادة و کونها جنسا من الأعراض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السهو عن الفاعل، و کان عالما بما یفعله فهو المرید علی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جاحظ، فاعلی است که به آنچه انجام می‌دهد عالم است و غفلت و فراموشی از آن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هم، قاضی عبدالجبار در دیدگاه او از ارادۀ الهی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مریدٌ بمعنی أنّ السهو منه فی أفعاله و الجهل بها لا یجوز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المغنی،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آمدی در تلقی او از ارادۀ انسان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الإنسان غیر غافل، و لا ساه عما یفعله، بل إن کان عالما به؛ فهو معنی کونه مریدا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bookmarkStart w:id="152" w:name="pg3253_17340"/>
    </w:p>
    <w:p>
      <w:pPr>
        <w:pStyle w:val="BookText"/>
        <w:rPr/>
      </w:pPr>
      <w:bookmarkEnd w:id="152"/>
      <w:r>
        <w:rPr>
          <w:rFonts w:ascii="IRNazanin" w:hAnsi="IRNazanin" w:eastAsia="IRNazanin"/>
          <w:color w:val="111111"/>
          <w:sz w:val="28"/>
          <w:sz w:val="28"/>
          <w:szCs w:val="28"/>
          <w:rtl w:val="true"/>
          <w:lang w:bidi="fa-IR"/>
        </w:rPr>
        <w:t>این همه نشان می‌دهد، در نظر جاحظ نیز اراده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رویکرد، معنای محصلی از اراده، چه در خداوند و چه در انسان به دست نمی‌دهد و تنها معنای سلبی از اراده را مخابره می‌کند</w:t>
      </w:r>
      <w:r>
        <w:rPr>
          <w:rFonts w:eastAsia="IRNazanin" w:cs="IRNazanin"/>
          <w:color w:val="111111"/>
          <w:sz w:val="28"/>
          <w:szCs w:val="28"/>
          <w:rtl w:val="true"/>
          <w:lang w:bidi="fa-IR"/>
        </w:rPr>
        <w:t>.</w:t>
      </w:r>
    </w:p>
    <w:p>
      <w:pPr>
        <w:pStyle w:val="Heading4"/>
        <w:numPr>
          <w:ilvl w:val="3"/>
          <w:numId w:val="1"/>
        </w:numPr>
        <w:rPr/>
      </w:pPr>
      <w:bookmarkStart w:id="153" w:name="__RefHeading___Toc2030999_2749589250"/>
      <w:bookmarkStart w:id="154" w:name="_Toc59"/>
      <w:bookmarkEnd w:id="153"/>
      <w:r>
        <w:rPr/>
        <w:t>4</w:t>
      </w:r>
      <w:r>
        <w:rPr>
          <w:rtl w:val="true"/>
        </w:rPr>
        <w:t xml:space="preserve">. </w:t>
      </w:r>
      <w:r>
        <w:rPr>
          <w:rtl w:val="true"/>
        </w:rPr>
        <w:t>جبائیان و امتداد نظریۀ مشهور معتزلۀ متقدم در قاضی عبدالجبار</w:t>
      </w:r>
      <w:bookmarkEnd w:id="154"/>
    </w:p>
    <w:p>
      <w:pPr>
        <w:pStyle w:val="BookText"/>
        <w:rPr/>
      </w:pPr>
      <w:r>
        <w:rPr>
          <w:rFonts w:ascii="IRNazanin" w:hAnsi="IRNazanin" w:eastAsia="IRNazanin"/>
          <w:color w:val="111111"/>
          <w:sz w:val="28"/>
          <w:sz w:val="28"/>
          <w:szCs w:val="28"/>
          <w:rtl w:val="true"/>
          <w:lang w:bidi="fa-IR"/>
        </w:rPr>
        <w:t>از آنچه گفته شد می‌توان گفت، مجموعاً در دوران نخستین تفکر معتزله، سه ایده و نظریۀ متفاوت در تبیین ارادۀ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از این ایده‌ها، می‌توان گفت دسته‌ای از این جریان، خداوند را حقیقتاً مرید نمی‌دانسته و اطلاق این صفت را بر خداوند مجازی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گروه، اراده چیزی جز همان مراد دانسته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در این رویکرد، ارجاع اراده به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دسته‌ای از معتزلیانند که حقیقتاً خداوند را مرید می‌دانند و معتقدند اراده، غیر از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اخیر، دیدگاهی است که از سوی قاطبۀ جریان اعتزال مورد قبول قرار گرفت و اندیشمندان سترگ و پسینی این جریان همچون جبائیان و قاضی عبد‌الحبار در تقویت آن 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شیخانا أبوعلی و أبوهاشم ـ رحمهما اللّه ـ و سائر من تبعهما أنه تعالی مرید فی الحقیقة، و أنه یحصل مریداً بعد ما لم یکن، إذا فعل الإرادة؛ و أنه یرید بإرادة محدثة، و لا یصح أن یرید لنفسه و لا بإرادة قدیمة، و أن ارادته توجد لا فی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امری غیر از ذات، غیر از علم و غیر از قدرت است و در شمار صفاتِ فعل خداوند جای می‌گیرد؛ ثانیاً، این اراده حادث است و خداوند تعالی مرید به ارادۀ قدیم نیست؛ و ثالثاً، ارادۀ خداوند حادث لا فی المحل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در المغنی کوشیده است برای هر یک از این سه رکن اساسی پیش‌گفته، از طریق نقض و الزام، براهین گوناگونی را جمع، تدوین و ارائه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نیز همچون جریان عمومی اعتزال تا آن دوره، اراده را عَرَض می‌داند؛ همان‌گونه که کراهت را چنین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این دو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فالإرادة هو ما یوجب کون الذات مریداً، و الکراهة ما یوجب کونه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منا إذا رجع إلی نفسه فصّل بین أن یکون علی هذه الصفة و بین أن یکون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غیرها من الصافات، و أجلی الأمور ما یجده الإنسان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bookmarkStart w:id="155" w:name="pg3253_17341"/>
    </w:p>
    <w:p>
      <w:pPr>
        <w:pStyle w:val="BookText"/>
        <w:rPr/>
      </w:pPr>
      <w:bookmarkEnd w:id="155"/>
      <w:r>
        <w:rPr>
          <w:rFonts w:ascii="IRNazanin" w:hAnsi="IRNazanin" w:eastAsia="IRNazanin"/>
          <w:color w:val="111111"/>
          <w:sz w:val="28"/>
          <w:sz w:val="28"/>
          <w:szCs w:val="28"/>
          <w:rtl w:val="true"/>
          <w:lang w:bidi="fa-IR"/>
        </w:rPr>
        <w:t>او به انتقال این محتوا اهتمام دارد که انسان‌ها هنگامی که اراده می‌کنند با هنگامی که مرید نیستند، دو حالت متفاوت دارند و با این بیان می‌کوشد اراده را در انسان‌ها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پس از اثبات اراده در شاهد، بر پایۀ اعتماد به قیاس غایب بر شاهد، دربارۀ اراده خداوند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ارادۀ خداوند، نه قدرت خداوند است و نه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ما انسان‌ها، علم و قدرت با اراده متفاوت است؛ همین داستان را می‌توان برای ارادۀ خداوند در نظر داشت و اراده را در خدای مرید، هم‌سان و هم‌معنا با اراده در انسان مرید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همین منوال معتقد است، همین که فعلی را خداوند انجام می‌دهد و یا انجام نمی‌دهد، حاکی از این است که مخصصی نیاز است و این مخصص همان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در ادامۀ بحث برای ما مفید خواهد بود که تا این دوره، اراده در نظریۀ عمومی و رایج معتزله همچنان از مقوله علم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جنس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العلم، لأنه اعتقاد واقع علی وجه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اما، میان معتزله متأخر به شکل دیگری امتداد یافت</w:t>
      </w:r>
      <w:r>
        <w:rPr>
          <w:rFonts w:eastAsia="IRNazanin" w:cs="IRNazanin"/>
          <w:color w:val="111111"/>
          <w:sz w:val="28"/>
          <w:szCs w:val="28"/>
          <w:rtl w:val="true"/>
          <w:lang w:bidi="fa-IR"/>
        </w:rPr>
        <w:t>.</w:t>
      </w:r>
    </w:p>
    <w:p>
      <w:pPr>
        <w:pStyle w:val="Heading3"/>
        <w:numPr>
          <w:ilvl w:val="2"/>
          <w:numId w:val="1"/>
        </w:numPr>
        <w:rPr/>
      </w:pPr>
      <w:bookmarkStart w:id="156" w:name="__RefHeading___Toc2031001_2749589250"/>
      <w:bookmarkStart w:id="157" w:name="_Toc60"/>
      <w:bookmarkEnd w:id="156"/>
      <w:r>
        <w:rPr>
          <w:rtl w:val="true"/>
        </w:rPr>
        <w:t>معتزلیان متأخر و ارادۀ خداوند</w:t>
      </w:r>
      <w:bookmarkEnd w:id="157"/>
    </w:p>
    <w:p>
      <w:pPr>
        <w:pStyle w:val="Heading4"/>
        <w:numPr>
          <w:ilvl w:val="3"/>
          <w:numId w:val="1"/>
        </w:numPr>
        <w:rPr/>
      </w:pPr>
      <w:bookmarkStart w:id="158" w:name="__RefHeading___Toc2031003_2749589250"/>
      <w:bookmarkStart w:id="159" w:name="_Toc61"/>
      <w:bookmarkEnd w:id="158"/>
      <w:r>
        <w:rPr>
          <w:rtl w:val="true"/>
        </w:rPr>
        <w:t>اشاره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پاره‌ای از معتزله که عملکردشان د ر هماهنگی عقل و د ین، با معتزلۀ پیش از خود به مقدار قابل توجهی تفاوت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متقدم و متأخر هرچند در تقدمِ عقل بر دین هم‌داستانند، اما د ر چگونگی نسبتِ د ین با عقل، طریق واحد ی نپیمود ه و یکسان میان آن د و د اوری نکرد 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معتزلیان متقدم، اگرچه در مسائل نظری و مشکلات عملی، حقّ د اوری به عقل سپرده می‌شد و احکام از مصالح و مفاسد تبعیت می‌کردند، اما د ر قلمرو د یانت، تسلیمِ د ین و پای‌بندی به وحی نیز امری مورد توجه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رویکردِ معتزلۀ متقدم به استد لال‌ورزی‌های عقلی را نباید صرفاً متأخر از جریان‌های معرفتی‌ای دانست که بیرون از چارچوب تعالیم وحیانی وارد جامعۀ مسلمین شد ه بود، بلکه شالود ه‌های عقل‌مداری این گروه را در نخستین گام، باید د ر عقلانیت موجود د ر کتاب و سنت پی گرفت؛ این در حالی است که در دورۀ متأخر از تفکر اعتزالی، مواجهه با فلسفه‌ها و تعامل با آرا و اند یشه‌های د یگر مسالک، تمایل به پرد ازشِ نظامی فکری و مستقل از د یانت را د ر میان آن‌ها برانگیخت</w:t>
      </w:r>
      <w:r>
        <w:rPr>
          <w:rFonts w:eastAsia="IRNazanin" w:cs="IRNazanin"/>
          <w:color w:val="111111"/>
          <w:sz w:val="28"/>
          <w:szCs w:val="28"/>
          <w:rtl w:val="true"/>
          <w:lang w:bidi="fa-IR"/>
        </w:rPr>
        <w:t>.</w:t>
      </w:r>
      <w:bookmarkStart w:id="160" w:name="pg3253_17342"/>
    </w:p>
    <w:p>
      <w:pPr>
        <w:pStyle w:val="BookText"/>
        <w:rPr/>
      </w:pPr>
      <w:bookmarkEnd w:id="160"/>
      <w:r>
        <w:rPr>
          <w:rFonts w:ascii="IRNazanin" w:hAnsi="IRNazanin" w:eastAsia="IRNazanin"/>
          <w:color w:val="111111"/>
          <w:sz w:val="28"/>
          <w:sz w:val="28"/>
          <w:szCs w:val="28"/>
          <w:rtl w:val="true"/>
          <w:lang w:bidi="fa-IR"/>
        </w:rPr>
        <w:t xml:space="preserve">میان معتزلیان متقد م، رجوع به فلسفه و بهره‌مند ی از نظام فکری آن، به منزلۀ منبعِ فهم و معرفت انسان به حساب نمی‌آمد، بلکه صرفاً نقش ابزاری د ر عرصۀ مباحثات و مجاد لات کلامی را برای ایشان بازی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متأخران از معتزله، عقل را به مثابۀ منبع مستقل معرفتی اتخاذ کردند و با کاربست آموزه‌های فلسفی د ر تفسیر و تبیین آموزه‌های د ینی و حتی شناخت جهان، انسان و جامعه، تا آن‌جا پیش رفتند که به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این چرخشِ روش‌شناسانه اما، چیزی نبود جز تفاسیرِ فلسفی از آموزه‌های د ینی‌ای که پیش‌تر در بین متقدمان از معتزله، با رجوع به قرآن و روایات نبوی به روش عقلی تبیین و تفسیر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تغییر منهج، در تفسیر ارادۀ خداوند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اشاره شد که نظریه‌پردازی در این موضوع میان معتزله، فی الجمله مسیری یکسان را می‌پیمود و هم‌داستانی شیوخ معتزله بصره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فعل بودن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در جمع‌بندی دیدگاه مشایخ خویش تأکید می‌کند که تمامی متکلمان معتزلی، اراده را صفتی زاید بر ذات الهی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دیدگاه از زمان ابو‌الحسین بصری به بعد متحول شد و صورتی دیگر به خود گرفت</w:t>
      </w:r>
      <w:r>
        <w:rPr>
          <w:rFonts w:eastAsia="IRNazanin" w:cs="IRNazanin"/>
          <w:color w:val="111111"/>
          <w:sz w:val="28"/>
          <w:szCs w:val="28"/>
          <w:rtl w:val="true"/>
          <w:lang w:bidi="fa-IR"/>
        </w:rPr>
        <w:t>.</w:t>
      </w:r>
    </w:p>
    <w:p>
      <w:pPr>
        <w:pStyle w:val="Heading4"/>
        <w:numPr>
          <w:ilvl w:val="3"/>
          <w:numId w:val="1"/>
        </w:numPr>
        <w:rPr/>
      </w:pPr>
      <w:bookmarkStart w:id="161" w:name="__RefHeading___Toc2031005_2749589250"/>
      <w:bookmarkStart w:id="162" w:name="_Toc62"/>
      <w:bookmarkEnd w:id="161"/>
      <w:r>
        <w:rPr>
          <w:rtl w:val="true"/>
        </w:rPr>
        <w:t>ابوالحسین بصری و استقبال از دیدگاه فلاسفه</w:t>
      </w:r>
      <w:bookmarkEnd w:id="1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نقطۀ عطفی در تاریخ کلام معتزله قلمداد می‌شود تا کلامِ پس از او را کلامِ معتزلۀ متأخر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چرخش‌های معرفتی و به‌کارگیری روش‌های فلسفی و ادبیاتِ این دانش در تبیین و اثبات آموزه‌های کلامی، به میزان قابل توجهی از سوی این فرد در مسیر اندیشه‌ورزی معتزلیان سو گرفت و نه تنها متکلمان معتزلی پس از او، که بسیاری دیگر از اندیشمندان شیعه نیز هم‌نوای با او این مسیر را امتداد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 خوارزمی که میراث‌بر قابل توجهی برای اندیشه‌های ابوالحسین می‌تواند باشد، در دو کتاب کلامی‌اش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فی اصول الدین و الفائق فی اصول الدین بسیاری از اندیشه‌های ابوالحسین را مطرح و خود را متأثر از او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موارد حتی به الفاظ و عبارات ابوالحسین وفادار بوده و همان اسلوب را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غیر از دو کتاب ملاحمی،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نخستین متکلمی است که به صورت گسترده به آرای ابوالحسین بصری و ملاحمی عنایت داشته و در آثارش از آن دو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متکلمان مشهور اشعری‌مسلک، و پاره‌ای از متکلمان امامیه همچون خواجه و علامه حلی نیز آرا و اندیشه‌های ابوالحسین و گاهی ملاحمی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نیز چنین است که بر پایۀ همین منابع، دیدگاه ابوالحسین را بکاویم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اراده اما، اگرچه از پیشینیان معتزله تنها نظّام و جاحظ، اراده را به علم تحویل می‌برند و منکر حقیقتی همچون اراده در خدا و انسان بوده و آن را مجاز می‌شمرند، اما تنها از ابوالحسین به بعد است که در بین معتزله، اراده‌ای را که از علم و قدرت متمایز می‌دانستند، رسماً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اگرچه ابوالحسین بصری را در پردازش این ایدۀ جدید میان معتزله، وام‌دار ابواسحاق نوبختی </w:t>
      </w:r>
      <w:r>
        <w:rPr>
          <w:rStyle w:val="FootnoteAnchor"/>
          <w:rtl w:val="true"/>
        </w:rPr>
        <w:footnoteReference w:id="28"/>
      </w:r>
      <w:r>
        <w:rPr>
          <w:rFonts w:ascii="IRNazanin" w:hAnsi="IRNazanin" w:eastAsia="IRNazanin"/>
          <w:color w:val="111111"/>
          <w:sz w:val="28"/>
          <w:sz w:val="28"/>
          <w:szCs w:val="28"/>
          <w:rtl w:val="true"/>
          <w:lang w:bidi="fa-IR"/>
        </w:rPr>
        <w:t>می‌داند، با این حال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ابوالحسین البصری، فجعل الإرادة هی الداعی و الداعی نوع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کشف المراد نیز دیدگاه ابوالحسین در اراده را مشخصاً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در تبیین آن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فأبوالحسین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الداعی، علی معنی أن علمه تعالی بما فی الفعل من المصلحة الداعیة إلی الإیجاد هو المخصص و الإرادة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اما، جدای از آن‌که به لازمه و نتیجۀ اراده در نظر ابو‌الحسین توجه می‌دهد، از فحوایِ علمی که داعی به آن تعریف شده نیز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خبر از علامه اگرچه اراده را به مطلق علم می‌شناساند، اما دومین گزارش، حاوی این پیام است که منظور از این علم، نه مطلق علم، بلکه علمِ به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فخر رازی در نهایة العقول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المعتمد الی انه لا معنی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الداعی و ذلک فی حقنا هو العلم باشتمال الفعل علی مصلحة او اعتقاد ذلک او ظن ذلک، و الله تعالی لما استحال فی حقه الاعتقاد و الظن فلا‌جرم انه لا معنی للداعی و الصارف فی حقه الا علمه بشتمال الفعل علی المصلحة و 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نه تنها ابو‌الحسین، بلکه بیشتر هم‌فکران او ـ که اراده را به داعی و داعی را به علم تبیین و تفسیر کرده‌اند ـ بین آن دو، در خدا و انسان تفاوت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این فرق‌گذاری را باید در استدلال بر این موضوع یافت که بر پایۀ آن تنها علمی به خداوند منسوب می‌شود که احتمال خطا در آن وجود نداشته باشد، و از آن جهت که این خصلت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مصلحت وجود دارد، لذا باید داعی را در خداوند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مصلحتِ در فعل ترجمه کرد که در آن احتمال خطا به صفر می‌رسد؛ این در حالی است که در انسان‌ها علاوه بر این علم، حضور یک نوع میل نیز مطرح است که به تبعِ علمِ فاعل به فعل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ملاحمی خوارزمی،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خصیصه است که بر پایۀ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و انسان فرق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به این نکته توجه داده که مشخصاً در نظر ابو‌الحسین بصری، داعی و اراده در خداوند یگانه‌اند، اما در انسان‌ها اراده زاید بر داعی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حکم بکون الارادة زائدة علی الداعی و الصارف فی الشاهد، و نفاها فی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ابوالحسین و دیگر معتزلیانی که اراده را صفتی زاید بر داعی و علمِ خداوند به مصلحتِ فعل می‌دانستند، فاصله می‌گذارد و مذهب ابوالحسین را از پیشینیانش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ابوالحسین در یک چرخش فکری، اراده را با داعی مساوی و مساوق گرفته، در حالی که معتزلیان پیش از او، اراده را هم در خدا و هم در انسان، امری زائد بر داعی و علم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البته در این میان، پرسشی اساسی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ابوالحسین از نظریۀ رسمی اعتزالِ بصری عدول می‌کند و اراده را به داعی تحویل می‌برد؟ این پرسش کاملاً جدی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پاسخ این پرسش را باید در چالش‌های معرفتی فلاسفه و متکلمان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عمدتاً ریشه در تبیین‌های متفاوت دو گروه متکلمان و فیلسوفان از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معتقدان به ارادۀ الهی باید به این مسئله پاسخ دهند که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البته پاسخ فلاسفه و متکلمان به این دو پرسش،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چرخش فکری ابو‌الحسین نیز برخاسته از چالش‌های معرفتی این دو گروه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دیدگاه فلاسفه در نظام علیت ترجمه و تفسیر می‌شود و نهایتاً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در نظام تأثیر و تأثر در عالم، بین انحای مختلف اثر، تفاوت جوهری قائل</w:t>
      </w:r>
    </w:p>
    <w:p>
      <w:pPr>
        <w:pStyle w:val="BookText"/>
        <w:rPr/>
      </w:pPr>
      <w:r>
        <w:rPr>
          <w:rFonts w:ascii="IRNazanin" w:hAnsi="IRNazanin" w:eastAsia="IRNazanin"/>
          <w:color w:val="111111"/>
          <w:sz w:val="28"/>
          <w:sz w:val="28"/>
          <w:szCs w:val="28"/>
          <w:rtl w:val="true"/>
          <w:lang w:bidi="fa-IR"/>
        </w:rPr>
        <w:t xml:space="preserve">نبودند؛ اما متکلمان، با دو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تأثیر و تأثر سخن می‌گفتند و مناط جدا‌سازی این دو الگو را،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محقق ساختن افعال باز‌می‌گرداندند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کلام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فعلِ آن فاعل نیز اختیاری محسوب می‌شد و بر همین اساس، فعل اختیاری را به گونه‌ای تعریف می‌کردند که مؤثر، آزادانه بتواند در جهت تحقق فعل عمل کند؛ لذا در تعریف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هو الحادثُ علی جهۀ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تعاریف، جواز و قدرت انجام فعل بود، چراکه ایشان در تعریف قدرت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تأکید کرده باشند صحت، همان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بیان متکلمان در معنای فعل، بر فاعلیتی استوار بود که مبتنی بر قدرت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تاریخ فکر و اندیشه نشان داده است که میان متکلمان و فیلسوفان، دست‌کم در سه حوزه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و کشمکش وجود داشته است؛ نخست چرایی فعل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تحقق 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دوم را فرآیند فعل پوشش می‌دهد،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چگونه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سوم، بررسی عامل تحقق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فعل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چه دربارۀ فعلِ انسان و چه دربارۀ فعلِ خداوند، سال‌ها میان اهل فلسفه و کلام مطرح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فعل الهی و سبب تحقق آن، مهم‌ترین پرسش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تحقق فعل، چیزی غیر از صفاتِ ذاتی خداوند لازم است؟ این پرسش را فلاسفه بیشتر از متکلمان ارج نهاده و بدان پرداخته‌اند، چراکه موضع‌گیری ایشان در چگونگی صدور فعل از فاعل، بازبستۀ تعیین موضع در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اهل کلام، این پرسش پاسخ روشنی دارد، چراکه از نظر آنان فعل، به صرف وجود صفات ذات حاصل‌شدنی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متکلم گرچه با نبودن علم و قدرت، فعل تحقق پیدا نمی‌کند، اما این بدین معنا هم نیست که علم و قدرت برای تحقق فعل کافی</w:t>
      </w:r>
    </w:p>
    <w:p>
      <w:pPr>
        <w:pStyle w:val="BookText"/>
        <w:rPr/>
      </w:pPr>
      <w:r>
        <w:rPr>
          <w:rFonts w:ascii="IRNazanin" w:hAnsi="IRNazanin" w:eastAsia="IRNazanin"/>
          <w:color w:val="111111"/>
          <w:sz w:val="28"/>
          <w:sz w:val="28"/>
          <w:szCs w:val="28"/>
          <w:rtl w:val="true"/>
          <w:lang w:bidi="fa-IR"/>
        </w:rPr>
        <w:t>است، بلکه به امر دیگری غیر از علم و قدرت نیاز است که حقیقت فعل با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از دیدگاه متکلمان،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 دیگری برای متکلم مطرح بود که اگر اراده از صفات ذات نیست، ارتباط آن با ذات چگونه است؟ گزارش فخر رازی از دیدگاه‌های مختلف در این زمینه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 دسته‌بندی، از دو دیدگاه معنا‌شناسانه در اراده خبر داده است که گروهی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می‌کرده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فعلی است که از روی غلبه و اکراه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متکلمان برای اراده،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نظریۀ وجود‌شناسانۀ متکلمان را هم بدین مضمون وانمون کرده که اراده در نظر مثبتین، یا ذاتی بود و یا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معدودی خدا را لذاته مرید می‌دانستند، اما بیشتر اندیشمندان در گروه دیگری جای می‌گیرند که در نگاه آنان، اراده امری ثبوتی و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این رویکرد در زیادت اراده بر ذات، با یکدیگر اختلافی نداشتند، اما پاره‌ای همچون اشاعره آن را امری قدیم، کرامیان اراده را حادثِ در ذات و عموم معتزلۀ بصره، اراده را امری زاید بر ذات، قائم بذات و لا فی محل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در مقابل نظریۀ اشاعره که اراده را قدیم معرفی می‌کردند، تأکید داشتند اراده امری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معتزلیان بر این باور، توالی فاسد دیدگاه قدیم‌انگاری اراده، همچون تعدد قدما، پذیرش جبر و ترکیب در ذات بود که آنان را از این دیدگاه دور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نقطه اشتراک بیشتر نظریه‌پردازان معتزلی، آن بود که اراده امری حادث است؛ به عبارتی فعل خدا، که منشأ آن اراده است، حادث است؛ پس اراده می‌تواند متصف به حدوث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داستان بدین شکل امتداد نیافت، چراکه معتزلیان متأخر در پاره‌ای از مباحث دقیق الکلام، دیدگاه‌های جریان بهشمیه و معتزلیان متقدم را کنار گذاشته و تمایلاتی به فلسفۀ مشاء نشان دادند؛ برای مثال، ورود مباحث وجود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ملاحمی خوارزمی، تحفة 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 معنای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بهره‌گیری از اصطلاحاتی فلسفی مانند ممکن الوجود و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نظریه سنتی معتزله در شیئیت معدوم و پذیرش دیدگاه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 خوبی برای این اقبال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تغییرات گاه سبب تغییر در مواضع آنان در جلیل الکلام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تأثیرات باید به موضع معتزلۀ متأخر در بحث ماهیت اراده اشاره کرد که به دلیل تغییر در معنای عَرَض بود</w:t>
      </w:r>
      <w:r>
        <w:rPr>
          <w:rFonts w:eastAsia="IRNazanin" w:cs="IRNazanin"/>
          <w:color w:val="111111"/>
          <w:sz w:val="28"/>
          <w:szCs w:val="28"/>
          <w:rtl w:val="true"/>
          <w:lang w:bidi="fa-IR"/>
        </w:rPr>
        <w:t>.</w:t>
      </w:r>
      <w:bookmarkStart w:id="163" w:name="pg3253_17347"/>
    </w:p>
    <w:p>
      <w:pPr>
        <w:pStyle w:val="BookText"/>
        <w:rPr/>
      </w:pPr>
      <w:bookmarkEnd w:id="163"/>
      <w:r>
        <w:rPr>
          <w:rFonts w:ascii="IRNazanin" w:hAnsi="IRNazanin" w:eastAsia="IRNazanin"/>
          <w:color w:val="111111"/>
          <w:sz w:val="28"/>
          <w:sz w:val="28"/>
          <w:szCs w:val="28"/>
          <w:rtl w:val="true"/>
          <w:lang w:bidi="fa-IR"/>
        </w:rPr>
        <w:t>دیدیم که معتزلۀ متقدم اراده را حادث و عرضی لا فی المحل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پیشین معتزلۀ متقدم، لازم نبود عَرَض حتماً در یک محل حلول کند و از آن تجاوز نکند و از این رو، امکان طرح نظریۀ عرض لا فی المحل وجود داشت و به همین دلیل، ارادۀ خداوند عرض لا فی المحل دانسته شده بود؛ این در حالی بود که در تعریف معتزله متأخر، عرض تنها در جوهر حلول می‌کرد و نباید از آن تجاوز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تغییر کافی بود که معتزلیان متأخر امکان طرح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لا فی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باشند و در نتیجه نتوانند ارادۀ خداوند را لا فی المحل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هم نسخۀ فلسفی تبیین اراده را از مشائیان اخذ و هم‌گام با فلاسفۀ مشاء، اراده را به داعی که در حقیقت علم خداوند به نظام احسن بود معنا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الشفاء،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این اخذ و اقتباس، همگرایی بیشتر با نظریۀ فلاسفه در تحلیل اراده پروردگار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ملاحمی خوارزمی،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164" w:name="__RefHeading___Toc2031007_2749589250"/>
      <w:bookmarkStart w:id="165" w:name="_Toc63"/>
      <w:bookmarkEnd w:id="164"/>
      <w:r>
        <w:rPr>
          <w:rtl w:val="true"/>
        </w:rPr>
        <w:t>منابع</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مهدی، قاهره، دار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ابن‌مرتضی،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المعتزلة،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سوسنة دیفلد ـ فلزر، بیروت، دار المکتبة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اشمیتگه، زابینه،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علامه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وسیبادن، فرانس شتاینر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علی‌اصغر،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د ر ایران و جهان،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محمود،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ینانی، غلامحسین،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فکر فلسفی د ر جهان اسلام، تهران،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محمدکاظم،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فرقه‌های اسلامی در ایران سده‌های میانه، تهران، بصیرت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شبلی،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فخرد اعی گیلانی، تهران، اساطیر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قم، الشریف الرضی،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الاقدام فی علم الکلام، حرره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الفرید جیوم، قاهره، مکتبة 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الملکوت فی شرح الیاقوت،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الأربعین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احمد حجازی السقاء، قاهره، مکتبة الکلیات الأزهریة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العالیة من العلم الإلهی،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احمد حجازی السقاء،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العقول فی درایة الاصول،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عبداللطیف فودة، بیروت،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عبدالجبار بن احمد اسدآبادی،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خضر نبهاء، بیروت، دار الکتب العلمیۀ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قوا‌م‌الدین مانکدیم، شرح الأصول الخمسة،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هرمنوتیک، کتاب و سنت، تهران،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بیروت، دار الاندلس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المعتمد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مادیلونگ،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المتکلمین فی الرد علی الفلاسفة، تحقیق و مقدمه حسن انصاری، ویلفرد مادلونگ؛ زیر نظر زابینه اشمتیکه،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حکمت و فلسفه ایران؛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دانشگاه آزاد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مادیلونگ، تهران، مؤسسه پژوهشی حکمت و فلسفه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محمد علی بن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کشّاف اصطلاحات الفنون و العلوم، تقدیم و اشراف و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العجم و علی دحروج، الترجمه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زیناتی، بیروت، مکتبۀ لبنان</w:t>
      </w:r>
      <w:r>
        <w:rPr>
          <w:rFonts w:eastAsia="IRNazanin" w:cs="IRNazanin"/>
          <w:color w:val="111111"/>
          <w:sz w:val="28"/>
          <w:szCs w:val="28"/>
          <w:rtl w:val="true"/>
          <w:lang w:bidi="fa-IR"/>
        </w:rPr>
        <w:t>.</w:t>
      </w:r>
      <w:bookmarkStart w:id="166" w:name="pg3253_17349"/>
    </w:p>
    <w:p>
      <w:pPr>
        <w:pStyle w:val="Heading2"/>
        <w:numPr>
          <w:ilvl w:val="1"/>
          <w:numId w:val="1"/>
        </w:numPr>
        <w:rPr/>
      </w:pPr>
      <w:bookmarkStart w:id="167" w:name="__RefHeading___Toc2031009_2749589250"/>
      <w:bookmarkStart w:id="168" w:name="_Toc64"/>
      <w:bookmarkEnd w:id="166"/>
      <w:bookmarkEnd w:id="167"/>
      <w:r>
        <w:rPr>
          <w:rtl w:val="true"/>
        </w:rPr>
        <w:t>کاربست توحید ربوبی در تربیت انسان از منظر قرآن</w:t>
      </w:r>
      <w:r>
        <w:rPr>
          <w:rtl w:val="true"/>
        </w:rPr>
        <w:t xml:space="preserve">/ </w:t>
      </w:r>
      <w:r>
        <w:rPr>
          <w:rtl w:val="true"/>
        </w:rPr>
        <w:t>حسین محمدی</w:t>
      </w:r>
      <w:r>
        <w:rPr>
          <w:rtl w:val="true"/>
        </w:rPr>
        <w:t xml:space="preserve">- </w:t>
      </w:r>
      <w:r>
        <w:rPr>
          <w:rtl w:val="true"/>
        </w:rPr>
        <w:t xml:space="preserve">سید اسحاق حسینی کوهساری </w:t>
      </w:r>
      <w:r>
        <w:rPr>
          <w:rtl w:val="true"/>
        </w:rPr>
        <w:t xml:space="preserve">- </w:t>
      </w:r>
      <w:r>
        <w:rPr>
          <w:rtl w:val="true"/>
        </w:rPr>
        <w:t>سید محمد موسوی مقدم</w:t>
      </w:r>
      <w:bookmarkEnd w:id="168"/>
    </w:p>
    <w:p>
      <w:pPr>
        <w:pStyle w:val="Heading3"/>
        <w:numPr>
          <w:ilvl w:val="2"/>
          <w:numId w:val="1"/>
        </w:numPr>
        <w:rPr/>
      </w:pPr>
      <w:bookmarkStart w:id="169" w:name="__RefHeading___Toc2031011_2749589250"/>
      <w:bookmarkStart w:id="170" w:name="_Toc6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حسین محمدی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سیداسحاق حسینی کوهساری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سیدمحمد موسوی مقدم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05/06/1395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07/08/1395</w:t>
      </w:r>
    </w:p>
    <w:p>
      <w:pPr>
        <w:pStyle w:val="Heading3"/>
        <w:numPr>
          <w:ilvl w:val="2"/>
          <w:numId w:val="1"/>
        </w:numPr>
        <w:rPr/>
      </w:pPr>
      <w:bookmarkStart w:id="171" w:name="__RefHeading___Toc2031013_2749589250"/>
      <w:bookmarkStart w:id="172" w:name="_Toc66"/>
      <w:bookmarkEnd w:id="171"/>
      <w:r>
        <w:rPr>
          <w:rtl w:val="true"/>
        </w:rPr>
        <w:t>چکیده</w:t>
      </w:r>
      <w:bookmarkEnd w:id="172"/>
    </w:p>
    <w:p>
      <w:pPr>
        <w:pStyle w:val="BookText"/>
        <w:rPr/>
      </w:pPr>
      <w:r>
        <w:rPr>
          <w:rFonts w:ascii="IRNazanin" w:hAnsi="IRNazanin" w:eastAsia="IRNazanin"/>
          <w:color w:val="111111"/>
          <w:sz w:val="28"/>
          <w:sz w:val="28"/>
          <w:szCs w:val="28"/>
          <w:rtl w:val="true"/>
          <w:lang w:bidi="fa-IR"/>
        </w:rPr>
        <w:t xml:space="preserve">اصلی ترین هدف خداوند از نزول قرآن، تربیت انسان است و اساسی ترین آموزه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ترسیم فرآیند تربیت انسان بر مبنای توحید ربوبی در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نخست، جهت دهی به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ابتنای بر انگارۀ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فطری انسان نسبت به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پیوند آن با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دوم، شکل گیری شاکلۀ شخصیتی انسان بر مبنای عبودیت است، که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ورزی نسبت به رابطۀ تلازمی ربوبیت با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مبدأ گرایشی اتخاذ رب، یعنی جلب منافع و دفع مضار بر مبنای حبّ 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ناظر به هدف غایی تربیت، یعنی مشاهدۀ عدم استقلال عالم هستی و بازگشت تمامی تدابیر به رب العالمین است که از رهگذر قوت بخشی به معرفت ربوبی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تا کاربست توحید ربوبی در هر کدام از این مراحل مورد کنکاش قرار گرفته و الگویی از آن استخراج شود</w:t>
      </w:r>
      <w:r>
        <w:rPr>
          <w:rFonts w:eastAsia="IRNazanin" w:cs="IRNazanin"/>
          <w:color w:val="111111"/>
          <w:sz w:val="28"/>
          <w:szCs w:val="28"/>
          <w:rtl w:val="true"/>
          <w:lang w:bidi="fa-IR"/>
        </w:rPr>
        <w:t>.</w:t>
      </w:r>
    </w:p>
    <w:p>
      <w:pPr>
        <w:pStyle w:val="Heading3"/>
        <w:numPr>
          <w:ilvl w:val="2"/>
          <w:numId w:val="1"/>
        </w:numPr>
        <w:rPr/>
      </w:pPr>
      <w:bookmarkStart w:id="173" w:name="__RefHeading___Toc2031015_2749589250"/>
      <w:bookmarkStart w:id="174" w:name="_Toc67"/>
      <w:bookmarkEnd w:id="173"/>
      <w:r>
        <w:rPr>
          <w:rtl w:val="true"/>
        </w:rPr>
        <w:t>واژگان کلیدی</w:t>
      </w:r>
      <w:bookmarkEnd w:id="1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الوهیت، خالقیت، ربوبیت، توحید ربوبی، هدف غایی</w:t>
      </w:r>
      <w:r>
        <w:rPr>
          <w:rFonts w:eastAsia="IRNazanin" w:cs="IRNazanin"/>
          <w:color w:val="111111"/>
          <w:sz w:val="28"/>
          <w:szCs w:val="28"/>
          <w:rtl w:val="true"/>
          <w:lang w:bidi="fa-IR"/>
        </w:rPr>
        <w:t>.</w:t>
      </w:r>
      <w:bookmarkStart w:id="175" w:name="pg3253_17350"/>
    </w:p>
    <w:p>
      <w:pPr>
        <w:pStyle w:val="Heading3"/>
        <w:numPr>
          <w:ilvl w:val="2"/>
          <w:numId w:val="1"/>
        </w:numPr>
        <w:rPr/>
      </w:pPr>
      <w:bookmarkStart w:id="176" w:name="__RefHeading___Toc2031017_2749589250"/>
      <w:bookmarkStart w:id="177" w:name="_Toc68"/>
      <w:bookmarkEnd w:id="175"/>
      <w:bookmarkEnd w:id="176"/>
      <w:r>
        <w:rPr>
          <w:rtl w:val="true"/>
        </w:rPr>
        <w:t>مقدمه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ابتدایی ترین و اساسی ترین نیازهای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تربیت و نقش انحصاری آن در تحقق فرهنگ و تمدن و تعالی آن ها، بر مربیان بزرگ پوشیده نبوده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را پس از پیامبری، شریف ترین کار آدمی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بزرگ‌ترین و دشوارترین مسئله آدمی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بوده است که عالی تر و مقدس تر از تربیت، فنی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همۀ اینان، انبیای الهی هستند که همواره کوشیده اند تا این نیاز بنیادین انسان را سامان بخشند، به گونه ای که فلسفۀ بعثت انبیا، هدایت انسان و قرار دادن او در مسیر رشد و سعادت است که جز از طریق تربیت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اصلی انبیا در تربیت انسان، خارج ساختن او از مدار شرک و قرار دادن در دایرۀ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عمدۀ شرک در حیات انسان از ناحیۀ ربوبیت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از توحید ربوبی به عنوان اساسی ترین آموزۀ انبیا در مسیر تربیت انسان یاد کرد و بیان داشت که محل اصلی نزاع انبیا با دیگران نیز بر سر همین امر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نگارندگان این پژوهش بر آنند که تربیت قرآنی از رهگذر توحید ربوبی بوده و با عنایت</w:t>
      </w:r>
    </w:p>
    <w:p>
      <w:pPr>
        <w:pStyle w:val="BookText"/>
        <w:rPr/>
      </w:pPr>
      <w:r>
        <w:rPr>
          <w:rFonts w:ascii="IRNazanin" w:hAnsi="IRNazanin" w:eastAsia="IRNazanin"/>
          <w:color w:val="111111"/>
          <w:sz w:val="28"/>
          <w:sz w:val="28"/>
          <w:szCs w:val="28"/>
          <w:rtl w:val="true"/>
          <w:lang w:bidi="fa-IR"/>
        </w:rPr>
        <w:t>به کاربست آن در مباحث تربیتی، می توان به عناصر یک نظام تربیتی اعم از اهداف، اصول و روش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مبنای ترسیم مراحل سه گانه، به چگونگی کاربست توحید ربوبی در تربیت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و دوم ناظر به اهداف میانی تربیت و اهداف جزئی ذیل آن است و مرحلۀ سوم ناظر به هدف غایی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دهی به مقوله 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پژوهش از آن به اصلی ترین بنیاد حیاتی انسان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هدفِ مرحله،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شعور فطری انسان دربارۀ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ورزی دربارۀ رابطۀ تلازمی خالقیت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دوم، شکل گیری شاکلۀ شخصیتی انسان بر مبنای عبودیت است که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ورزی دربارۀ رابطه تلازمی ربوبیت و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مبدأ گرایشی جلب منافع و دفع مضار بر مبنای حبّ 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مرز عدمی نداشته و قوّت بخشی به شاکلۀ شخصیتی انسان در هر مرحله‌ای از حیات انسان، زمینه را برای تحقق مرحلۀ سوم از تربیت انسان، یعنی باریابی به عالم ملکوت فراهم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عالم، بازگشت تمامی تدابیر به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 را مشاهده می کند</w:t>
      </w:r>
      <w:r>
        <w:rPr>
          <w:rFonts w:eastAsia="IRNazanin" w:cs="IRNazanin"/>
          <w:color w:val="111111"/>
          <w:sz w:val="28"/>
          <w:szCs w:val="28"/>
          <w:rtl w:val="true"/>
          <w:lang w:bidi="fa-IR"/>
        </w:rPr>
        <w:t>.</w:t>
      </w:r>
      <w:bookmarkStart w:id="178" w:name="pg3253_17351"/>
    </w:p>
    <w:p>
      <w:pPr>
        <w:pStyle w:val="Heading3"/>
        <w:numPr>
          <w:ilvl w:val="2"/>
          <w:numId w:val="1"/>
        </w:numPr>
        <w:rPr/>
      </w:pPr>
      <w:bookmarkStart w:id="179" w:name="__RefHeading___Toc2031019_2749589250"/>
      <w:bookmarkStart w:id="180" w:name="_Toc69"/>
      <w:bookmarkEnd w:id="178"/>
      <w:bookmarkEnd w:id="179"/>
      <w:r>
        <w:rPr>
          <w:rtl w:val="true"/>
        </w:rPr>
        <w:t>توحید ربوبی</w:t>
      </w:r>
      <w:bookmarkEnd w:id="180"/>
    </w:p>
    <w:p>
      <w:pPr>
        <w:pStyle w:val="Heading4"/>
        <w:numPr>
          <w:ilvl w:val="3"/>
          <w:numId w:val="1"/>
        </w:numPr>
        <w:rPr/>
      </w:pPr>
      <w:bookmarkStart w:id="181" w:name="__RefHeading___Toc2031021_2749589250"/>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خاستگاه اصلی مباحث کلامی، آموزه هایی است که در قرآن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مستثنای از این امر نبوده و تأکید قرآن بر ربوبیت گواه بر این امر است، به گونه ای که بررسی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نشان می دهد که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را در میان اسماء الحسنی در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لغت، معانی متعددی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ابن‌درید،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أزهری،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ابن سیدۀ المرسی،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حضانت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و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سیدۀ المرسی،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أزهری،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عسکری،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و به کمال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سیدۀالمرسی،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233:10</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لغویون، می توان دو عنصر معنایی را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ریشۀ اشتقاقی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که به اذعان همه و یا عمدۀ لغویون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تدبیر، سرپرستی و مدیریت کردن امور که به نحوی در تمامی معانی مطرح‌شده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حضانت، سیادت، صاحب، تربیت و حتی جزء معنای اصلی آن، یعنی مالکیت نهفته است و به اقتضای هر کدام، لازم معنای آن را به خود می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بحث از توحید ربوبی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توحید ربوبی ناظر به اداره و تدبیر جهان بوده و بیان می دارد که خدای واحد، به تنهایی به اداره و تدبیر امور می پردازد و در عرض و رتبۀ آن، خدایان دیگری وجود ندارند که همگی با هم یا هر کدام، جهان یا بخشی از امور را اداره و تدبیر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ملکی،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 یگانه ربّ و مدبر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سایر علل را در طول آن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آنچه را که در عالم وجود متصور است، از او بوده و هیچ موجودی در هیچ جهتی اعم از خلق،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تدبیر برخی امور به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توحید ربوبی ناسازگار نیست، زیرا تدبیر آن ها به اذن او بوده و منتهی به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آن ها در سلسلۀ اسباب و علل متصور هستند که جنود ربّ العالمین به شمار آمده و به خواست و مشیت او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bookmarkStart w:id="183" w:name="pg3253_17352"/>
    </w:p>
    <w:p>
      <w:pPr>
        <w:pStyle w:val="Heading4"/>
        <w:numPr>
          <w:ilvl w:val="3"/>
          <w:numId w:val="1"/>
        </w:numPr>
        <w:rPr/>
      </w:pPr>
      <w:bookmarkStart w:id="184" w:name="__RefHeading___Toc2031023_2749589250"/>
      <w:bookmarkStart w:id="185" w:name="_Toc71"/>
      <w:bookmarkEnd w:id="183"/>
      <w:bookmarkEnd w:id="184"/>
      <w:r>
        <w:rPr>
          <w:rtl w:val="true"/>
        </w:rPr>
        <w:t>مرحلۀ اول فرآیند تربیت</w:t>
      </w:r>
      <w:r>
        <w:rPr>
          <w:rtl w:val="true"/>
        </w:rPr>
        <w:t xml:space="preserve">: </w:t>
      </w:r>
      <w:r>
        <w:rPr>
          <w:rtl w:val="true"/>
        </w:rPr>
        <w:t>اتخاذ رب</w:t>
      </w:r>
      <w:bookmarkEnd w:id="185"/>
    </w:p>
    <w:p>
      <w:pPr>
        <w:pStyle w:val="Heading5"/>
        <w:numPr>
          <w:ilvl w:val="4"/>
          <w:numId w:val="1"/>
        </w:numPr>
        <w:rPr/>
      </w:pPr>
      <w:bookmarkStart w:id="186" w:name="__RefHeading___Toc2031025_2749589250"/>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بررسی آیات قرآن نشان می دهد که گرایش انسان به اختیار مدبر برای خویشتن به جهت جلب منافع و دفع مضار، جزء یکی از عناصر بنیادین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شاکلۀ وجودی انسان و نیز ضرورت های فردی و اجتماعی او موجب گردیده است که انسان، همواره کسی یا چیزی را به عنوان مدبر خویش برگزیند تا بتواند به واسطۀ آن ، حیات خویش را قوام بخشیده و به راحتی و سعادت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تلاش انسان برای این امر در نیاز حقیقی او نهفته است که از رهگذر محبت به غیر در صدد بر می آید تا نیاز خویش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محبت، اطاعت و تبعیت از مورد محبت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اطاعت از غیر را به معنای بخشیدنِ سمت ربوبی به او به شمار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 وَ الْمَسِیحَ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احبار و رهبان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نبوده است که در مقابل آنان عمل عبادی انجام می گرفته است، بلکه از آن جایی که تمامی اوامر و نواهی آنان مورد قبول واقع قرار گرفته و اطاعت می‌شده اند،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نیز مورد تأکید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عَبْدِاللَّهِ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صَامُوا، لَهُمْ وَ لَا صَلُّوا ـ وَ لَکِنَّهُمْ أَحَلُّوا لَهُمْ حَرَاماً وَ حَرَّمُوا عَلَیْهِمْ حَلَالًا ـ فَاتَّبَعُوهُمْ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 که انسان همواره قرین نیاز است،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قرین همیشگی او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چنان با انسان قرابت دارد که حتی با نبود ارباب بیرونی و خارج از وجود انسان، باز می تواند به مثابۀ عنصری فعال، انسان را به اتخاذ اربابی از درون سوق دهد؛ به این معنا که انسان با ملاحظۀ توانایی ها و استعدادهای خویش، هرچند موهومی و مبتنی بر خیال، چنین می پندارد که خود می تواند نیازهای خویش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خویشتن محبت پیدا کرده و ضمن استقلال‌بخشی به خود در رفع نیازها، سر از اطاعت و تبعیت از خود درمی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 وَ أَضَلَّهُ اللَّهُ عَلی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اِله به معنای پرستیدن آن، و مراد از پرستش هم اطاعت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انسان با داشتن این عنصر حیاتی در درون خویش در پی آن است که به نحو ضرورت، قوام حیات و سعادت خویش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انسان را به همین نحو که هست در نظر می گیرد و با مفروض داشتن این وضع، با وی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آن</w:t>
      </w:r>
      <w:bookmarkStart w:id="188" w:name="pg3253_17353"/>
    </w:p>
    <w:p>
      <w:pPr>
        <w:pStyle w:val="BookText"/>
        <w:rPr/>
      </w:pPr>
      <w:bookmarkEnd w:id="188"/>
      <w:r>
        <w:rPr>
          <w:rFonts w:ascii="IRNazanin" w:hAnsi="IRNazanin" w:eastAsia="IRNazanin"/>
          <w:color w:val="111111"/>
          <w:sz w:val="28"/>
          <w:sz w:val="28"/>
          <w:szCs w:val="28"/>
          <w:rtl w:val="true"/>
          <w:lang w:bidi="fa-IR"/>
        </w:rPr>
        <w:t>است که وی با توجه به این که گام نخست را خود برداشته است، گام های بعدی را با نظر به</w:t>
      </w:r>
    </w:p>
    <w:p>
      <w:pPr>
        <w:pStyle w:val="BookText"/>
        <w:rPr/>
      </w:pPr>
      <w:r>
        <w:rPr>
          <w:rFonts w:ascii="IRNazanin" w:hAnsi="IRNazanin" w:eastAsia="IRNazanin"/>
          <w:color w:val="111111"/>
          <w:sz w:val="28"/>
          <w:sz w:val="28"/>
          <w:szCs w:val="28"/>
          <w:rtl w:val="true"/>
          <w:lang w:bidi="fa-IR"/>
        </w:rPr>
        <w:t xml:space="preserve">واقعیت های هستی چنان بردارد که بتواند به عناصر حیاتی خویش که او را به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پاسخ مناسب داده و آن را اعتلا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هرچند تصور انسان بر حسب عناصر حیاتی اولیه در خصوص مالک و مدبر خویش، تصویری نادرست است، اما قرآن اصل این امر را به رسمیت شناخته و سخن با انسان را از همان جا آغاز می‌کند تا او را متوجه این امر کند که تصویر تمام نمای انسان در اتخاذ ارباب متعدد برای نیل به حیات راحت و سعادت نیست، و اساساً این دو مقوله نه تنها با یکدیگر قابل جمع نیستند، بلکه زمینۀ سرگردانی، حیرت و شقاوت انسان را نیز فراهم می گرداند، زیرا وقتی ربّ واحدی اتخاذ شود و تنها طرح و نقشۀ او در حیات انسان جریان پیدا کرده و عبادت و استعانت، منحصر در او شود، به حقیقت، وجدان انسانی از زبونی و خواری در برابر نظام ها و اوضاع و اشخاص، نجات می یابد، همان گونه که از دست مذلت افسانه ها، خیالات و خرافات رها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قیاسی تمثیلی بر عدم تساوی بین دو شخصی که سرسپردۀ ارباب متعدد است و شخصی که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دارد، تأکید کرده و با این تمثیل به آثار منتج از هردو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 رَجُلاً سَلَماً لِرَجُلٍ هَلْ یَسْتَوِیانِ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دست‌یابی به تصویری تمام‌نما از انسان در این است که او با کسب بینش هایی، عناصر اولیۀ حیات خویش را اعتلا بخشیده و یا از آن ها فراتر رود و آن گاه با عناصر متعالی تری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ها نقش جهت دهنده به مقولۀ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قرآن کریم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 روی آن ها در صدد جهت دهی مذکور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بینش ها می توان به اهداف تربیتی متناسب با این مرحله از فرآیند تربیتی انسان یاد کرد، زیرا تعالی آن عنصر درونی، مرهون تحقق این بینش‌هاست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عبارتند از</w:t>
      </w:r>
      <w:r>
        <w:rPr>
          <w:rFonts w:eastAsia="IRNazanin" w:cs="IRNazanin"/>
          <w:color w:val="111111"/>
          <w:sz w:val="28"/>
          <w:szCs w:val="28"/>
          <w:rtl w:val="true"/>
          <w:lang w:bidi="fa-IR"/>
        </w:rPr>
        <w:t>:</w:t>
      </w:r>
    </w:p>
    <w:p>
      <w:pPr>
        <w:pStyle w:val="Heading5"/>
        <w:numPr>
          <w:ilvl w:val="4"/>
          <w:numId w:val="1"/>
        </w:numPr>
        <w:rPr/>
      </w:pPr>
      <w:bookmarkStart w:id="189" w:name="__RefHeading___Toc2031027_2749589250"/>
      <w:bookmarkStart w:id="190" w:name="_Toc73"/>
      <w:bookmarkEnd w:id="189"/>
      <w:r>
        <w:rPr/>
        <w:t>1</w:t>
      </w:r>
      <w:r>
        <w:rPr>
          <w:rtl w:val="true"/>
        </w:rPr>
        <w:t xml:space="preserve">. </w:t>
      </w:r>
      <w:r>
        <w:rPr>
          <w:rtl w:val="true"/>
        </w:rPr>
        <w:t>برانگیختن شعور فطری انسان دربارۀ خالقیت خداوند</w:t>
      </w:r>
      <w:bookmarkEnd w:id="1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برای اعتلای گرایش به اتخاذ ربّ این است که انسان به آگاهی‌های فطری دربارۀ خالقیت خداوند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قرآن، وجود خداوند را امری تردیدناپذیر معرفی کرده و در صدد نبوده است که به معنای دقیق فلسفی، به اثبات وجود خدا بپردازد، بلکه وجود مبدأ یا خالقی را برای جهان، امری مسلّم یا تردیدناپذیر برای بشر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با بررسی تطبیقی روش های طرح خدا در مباحث دانشمندان مسلمان و مقایسۀ آن با شیوه ارائه قرآنی، به تفاوت این دو شیوه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برخلاف نظریه های</w:t>
      </w:r>
    </w:p>
    <w:p>
      <w:pPr>
        <w:pStyle w:val="BookText"/>
        <w:rPr/>
      </w:pPr>
      <w:r>
        <w:rPr>
          <w:rFonts w:ascii="IRNazanin" w:hAnsi="IRNazanin" w:eastAsia="IRNazanin"/>
          <w:color w:val="111111"/>
          <w:sz w:val="28"/>
          <w:sz w:val="28"/>
          <w:szCs w:val="28"/>
          <w:rtl w:val="true"/>
          <w:lang w:bidi="fa-IR"/>
        </w:rPr>
        <w:t xml:space="preserve">فلاسفه، مسئله اثبات وجود خدا و اثبات صانع در قرآن، به صـورت مسئله پیچیده‌ای که جای جرّوبحث داشته باشد، مطرح نـشده اسـت و هرچنـد شـک دربارۀ وجود خدا را به کلی نادیده نگرفته است، اما به همین مقدار که انسان را در برابر چند سؤال قرار دهد، اکتفا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نفی برهان پذیری خالقیت نیست، بلکه دانشمندان برای آن اقامۀ برهان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مهم ترین این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اهتمام متکلمان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ماتریدی،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متکلمان، خالقیت خداوند را با وجود حدوث عالم، بی نیاز از استدلال دانسته اند و اقامۀ استدلال برای آن را از باب وثاقت نفس و دوری از التباس به شمار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بداهت وجود خالق در قرآن، یکی از مبنایی ترین عناصر معرفتی انسان به شمار آمده است که از رهگذر آن می‌توان به درجات عالی توحید، نظیر توحید ربوبی و الوهی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از جمله روش های قرآن در طرح مباحث مرتبط با توحید ربوبی، مواجه کردن مردم با آگاهی‌های فطری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سؤالاتی دربارۀ خالقیت</w:t>
      </w:r>
    </w:p>
    <w:p>
      <w:pPr>
        <w:pStyle w:val="BookText"/>
        <w:rPr/>
      </w:pPr>
      <w:r>
        <w:rPr>
          <w:rFonts w:ascii="IRNazanin" w:hAnsi="IRNazanin" w:eastAsia="IRNazanin"/>
          <w:color w:val="111111"/>
          <w:sz w:val="28"/>
          <w:sz w:val="28"/>
          <w:szCs w:val="28"/>
          <w:rtl w:val="true"/>
          <w:lang w:bidi="fa-IR"/>
        </w:rPr>
        <w:t>مطرح کرده و شعور فطری آنان را برمی انگیزاند تا بعد از دریافت اقرار و اعتراف بر خالقیت،</w:t>
      </w:r>
    </w:p>
    <w:p>
      <w:pPr>
        <w:pStyle w:val="BookText"/>
        <w:rPr/>
      </w:pPr>
      <w:r>
        <w:rPr>
          <w:rFonts w:ascii="IRNazanin" w:hAnsi="IRNazanin" w:eastAsia="IRNazanin"/>
          <w:color w:val="111111"/>
          <w:sz w:val="28"/>
          <w:sz w:val="28"/>
          <w:szCs w:val="28"/>
          <w:rtl w:val="true"/>
          <w:lang w:bidi="fa-IR"/>
        </w:rPr>
        <w:t xml:space="preserve">استدلال های خود بر توحید ربوبی را بر آن استوار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منظر قرآن، اصل خالقیت مسلّم انگاشته شده است که انسان با اندکی تأمل در اطراف آن می تواند پی به وجود خالق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بداهت، در فطرت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بر این است که انسان مفطور به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هدف از پرستیدن بت ها توسط مشرکان این بود که آنان را واسطه و شفیع خود برای 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 لا یَنْفَعُهُمْ وَ یَقُولُونَ هؤُلاءِ شُفَعاؤُنا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چنین بیانی، نشانۀ اعتقاد مشرکان به اصل وجود آفریدگار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آیات محدوی از قرآن کریم به اثبات اصل صانع و مسئله خالقیت پرداخته است و بیشتر آیات، ناظر به اسما و صفات الهی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وجود خالق و هم‌چنین مخلوقیت انسان به گواهی آیات قرآن برای او واضح و مبرهن است و قرآن کریم صرفاً با طرح پرسش‌هایی در صدد است تا منطق فطری انسان را برانگیخته و او را به اعتراف در این باره وابدارد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گرفتن انسان با ابتنای بر آگاهی و</w:t>
      </w:r>
      <w:bookmarkStart w:id="191" w:name="pg3253_17355"/>
    </w:p>
    <w:p>
      <w:pPr>
        <w:pStyle w:val="BookText"/>
        <w:rPr/>
      </w:pPr>
      <w:bookmarkEnd w:id="191"/>
      <w:r>
        <w:rPr>
          <w:rFonts w:ascii="IRNazanin" w:hAnsi="IRNazanin" w:eastAsia="IRNazanin"/>
          <w:color w:val="111111"/>
          <w:sz w:val="28"/>
          <w:sz w:val="28"/>
          <w:szCs w:val="28"/>
          <w:rtl w:val="true"/>
          <w:lang w:bidi="fa-IR"/>
        </w:rPr>
        <w:t>شعور فطری انسان دربارۀ اصل مسئله خالق و مخلوق، نخستین گام در مرحلۀ اول فرآیند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هرچند یک روش در ارائه براهین تلقی می‌شود، اما در مباحث تربیتی</w:t>
      </w:r>
    </w:p>
    <w:p>
      <w:pPr>
        <w:pStyle w:val="BookText"/>
        <w:rPr/>
      </w:pPr>
      <w:r>
        <w:rPr>
          <w:rFonts w:ascii="IRNazanin" w:hAnsi="IRNazanin" w:eastAsia="IRNazanin"/>
          <w:color w:val="111111"/>
          <w:sz w:val="28"/>
          <w:sz w:val="28"/>
          <w:szCs w:val="28"/>
          <w:rtl w:val="true"/>
          <w:lang w:bidi="fa-IR"/>
        </w:rPr>
        <w:t xml:space="preserve">می توان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امری، مانند هدف تربیت در نظر گرفته شود، حالت مطلوب آن مورد توجه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حالت برانگیختگی انسان نسبت به شعور فطری خود و آگاهی از خالقیت، به منزلۀ هدف تربیتی است</w:t>
      </w:r>
      <w:r>
        <w:rPr>
          <w:rFonts w:eastAsia="IRNazanin" w:cs="IRNazanin"/>
          <w:color w:val="111111"/>
          <w:sz w:val="28"/>
          <w:szCs w:val="28"/>
          <w:rtl w:val="true"/>
          <w:lang w:bidi="fa-IR"/>
        </w:rPr>
        <w:t>.</w:t>
      </w:r>
    </w:p>
    <w:p>
      <w:pPr>
        <w:pStyle w:val="Heading5"/>
        <w:numPr>
          <w:ilvl w:val="4"/>
          <w:numId w:val="1"/>
        </w:numPr>
        <w:rPr/>
      </w:pPr>
      <w:bookmarkStart w:id="192" w:name="__RefHeading___Toc2031029_2749589250"/>
      <w:bookmarkStart w:id="193" w:name="_Toc74"/>
      <w:bookmarkEnd w:id="192"/>
      <w:r>
        <w:rPr/>
        <w:t>2</w:t>
      </w:r>
      <w:r>
        <w:rPr>
          <w:rtl w:val="true"/>
        </w:rPr>
        <w:t xml:space="preserve">. </w:t>
      </w:r>
      <w:r>
        <w:rPr>
          <w:rtl w:val="true"/>
        </w:rPr>
        <w:t>اندیشه‌ورزی دربارۀ عدم انفکاک خلقت از ربوبیت</w:t>
      </w:r>
      <w:bookmarkEnd w:id="193"/>
    </w:p>
    <w:p>
      <w:pPr>
        <w:pStyle w:val="BookText"/>
        <w:rPr/>
      </w:pPr>
      <w:r>
        <w:rPr>
          <w:rFonts w:ascii="IRNazanin" w:hAnsi="IRNazanin" w:eastAsia="IRNazanin"/>
          <w:color w:val="111111"/>
          <w:sz w:val="28"/>
          <w:sz w:val="28"/>
          <w:szCs w:val="28"/>
          <w:rtl w:val="true"/>
          <w:lang w:bidi="fa-IR"/>
        </w:rPr>
        <w:t>همان گونه که بیان شد، نخستین راهبرد تربیتی قرآن برای جهت دهی به مقولۀ اتخاذ رب، بهره بردن از شعور فطری انسان دربارۀ خالقیت و برانگیختن آن با بیان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برانگیزانندگی، مقدمه ای برای به تعقل واداشتن انسان دربارۀ جریان ربوبیت در عالم آفرینش است و خود هدف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راهبرد دوم قرآن از مرحلۀ اول فرآیند تربیت انسان، بیان عدم انفکاک خالقیت از ربوبیت است تا انسان با اندیشه ورزی دربارۀ آن، جریان ربوبیت را نیز همانند خالقیت، منتهی به مبدئی واحد به شمار آورده و از یوغ ارباب متعدد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اندیشیدن دربارۀ آموزه‌های دینی، چون هدف تعلیم و تربیت قرار می‌گیرد، نظر بر آن است که به القا و تلقین آن ها نپردازند و حتی به اطلاع یافتن از آن ها نیز اکتفا نشود، بلکه اندیشیدن و فهم دربارۀ آن ها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ربوبیت مبتنی بر خالقیت قرار داده شده است و به نوعی به عدم انفکاک آن دو از یکدیگر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حال که خالق، فقط خداست و انسان به آن اقرار و اعتراف دارد، فقط هموست که شایستگی ربوبیت داشته و دیگران به دلیل این‌که سهمی از خلقت ندارند، بالطبع سهمی از تدبیر را نیز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دُونِهِ آلِهَةً لا یَخْلُقُونَ شَیْئاً وَ هُمْ یُخْلَقُونَ وَ لا یَمْلِکُونَ لِأَنْفُسِهِمْ ضَرًّا وَ لا نَفْعاً وَ لا یَمْلِکُونَ مَوْتاً وَ لا حَیاةً وَ لا 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بر این معنا دلالت داشته و ربوبیت را در پیوند با خالقیت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رَبَّکُمُ اللَّهُ الَّذِی خَلَقَ السَّماواتِ وَ الْأَرْضَ فِی سِتَّةِ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دسته از آیات، نوعی توبیخ و سرزنشِ مخاطبان وجود دارد؛ به این معنا که پس از گرفتن اقرار و اعتراف بر خالقیت، بیان می دارد که چرا آنان نسبت به اقتضائات این اعتراف که رهیافتی به ربوبیت است، آگاهی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آگاهی در حقیقت، مستند به عدم تفکر آنان است؛ یعنی چرا در اطراف اعتراف خود، نسبت به خالقیت اندیشه نمی کنند تا به این نتیجه دست یابند که دیگران چون سهمی از خالقیت ندارند، بالطبع</w:t>
      </w:r>
    </w:p>
    <w:p>
      <w:pPr>
        <w:pStyle w:val="BookText"/>
        <w:rPr/>
      </w:pPr>
      <w:r>
        <w:rPr>
          <w:rFonts w:ascii="IRNazanin" w:hAnsi="IRNazanin" w:eastAsia="IRNazanin"/>
          <w:color w:val="111111"/>
          <w:sz w:val="28"/>
          <w:sz w:val="28"/>
          <w:szCs w:val="28"/>
          <w:rtl w:val="true"/>
          <w:lang w:bidi="fa-IR"/>
        </w:rPr>
        <w:t>سهمی از ربوبیت را نیز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عبارات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تؤفکون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آیۀ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مورد بحث واقع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 فَاعْبُدُوهُ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معناست؛ یعنی چرا شما اندکی فکر نمی کنید که ربّ شما فقط همان خالق شماست و متذکر این امر نمی شوید تا از رهگذرِ تفکر در شعور فطری خود نسبت به خالقیت، به ارتباط بین آن با حقایق عالم هستی و اسباب و نتایج آن دست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راهبرد تربیتی قرآن در این مرحله از فرآیند تربیتی انسان، سوق دادن او به تفکر و اندیشه ورزی دربارۀ لوازم و اقتضائات اقرار به خالقیت است که از جمله لوازم آن، عدم انفکاک ربوبیت از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انفکاک در اندیشۀ متکلمان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بیان داشته اند که از آن جا که وجود ممکن فقر وجودی دارد، در هر آن و لحظه، به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 متقوّم و وابسته است و به عبارتی، لازمۀ بقای ممکن، استمرار افاضه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تدبیر نوعی از خلقت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تکوینی در واقع استمرار و ادامۀ خلقت و ایجاد اولیه است و لازمۀ بقای وجود ممکن، استمرار افاضۀ الهی است، زیرا نظامِ امکانی به حکم این‌که بالذات فاقد وجود و هستی است و این فقر پیوسته با آن همراه است، لازم است تا فیض خلقت مستمر و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هم شامل اصل خلقت و هم شامل روابط موجودات با یکدیگر و تأثیر آن ها بر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تفسیر المیزان، خلقت و ایجاد همان گونه که به ذوات مخلوقات تعلق می گیرد، به نظام جاری در بین آن ها نیز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تدبیر، همین نظامات جاری بین اجزای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حقیقت تدبیر جهان و گیتی، جز استمرار وجود جهان با روابط و خصوصیاتی که دارد، نیست و چنین استمراری همان خلقت جدید و به عبارت دیگر، ادامۀ آن خلقت است</w:t>
      </w:r>
      <w:bookmarkStart w:id="194" w:name="pg3253_17357"/>
    </w:p>
    <w:p>
      <w:pPr>
        <w:pStyle w:val="Heading4"/>
        <w:numPr>
          <w:ilvl w:val="3"/>
          <w:numId w:val="1"/>
        </w:numPr>
        <w:rPr/>
      </w:pPr>
      <w:bookmarkStart w:id="195" w:name="__RefHeading___Toc2031031_2749589250"/>
      <w:bookmarkStart w:id="196" w:name="_Toc75"/>
      <w:bookmarkEnd w:id="194"/>
      <w:bookmarkEnd w:id="195"/>
      <w:r>
        <w:rPr>
          <w:rtl w:val="true"/>
        </w:rPr>
        <w:t>مرحلۀ دوم فرآیند تربیت</w:t>
      </w:r>
      <w:r>
        <w:rPr>
          <w:rtl w:val="true"/>
        </w:rPr>
        <w:t xml:space="preserve">: </w:t>
      </w:r>
      <w:r>
        <w:rPr>
          <w:rtl w:val="true"/>
        </w:rPr>
        <w:t>شکل</w:t>
      </w:r>
      <w:r>
        <w:rPr>
          <w:rtl w:val="true"/>
        </w:rPr>
        <w:t>¬</w:t>
      </w:r>
      <w:r>
        <w:rPr>
          <w:rtl w:val="true"/>
        </w:rPr>
        <w:t>گیری شاکلۀ شخصیتی انسان بر مبنای عبودیت</w:t>
      </w:r>
      <w:bookmarkEnd w:id="196"/>
    </w:p>
    <w:p>
      <w:pPr>
        <w:pStyle w:val="Heading5"/>
        <w:numPr>
          <w:ilvl w:val="4"/>
          <w:numId w:val="1"/>
        </w:numPr>
        <w:rPr/>
      </w:pPr>
      <w:bookmarkStart w:id="197" w:name="__RefHeading___Toc2031033_2749589250"/>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مرحلۀ نخست فرآیند تربیت انسان بر مبنای توحید ربوبی، به ساماندهی مقولات فطری نظیر اتخاذ ربّ و یا شعور فطری دربارۀ خالقیت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مرحله از تربیت انسان، فراهم کردن زمینه برای اتخاذ ربّ واحد و وانهادن ارباب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با این اتخاذ، وارد مرحله جدیدی از حیات خویشتن می شود که محوریت آن ربّ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رفتاری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جوارحی و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محوریت، عبودیت است؛ به این معنا که در چنین وضعی از حیات، شخصیت انسان ضرورتاً بر مبنای عبودیت شکل خواهد گرفت و تمامی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های او در بُعد اندیشه، رفتار و گرایش، ناظر به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بُعد روحی انسان است که اساس و محتوای شخصیت فرد به شمار رفته و برگرفته از پیوند درونی با خداوند متعال و گرایش روحی و عاطفی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درونی همان زیربنایی است که ساختار شخصیت اسلامی به طور کامل بر آن استوار است و عناصر، ویژگی ها و شاخصه های دیگر شخصیت اسلامی نیز برگرفته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ریشه در ربوبیت خداوند داشته و با لحاظ شاخصه های ذاتی طرفین رابطه، یعنی انسان و رب،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شاکلۀ شخصیتی انسان بر مبنای عبودیت، مرهون افزایش قابلیت هایی در بُعد اندیشه و گرایش با محوریت ربّ واحد است که از آن ها به اهداف تربیتی ناظر به این مرحله از فرآیند تربیتی در این پژوهش یاد شده است که در ادامه به تبیین آن پرداخته خواهد شد</w:t>
      </w:r>
      <w:r>
        <w:rPr>
          <w:rFonts w:eastAsia="IRNazanin" w:cs="IRNazanin"/>
          <w:color w:val="111111"/>
          <w:sz w:val="28"/>
          <w:szCs w:val="28"/>
          <w:rtl w:val="true"/>
          <w:lang w:bidi="fa-IR"/>
        </w:rPr>
        <w:t>.</w:t>
      </w:r>
    </w:p>
    <w:p>
      <w:pPr>
        <w:pStyle w:val="Heading5"/>
        <w:numPr>
          <w:ilvl w:val="4"/>
          <w:numId w:val="1"/>
        </w:numPr>
        <w:rPr/>
      </w:pPr>
      <w:bookmarkStart w:id="199" w:name="__RefHeading___Toc2031035_2749589250"/>
      <w:bookmarkStart w:id="200" w:name="_Toc77"/>
      <w:bookmarkEnd w:id="199"/>
      <w:r>
        <w:rPr/>
        <w:t>1</w:t>
      </w:r>
      <w:r>
        <w:rPr>
          <w:rtl w:val="true"/>
        </w:rPr>
        <w:t xml:space="preserve">. </w:t>
      </w:r>
      <w:r>
        <w:rPr>
          <w:rtl w:val="true"/>
        </w:rPr>
        <w:t>اندیشه‌ورزی دربارۀ عدم انفکاک ربوبیت از الوهیت</w:t>
      </w:r>
      <w:bookmarkEnd w:id="200"/>
    </w:p>
    <w:p>
      <w:pPr>
        <w:pStyle w:val="BookText"/>
        <w:rPr/>
      </w:pPr>
      <w:r>
        <w:rPr>
          <w:rFonts w:ascii="IRNazanin" w:hAnsi="IRNazanin" w:eastAsia="IRNazanin"/>
          <w:color w:val="111111"/>
          <w:sz w:val="28"/>
          <w:sz w:val="28"/>
          <w:szCs w:val="28"/>
          <w:rtl w:val="true"/>
          <w:lang w:bidi="fa-IR"/>
        </w:rPr>
        <w:t>اتخاذ ربّ واحد، به خودی خود هدف مستقلی به شمار نمی آید، بلکه از منظر قرآن، رهیافت به آن ضرورت سرسپردگی در برابر ربّ را ایجاد کرده و سبب می شود تا آن رب، چهره إله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ربوبیت و الوهیت منفک از هم نیستند و لازم است در جریان تربیت انسان و شکل گیری شخصیت انسان بر مبنای عبودیت، دربارۀ رابطه آن دو اندیشه ورزی صورت گرفته و قابلیت هایی بر مبنای این رابطه در بُعد اندیشۀ انسان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مقام یک هدف تربیتی، در اولین گام از دومین فرآیند تربیت انسان لحاظ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توحید الوهی و توحید ربوبی، ملازمۀ اساسی وجود دارد که بر اساس آن، یک حقیقت، زمانی چهرۀ الوهیت به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آن جایی که طبق توحید ربوبی، سِمت ربوبی منحصر در خداوند متعال است، سِمت الوهیت نیز منحصر در او خواهد شد، زیرا وقتی پذیرفته شود که همۀ فعل و آثار جهان به خداوند واحد مستند است، عقل هیچ توجیهی برای</w:t>
      </w:r>
    </w:p>
    <w:p>
      <w:pPr>
        <w:pStyle w:val="BookText"/>
        <w:rPr/>
      </w:pPr>
      <w:r>
        <w:rPr>
          <w:rFonts w:ascii="IRNazanin" w:hAnsi="IRNazanin" w:eastAsia="IRNazanin"/>
          <w:color w:val="111111"/>
          <w:sz w:val="28"/>
          <w:sz w:val="28"/>
          <w:szCs w:val="28"/>
          <w:rtl w:val="true"/>
          <w:lang w:bidi="fa-IR"/>
        </w:rPr>
        <w:t xml:space="preserve">عبادت غیر خداوند نمی بیند، چراکه عبادت به خدایان متعدد باید به دلیل اعتقاد به قدرت و تأثیر آن ها بر جهان و انسان باشد، و با بطلان این پیش فرض اصلاً خدایانی وجود ندارد تا مورد عبادت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ملکی،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چنین امری، شکل گیری عمل و اندیشۀ عبادی برای آن إله خواهد شد، زیرا عابد با مشاهدۀ ربوبیت حق تعالی و آثار آن در حیات خویش، بنا بر شعور فطری، خود را علی الاطلاق مدیون ربّ العالمین دانسته و از سر تسلیم و خضوع و خشوع با او درآمده و سِمت الوهی به او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ملازمه در آیات متعددی تبلور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إِلهَکُمْ لَواحِدٌ رَبُّ السَّماواتِ وَ الْأَرْضِ وَ ما بَیْنَهُما وَ رَبُّ الْمَشارِقِ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ملاک در الوهیت إله و معبود بودن به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زیرا او به سبب ربوبیت خویش، در آسمان ها و زمین تصرف کرده و بر اهل آن حکم می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تصرف، شریکی ندارد و هرگونه تصرفی از طرف غیر او، جز به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تدبیرها به تدبیر او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ملاحظه چنین امری، هیچ گونه استقلالی برای خود قائل نشده و خود را علی الاطلاق و در همه شئون تحت تدبیر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إِنَّما أَنَا مُنْذِرٌ وَ ما مِنْ إِلهٍ إِلاَّ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 الْعَزِیزُ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بیان می دارد که إله و معبودی که در بُعد هستی از وحدانیت برخوردار بوده و قهاریت او بر همه‌چیز ثابت باشد، جز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دارای کمال لایتناهی است که همۀ موجودات، هم از جهت اصل وجود و هم از جهت آثار آن، فقیر و محتاج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سبب خضوع ذاتی در همۀ موجودات می شود که همان حقیقت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این امر در ربوبیتی است که تمام هستی را از ناحیۀ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از قرآن نیز ناظر به این معنا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ربّ العالمین،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و معبود علی الاطلاق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ربّی غیر از ربّ واحد اختیار کرده و در مقابل آن خشوع و خضوع نماید، عبادت تحقق نیافته است، زیرا آن رب، به دلیل این‌که سمتی از خالقیت را ندارد، نمی تواند ربّ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هرگونه خضوع و خشوعی نمی تواند عبادت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تربیت انسان، باید او را به عدم انفکاک ربوبیت از الوهیت واقف کرده و زمینه را برای اندیشه ورزی در این باره فراهم آورد، تا از رهگذر آن بتواند به سمت شکل دهی شخصیت خود بر مبنای عبودیت حرکت کند</w:t>
      </w:r>
      <w:r>
        <w:rPr>
          <w:rFonts w:eastAsia="IRNazanin" w:cs="IRNazanin"/>
          <w:color w:val="111111"/>
          <w:sz w:val="28"/>
          <w:szCs w:val="28"/>
          <w:rtl w:val="true"/>
          <w:lang w:bidi="fa-IR"/>
        </w:rPr>
        <w:t>.</w:t>
      </w:r>
      <w:bookmarkStart w:id="201" w:name="pg3253_17359"/>
    </w:p>
    <w:p>
      <w:pPr>
        <w:pStyle w:val="Heading5"/>
        <w:numPr>
          <w:ilvl w:val="4"/>
          <w:numId w:val="1"/>
        </w:numPr>
        <w:rPr/>
      </w:pPr>
      <w:bookmarkStart w:id="202" w:name="__RefHeading___Toc2031037_2749589250"/>
      <w:bookmarkStart w:id="203" w:name="_Toc78"/>
      <w:bookmarkEnd w:id="201"/>
      <w:bookmarkEnd w:id="202"/>
      <w:r>
        <w:rPr/>
        <w:t>2</w:t>
      </w:r>
      <w:r>
        <w:rPr>
          <w:rtl w:val="true"/>
        </w:rPr>
        <w:t xml:space="preserve">. </w:t>
      </w:r>
      <w:r>
        <w:rPr>
          <w:rtl w:val="true"/>
        </w:rPr>
        <w:t>اعتلای گرایش جلب منافع و دفع مضار بر مبنای حبّ عبودی</w:t>
      </w:r>
      <w:bookmarkEnd w:id="203"/>
    </w:p>
    <w:p>
      <w:pPr>
        <w:pStyle w:val="Heading6"/>
        <w:numPr>
          <w:ilvl w:val="5"/>
          <w:numId w:val="1"/>
        </w:numPr>
        <w:rPr/>
      </w:pPr>
      <w:bookmarkStart w:id="204" w:name="__RefHeading___Toc2031039_2749589250"/>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در بخش قبل، اندیشه ورزی دربارۀ رابطۀ ربوبیت و الوهیت، به مثابۀ هدف تربیتی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شرط لازم برای تحقق عبودیت است، اما شرط کافی نیست، زیرا امکان دارد شخص حتی با وجود معرفت به آن رابطه، تحولی را در درون خویش بر مبنای عبودیت فراهم نیاورد که ریشۀ این امر در بعد گرایشی انسان است، زیرا یکی از مبادی افعال انسان، گرایش و تمایل به انجام فعل است، به گونه ای که هر عمل مبتنی بر میلی زیرساز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نیز به عنوان یک فعل، علاوه بر زیرساز شناختی که در بخش قبل آمد، دارای زیرساخت گرایشی نیز هست و بدون آن، تحقق عبودیت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لازم است در مقام تربیت انسان در بُعد گرایشی او به ربّ و تحقق عمل عبودیت، قابلیت ها و زمینه‌هایی فراهم گردد که در این پژوهش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تربیتی در دو سطح قابل تبیین است</w:t>
      </w:r>
      <w:r>
        <w:rPr>
          <w:rFonts w:eastAsia="IRNazanin" w:cs="IRNazanin"/>
          <w:color w:val="111111"/>
          <w:sz w:val="28"/>
          <w:szCs w:val="28"/>
          <w:rtl w:val="true"/>
          <w:lang w:bidi="fa-IR"/>
        </w:rPr>
        <w:t>:</w:t>
      </w:r>
    </w:p>
    <w:p>
      <w:pPr>
        <w:pStyle w:val="Heading6"/>
        <w:numPr>
          <w:ilvl w:val="5"/>
          <w:numId w:val="1"/>
        </w:numPr>
        <w:rPr/>
      </w:pPr>
      <w:bookmarkStart w:id="206" w:name="__RefHeading___Toc2031041_2749589250"/>
      <w:bookmarkStart w:id="207" w:name="_Toc80"/>
      <w:bookmarkEnd w:id="206"/>
      <w:r>
        <w:rPr>
          <w:rtl w:val="true"/>
        </w:rPr>
        <w:t>الف</w:t>
      </w:r>
      <w:r>
        <w:rPr>
          <w:rtl w:val="true"/>
        </w:rPr>
        <w:t xml:space="preserve">. </w:t>
      </w:r>
      <w:r>
        <w:rPr>
          <w:rtl w:val="true"/>
        </w:rPr>
        <w:t>مبدأ میل نخستین؛ جلب منافع و دفع مضار</w:t>
      </w:r>
      <w:bookmarkEnd w:id="207"/>
    </w:p>
    <w:p>
      <w:pPr>
        <w:pStyle w:val="BookText"/>
        <w:rPr/>
      </w:pPr>
      <w:r>
        <w:rPr>
          <w:rFonts w:ascii="IRNazanin" w:hAnsi="IRNazanin" w:eastAsia="IRNazanin"/>
          <w:color w:val="111111"/>
          <w:sz w:val="28"/>
          <w:sz w:val="28"/>
          <w:szCs w:val="28"/>
          <w:rtl w:val="true"/>
          <w:lang w:bidi="fa-IR"/>
        </w:rPr>
        <w:t>از منظر قرآن، ابتدایی ترین و یا به تعبیر درست، بنیادی ترین میل انسان برای عبادت، بازگشت به حبّ نفس و بقای آن دارد که از طریق جلب منافع و دفع مضار از ابعاد گوناگون حیات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خواسته و میل انسانی یا با اتکا به خویشتن و یا با اتکا به غیر بوده و خارج از این دو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هر کدام از این امور، رب پنداری خود و یا غیر و اظهار عبودیت در مقابل آن است تا بتواند، خیرات حیات خویش را جلب و شرور را از آن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اصل این گرایش و میل را به رسمیت شناخته و در صدد است با ارائه معرفت تفصیلی از کانون خیر و قدرت، از انحراف در آن جلوگیری کرده و زمینۀ جهت‌گیری صحیح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دارد که دست‌یابی به منافع و مصون ماندن از مضار در گرو عبادت خداوند است و نه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تَعْبُدُونَ مِنْ دُونِ اللَّهِ ما لا یَمْلِکُ لَکُمْ ضَرًّا وَ لا نَفْعاً وَ اللَّهُ هُوَ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مقام ردّ دیدگاه اهل کتاب مبنی بر تثلیث است که به جهت آن برای حضرت عیسی علیه السلام و مادرشان مقام الوهیت قائل بوده و در برابر آن ها کرنش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مقابل چنین جریانی، عدم الوهیت آنان را به عدم مالکیت آنان در نفع و ضرر عبادت‌کنندگان مستند ساخته است؛ یعنی از آن جایی که حضرت عیسی علیه السلام و مادرشان مالکیت در خیر و شرّ مردم ندارند، توانایی ایصال نفع به مردم و دفع ضرر از آنان را ندارند</w:t>
      </w:r>
      <w:r>
        <w:rPr>
          <w:rFonts w:eastAsia="IRNazanin" w:cs="IRNazanin"/>
          <w:color w:val="111111"/>
          <w:sz w:val="28"/>
          <w:szCs w:val="28"/>
          <w:rtl w:val="true"/>
          <w:lang w:bidi="fa-IR"/>
        </w:rPr>
        <w:t>.</w:t>
      </w:r>
      <w:bookmarkStart w:id="208" w:name="pg3253_17360"/>
    </w:p>
    <w:p>
      <w:pPr>
        <w:pStyle w:val="BookText"/>
        <w:rPr/>
      </w:pPr>
      <w:bookmarkEnd w:id="208"/>
      <w:r>
        <w:rPr>
          <w:rFonts w:ascii="IRNazanin" w:hAnsi="IRNazanin" w:eastAsia="IRNazanin"/>
          <w:color w:val="111111"/>
          <w:sz w:val="28"/>
          <w:sz w:val="28"/>
          <w:szCs w:val="28"/>
          <w:rtl w:val="true"/>
          <w:lang w:bidi="fa-IR"/>
        </w:rPr>
        <w:t>بنابراین، اگر عبادت آنان به منظور جلب منافع و دفع مضار است، پر واضح است که نتیجه ای عاید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به دنبال جلب منافع و دفع مضار از طریق عبادت هستند، باید آن را منحصر در کسی کنند که از علم به حوایج و نیازمندی های مردم برخوردار بوده و توانایی ایصال خیر و دفع شر از آنان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یَمْسَسْکَ اللَّهُ بِضُرٍّ فَلا کاشِفَ لَهُ إِلاَّ هُوَ وَ إِنْ یُرِدْکَ بِخَیْرٍ فَلا رَادَّ لِفَضْلِهِ یُصِیبُ بِهِ مَنْ یَشاءُ مِنْ عِبادِهِ وَ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علاوه بر حجت مذکور در اثبات وحدانیت خداوند در ربوبیت و الوهیت، به طور ضمنی به قانونی از قوانین حاکم بر ساختار وجودی انسان اشاره دارد که ریشه در تمایلات و گرایش های فطری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 از طریق جلب منافع و دفع مضار؛ به این معنا که انسان در صدد است تا به انحای مختلف، زمینۀ لازم برای حفظ حیات خویش و آمیختن آن با راحتی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تمام همت خویش را بر این قرار می دهد که هر آنچه را مایۀ قوام حیات است، جلب نموده و هر آنچه را که سبب خدشه به آن است،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تحقق این امر، دست یازیدن به غیر است تا با واسطه قرار دادن او بتواند در کنف حمایت های او، به حیات زیستی خود قوام بخشیده و زمینۀ بقای آن را فراهم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خاستگاه این امر در نهاد انسان تعبیه شده است، از سوی خداوند تخطئه نگشته و مورد تأیید قرار گرفته است</w:t>
      </w:r>
      <w:r>
        <w:rPr>
          <w:rFonts w:eastAsia="IRNazanin" w:cs="IRNazanin"/>
          <w:color w:val="111111"/>
          <w:sz w:val="28"/>
          <w:szCs w:val="28"/>
          <w:rtl w:val="true"/>
          <w:lang w:bidi="fa-IR"/>
        </w:rPr>
        <w:t>.</w:t>
      </w:r>
    </w:p>
    <w:p>
      <w:pPr>
        <w:pStyle w:val="Heading6"/>
        <w:numPr>
          <w:ilvl w:val="5"/>
          <w:numId w:val="1"/>
        </w:numPr>
        <w:rPr/>
      </w:pPr>
      <w:bookmarkStart w:id="209" w:name="__RefHeading___Toc2031043_2749589250"/>
      <w:bookmarkStart w:id="210" w:name="_Toc81"/>
      <w:bookmarkEnd w:id="209"/>
      <w:r>
        <w:rPr>
          <w:rtl w:val="true"/>
        </w:rPr>
        <w:t>ب</w:t>
      </w:r>
      <w:r>
        <w:rPr>
          <w:rtl w:val="true"/>
        </w:rPr>
        <w:t xml:space="preserve">. </w:t>
      </w:r>
      <w:r>
        <w:rPr>
          <w:rtl w:val="true"/>
        </w:rPr>
        <w:t>مبدأ میل عالی؛ حبّ عبودی</w:t>
      </w:r>
      <w:bookmarkEnd w:id="21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عبودیت بر مبنای جلب منافع و دفع مضار، مبتنی بر خودمحوری است و انسان بر اساس آن در صدد است تا حیات خویش را قوام بخشد و این معنا سازگار با توحید ربوبی در معنای والای آن نیست، زیرا بر اساس توحید ربوبی، انسان، اصل خلقت و نیز آثار خلقت خود را از ناحیۀ ربّ العالمین داشته و در هیچ جهاتی از خود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عبودیت او نیز باید به تمام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میل نخستین به این معناست که انسان برای خویشتن شأنی از استقلال بر مبنای خودمحوری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مبدأ میل مذکور از قوّت کافی برای قرار دادن انسان در مسیر عبودیت برخوردار نیست، زیرا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استغراق در غفلت، هماره از خداوند متعال غافل بوده و منافعی که از سوی خداوند به او می رسد و مضاری را که از او دفع می شود، به گونۀ کافی و وافی درک نکرده و در مسیر حرکت به سمت عبودیت، با مشکل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مبدأ میل انسان به عبودیت ربّ العالمین اعتلایی صورت گرفته و مبدأ میل عالی،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این میل 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یعنی محبتی که از روی عبودیت فرد و ناشی از شناخت توحیدی است؛ محبتی که همة نقایص و تمایلات انسان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بیان داشته است که مهم‌ترین شیوة تربیتی اخلاقی در نظر قرآن، شیوة حبّ عبودی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برخی آیات، سخن از انجام عمل عبادی نه بر مبنای جلب منافع و دفع مضار، بلکه بر مبنای وجه الهی و شایستگی ربّ العالمین برای عبادت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اللهی بودن اعمال عبادی انسان به این است که آن عمل به انگیزۀ رضای خداوند و حبّ</w:t>
      </w:r>
    </w:p>
    <w:p>
      <w:pPr>
        <w:pStyle w:val="BookText"/>
        <w:rPr/>
      </w:pPr>
      <w:r>
        <w:rPr>
          <w:rFonts w:ascii="IRNazanin" w:hAnsi="IRNazanin" w:eastAsia="IRNazanin"/>
          <w:color w:val="111111"/>
          <w:sz w:val="28"/>
          <w:sz w:val="28"/>
          <w:szCs w:val="28"/>
          <w:rtl w:val="true"/>
          <w:lang w:bidi="fa-IR"/>
        </w:rPr>
        <w:t xml:space="preserve">او بوده و از اهلیت و استحقاق او ناشی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وجه اللهی در عبودیت انسان در آیات دیگری نیز قابل مشاهده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امیال زیرساز عبودیت، طیف وسیعی دارد که به تناسب معرفت انسان ربوبی، در او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نخست آن، جلب منافع و دفع مضار است و خاستگاه نهایی آن، رضوان ربّ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اعتلای خاستگاه نخستین به خاستگاه نهایی، در روند تربیت انسان بر مبنای توحید ربوبی اخلال ایجاد خواهد کرد، زیرا حرکت مربوب به سمت هدف غایی مستلزم این است که خودمحوری از صحنۀ تربیت انسان کنار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اعتلای بنیادی ترین میل زیرساز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منافع و دفع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کانون خیر و فضیلت در تحقق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اعتلای مذکور به معنای مهار و ضبط گرایش ابتدایی و جهت دادن آن به سمت گرایش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11" w:name="pg3253_17362"/>
    </w:p>
    <w:p>
      <w:pPr>
        <w:pStyle w:val="Heading4"/>
        <w:numPr>
          <w:ilvl w:val="3"/>
          <w:numId w:val="1"/>
        </w:numPr>
        <w:rPr/>
      </w:pPr>
      <w:bookmarkStart w:id="212" w:name="__RefHeading___Toc2031045_2749589250"/>
      <w:bookmarkStart w:id="213" w:name="_Toc82"/>
      <w:bookmarkEnd w:id="211"/>
      <w:bookmarkEnd w:id="212"/>
      <w:r>
        <w:rPr>
          <w:rtl w:val="true"/>
        </w:rPr>
        <w:t>مرحلۀ سوم فرآیند تربیت</w:t>
      </w:r>
      <w:r>
        <w:rPr>
          <w:rtl w:val="true"/>
        </w:rPr>
        <w:t xml:space="preserve">: </w:t>
      </w:r>
      <w:r>
        <w:rPr>
          <w:rtl w:val="true"/>
        </w:rPr>
        <w:t>باریابی به عالم ملکوت</w:t>
      </w:r>
      <w:bookmarkEnd w:id="213"/>
    </w:p>
    <w:p>
      <w:pPr>
        <w:pStyle w:val="BookText"/>
        <w:rPr/>
      </w:pPr>
      <w:r>
        <w:rPr>
          <w:rFonts w:ascii="IRNazanin" w:hAnsi="IRNazanin" w:eastAsia="IRNazanin"/>
          <w:color w:val="111111"/>
          <w:sz w:val="28"/>
          <w:sz w:val="28"/>
          <w:szCs w:val="28"/>
          <w:rtl w:val="true"/>
          <w:lang w:bidi="fa-IR"/>
        </w:rPr>
        <w:t>آنچه در این قسمت بیان می شود، در حکم نتیجۀ مراحل اول و دوم فرآیند تربیت انسان با عنایت به کاربست توحید ربوبی است، که محتوای آن در دو قسمت پیشین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شخصیت عبودی انسان سبب می شود ارتباط دوسویه ای بین ربّ و مربوب در جریان تربیت انسان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دوسویگی در آیات متعددی از قرآن قابل ملاحظه است که بر اساس آن، فعالیت ها و اعمال متناسب با اقتضائات ربوبی، از سوی انسان صورت می پذیرد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رحمت واسعۀ خویش زمینه های جدیدی از هدایت را ایجاد می کند تا امکان دست‌یابی انسان به مراتب بالای انسانی را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ضروری است که قرار دادن انسان به عنوان یکی از محورهای ارتباط دوسویه به این معنا نیست که انسان در آن سو و جهت، مختار علی‌الاطلاق بوده و تمامی فعالیت ها و اعمال منتسب به او باشد، زیرا چنین اطلاقی برخلاف اطلاق ربوبیت حق‌تعالی در تمامی جریان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فعالیت های انسان در این ارتباط دوسویه از سوی قرآن، ایمان و عمل صالح معرفی شده است؛ به این معنا که انسان باید با اتخاذ ربّ واحد، به او ایمان آورده و کوشش بلیغی در جهت التزام به معیارها و ضوابط ربوبی صورت دهد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احیای انسان به حیات نویی فراتر از حیات ظاهری، به تدبیر تربیتی و هدایتی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رابطۀ دوسویه در آیه زیر به وضوح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شالودۀ حیات طیبه بر ایمان استوار شده است و این هر دو رابطۀ مستقیمی با یکدیگر دارند؛ به هر میزان که بر شناخت و ایمان فرد به ربّ افزوده شده و بر اعمال متناسب با آن التزام صورت پذیرد، به همان میزان بر قوّت و قدرت حیات طیبۀ انسان افزوده می شود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ذیل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ایمان چهار مرتبه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چهارم و نهایی از آن را حاصل ارادۀ انسان ندانسته و آن را تماماً موهبتی از ناحیۀ خداوند به شمار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از ایمان، انسان به شهود این حقیقت دست می یابد که مالکیت و تصرف در عالم،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عبد مالکیت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شهود کرده و به عدم استقلال خود و دیگر موجودات در تمامی جهات آن از استقلال ذاتی، صفتی و عملی پی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مقام، هرچند از اختیار انسان خارج است، ولی در مقام بحث از غایت تربیت او باید مورد تأکید قرار بگیرد، زیرا مقامی است که</w:t>
      </w:r>
    </w:p>
    <w:p>
      <w:pPr>
        <w:pStyle w:val="BookText"/>
        <w:rPr/>
      </w:pPr>
      <w:r>
        <w:rPr>
          <w:rFonts w:ascii="IRNazanin" w:hAnsi="IRNazanin" w:eastAsia="IRNazanin"/>
          <w:color w:val="111111"/>
          <w:sz w:val="28"/>
          <w:sz w:val="28"/>
          <w:szCs w:val="28"/>
          <w:rtl w:val="true"/>
          <w:lang w:bidi="fa-IR"/>
        </w:rPr>
        <w:t>انسان توانایی و شایستگی حضور در آن مقام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آماده کردن تمهیدات ورود در چنین مقامی در حوزۀ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غایی از تربیت انسان بر مبنای توحید ربوبی عبارت خواهد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ملکوت عالم هستی، نه از جهت شیئیت مادی که شناخت خواص اشیا را نتیجه می‌دهد، بلکه از جهت وجودی آن‌ها، که غیرمستقل و مربوط و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و همه‌چیز را تدبیر می کند و او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غایی، بیان‌گر نوعی ملازمت بین انسان و ربّ است که متعاقب آن، انسان به</w:t>
      </w:r>
    </w:p>
    <w:p>
      <w:pPr>
        <w:pStyle w:val="BookText"/>
        <w:rPr/>
      </w:pPr>
      <w:r>
        <w:rPr>
          <w:rFonts w:ascii="IRNazanin" w:hAnsi="IRNazanin" w:eastAsia="IRNazanin"/>
          <w:color w:val="111111"/>
          <w:sz w:val="28"/>
          <w:sz w:val="28"/>
          <w:szCs w:val="28"/>
          <w:rtl w:val="true"/>
          <w:lang w:bidi="fa-IR"/>
        </w:rPr>
        <w:t xml:space="preserve">گونه ای می شود که می توان او را یک‌سره به ربّ منتسب کرد، زیرا او در تمامی حالات ملازم ربّ بوده و خویشتن خویش را در ید قدرت ربوبی ملاحظه می‌کند؛ تو گویی هیچ از خود نداشته و هر آنچه در تمامی جهات دارد،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سبزواری،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معنا هستند، زیرا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هستند، جز این که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معنای انتساب و اختصاص به ربّ، مبالغه آمیزتر است و دربارۀ کسانی به کار رفته است که در مقام تعلیم و تدریس کتاب به دیگران هستند؛ یعنی چنین کسانی لازم است تا نسبت به دیگران از اختصاص بیشتری به ربّ 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همان هدف غایی از تربیت انسان هستند و این بیان‌گرِ این مطلب است که تمامی جهت گیری های تربیتی بر مبنای توحید ربوبی، باید بر اختصاص و انتساب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به گونه ای که انسان در هر مرحله از تربیت خویش، به غنای محض ربوبی و فقر محض خویش پی برده و بر عدم استقلال او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چنین رویکردی در تربیت، به مراتب کارآمدتر از رویکردهایی است که در آن فقط به ارائه اطلاعات به متربی پرداخته می شود، بدون این که نسبتی 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نکته لازم است که در تربیت مبتنی بر توحید ربوبی، هدف غایی تربیت به بهای طرد انگیزه های حیات زیستی مطرح نمی شود، بلکه در عین حال که نوعی توسعه و اعتلا در همان انگیزه ها جلوه 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انسان از اسارتِ انگیزه های حیات زیستی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نحوۀ عبور از بایدهای حیاتی اولیه به بایدهای حیاتی فراتر، به لحاظ تحقق پذیر شدن هدف ها،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مطرح کردن هدف ها به بهای نفی بایدهای حیاتی اولیه موجب می گردد که افراد در پذیرش هدف ها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نیز باید در نظر داشت که با گام گذاشتن فرد در عرصه های فراتر حیات و مشاهدۀ افق آن ، انگیزه هایی متناسب با آن فراهم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به طوری که دیگر انگیزه ها صورت تحقق به خود می گیرند</w:t>
      </w:r>
      <w:r>
        <w:rPr>
          <w:rFonts w:eastAsia="IRNazanin" w:cs="IRNazanin"/>
          <w:color w:val="111111"/>
          <w:sz w:val="28"/>
          <w:szCs w:val="28"/>
          <w:rtl w:val="true"/>
          <w:lang w:bidi="fa-IR"/>
        </w:rPr>
        <w:t>.</w:t>
      </w:r>
      <w:bookmarkStart w:id="214" w:name="pg3253_17364"/>
    </w:p>
    <w:p>
      <w:pPr>
        <w:pStyle w:val="Heading3"/>
        <w:numPr>
          <w:ilvl w:val="2"/>
          <w:numId w:val="1"/>
        </w:numPr>
        <w:rPr/>
      </w:pPr>
      <w:bookmarkStart w:id="215" w:name="__RefHeading___Toc2031047_2749589250"/>
      <w:bookmarkStart w:id="216" w:name="_Toc83"/>
      <w:bookmarkEnd w:id="214"/>
      <w:bookmarkEnd w:id="215"/>
      <w:r>
        <w:rPr>
          <w:rtl w:val="true"/>
        </w:rPr>
        <w:t>پیشنهاد</w:t>
      </w:r>
      <w:bookmarkEnd w:id="2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نزول قرآن کریم، تربیت انسان و اصلاح امورات فردی و اجتماعی از رهگذر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تمامی آموزه های مطرح در آن را باید ناظر به این امر مهم، مورد تحلیل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آموزه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تربیت انسان داشته و جهت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تربیتی انسان را متأثر از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در مقام تدوین نظام تربیتی اسلام، به این محوریت توجه کافی و وافی داشته و بر اهمیت آن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امر، سبب شکل گیری ارتباط بین‌رشته ای بین علوم تربیتی و علم کلام نیز خواهد شد، زیرا توحید ربوبی از دیرباز به انحای مختلف مورد توجه متکلمان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ارائه الگویی از کاربست توحید ربوبی در تعیین فرآیند تربیتی انسان، با تأکید بر اهداف تربیتی هر مرحله از آن فرآیند، در صدد تبیین این نگاه به عنوان گام های نخستین این عرصه به رشتۀ تدوین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سایر موضوعات تربیتی نظیر اصول، روش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دیگری در این عرصه می تواند به شمار آمده و زمینه را برای عینیت بخشی به آموزه های قرآنی و کلامی فراهم سازد</w:t>
      </w:r>
      <w:r>
        <w:rPr>
          <w:rFonts w:eastAsia="IRNazanin" w:cs="IRNazanin"/>
          <w:color w:val="111111"/>
          <w:sz w:val="28"/>
          <w:szCs w:val="28"/>
          <w:rtl w:val="true"/>
          <w:lang w:bidi="fa-IR"/>
        </w:rPr>
        <w:t>.</w:t>
      </w:r>
      <w:bookmarkStart w:id="217" w:name="pg3253_17365"/>
    </w:p>
    <w:p>
      <w:pPr>
        <w:pStyle w:val="Heading3"/>
        <w:numPr>
          <w:ilvl w:val="2"/>
          <w:numId w:val="1"/>
        </w:numPr>
        <w:rPr/>
      </w:pPr>
      <w:bookmarkStart w:id="218" w:name="__RefHeading___Toc2031049_2749589250"/>
      <w:bookmarkStart w:id="219" w:name="_Toc84"/>
      <w:bookmarkEnd w:id="217"/>
      <w:bookmarkEnd w:id="218"/>
      <w:r>
        <w:rPr>
          <w:rtl w:val="true"/>
        </w:rPr>
        <w:t>منابع</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ابن‌درید، محمد بن حسن،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منبر بعلبکی، بیروت،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سیدۀ المرسی،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المحکم و المحیط الاعظم،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هنداوی،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 مکتبۀ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جمال‌الدین ابوالفضل،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أدب الحوزه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ابوهلال،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فی اللغة، قم، مؤسسۀ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إبیاری، دمشق، دار الکاتب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اهل الزیغ، قاهره، المکتبۀ الازهریۀ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هویت علم دینی،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تعلیم و تربیت جمهوری اسلامی ایران، تهران، شرکت انتشارات علمی ـ فرهنگی،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دیدگاه قرآن،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قم، اسراء،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اسراء،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عطار، بیروت،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الی قواطع الادلۀ فی اول الاعتقاد،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مؤسسۀ النشر السلامی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بدایۀ المعارف فی شرح العقائد الامامیه، قم، مؤسسۀ النشر الاسلامی،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العالیۀ الی علم الالهی، بیروت، دار 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دمشق، دار العلم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بهروز،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 دانشمندان مسلمان در تعلیم و تربیت و مبانی آن، قم، پژوهشکده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علی هدی الکتاب و السنۀ و العقل، قم، المرکز العالمی للدراسات الاسلامیه، چاپ سوم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الالهیات، قم، مؤسسه امام صادق علیه السلام ،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لبنان، دار الشروق، چاپ سی‌و‌پنجم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لبنان، مؤسسۀ الاعلمی للمطبوعات،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حسینی، تهران، نشر الثقافۀ الاسلامیۀ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خواجه‌نصیرالدین،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العقائد، لبنان، دار الغربه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لبنان،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محمدفؤاد،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المفهرس لالفاظ القرآن الکریم، بیروت، مؤسسۀ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ائمه در احیای دین، تهران،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 مکتبۀ العلمیۀ الاسلامیۀ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دار إحیاء التراث العربی،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وحی القرآن، لبنان، دار الملاک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ملکی، محمدحسن،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حکمت و شریعت، تهران، پژوهشگاه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ابومنصور،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عاصم ابراهیم،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صدرا،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 شیخ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توحیدی و نقش آن در پی ریزی شخصیت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ناظم،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فاضل،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الالهیۀ فی المباحث الکلامیه، قم، دفتر تبلیغات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سبزواری، عبدالاعلی،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مواهب الرحمن فی تفسیر القرآن، بی جا، دفتر سماحۀ آیۀ‌الله العظمی السبزواری، چاپ دوم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نجارزادگان، فتح‌الله،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نکته در بررسی و ارزیابی ادله توسل، شفاعت، تبرک و زیارت، قم، زائر آستان مقدس</w:t>
      </w:r>
      <w:r>
        <w:rPr>
          <w:rFonts w:eastAsia="IRNazanin" w:cs="IRNazanin"/>
          <w:color w:val="111111"/>
          <w:sz w:val="28"/>
          <w:szCs w:val="28"/>
          <w:rtl w:val="true"/>
          <w:lang w:bidi="fa-IR"/>
        </w:rPr>
        <w:t>.</w:t>
      </w:r>
      <w:bookmarkStart w:id="220" w:name="pg3253_17367"/>
    </w:p>
    <w:p>
      <w:pPr>
        <w:pStyle w:val="Heading2"/>
        <w:numPr>
          <w:ilvl w:val="1"/>
          <w:numId w:val="1"/>
        </w:numPr>
        <w:rPr/>
      </w:pPr>
      <w:bookmarkStart w:id="221" w:name="__RefHeading___Toc2031051_2749589250"/>
      <w:bookmarkStart w:id="222" w:name="_Toc85"/>
      <w:bookmarkEnd w:id="220"/>
      <w:bookmarkEnd w:id="221"/>
      <w:r>
        <w:rPr>
          <w:rtl w:val="true"/>
        </w:rPr>
        <w:t>احباط و تکفیر عمل، از دیدگاه آیت‌الله جوادی آملی</w:t>
      </w:r>
      <w:r>
        <w:rPr>
          <w:rtl w:val="true"/>
        </w:rPr>
        <w:t xml:space="preserve">/ </w:t>
      </w:r>
      <w:r>
        <w:rPr>
          <w:rtl w:val="true"/>
        </w:rPr>
        <w:t xml:space="preserve">اقدس یزدی </w:t>
      </w:r>
      <w:r>
        <w:rPr>
          <w:rtl w:val="true"/>
        </w:rPr>
        <w:t xml:space="preserve">- </w:t>
      </w:r>
      <w:r>
        <w:rPr>
          <w:rtl w:val="true"/>
        </w:rPr>
        <w:t>زینب عباسی آغوی</w:t>
      </w:r>
      <w:bookmarkEnd w:id="222"/>
    </w:p>
    <w:p>
      <w:pPr>
        <w:pStyle w:val="Heading3"/>
        <w:numPr>
          <w:ilvl w:val="2"/>
          <w:numId w:val="1"/>
        </w:numPr>
        <w:rPr/>
      </w:pPr>
      <w:bookmarkStart w:id="223" w:name="__RefHeading___Toc2031053_2749589250"/>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اقدس یزدی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زینب عباسی آغوی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12/06/1395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01/08/1395</w:t>
      </w:r>
    </w:p>
    <w:p>
      <w:pPr>
        <w:pStyle w:val="Heading3"/>
        <w:numPr>
          <w:ilvl w:val="2"/>
          <w:numId w:val="1"/>
        </w:numPr>
        <w:rPr/>
      </w:pPr>
      <w:bookmarkStart w:id="225" w:name="__RefHeading___Toc2031055_2749589250"/>
      <w:bookmarkStart w:id="226" w:name="_Toc87"/>
      <w:bookmarkEnd w:id="225"/>
      <w:r>
        <w:rPr>
          <w:rtl w:val="true"/>
        </w:rPr>
        <w:t>چکیده</w:t>
      </w:r>
      <w:bookmarkEnd w:id="226"/>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معتزله قائل به احباط کلی بوده، دلایل عقلی و نقلی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اشاعره و اکثر امامیه در حال کفر، ارتداد، شرک و نفاق، منکر احباط کلی هستند و آن را مستلزم ظلم، ترجیح بلامرجح و یا تناقض و دور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دربارۀ کفر، شرک، نفاق و ارتداد، قائل به حبط محضند که انسان بر اثر آن‌ها همة هستی خود را از دست می‌دهد و دربارۀ معاصی قائل به حبط غیرمحض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اساس حرکت جوهری نفس معتقدند، نفس مادامی که رابطة تعلقی با بدن دارد، قابلیت دگرگونی دارد و افعال انسانی با نفس، اتحاد وجودی دارند و صورت متناسب با خود را ایجاد می‌کنند</w:t>
      </w:r>
      <w:r>
        <w:rPr>
          <w:rFonts w:eastAsia="IRNazanin" w:cs="IRNazanin"/>
          <w:color w:val="111111"/>
          <w:sz w:val="28"/>
          <w:szCs w:val="28"/>
          <w:rtl w:val="true"/>
          <w:lang w:bidi="fa-IR"/>
        </w:rPr>
        <w:t>.</w:t>
      </w:r>
    </w:p>
    <w:p>
      <w:pPr>
        <w:pStyle w:val="Heading3"/>
        <w:numPr>
          <w:ilvl w:val="2"/>
          <w:numId w:val="1"/>
        </w:numPr>
        <w:rPr/>
      </w:pPr>
      <w:bookmarkStart w:id="227" w:name="__RefHeading___Toc2031057_2749589250"/>
      <w:bookmarkStart w:id="228" w:name="_Toc88"/>
      <w:bookmarkEnd w:id="227"/>
      <w:r>
        <w:rPr>
          <w:rtl w:val="true"/>
        </w:rPr>
        <w:t>واژگان کلیدی</w:t>
      </w:r>
      <w:bookmarkEnd w:id="2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احباط، تکفیر، آیت‌الله جوادی آملی، موافات</w:t>
      </w:r>
      <w:r>
        <w:rPr>
          <w:rFonts w:eastAsia="IRNazanin" w:cs="IRNazanin"/>
          <w:color w:val="111111"/>
          <w:sz w:val="28"/>
          <w:szCs w:val="28"/>
          <w:rtl w:val="true"/>
          <w:lang w:bidi="fa-IR"/>
        </w:rPr>
        <w:t>.</w:t>
      </w:r>
      <w:bookmarkStart w:id="229" w:name="pg3253_17368"/>
    </w:p>
    <w:p>
      <w:pPr>
        <w:pStyle w:val="Heading3"/>
        <w:numPr>
          <w:ilvl w:val="2"/>
          <w:numId w:val="1"/>
        </w:numPr>
        <w:rPr/>
      </w:pPr>
      <w:bookmarkStart w:id="230" w:name="__RefHeading___Toc2031059_2749589250"/>
      <w:bookmarkStart w:id="231" w:name="_Toc89"/>
      <w:bookmarkEnd w:id="229"/>
      <w:bookmarkEnd w:id="230"/>
      <w:r>
        <w:rPr>
          <w:rtl w:val="true"/>
        </w:rPr>
        <w:t>مقدمه</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کلامی است که مربوط به اعمال نیک و بد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متکلمان به این معناست که معصیت متأخر موجب از بین رفتن طاعت متقدم و ثواب آن می‌شود؛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طاعت یا ثواب متأخر باعث از بین رفتن معصیت متقدم و عقاب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این دو به ترتیب شانزده و چهارده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نیز با الفاظ دیگری به کار رفته است؛ بنابراین می‌توان گفت در اسلام،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 و همۀ پیامبران پیشین وحی شده که اگر مشرک شوی، تمام اعمالت تباه می‌گردد و از زیان‌کاران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پیامبران پیشین هم به نحوی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آیۀ شریفه می‌توان گفت، سابقه این بحث به قدمت وحی است و اولین کسی هم که اعمالش حبط شد، ابلیس بود؛ چنانچه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 وَ کَانَ قَدْ عَبَدَ اللَّهَ سِتَّةَ آلَافِ سَنَةٍ لَا یُدْرَی أَ مِنْ سِنِی الدُّنْیَا أَمْ مِنْ سِنِی الْآخِرَةِ عَنْ کِبْرِ سَاعَةٍ وَاحِدَةٍ فَمَنْ ذَا بَعْدَ إِبْلِیسَ یَسْلَمُ عَلَی اللَّهِ بِمِثْلِ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خدا با ابلیس انجام داد عبرت گیرید که عمل طولانی و تلاش فراوان او از بین رفت؛ در حالی که خدای را شش‌هزار سال عبادت کرده بود که معلوم نیست از سال‌های دنیاست یا از سال‌های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کبر لحظه‌ای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ابلیس کیست که نسبت به خداوند از مانند چنین گناهی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اسلامی به صورت گسترده‌ای در مباحث مربوط به معاد مطرح شده و دیدگاه‌های متفاوتی در این زمینه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با صراحت و روشنی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ابوعلی و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ابوهاشم نسبت می‌دهند و به دنبال آن معتزله را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و اکثریت امامیه را مخالفان این نظریه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ابوعلی جبائی بوده است،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مرجئه نیز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bookmarkStart w:id="232" w:name="pg3253_17369"/>
    </w:p>
    <w:p>
      <w:pPr>
        <w:pStyle w:val="BookText"/>
        <w:rPr/>
      </w:pPr>
      <w:bookmarkEnd w:id="232"/>
      <w:r>
        <w:rPr>
          <w:rFonts w:ascii="IRNazanin" w:hAnsi="IRNazanin" w:eastAsia="IRNazanin"/>
          <w:color w:val="111111"/>
          <w:sz w:val="28"/>
          <w:sz w:val="28"/>
          <w:szCs w:val="28"/>
          <w:rtl w:val="true"/>
          <w:lang w:bidi="fa-IR"/>
        </w:rPr>
        <w:t>از آن‌جا که مسئله احباط و تکفیر موضوعی قرآنی است، لازم است این مسئله به گونه‌ای تبیین شود که با آیات و روایات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متکلم، فیلسوف و مفسر معاصر، با تکیه بر مبانی حکمت متعالیه، تبیینی از مسئله احباط و تکفیر در این راستا دارند که با ظاهر آیات و روایات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حاضر، پس از مفهوم شناسی و بیان اجمالی دیدگاه‌های مختلف کلامی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دیدگاه آیت‌الله جوادی آملی به عنوان چهرة شاخص معاصر کلام امامیه می پردازیم</w:t>
      </w:r>
      <w:r>
        <w:rPr>
          <w:rFonts w:eastAsia="IRNazanin" w:cs="IRNazanin"/>
          <w:color w:val="111111"/>
          <w:sz w:val="28"/>
          <w:szCs w:val="28"/>
          <w:rtl w:val="true"/>
          <w:lang w:bidi="fa-IR"/>
        </w:rPr>
        <w:t>.</w:t>
      </w:r>
    </w:p>
    <w:p>
      <w:pPr>
        <w:pStyle w:val="Heading3"/>
        <w:numPr>
          <w:ilvl w:val="2"/>
          <w:numId w:val="1"/>
        </w:numPr>
        <w:rPr/>
      </w:pPr>
      <w:bookmarkStart w:id="233" w:name="__RefHeading___Toc2031061_2749589250"/>
      <w:bookmarkStart w:id="234" w:name="_Toc90"/>
      <w:bookmarkEnd w:id="233"/>
      <w:r>
        <w:rPr>
          <w:rtl w:val="true"/>
        </w:rPr>
        <w:t>مفهوم شناسی</w:t>
      </w:r>
      <w:bookmarkEnd w:id="234"/>
    </w:p>
    <w:p>
      <w:pPr>
        <w:pStyle w:val="BookText"/>
        <w:rPr/>
      </w:pPr>
      <w:r>
        <w:rPr>
          <w:rFonts w:ascii="IRNazanin" w:hAnsi="IRNazanin" w:eastAsia="IRNazanin"/>
          <w:color w:val="111111"/>
          <w:sz w:val="28"/>
          <w:sz w:val="28"/>
          <w:szCs w:val="28"/>
          <w:rtl w:val="true"/>
          <w:lang w:bidi="fa-IR"/>
        </w:rPr>
        <w:t xml:space="preserve">برای تبیین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ابتدا معنای لغوی و اصطلاحی برخی واژگان مرتبط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اعراض، باطل کردن و از میان بردن عمل و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ابن‌فارس،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به کار می‌رود که شخصی عملی را انجام دهد و سپس آن را فاسد کرده و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بی‌تا،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فراهیدی،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دانشمندان علم کلام، شاید بتوان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از بین رفتن طاعت یا ثواب متقدم به موجب معصیت یا عقاب متأخر تعریف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جمعی از نویسندگان،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نیشابوری مقری،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دغیم،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پوشانیدن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ابن‌منظور،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زبیدی،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متکلمان به معنای آن است که طاعت یا ثواب متأخر باعث از بین رفتن معصیت یا عقاب متقدم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خاتمی،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موازنة چیزی قرار دادن، به معنای معادل، مقابل و محاذات دیگری قرار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کلام اسلامی این است که ثواب و عقاب یا استحقاق آن‌ها با یکدیگر سنجیده می‌شود و هر کدام که بیش از دیگری بود، طرف مقابل را ساقط می‌کند و به همان اندازه از خودش نیز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دغیم،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bookmarkStart w:id="235" w:name="pg3253_17370"/>
    </w:p>
    <w:p>
      <w:pPr>
        <w:pStyle w:val="BookText"/>
        <w:rPr/>
      </w:pPr>
      <w:bookmarkEnd w:id="235"/>
      <w:r>
        <w:rPr>
          <w:rFonts w:ascii="IRNazanin" w:hAnsi="IRNazanin" w:eastAsia="IRNazanin"/>
          <w:color w:val="111111"/>
          <w:sz w:val="28"/>
          <w:sz w:val="28"/>
          <w:szCs w:val="28"/>
          <w:rtl w:val="true"/>
          <w:lang w:bidi="fa-IR"/>
        </w:rPr>
        <w:t>موافات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مصدر باب مفاعله است و اصل آن به معنای اکمال و اتمام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ابن‌منظور، بی‌تا،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متکلمان معانی متعددی دارد؛ عده‌ای آن را استمرار در طاعت و عده ای آن را استمرار بر ایمان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موافات به این معناست که انسان در صورتی مستحق ثواب می شود که تا لحظۀ مرگ بر ایمان خود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3"/>
        <w:numPr>
          <w:ilvl w:val="2"/>
          <w:numId w:val="1"/>
        </w:numPr>
        <w:rPr/>
      </w:pPr>
      <w:bookmarkStart w:id="236" w:name="__RefHeading___Toc2031063_2749589250"/>
      <w:bookmarkStart w:id="237" w:name="_Toc91"/>
      <w:bookmarkEnd w:id="236"/>
      <w:r>
        <w:rPr>
          <w:rtl w:val="true"/>
        </w:rPr>
        <w:t xml:space="preserve">دیدگاه‌های مختلف کلامی دربارۀ </w:t>
      </w:r>
      <w:r>
        <w:rPr>
          <w:rtl w:val="true"/>
        </w:rPr>
        <w:t>«</w:t>
      </w:r>
      <w:r>
        <w:rPr>
          <w:rtl w:val="true"/>
        </w:rPr>
        <w:t>احباط و تکفیر</w:t>
      </w:r>
      <w:r>
        <w:rPr>
          <w:rtl w:val="true"/>
        </w:rPr>
        <w:t>»</w:t>
      </w:r>
      <w:bookmarkEnd w:id="237"/>
    </w:p>
    <w:p>
      <w:pPr>
        <w:pStyle w:val="Heading4"/>
        <w:numPr>
          <w:ilvl w:val="3"/>
          <w:numId w:val="1"/>
        </w:numPr>
        <w:rPr/>
      </w:pPr>
      <w:bookmarkStart w:id="238" w:name="__RefHeading___Toc2031065_2749589250"/>
      <w:bookmarkStart w:id="239" w:name="_Toc9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همة متکلمان معتقدند ایمان موجب تکفیر و از بین رفتن معاصی گذشته می‌شود و هم‌چنین کفر بعد از ایمان سبب احباط اعمال نیک گذشته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متکلمان در جایی است که مؤمنی عمل زشتی انجام دهد و پیش از توبه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محل اختلاف در این مسئله در جانب احباط است و دربارۀ تکفیر اختلاف اساسی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به بخشش گناهان از جانب خداوند مربوط می‌شود و از نظر عقلی و کلامی مانعی ندارد که خداوند از عقاب گناه‌کاری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4"/>
        <w:numPr>
          <w:ilvl w:val="3"/>
          <w:numId w:val="1"/>
        </w:numPr>
        <w:rPr/>
      </w:pPr>
      <w:bookmarkStart w:id="240" w:name="__RefHeading___Toc2031067_2749589250"/>
      <w:bookmarkStart w:id="241" w:name="_Toc93"/>
      <w:bookmarkEnd w:id="240"/>
      <w:r>
        <w:rPr/>
        <w:t>1</w:t>
      </w:r>
      <w:r>
        <w:rPr>
          <w:rtl w:val="true"/>
        </w:rPr>
        <w:t xml:space="preserve">. </w:t>
      </w:r>
      <w:r>
        <w:rPr>
          <w:rtl w:val="true"/>
        </w:rPr>
        <w:t>دیدگاه معتزله</w:t>
      </w:r>
      <w:bookmarkEnd w:id="241"/>
    </w:p>
    <w:p>
      <w:pPr>
        <w:pStyle w:val="BookText"/>
        <w:rPr/>
      </w:pPr>
      <w:r>
        <w:rPr>
          <w:rFonts w:ascii="IRNazanin" w:hAnsi="IRNazanin" w:eastAsia="IRNazanin"/>
          <w:color w:val="111111"/>
          <w:sz w:val="28"/>
          <w:sz w:val="28"/>
          <w:szCs w:val="28"/>
          <w:rtl w:val="true"/>
          <w:lang w:bidi="fa-IR"/>
        </w:rPr>
        <w:t xml:space="preserve">متکلمان معتزله که قائل به اصول پنج‌گانة توحید، عدل، وعد و وعید، المنزلة بین المنزلتین و امر به معروف و نهی از منکر هستند،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معتزله طبق مبانی خود،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را مقتضای حکم عقل می‌دانند، اما در جزئیات آن با یکدیگر اختلاف نظر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جبائی معتقد است عمل بیشتر، عمل کمتر را ساقط می‌کند، بدون این‌که از کمّیت عمل بیشتر کاسته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طاعت و معصیت است، نه ثواب و عقاب، زیرا ثواب و عقاب با هم محقق نمی‌شوند تا یکی در دیگری اثر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جبائی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به صورت مطلق است و برای دیدگاه خود دلایل عقلی و نقلی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bookmarkStart w:id="242" w:name="pg3253_17371"/>
    </w:p>
    <w:p>
      <w:pPr>
        <w:pStyle w:val="BookText"/>
        <w:rPr/>
      </w:pPr>
      <w:bookmarkEnd w:id="242"/>
      <w:r>
        <w:rPr>
          <w:rFonts w:ascii="IRNazanin" w:hAnsi="IRNazanin" w:eastAsia="IRNazanin"/>
          <w:color w:val="111111"/>
          <w:sz w:val="28"/>
          <w:sz w:val="28"/>
          <w:szCs w:val="28"/>
          <w:rtl w:val="true"/>
          <w:lang w:bidi="fa-IR"/>
        </w:rPr>
        <w:t xml:space="preserve">ابوهاشم، فرزند ابوعلی جبائی،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ارائه‌شده از سوی ابوعلی را رد کرده و در مقابل،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عمل بیشتر، عمل کمتر را ساقط می‌کند و از خود عملِ بیشتر نیز به اندازۀ عمل کمتر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وی،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و عقاب است، نه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از طرف‌داران این نظریه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دو دیدگاه ذکرشده، چند نظر دیگر نیز به معتزله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بغدادی به معتزله نسبت می‌دهد که معتقدند اگر مکلف حتی یک گناه کبیره مرتکب شود، تمامی طاعات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دیگری که تفتازانی به معتزله نسبت می‌دهد، این است که گناه کبیره چه قبل از طاعت باشد و چه بعد از طاعت، طاعت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معتزله مرتکب گناه کبیره را مخلد در آتش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این دیدگاه‌ها به معتزله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معتزله معتقدند طاعات، تنها گناهان صغیره را تکفیر می‌کنند و در گناه کبیره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دیگری را فخر رازی به معتزله نسبت می‌دهد که به اعتقاد آن‌ها، گناه صغیره بعضی از اجزای ثواب را حبط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نظر جای تأمل دارد و در منابع دیگر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معتزلی‌ها، عبّاد بن سلمان مخالف احباط و تکفیر،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گناهان تنها با توبه از بین می‌روند و طاعات و معاصی در یکدیگر اثر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243" w:name="__RefHeading___Toc2031069_2749589250"/>
      <w:bookmarkStart w:id="244" w:name="_Toc94"/>
      <w:bookmarkEnd w:id="243"/>
      <w:r>
        <w:rPr/>
        <w:t>2</w:t>
      </w:r>
      <w:r>
        <w:rPr>
          <w:rtl w:val="true"/>
        </w:rPr>
        <w:t xml:space="preserve">. </w:t>
      </w:r>
      <w:r>
        <w:rPr>
          <w:rtl w:val="true"/>
        </w:rPr>
        <w:t>دیدگاه اشاعره</w:t>
      </w:r>
      <w:bookmarkEnd w:id="2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معتزله که قائل به احباط و تکفیر هستند، اشاعره منکر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در قرآن کریم، تصریح به احباط و تکفیر شده است، آن را به طور کلی رد نمی‌کنند، بلکه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مجازی آن صحیح است، نه به معنای حقیقی که اهل اعتزال قائل به آن هستند، و این به مبنای آن‌ها در نفی عقلی بودن حُسن و قبح بازمی‌گردد که بر اساس آن نمی‌توانند دربارۀ ردّ یا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داشته باشند</w:t>
      </w:r>
      <w:r>
        <w:rPr>
          <w:rFonts w:eastAsia="IRNazanin" w:cs="IRNazanin"/>
          <w:color w:val="111111"/>
          <w:sz w:val="28"/>
          <w:szCs w:val="28"/>
          <w:rtl w:val="true"/>
          <w:lang w:bidi="fa-IR"/>
        </w:rPr>
        <w:t>.</w:t>
      </w:r>
      <w:bookmarkStart w:id="245" w:name="pg3253_17372"/>
    </w:p>
    <w:p>
      <w:pPr>
        <w:pStyle w:val="BookText"/>
        <w:rPr/>
      </w:pPr>
      <w:bookmarkEnd w:id="245"/>
      <w:r>
        <w:rPr>
          <w:rFonts w:ascii="IRNazanin" w:hAnsi="IRNazanin" w:eastAsia="IRNazanin"/>
          <w:color w:val="111111"/>
          <w:sz w:val="28"/>
          <w:sz w:val="28"/>
          <w:szCs w:val="28"/>
          <w:rtl w:val="true"/>
          <w:lang w:bidi="fa-IR"/>
        </w:rPr>
        <w:t>آن ها معتقدند مردم در آخرت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مقرب، اصحاب یمین و اصحاب 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بدون حساب وارد بهشت می‌شوند؛ مانند کودکان مؤمنان، بچه‌های سقط‌شده و هفتادهزار نفر از امت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کافران را تکذیب‌کنندة قیامت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گناه‌کار، تکذیب‌کننده نیست؛ بنابراین جزء اصحاب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اصحاب یمین در آخرت محاسبه می‌شود و اگر گناهی مرتکب شده باشند، مدتی عذاب می‌شوند و سپس داخل بهشت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غزالی،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ابن‌خلدون،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4"/>
        <w:numPr>
          <w:ilvl w:val="3"/>
          <w:numId w:val="1"/>
        </w:numPr>
        <w:rPr/>
      </w:pPr>
      <w:bookmarkStart w:id="246" w:name="__RefHeading___Toc2031071_2749589250"/>
      <w:bookmarkStart w:id="247" w:name="_Toc95"/>
      <w:bookmarkEnd w:id="246"/>
      <w:r>
        <w:rPr/>
        <w:t>3</w:t>
      </w:r>
      <w:r>
        <w:rPr>
          <w:rtl w:val="true"/>
        </w:rPr>
        <w:t xml:space="preserve">. </w:t>
      </w:r>
      <w:r>
        <w:rPr>
          <w:rtl w:val="true"/>
        </w:rPr>
        <w:t>دیدگاه امامیه</w:t>
      </w:r>
      <w:bookmarkEnd w:id="247"/>
    </w:p>
    <w:p>
      <w:pPr>
        <w:pStyle w:val="Heading5"/>
        <w:numPr>
          <w:ilvl w:val="4"/>
          <w:numId w:val="1"/>
        </w:numPr>
        <w:rPr/>
      </w:pPr>
      <w:bookmarkStart w:id="248" w:name="__RefHeading___Toc2031073_2749589250"/>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غالب محققان امامیه در علم کلام و تفسیر،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از حالت کفر و ارتداد و نفاق نفی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کارهای نیک و بد، به نحو احباطِ کلّی یا جزئی در یکدیگر اثر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کار نیک موجب نابودی کارهای بد می‌شود، نه عکس آن، بلکه هر عمل نیک یا بد در جایگاه خود قرار دارد تا در قیامت اعمال با یکدیگر سنجیده شوند و در پایان به کیفر یا پاداش اعمال رسیدگی گردد؛ اما حبط اعمال به وسیلۀ کفر، شرک، ارتداد و نفاق، مطلب مسلّمی است که در قرآن کریم به آن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قائلان به بطلان احباط و تکفیر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اکثر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از روز نخست، استحقاق انسان به پاداش ایمان و عمل صالح، مشروط است؛ یعنی ایمان و عمل نیک در صورتی مایة پاداش می‌شوند که در آینده، کفری به دنبال آن نیاید و یا گناه کبیره‌ای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مفقود شد، یعنی انسان کفر ورزید یا گناه کبیره کرد، روشن می‌شود که از روز نخست این فرد مستحق پاداش نبوده است، زیرا خداوند پاداش را مشروط و مقید کرده بود و چون فرد به شرط عمل نکرده، مستحق پاداش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واقع همان معنای موافات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منکران احباط و تکفیر، قائل به موافات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250" w:name="pg3253_17373"/>
    </w:p>
    <w:p>
      <w:pPr>
        <w:pStyle w:val="BookText"/>
        <w:rPr/>
      </w:pPr>
      <w:bookmarkEnd w:id="250"/>
      <w:r>
        <w:rPr>
          <w:rFonts w:ascii="IRNazanin" w:hAnsi="IRNazanin" w:eastAsia="IRNazanin"/>
          <w:color w:val="111111"/>
          <w:sz w:val="28"/>
          <w:sz w:val="28"/>
          <w:szCs w:val="28"/>
          <w:rtl w:val="true"/>
          <w:lang w:bidi="fa-IR"/>
        </w:rPr>
        <w:t>به عبارت بهتر، بقای معلول، مستلزم بقای علت تامه است و علت تامة استحقاق ثواب،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یعنی ایمان، بعینه باقی باشد، معلول هم باید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دارد </w:t>
      </w:r>
      <w:r>
        <w:rPr>
          <w:rStyle w:val="FootnoteAnchor"/>
          <w:rtl w:val="true"/>
        </w:rPr>
        <w:footnoteReference w:id="36"/>
      </w:r>
      <w:r>
        <w:rPr>
          <w:rFonts w:ascii="IRNazanin" w:hAnsi="IRNazanin" w:eastAsia="IRNazanin"/>
          <w:color w:val="111111"/>
          <w:sz w:val="28"/>
          <w:sz w:val="28"/>
          <w:szCs w:val="28"/>
          <w:rtl w:val="true"/>
          <w:lang w:bidi="fa-IR"/>
        </w:rPr>
        <w:t xml:space="preserve">، زیرا مقتضی و زمینة ثواب موجود بوده، اما کفر یا گناه بعدی آن را از بین برده است؛ بنابراین زمینة ثواب خنثی گردیده است، نه خود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معتزله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دیدگاه غالب امامیه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تحابط اعمال به طور کلی؛ جز در موارد کفر، ارتداد و نفاق که موجب احباط کلی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اجمالی تکفیر سیئات با حسنات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کلی تکفیر سیئات با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دیدگاه اکثر امامیه، نوبختیان هم‌چون معتزله قائل به احباط و تکفیر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آیت‌الله جوادی آملی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جوادی آملی این بحث را در دو کتاب تفسیری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مفصل بیان کرده‌اند</w:t>
      </w:r>
      <w:r>
        <w:rPr>
          <w:rFonts w:eastAsia="IRNazanin" w:cs="IRNazanin"/>
          <w:color w:val="111111"/>
          <w:sz w:val="28"/>
          <w:szCs w:val="28"/>
          <w:rtl w:val="true"/>
          <w:lang w:bidi="fa-IR"/>
        </w:rPr>
        <w:t>.</w:t>
      </w:r>
    </w:p>
    <w:p>
      <w:pPr>
        <w:pStyle w:val="Heading5"/>
        <w:numPr>
          <w:ilvl w:val="4"/>
          <w:numId w:val="1"/>
        </w:numPr>
        <w:rPr/>
      </w:pPr>
      <w:bookmarkStart w:id="251" w:name="__RefHeading___Toc2031075_2749589250"/>
      <w:bookmarkStart w:id="252" w:name="_Toc97"/>
      <w:bookmarkEnd w:id="251"/>
      <w:r>
        <w:rPr>
          <w:rtl w:val="true"/>
        </w:rPr>
        <w:t>الف</w:t>
      </w:r>
      <w:r>
        <w:rPr>
          <w:rtl w:val="true"/>
        </w:rPr>
        <w:t xml:space="preserve">. </w:t>
      </w:r>
      <w:r>
        <w:rPr>
          <w:rtl w:val="true"/>
        </w:rPr>
        <w:t xml:space="preserve">دیدگاه تفسیری آیت‌الله جوادی آملی دربارۀ </w:t>
      </w:r>
      <w:r>
        <w:rPr>
          <w:rtl w:val="true"/>
        </w:rPr>
        <w:t>«</w:t>
      </w:r>
      <w:r>
        <w:rPr>
          <w:rtl w:val="true"/>
        </w:rPr>
        <w:t>احباط و تکفیر</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قرآنی است که به کتاب‌های کلامی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با آنچه در کلام آمده،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و قرآنی، بطلان و نابودی همۀ کارهای نیک بر اثر خصوص کفر، ارتداد، شرک و نفاق است که در آیات قرآن بدان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اگر کسی کفر ورزید، از اعمال</w:t>
      </w:r>
    </w:p>
    <w:p>
      <w:pPr>
        <w:pStyle w:val="BookText"/>
        <w:rPr/>
      </w:pPr>
      <w:r>
        <w:rPr>
          <w:rFonts w:ascii="IRNazanin" w:hAnsi="IRNazanin" w:eastAsia="IRNazanin"/>
          <w:color w:val="111111"/>
          <w:sz w:val="28"/>
          <w:sz w:val="28"/>
          <w:szCs w:val="28"/>
          <w:rtl w:val="true"/>
          <w:lang w:bidi="fa-IR"/>
        </w:rPr>
        <w:t>صالح پیشین خود، بهره‌ای نخواهد برد و کفر موجب محروم شدن از کردار نیک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هیچ اثری از پرستشِ بت نخواهد دید و عبادت او بی‌اثر و بیهوده است؛ به عبارتی، اصلاً عمل صالح او محقق نمی‌شود تا چیزی موجب حبط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بدان معناست که برخی اعمال نیک، همچون اجتناب از کبائر، سبب محو شدن برخی سیئات می‌شود و به قرینه، مراد از سیئات خصوص گناهان صغیره است، نه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تکفیر دربارۀ گناهانی صورت می‌گیرد که شخص از آن‌ها توبه نکرده است، زیرا با توبه تمام گناهان صغیره و کبیره بخشیده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آیت‌الله جوادی آملی، آنچه از آیات قرآن برداشت می‌شود این است که اعمال انسان از نظر حبط و تکفیر و تأثیر متقابل، یکسان نیستند؛ برخی اعمال آثار کلی بر یکدیگر دارند و به منزلة احیا یا اماتة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همچون کفر، شرک و ارتداد به منزلة مرگ است که بر اثر آن، انسان همة هستی خود را از دست می‌دهد و اعمالی همچون ایمان و اسلام، به منزلۀ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ایمان آورد، گویا مرده‌ای زنده شده است و اگر مؤمنی کافر و مرتد گردد، گویا زنده‌ای 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ارتداد و شرک، همة کارهای نیک گذشته را از ریشه می‌خشکاند و انسان تا توبه نکند و اسلام نیاورد، نقص و عیب ترمیم نمی‌شود؛ چنان‌که ایمان و اسلام همة کارهای بد و آسیب‌ها را از ریشه می‌سوزاند و زمینة رشد را مساعد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اعمال تأثیر جزئی بر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یا سیئات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ایمان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جزئی بر یکدیگر دارند که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قرآن به چند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پاره‌ای از معاصی را حبط‌کنندة تمام حسنات در دنیا و آخرت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برخی اعمال نیک را محوکنندة همة بدی‌ها و گناهان در دنیا و آخرت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به این مضمون که برخی گناهان، پاره‌ای از کارهای نیک را نابود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غیرمحض</w:t>
      </w:r>
      <w:r>
        <w:rPr>
          <w:rFonts w:eastAsia="IRNazanin" w:cs="IRNazanin"/>
          <w:color w:val="111111"/>
          <w:sz w:val="28"/>
          <w:szCs w:val="28"/>
          <w:rtl w:val="true"/>
          <w:lang w:bidi="fa-IR"/>
        </w:rPr>
        <w:t>).</w:t>
      </w:r>
      <w:bookmarkStart w:id="253" w:name="pg3253_17375"/>
    </w:p>
    <w:p>
      <w:pPr>
        <w:pStyle w:val="BookText"/>
        <w:rPr/>
      </w:pPr>
      <w:bookmarkEnd w:id="2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برخی حسنات و طاعات را محوکنندة پاره‌ای گناهان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غیرمحض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جوادی آملی در تفسیر تسنیم خود، ذیل آیات مورد بحث، قائل به حبط محض و غیرمحض شده‌اند؛ اما احباط را به معنای معدوم شدن نمی‌دانند، زیرا چیزی که موجود شد، معدوم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5"/>
        <w:numPr>
          <w:ilvl w:val="4"/>
          <w:numId w:val="1"/>
        </w:numPr>
        <w:rPr/>
      </w:pPr>
      <w:bookmarkStart w:id="254" w:name="__RefHeading___Toc2031077_2749589250"/>
      <w:bookmarkStart w:id="255" w:name="_Toc98"/>
      <w:bookmarkEnd w:id="254"/>
      <w:r>
        <w:rPr>
          <w:rtl w:val="true"/>
        </w:rPr>
        <w:t>ب</w:t>
      </w:r>
      <w:r>
        <w:rPr>
          <w:rtl w:val="true"/>
        </w:rPr>
        <w:t xml:space="preserve">. </w:t>
      </w:r>
      <w:r>
        <w:rPr>
          <w:rtl w:val="true"/>
        </w:rPr>
        <w:t xml:space="preserve">دیدگاه کلامی آیت‌الله جوادی آملی دربارۀ </w:t>
      </w:r>
      <w:r>
        <w:rPr>
          <w:rtl w:val="true"/>
        </w:rPr>
        <w:t>«</w:t>
      </w:r>
      <w:r>
        <w:rPr>
          <w:rtl w:val="true"/>
        </w:rPr>
        <w:t>احباط و تکفیر</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به معنای نابودی حسنات گذشته بر اثر سیئات آینده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خواه این نابودی به صورت کلی باشد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کسی نماز خواند و پس از آن دروغ گفت، ثواب نماز او با این دروغ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جوادی در بحث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دیدگاه‌ها، دیدگاه خود را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قبولی اعمال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نزد خداوند پذیرفته می‌شود و عامل آن به بهشت می‌رود که دارای دو رکن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فاعلی؛ یعنی اعتقاد صحیح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نیت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فعلی؛ یعنی نیک بودن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بهشت، اجتماع دو حُسن فعلی و فاعلی لازم است، اگرچه برای سقوط در جهنم فقدان یکی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نوعاً ایمان و عمل صالح با هم ذکر شده است و در جایی که هر یک به تنهایی آمده باشد، باید آن را تقیید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حسن فعلی داشته باشد، ولی حسن فاعلی نداشته باشد، اعمالش پذیرفته نمی‌گردد؛ مانند کافر، مشرک 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دارای حسن فاعلی باشد، ولی هیچ حسن فعلی نداشته باشد، ایمانش سودی به حال او ندارد و مانند کسی است که ایمان نیاورده است، جز این‌که خالد در آتش نیست، زیرا ایمان مانند ریشۀ درخت و عمل صالح به مثابۀ میوه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کافی نبودن حسن فعلی بدون حسن فاعلی برای ورود به بهشت، آن است که میزان و معیار در تأثیر عمل، اراده و 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زندگی انسان با مرگ پایان می‌پذیرد، نیت و ارادۀ او برای بعد از مرگ نبوده است؛ پس عمل او در سطح دنیا می‌ماند و به عالم دیگر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کافران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مانند سرابی است که انسان</w:t>
      </w:r>
    </w:p>
    <w:p>
      <w:pPr>
        <w:pStyle w:val="BookText"/>
        <w:rPr/>
      </w:pPr>
      <w:r>
        <w:rPr>
          <w:rFonts w:ascii="IRNazanin" w:hAnsi="IRNazanin" w:eastAsia="IRNazanin"/>
          <w:color w:val="111111"/>
          <w:sz w:val="28"/>
          <w:sz w:val="28"/>
          <w:szCs w:val="28"/>
          <w:rtl w:val="true"/>
          <w:lang w:bidi="fa-IR"/>
        </w:rPr>
        <w:t>تشنه در بیابان آن را آب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الظَّمْانُ مَاءً حَتیَّ إِذَا جَاءَهُ لَمْ یجَدْهُ شَیْا وَ وَجَدَ اللَّهَ عِندَهُ فَوَفَّئهُ حِسَابَهُ وَ اللَّهُ سَرِیعُ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اساس حیات انسان را عقیدۀ او می‌داند و معتقد است عقیدۀ حق، کارهای بد گذشته را جبران می‌کند و عقیدۀ باطل، کارهای خیر گذشته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یا ملحد، اگر مسلمان شود، همۀ بدی‌های او که مهم‌ترینِ آن شرک به خداست،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مسلمانی از دین برگردد، این ارتداد موجب حبط و بطلان همۀ اعمال نیک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چنین مسلمانی با دست خود همۀ اعمالش را نابود کرده است؛ مانند کسی که سال‌ها با زحمت درخت‌کاری می‌کند و بعد همۀ آن را با دست خود به آتش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و عمل با یکدیگر رابطه دارند و حبط اعمال به سبب قطع پیوند آن دو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مخلصانۀ مؤمن در نامه عمل او ثبت می‌شود، ولی با انکار خدا، رابطۀ خود را با آن عمل قطع می‌کند؛ نظیر غیبت که موجب جدا شدن عمل از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روایات، کارهای نیک غیبت‌کننده در نامۀ عمل غیبت‌شونده نوشته می‌شود و این روایات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حاکمند، زیرا با قطع رابطه، دیگر عمل برای غیبت‌کننده نیست تا در قیامت آن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آیت‌الله جوادی حبط اعمال را دو قسم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غیرمحض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محض مربوط به اعمالی می‌شود که به منزلۀ مرگ است که بر اثر آن، انسان همۀ هستی خود را از دست می‌دهد؛ مانند کفر، شرک، نفاق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حبط غیرمحض مربوط به آن دسته از اعمالی است که از مؤمنان سر می‌زند و به منزلۀ مرض است و پاره‌ای از اعمال را حبط می‌کند؛ ماند غیبت که به همان مقداری که آبروی غیبت‌شونده را ریخته است، از غیبت‌کننده می‌گیرند و به حساب غیبت‌شونده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آیت‌الله جوادی چنین برداشت می‌شود که از نظر ایشان، تکفیر سیئات از باب لطف و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حسنات به خودی خود مکفّر گناهان نیستند، بلکه تنها زمینه‌سازی می‌کنند تا خداوند گناهان انسان را از بین ببرد؛ بنابراین مکفّر اصلی سیئات،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ستر، مغفرت و تبدیل سیئات به حسنات، همه به لطف خدا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و تکفیر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نیست که این‌ها دو کارند، یکی را خدا انجام می‌دهد و دیگری را حسنات و نیز بدین معنا نیست</w:t>
      </w:r>
      <w:bookmarkStart w:id="256" w:name="pg3253_17377"/>
    </w:p>
    <w:p>
      <w:pPr>
        <w:pStyle w:val="BookText"/>
        <w:rPr/>
      </w:pPr>
      <w:bookmarkEnd w:id="256"/>
      <w:r>
        <w:rPr>
          <w:rFonts w:ascii="IRNazanin" w:hAnsi="IRNazanin" w:eastAsia="IRNazanin"/>
          <w:color w:val="111111"/>
          <w:sz w:val="28"/>
          <w:sz w:val="28"/>
          <w:szCs w:val="28"/>
          <w:rtl w:val="true"/>
          <w:lang w:bidi="fa-IR"/>
        </w:rPr>
        <w:t xml:space="preserve">که حسنات در برابر خدا مؤثرند، بلکه به این معناست که شرط تکفیر سیئات، اطاعت خدا، تقوای الهی و ترک محرمات است که اگر شما حسنات را انجام دهید، خداوند سیئات شما را 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5"/>
        <w:numPr>
          <w:ilvl w:val="4"/>
          <w:numId w:val="1"/>
        </w:numPr>
        <w:rPr/>
      </w:pPr>
      <w:bookmarkStart w:id="257" w:name="__RefHeading___Toc2031079_2749589250"/>
      <w:bookmarkStart w:id="258" w:name="_Toc99"/>
      <w:bookmarkEnd w:id="257"/>
      <w:r>
        <w:rPr>
          <w:rtl w:val="true"/>
        </w:rPr>
        <w:t>ج</w:t>
      </w:r>
      <w:r>
        <w:rPr>
          <w:rtl w:val="true"/>
        </w:rPr>
        <w:t xml:space="preserve">. </w:t>
      </w:r>
      <w:r>
        <w:rPr>
          <w:rtl w:val="true"/>
        </w:rPr>
        <w:t xml:space="preserve">دیدگاه فلسفی آیت‌الله جوادی آملی دربارۀ </w:t>
      </w:r>
      <w:r>
        <w:rPr>
          <w:rtl w:val="true"/>
        </w:rPr>
        <w:t>«</w:t>
      </w:r>
      <w:r>
        <w:rPr>
          <w:rtl w:val="true"/>
        </w:rPr>
        <w:t>احباط و تکفیر</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احباط و تکفیر از مسائل دشوار فلسفی و کلامی است، زیرا همان‌طور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اجمالی به معنای از بین رفتن اعمال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اجمالی به معنای از بین رفتن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 در نگاه فلسفی چنین رخ نشان می‌دهد که عمل نیکی موجود شده و پس از آن معدوم شده است، یا از سویی دیگر گناهی موجود شده و سپس معدوم شده است؛ بنابراین در نگاه اولی، احباط و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شدن امری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خواه عمل نیک باشد یا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وجه دشوار بودن بیان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معدوم شدن امری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دشواری، این مسئله بر اساس مبانی حکمت متعالیه و با مباحث حرکت جوهری، ثواب و عقاب و تجسم عمل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مباحث در‌هم‌تنیده است و به صورت کامل نمی‌توان آن‌ها را از یکدیگر مستقل دانست، اما در این رساله، ارتباط هر یک از این مبانی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مجزا بیان شده تا درک بهتری از آن حاصل شود</w:t>
      </w:r>
      <w:r>
        <w:rPr>
          <w:rFonts w:eastAsia="IRNazanin" w:cs="IRNazanin"/>
          <w:color w:val="111111"/>
          <w:sz w:val="28"/>
          <w:szCs w:val="28"/>
          <w:rtl w:val="true"/>
          <w:lang w:bidi="fa-IR"/>
        </w:rPr>
        <w:t>.</w:t>
      </w:r>
    </w:p>
    <w:p>
      <w:pPr>
        <w:pStyle w:val="Heading4"/>
        <w:numPr>
          <w:ilvl w:val="3"/>
          <w:numId w:val="1"/>
        </w:numPr>
        <w:rPr/>
      </w:pPr>
      <w:bookmarkStart w:id="259" w:name="__RefHeading___Toc2031081_2749589250"/>
      <w:bookmarkStart w:id="260" w:name="_Toc100"/>
      <w:bookmarkEnd w:id="259"/>
      <w:r>
        <w:rPr>
          <w:rtl w:val="true"/>
        </w:rPr>
        <w:t>احباط و تکفیر و حرکت جوهری</w:t>
      </w:r>
      <w:bookmarkEnd w:id="260"/>
    </w:p>
    <w:p>
      <w:pPr>
        <w:pStyle w:val="BookText"/>
        <w:rPr/>
      </w:pPr>
      <w:r>
        <w:rPr>
          <w:rFonts w:ascii="IRNazanin" w:hAnsi="IRNazanin" w:eastAsia="IRNazanin"/>
          <w:color w:val="111111"/>
          <w:sz w:val="28"/>
          <w:sz w:val="28"/>
          <w:szCs w:val="28"/>
          <w:rtl w:val="true"/>
          <w:lang w:bidi="fa-IR"/>
        </w:rPr>
        <w:t>از نظر حکمت متعالیه، حرکت در موجودات مادی، امری ذاتی و جزء اساسی آن است؛ یعنی هیچ موجود مادی نیست مگر آن‌که ذاتاً متحرک باشد؛ به عبارتی، مادیت همان متحرک بودن است و حرکت شیء، عین موجودیت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در جوهر شیء به موضوع خارجی نیازی ندارد، زیرا خود شیء در هر لحظه غیر از خود آن در لحظة سابق است و محرک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وجود ثابت و مرتبۀ وجود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جوهر، نحوۀ وجود شیء را نشان می‌دهد که وجودی سیال است، اما همین سیالیت نحوۀ ثابت وجود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 هم امری ثابت نیست، بلکه تا زمانی که متعلق به بدن است، جوهری متغیر و تحول‌پذیر است که قابلیت تحول را هم در ذات و هم در آثار ذات داراست؛ به عبارتی، انسان هویتی خاص و مرتبة وجودی ثابتی ندارد، بلکه بدن در حرکت جوهری خود، روح متناسب با</w:t>
      </w:r>
    </w:p>
    <w:p>
      <w:pPr>
        <w:pStyle w:val="BookText"/>
        <w:rPr/>
      </w:pPr>
      <w:r>
        <w:rPr>
          <w:rFonts w:ascii="IRNazanin" w:hAnsi="IRNazanin" w:eastAsia="IRNazanin"/>
          <w:color w:val="111111"/>
          <w:sz w:val="28"/>
          <w:sz w:val="28"/>
          <w:szCs w:val="28"/>
          <w:rtl w:val="true"/>
          <w:lang w:bidi="fa-IR"/>
        </w:rPr>
        <w:t xml:space="preserve">خود را می‌جوید و با آن هم‌گام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حرکت جوهری نفس و نظریة اتحاد عاقل و معقول، انسان همان چیزی است که می‌داند و عمل می‌کند و نفس او به واسطة دو گوهر علم و عمل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از اعمال انسان، بر نفس انسان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انسان از باب حسنات و طاعات باشد، مانند نماز، روزه،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نفس انسان را نورانی می‌کند و از بند شهوات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حسنات بیشتر شود، نفس نیز نورانی‌تر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دربارۀ سیئات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مرتکب گناه شود، نفسش ظلمانی می‌شود و اگر معاصی زیاد شود، ظلمت و تیرگی نیز شدت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صدرالمتألهین، حرکت کون و فساد نیست، بلکه لُبس بعد لُبس است؛ بدین معنا که کمال تازه‌ای روی کمال سابق می‌آید و این‌گونه نیست که کمال سابق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احباط و تکفیر نیز، اعمال و آثار وجودی آن از بین نمی‌روند، بلکه اعمال بعدی تنها آن‌ها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نفس متعلق به بدن است، این حرکت ادامه دارد و صورتی از پس صورتی دیگر شکل می‌گیرد؛ اما صورت‌هایی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انسان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نمی‌رود، بلکه توسط صورت‌های بعدی پوشانده می‌شود؛ بنابراین ثواب و عقاب نیز با تغییر این صورت‌ها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 جدایی نفس از بدن، این حرکت متوقف شده و نفس صورت و آثاری ثابت پیدا می‌کند؛ یعنی دیگر تحول و دگرگونی نمی‌پذیرد، مگر به واسطة آمرزش یا شفاعت از ناحیة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مزبور، روشن شد که احتمال دگرگونی انسان تا پایان عمر، بنا بر حرکت جوهری به خوبی ترسیم می‌شود؛ اما اگر کسی حرکت جوهری را هم نفی کند، باز هم اصل تحول و دگرگونی ثابت است، زیرا دگرگونی در اعراض و عوارض برای انسان تا لحظة آخر عمر، امری معقول و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bookmarkStart w:id="261" w:name="pg3253_17379"/>
    </w:p>
    <w:p>
      <w:pPr>
        <w:pStyle w:val="Heading4"/>
        <w:numPr>
          <w:ilvl w:val="3"/>
          <w:numId w:val="1"/>
        </w:numPr>
        <w:rPr/>
      </w:pPr>
      <w:bookmarkStart w:id="262" w:name="__RefHeading___Toc2031083_2749589250"/>
      <w:bookmarkStart w:id="263" w:name="_Toc101"/>
      <w:bookmarkEnd w:id="261"/>
      <w:bookmarkEnd w:id="262"/>
      <w:r>
        <w:rPr>
          <w:rtl w:val="true"/>
        </w:rPr>
        <w:t>احباط و تکفیر و استحقاق ثواب و عقاب عمل</w:t>
      </w:r>
      <w:bookmarkEnd w:id="263"/>
    </w:p>
    <w:p>
      <w:pPr>
        <w:pStyle w:val="BookText"/>
        <w:rPr/>
      </w:pPr>
      <w:r>
        <w:rPr>
          <w:rFonts w:ascii="IRNazanin" w:hAnsi="IRNazanin" w:eastAsia="IRNazanin"/>
          <w:color w:val="111111"/>
          <w:sz w:val="28"/>
          <w:sz w:val="28"/>
          <w:szCs w:val="28"/>
          <w:rtl w:val="true"/>
          <w:lang w:bidi="fa-IR"/>
        </w:rPr>
        <w:t>برای این‌که شخصی مستحق ثواب باشد، چهار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دارای حسن باشد؛ فاعل از حسن آن آگاه باشد؛ انگیزة عمل او حسن فعل باشد؛ فعل یا مقدمات و لوازم آن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شروط ذکرشده، استحقاق ثواب، به معنای انجام دادن فعلی بر اساس حسن است که به خاطر دشواری و رنج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دوری از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 آن پاداشی مقرر کرده است و این پاداش به خاطر فضل الهی و قاعدة لطف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نوبخت،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به این معناست که خداوند به مقتضای فعلی که از آن نهی نموده، برای عصیان آن عقابی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عقاب، حقی بر خداوند است و خدا می‌تواند از 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نوبخت،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غزالی،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مراد از استحقاق ثواب و عقاب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دربارۀ زمان و مکان استحقاق ثواب و عقاب نیز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زمان و مکان جزا و استحقاق آن چند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معتقدند استحقاق ثواب و عقاب، مشروط به چیزی نیست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یا کیفر عمل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منجز این است که مشروط و معلّق به عدم کفر یا ارتداد و یا عدم توبه و اسلام آوردن قبل مرگ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استحقاق ثواب و عقاب را مطلق می‌دانند، سه نظر متفاوت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استحقاق ثواب و عقاب را هنگام عمل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معتقدند انسان زمان مرگ جزای عمل خویش را می‌بیند، زیرا در آن هنگام پروندة اعمال وی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بر این باروند که انسان ثواب و عقاب اعمال خویش را در آخرت دریافت می‌کند، زیرا در قیامت به حساب کارها رسیدگی می‌شود،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آیة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استدلال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ها وَ</w:t>
      </w:r>
    </w:p>
    <w:p>
      <w:pPr>
        <w:pStyle w:val="BookText"/>
        <w:rPr/>
      </w:pPr>
      <w:r>
        <w:rPr>
          <w:rFonts w:ascii="IRNazanin" w:hAnsi="IRNazanin" w:eastAsia="IRNazanin"/>
          <w:color w:val="111111"/>
          <w:sz w:val="28"/>
          <w:sz w:val="28"/>
          <w:szCs w:val="28"/>
          <w:rtl w:val="true"/>
          <w:lang w:bidi="fa-IR"/>
        </w:rPr>
        <w:t>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هر کس کار بدی بیاورد، جز مانند آن جزا نیابد و بر آنان ستم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استحقاق ثواب و عقاب عمل را مشروط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معتقدند، انسان ثواب و عقاب عمل خود را هنگام صدور عمل دریافت می‌کند، اما مشروط به آن‌که تا دم مرگ با کفر یا ارتداد، کارهای نیک را نابود نکرده باشد و یا با توبه و اسلام آوردن، کارهای بد را جبران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این قول در واقع قائل به موافات هستند؛ به این معنا که اگر حالی را که هنگام عمل داشت، تا دم مرگ حفظ نکند، مستحق جزا نیست، مگر آن‌که خدا بداند سرانجامِ حال او چیست؛ بنابراین همان جزائی را که در حال عمل مستحق بود، برایش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طرف‌داران این نظریه، موافات به معنای بقای بر ایمان تا هنگام مرگ، گونه‌ای شرط متأخر برای استحقاق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نشانة استحقاق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نشانة ایمان حقیقی در دوران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مجرد این‌که عملی انجام دهد، مستحق ثواب یا عقاب می‌شود، اما این استحقاق دائمی نیست و ممکن است دستخوش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بمیرد، صلاحیت مبدأ فاعلی از او سلب می‌شود و از معرض دگرگونی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اقوال، برای خود استدلال‌هایی از آیات قرآن آورده‌اند و گاه شواهد عقلی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آیت‌الله جوادی آملی، از این چهار نظریه، نظر اول حق است؛ یعنی استحقاق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صدور کار نیک یا بد است و مشروط به کارهای بعدی تا زمان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استحقاق ثواب و عقاب، غیر از تحقق خارجی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محض صدور فعل، مستحق ثواب یا عقاب می‌گردد، ولی این ثواب و عقاب تا زمان مرگ قابل تغییر و تحول است و ممکن است محقق نشود؛ نه آن‌که مشروط و معلق به زمان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خواجة طوسی، علامة حلی و برخی دیگر از محققان معتقدند استحقاق ثواب و عقاب</w:t>
      </w:r>
      <w:bookmarkStart w:id="264" w:name="pg3253_17381"/>
    </w:p>
    <w:p>
      <w:pPr>
        <w:pStyle w:val="BookText"/>
        <w:rPr/>
      </w:pPr>
      <w:bookmarkEnd w:id="264"/>
      <w:r>
        <w:rPr>
          <w:rFonts w:ascii="IRNazanin" w:hAnsi="IRNazanin" w:eastAsia="IRNazanin"/>
          <w:color w:val="111111"/>
          <w:sz w:val="28"/>
          <w:sz w:val="28"/>
          <w:szCs w:val="28"/>
          <w:rtl w:val="true"/>
          <w:lang w:bidi="fa-IR"/>
        </w:rPr>
        <w:t xml:space="preserve">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جوادی آملی در تفسیر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اقوال، دیدگاه معتقدان به موافات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 و سپس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کسانی که استحقاق ثواب و عقاب را مشروط به زمان مرگ می‌دانند، دچار اشتباه و انحراف شده‌اند؛ اما ایشان در تفسیر موضوعی معاد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علامه طباطبائی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موافات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بیان کرده‌اند که گویا با علامه هم‌عقیده اند</w:t>
      </w:r>
      <w:r>
        <w:rPr>
          <w:rFonts w:eastAsia="IRNazanin" w:cs="IRNazanin"/>
          <w:color w:val="111111"/>
          <w:sz w:val="28"/>
          <w:szCs w:val="28"/>
          <w:rtl w:val="true"/>
          <w:lang w:bidi="fa-IR"/>
        </w:rPr>
        <w:t>.</w:t>
      </w:r>
    </w:p>
    <w:p>
      <w:pPr>
        <w:pStyle w:val="Heading4"/>
        <w:numPr>
          <w:ilvl w:val="3"/>
          <w:numId w:val="1"/>
        </w:numPr>
        <w:rPr/>
      </w:pPr>
      <w:bookmarkStart w:id="265" w:name="__RefHeading___Toc2031085_2749589250"/>
      <w:bookmarkStart w:id="266" w:name="_Toc102"/>
      <w:bookmarkEnd w:id="265"/>
      <w:r>
        <w:rPr>
          <w:rtl w:val="true"/>
        </w:rPr>
        <w:t>احباط و تکفیر و تجسم عمل</w:t>
      </w:r>
      <w:bookmarkEnd w:id="266"/>
    </w:p>
    <w:p>
      <w:pPr>
        <w:pStyle w:val="BookText"/>
        <w:rPr/>
      </w:pPr>
      <w:r>
        <w:rPr>
          <w:rFonts w:ascii="IRNazanin" w:hAnsi="IRNazanin" w:eastAsia="IRNazanin"/>
          <w:color w:val="111111"/>
          <w:sz w:val="28"/>
          <w:sz w:val="28"/>
          <w:szCs w:val="28"/>
          <w:rtl w:val="true"/>
          <w:lang w:bidi="fa-IR"/>
        </w:rPr>
        <w:t xml:space="preserve">تجسم اعمال به معنای به شکل، جسم و پیکر درآمدن موجودات غیرمادی مانند عقاید، اخلاق و اوصاف، افعال و آثار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مجسم شدن کارها یا پیکر پذیرفتن کردارهاست؛ به بیان دیگر، کردارهای نیک و بد آدمی پس از مرگ، در عالم برزخ و نیز در رستاخیز مجسم می‌شوند و با پیکری زیبا و یا زشت پدیدار می‌شوند و بدین ترتیب، به او پاداش یا کیفر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تسجم عمل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 البقاء بودن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طبیعی یک غرض دارد و یک غایت ضروری که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 همان‌گونه که در خارج نفس اثر می‌گذارد، نفس را نیز متأثر می‌کند و در جوهر نفس تقرر می‌یابد، به گونه‌ای که جزء ملکات راسخ نفس و از شئون وجودی آن می‌گردد؛ بنابراین این اعمال که جزئی از نفس و جوهر وجودی آن هستند، غایتی ضروری دارند که همان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ثواب و عقاب از تبعات و لوازم خود اعمال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حسن‌زاده آملی،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انسان انجام می‌دهد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مرور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ملکات نفسانی در هر موطن و قابل، ظهوری مختص به همان دارد که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اعمال خارجی در نفس اثر می‌گذارد، ملکات نفسانی نیز در خارج اثر می‌کنند و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به عبارتی، نفس انسانی به سبب استعداد بدن حادث می‌گردد، اما به سبب ملکات نفسانی راسخی که صورت ذاتش می‌شود و به</w:t>
      </w:r>
    </w:p>
    <w:p>
      <w:pPr>
        <w:pStyle w:val="BookText"/>
        <w:rPr/>
      </w:pPr>
      <w:r>
        <w:rPr>
          <w:rFonts w:ascii="IRNazanin" w:hAnsi="IRNazanin" w:eastAsia="IRNazanin"/>
          <w:color w:val="111111"/>
          <w:sz w:val="28"/>
          <w:sz w:val="28"/>
          <w:szCs w:val="28"/>
          <w:rtl w:val="true"/>
          <w:lang w:bidi="fa-IR"/>
        </w:rPr>
        <w:t>واسطة آن‌ها از قوه به فعل خارج می‌شود،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در اول حدوث، امری بالفعل در نشئة طبیعی است، در حالی که همین نفس در نشئة آخرت امری بالقوه است؛ بنابراین نفس، صورت در این عالم و هیولا در عالم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ملکات نفسانی به مرور، ذات و حقیقت انسان را تشکیل می‌دهند و در آن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در این عالم، انواع مختلف حیوانات را خلق کرده، در آخرت نیز از مادۀ نفسانی انسان، انواع مختلفی از فرشته و شیطان و حیوانات را خلق می‌کند؛ بنابراین افراد انسان، بعد از این‌که در ابتدای خلقت متفق الماهیة هستند، در آخر امر به حسب باطن، مختلف الماهیة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باطن انسان بر اثر عقیده، اخلاق و اعمال، شکل خاص را می‌پذیرد و به همین شکل انتخابی در جهان آخرت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مانند انتقام ولیّ مهربان از کودک بازیگوش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مهربان از کودک خردسال خود می‌خواهند که به آتش دست نزند تا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طمع رنگ سرخ آتش به سوی آن برود، دچار سوختگی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انتقام مانند انتقام پزشک از بیمار ناپرهیز نیست که مدتی طول بکشد، بلکه شخص خطاکار بی‌درنگ نتیجة عمل خویش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جزا متن عمل و عین انتقام است، هرچند اکنون احساس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برخی آیات نیز، دوزخیان هم‌اکنون میان شعله آتش و آب داغِ سوزنده طواف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لذت‌های طبیعی آنان را تخدیر کرده و در مستی خویش حیرانند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مستانه زندگی می‌کنند و وقتی از مستی بیرون آیند یا قیامت برپا و پرده‌ها برداشته شود، همۀ اعضایشان را سوخته و در حال سوختن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انسان هم‌اکنون نتیجۀ عملش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bookmarkStart w:id="267" w:name="pg3253_17383"/>
    </w:p>
    <w:p>
      <w:pPr>
        <w:pStyle w:val="BookText"/>
        <w:rPr/>
      </w:pPr>
      <w:bookmarkEnd w:id="267"/>
      <w:r>
        <w:rPr>
          <w:rFonts w:ascii="IRNazanin" w:hAnsi="IRNazanin" w:eastAsia="IRNazanin"/>
          <w:color w:val="111111"/>
          <w:sz w:val="28"/>
          <w:sz w:val="28"/>
          <w:szCs w:val="28"/>
          <w:rtl w:val="true"/>
          <w:lang w:bidi="fa-IR"/>
        </w:rPr>
        <w:t xml:space="preserve">بر مبنای تجسم عمل، چون جزا عین عمل است و استحقاق همراه با طاعت و معصیت است، ثابت می‌شود که هیچ تعلیق یا اشتراطی در استحقاق ثواب و عقاب و تحقق عینی آن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احباط و تکفیر به معنای از بین رفتن عمل قبلی نیست، بلکه هر عملی که از انسان سر زند، صورت‌های برزخی و اخروی ایجاد می‌کند که به شکل ثواب یا عقاب ظاهر می‌گردند</w:t>
      </w:r>
      <w:r>
        <w:rPr>
          <w:rFonts w:eastAsia="IRNazanin" w:cs="IRNazanin"/>
          <w:color w:val="111111"/>
          <w:sz w:val="28"/>
          <w:szCs w:val="28"/>
          <w:rtl w:val="true"/>
          <w:lang w:bidi="fa-IR"/>
        </w:rPr>
        <w:t>.</w:t>
      </w:r>
    </w:p>
    <w:p>
      <w:pPr>
        <w:pStyle w:val="Heading3"/>
        <w:numPr>
          <w:ilvl w:val="2"/>
          <w:numId w:val="1"/>
        </w:numPr>
        <w:rPr/>
      </w:pPr>
      <w:bookmarkStart w:id="268" w:name="__RefHeading___Toc2031087_2749589250"/>
      <w:bookmarkStart w:id="269" w:name="_Toc103"/>
      <w:bookmarkEnd w:id="268"/>
      <w:r>
        <w:rPr>
          <w:rtl w:val="true"/>
        </w:rPr>
        <w:t>نتیجه گیری</w:t>
      </w:r>
      <w:bookmarkEnd w:id="2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احباط و تکفیر عمل، مسئله‌ای است که در قرآن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ادلة متکلمان، درمی‌یابیم که معتزله قائل به احباط کلی و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معتقد است، به صرف ارتکاب گناه کبیره، تمام اعمال صالح قبلی از بین می‌رود؛ در مقابل، ابوهاشم معتقد است بین اعمال صالح و گناهان موازنه برقرار می‌شود؛ یعنی اکثر، اقل را از بین می‌برد و از میزان اکثر نیز به اندازة اقل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اشاعره و اکثر امامیه، منکر احباط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احباط با دلایل عقلی و نقلی ادعای معتزله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امامیه، آیت‌الله جوادی آملی به تبین دقیقی از احباط و تکفیر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آیات مربوط با تأکید بر رابطۀ بین عقیده و عمل معتقدند که حبط عمل به سبب قطع پیوند آن دو از یکدیگر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حبط اعمال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محض و حبط غیرمحض، زیرا کارهای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کفر، شرک، نفاق و ارتداد به منزلة مرگ است که بر اثر آن، انسان همة هستی خود را از دست می‌دهد و بعضی چون معاصی به منزلة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با مبانی حکمت متعالیه نیز مسئلة احباط و تکفیر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حرکت جوهری و مسئلة تجسم عمل، نظر خود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جوهری ملاصدرا بیان می‌کند که نفس انسان مادامی که متعلق به بدن است، دچار دگرگونی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انسانی با نفس اتحاد وجودی دارند و نفس انسان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زمانی که تکرار شوند، تبدیل به ملکه شده و راسخ در نفس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ملکات نفسانی، در هر نشئه صورت متناسب با خود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تا زمانی که در عالم ماده است و امکان حرکت جوهری برای او فراهم است، تغییرپذیر است، اما به محض انقطاع از بدن،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افعال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صورت متناسب با نفس برای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زمان و مکان استحقاق ثواب و عقاب، لحظة صدور فعل است و مشروط به زمان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تجسم عمل صدرایی، جزا عین عمل است؛ بنابراین هر عملی که از انسان سر</w:t>
      </w:r>
      <w:bookmarkStart w:id="270" w:name="pg3253_17384"/>
    </w:p>
    <w:p>
      <w:pPr>
        <w:pStyle w:val="BookText"/>
        <w:rPr/>
      </w:pPr>
      <w:bookmarkEnd w:id="270"/>
      <w:r>
        <w:rPr>
          <w:rFonts w:ascii="IRNazanin" w:hAnsi="IRNazanin" w:eastAsia="IRNazanin"/>
          <w:color w:val="111111"/>
          <w:sz w:val="28"/>
          <w:sz w:val="28"/>
          <w:szCs w:val="28"/>
          <w:rtl w:val="true"/>
          <w:lang w:bidi="fa-IR"/>
        </w:rPr>
        <w:t>بزند، صورت‌های برزخی و اخروی ایجاد می‌کند که به شکل ثواب یا عقاب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تبیین از احباط و تکفیر با ادلۀ نقلی هم سازگاری دارد</w:t>
      </w:r>
      <w:r>
        <w:rPr>
          <w:rFonts w:eastAsia="IRNazanin" w:cs="IRNazanin"/>
          <w:color w:val="111111"/>
          <w:sz w:val="28"/>
          <w:szCs w:val="28"/>
          <w:rtl w:val="true"/>
          <w:lang w:bidi="fa-IR"/>
        </w:rPr>
        <w:t>.</w:t>
      </w:r>
    </w:p>
    <w:p>
      <w:pPr>
        <w:pStyle w:val="Heading3"/>
        <w:numPr>
          <w:ilvl w:val="2"/>
          <w:numId w:val="1"/>
        </w:numPr>
        <w:rPr/>
      </w:pPr>
      <w:bookmarkStart w:id="271" w:name="__RefHeading___Toc2031089_2749589250"/>
      <w:bookmarkStart w:id="272" w:name="_Toc104"/>
      <w:bookmarkEnd w:id="271"/>
      <w:r>
        <w:rPr>
          <w:rtl w:val="true"/>
        </w:rPr>
        <w:t>برداشت و تحلیل نهایی نگارنده</w:t>
      </w:r>
      <w:bookmarkEnd w:id="272"/>
    </w:p>
    <w:p>
      <w:pPr>
        <w:pStyle w:val="BookText"/>
        <w:rPr/>
      </w:pPr>
      <w:r>
        <w:rPr>
          <w:rFonts w:ascii="IRNazanin" w:hAnsi="IRNazanin" w:eastAsia="IRNazanin"/>
          <w:color w:val="111111"/>
          <w:sz w:val="28"/>
          <w:sz w:val="28"/>
          <w:szCs w:val="28"/>
          <w:rtl w:val="true"/>
          <w:lang w:bidi="fa-IR"/>
        </w:rPr>
        <w:t>مسئلة احباط و تکفیر عمل، در ضمن بیان مقدماتی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رابطۀ مستقیم با عمل و نیت دارد و بین آن‌ها رابطۀ سببیت بر اساس اصل سنخیت بین علت و معلول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با یکدیگر مسانخت دارند نیز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یکدیگر تأثیر دارند، اما اعمال غیرمسانخ دلیلی ندارد در یکدیگر اثر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وجودی در هستی، به عدم تبدیل نمی‌شود؛ پس هیچ فعلی، بد یا خوب، نابود نمی‌شود و فقط اثرش در شکل‌دهی به صورت نهایی کم یا زیاد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جوهری، نفس انسانی صورت‌های مختلفی می‌یابد و در سیر حرکت افعالی خود صورت‌های جدیدی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پیشین معدوم نمی‌شوند، بلکه دگرگون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قاعدۀ فلسفی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شیء به فصل اخیر یا صورت اخیر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نیز صورت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صورتی که انسان در هنگام مرگ داشته باشد، ابتدای صورت برزخی او و صورت اخیر هنگام قیامت، ابتدای صورت اخروی اوست و همان صورت متعلق جزا در قیامت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با توجه به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معتزله می‌گویند،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 یک صورت انسانی و یک جزاست؛ در واقع چیزی از بین نمی‌رود، بلکه جزاء بر اساس صورت اخیر داده می‌شود و صورت اخیر، واجد صور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و تکفیر جزئی در دنیا به این معناست که صورت جدید، صورت قبلی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احباط و تکفیر کلی مانند شرک و ارتداد و کفر، اعتقاداتی است که در نفس صورت‌سازی می‌کند که اگر انسان با همان صورت از دنیا برود، صورت اخیر فرد شده بر اساس همان جزا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 دارای مراتب است، چون کفر مراتبی دارد؛ کافری که همراه با اعتقاد فاسد کارهای خوب هم انجام می‌دهد، درجه‌ای خاص از کفر را دارد که جزایش بر اساس همان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مراتب را به نام احباط و تکفیر می‌خوانند و در واقع یک جزاست که مسانخ با همان صورت خاصّ اخیر و مطابق با درجۀ تشکیکی خاص است</w:t>
      </w:r>
      <w:r>
        <w:rPr>
          <w:rFonts w:eastAsia="IRNazanin" w:cs="IRNazanin"/>
          <w:color w:val="111111"/>
          <w:sz w:val="28"/>
          <w:szCs w:val="28"/>
          <w:rtl w:val="true"/>
          <w:lang w:bidi="fa-IR"/>
        </w:rPr>
        <w:t>.</w:t>
      </w:r>
      <w:bookmarkStart w:id="273" w:name="pg3253_17385"/>
    </w:p>
    <w:p>
      <w:pPr>
        <w:pStyle w:val="Heading3"/>
        <w:numPr>
          <w:ilvl w:val="2"/>
          <w:numId w:val="1"/>
        </w:numPr>
        <w:rPr/>
      </w:pPr>
      <w:bookmarkStart w:id="274" w:name="__RefHeading___Toc2031091_2749589250"/>
      <w:bookmarkStart w:id="275" w:name="_Toc105"/>
      <w:bookmarkEnd w:id="273"/>
      <w:bookmarkEnd w:id="274"/>
      <w:r>
        <w:rPr>
          <w:rtl w:val="true"/>
        </w:rPr>
        <w:t>منابع</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المحصل فی أصول الدین، بیروت، دار الکتب العلمیة،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قم، مکتب الاعلام الاسلامی،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صادر،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ابن‌نوبخت، ابواسحاق ابراهیم،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الیاقوت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ضیائی، قم، کتاب‌خانه آیت‌الله مرعشی 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أهل الزیغ و البدع،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حموده غرابه، قاهره، المکتبة الأزهریة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الإسلامیین و اختلاف المصلین، آلمان، فرانس شتاینر،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عضدالدین،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نعسانی، قم، 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ابن‌میثم،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قم، مکتبة آیةالله المرعشی النجفی،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الایمان،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شیعه، قم، زمزم هدایت،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موضوعی تفاسیر، قم، بوستان کتاب،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 النسفیة،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سقا، قاهره، مکتبة الکلیات الأزهریة،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المصطلحات الکلامیة، مشهد، آستان قدس رضوی،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بی‌جا، مرکز دائرةالمعارف بزرگ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 اسراء،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زمانی قمشه‌ای، قم، اسراء،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رحیق مختوم،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پارسانیا، قم، اسراء،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مقاله پیرامون مبدأ و معاد، قم، الزهراء، چاپ اول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إلی قواطع الأدلة فی أول الاعتقاد، بیروت، دار الکتب العلمیة،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عاقل به معقول، تهران، حکمت،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مؤسسه نشر اسلامی،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الملکوت فی شرح الیاقوت، قم، الشریف الرضی،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أصول الدین، تهران، دار الأسوة،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المسترشدین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و هادی یوسفی، قم، مجمع الذخائر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 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مؤسسة النشر الاسلامی،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علم کلام، تهران، صبا،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دغیم، سمیح،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علم الکلام الإسلامی، بیروت، مکتبة لبنان ناشرون،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دارالقلم،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مرتضی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بیروت، دارالفکر،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جاوید، قم، مؤسسه امام صادق علیه السلام ،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عقاید و مذاهب اسلامی، قم، مؤسسه امام صادق علیه السلام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الإلهیات علی هدی الکتاب و السنة و العقل، قم، المرکز العالمی للدراسات الإسلامیة،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بحوث فی الملل و النحل،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اسلامی، تهران، دانشگاه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قم، مؤسسة النشر الإسلامی،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 کنگره بین‌المللی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قم، کنگره بین‌المللی شیخ مفید، چاپ اول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الإمامیة، قم، کنگره بین‌المللی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صدرالدین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اکبریان،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خامنه‌ای، تهران، بنیاد حکمت اسلامی 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الآیات،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انجمن حکمت و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قم، بیدار،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الربوبیة فی مناهج السلوکیة،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آشتیانی، قم، بوستان کتاب،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العرشیة،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آهنی، تهران،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آشتیانی، تهران، انجمن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مؤسسة التاریخ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 حوزه علمیه قم،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 تهران، مرتضوی،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الاستبصار، تهران،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الاصول فی علم الکلام، مشهد، دانشگاه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 الأضواء،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الهادی الی طریق الرشاد، تهران، کتابخانه جامع چهل ستون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العقائد،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حسن خازم، لبنان، دار الغربة،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الاعتقاد، بیروت، دار الکتب العلمیة،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ابن عبدالله، جمال الدین،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الالهیة فی المباحث الکلامیة،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طباطبائی، قم، دفتر تبلیغات اسلامی، چاپ دوم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الی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رجائی، قم، کتابخانه آیت‌الله مرعشی،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هجرت،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 الکتب العلمیه،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الخمسة، بیروت، 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عماره، بیروت،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فی علوم القرآن، قم، مؤسسه فرهنگی تمهید،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الإسلامیة، چاپ اول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مقری، ابوجعفر،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قم، مؤسسه امام صادق علیه السلام ، چاپ اول</w:t>
      </w:r>
      <w:r>
        <w:rPr>
          <w:rFonts w:eastAsia="IRNazanin" w:cs="IRNazanin"/>
          <w:color w:val="111111"/>
          <w:sz w:val="28"/>
          <w:szCs w:val="28"/>
          <w:rtl w:val="true"/>
          <w:lang w:bidi="fa-IR"/>
        </w:rPr>
        <w:t>.</w:t>
      </w:r>
      <w:bookmarkStart w:id="276" w:name="pg3253_17389"/>
    </w:p>
    <w:p>
      <w:pPr>
        <w:pStyle w:val="Heading2"/>
        <w:numPr>
          <w:ilvl w:val="1"/>
          <w:numId w:val="1"/>
        </w:numPr>
        <w:rPr/>
      </w:pPr>
      <w:bookmarkStart w:id="277" w:name="__RefHeading___Toc2031093_2749589250"/>
      <w:bookmarkStart w:id="278" w:name="_Toc106"/>
      <w:bookmarkEnd w:id="276"/>
      <w:bookmarkEnd w:id="277"/>
      <w:r>
        <w:rPr>
          <w:rtl w:val="true"/>
        </w:rPr>
        <w:t xml:space="preserve">تحلیل و نقد فرضیۀ تأثیر سامریّت بر اسلام </w:t>
      </w:r>
      <w:r>
        <w:rPr>
          <w:rtl w:val="true"/>
        </w:rPr>
        <w:t xml:space="preserve">/ </w:t>
      </w:r>
      <w:r>
        <w:rPr>
          <w:rtl w:val="true"/>
        </w:rPr>
        <w:t xml:space="preserve">علی راد </w:t>
      </w:r>
      <w:r>
        <w:rPr>
          <w:rtl w:val="true"/>
        </w:rPr>
        <w:t xml:space="preserve">- </w:t>
      </w:r>
      <w:r>
        <w:rPr>
          <w:rtl w:val="true"/>
        </w:rPr>
        <w:t>سعید کریم پور</w:t>
      </w:r>
      <w:bookmarkEnd w:id="278"/>
    </w:p>
    <w:p>
      <w:pPr>
        <w:pStyle w:val="Heading3"/>
        <w:numPr>
          <w:ilvl w:val="2"/>
          <w:numId w:val="1"/>
        </w:numPr>
        <w:rPr/>
      </w:pPr>
      <w:bookmarkStart w:id="279" w:name="__RefHeading___Toc2031095_2749589250"/>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علی راد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سعید کریم پور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03/07/1395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24/11/1395</w:t>
      </w:r>
    </w:p>
    <w:p>
      <w:pPr>
        <w:pStyle w:val="Heading3"/>
        <w:numPr>
          <w:ilvl w:val="2"/>
          <w:numId w:val="1"/>
        </w:numPr>
        <w:rPr/>
      </w:pPr>
      <w:bookmarkStart w:id="281" w:name="__RefHeading___Toc2031097_2749589250"/>
      <w:bookmarkStart w:id="282" w:name="_Toc108"/>
      <w:bookmarkEnd w:id="281"/>
      <w:r>
        <w:rPr>
          <w:rtl w:val="true"/>
        </w:rPr>
        <w:t>چکیده</w:t>
      </w:r>
      <w:bookmarkEnd w:id="282"/>
    </w:p>
    <w:p>
      <w:pPr>
        <w:pStyle w:val="BookText"/>
        <w:rPr/>
      </w:pPr>
      <w:r>
        <w:rPr>
          <w:rFonts w:ascii="IRNazanin" w:hAnsi="IRNazanin" w:eastAsia="IRNazanin"/>
          <w:color w:val="111111"/>
          <w:sz w:val="28"/>
          <w:sz w:val="28"/>
          <w:szCs w:val="28"/>
          <w:rtl w:val="true"/>
          <w:lang w:bidi="fa-IR"/>
        </w:rPr>
        <w:t xml:space="preserve">در قرن گذشتۀ میلادی، پاتریشیا کرون و مایکل کوک با ارائه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جدیدی را دربارۀ اسلام معرفی کردند که مبتنی بر شکاکیت افراطی به منابع اسلامی و استفادۀ گسترده از منابع غیراسلامی است، و مدعیات جدیدی را در آن مطرح کردند که یکی از آن‌ها تأثیرگذاری سامریّت بر پیدایش و توسعۀ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بعضی شباهت‌های ظاهری میان مفاهیم اسلامی و اصطلاحات مورد استفاده در فرقۀ یهودی سامریّت را دلیل تأثیرپذیری اسلام از این فرقه دانسته‌اند و مدعی شده‌اند بعضی از ریشه‌های اسلام را در سامریّت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نامی برای دین جدید، ارتباط مقدس بین حرم و کوه، ماجرای تغییر قبله و شباهت ساختاری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سامریّت، از مهم‌ترین نکات مورد استناد در این فرضیه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تحلیل و نقد مدعای نظریۀ هاجریسم مبنی بر تأثیرپذیری اسلام از سامریّت خواهیم پرداخت</w:t>
      </w:r>
      <w:r>
        <w:rPr>
          <w:rFonts w:eastAsia="IRNazanin" w:cs="IRNazanin"/>
          <w:color w:val="111111"/>
          <w:sz w:val="28"/>
          <w:szCs w:val="28"/>
          <w:rtl w:val="true"/>
          <w:lang w:bidi="fa-IR"/>
        </w:rPr>
        <w:t>.</w:t>
      </w:r>
    </w:p>
    <w:p>
      <w:pPr>
        <w:pStyle w:val="Heading3"/>
        <w:numPr>
          <w:ilvl w:val="2"/>
          <w:numId w:val="1"/>
        </w:numPr>
        <w:rPr/>
      </w:pPr>
      <w:bookmarkStart w:id="283" w:name="__RefHeading___Toc2031099_2749589250"/>
      <w:bookmarkStart w:id="284" w:name="_Toc109"/>
      <w:bookmarkEnd w:id="283"/>
      <w:r>
        <w:rPr>
          <w:rtl w:val="true"/>
        </w:rPr>
        <w:t>واژگان کلیدی</w:t>
      </w:r>
      <w:bookmarkEnd w:id="2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هاجریسم، اسلام، تشیع، امامت، سامریّت</w:t>
      </w:r>
      <w:r>
        <w:rPr>
          <w:rFonts w:eastAsia="IRNazanin" w:cs="IRNazanin"/>
          <w:color w:val="111111"/>
          <w:sz w:val="28"/>
          <w:szCs w:val="28"/>
          <w:rtl w:val="true"/>
          <w:lang w:bidi="fa-IR"/>
        </w:rPr>
        <w:t>.</w:t>
      </w:r>
      <w:bookmarkStart w:id="285" w:name="pg3253_17390"/>
    </w:p>
    <w:p>
      <w:pPr>
        <w:pStyle w:val="Heading3"/>
        <w:numPr>
          <w:ilvl w:val="2"/>
          <w:numId w:val="1"/>
        </w:numPr>
        <w:rPr/>
      </w:pPr>
      <w:bookmarkStart w:id="286" w:name="__RefHeading___Toc2031101_2749589250"/>
      <w:bookmarkStart w:id="287" w:name="_Toc110"/>
      <w:bookmarkEnd w:id="285"/>
      <w:bookmarkEnd w:id="286"/>
      <w:r>
        <w:rPr>
          <w:rtl w:val="true"/>
        </w:rPr>
        <w:t>درآمد</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پاتریشیا 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دانمارکی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انگلیسی، که هر دو دانش‌آموختۀ دانشگاه لندن و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ونزبرو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 مشهور انگلیسی هستند، در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دیدگاهی برون‌دینی و با تکیۀ صرف بر منابع غیراسلامی ارائه کرده‌اند، مدعیات تازه‌ای را مطرح نموده‌اند که یکی از آن‌ها تأثیرگذاری سامریّت بر پیدایش اسلام و توسعه و بسط مفاهیم اسلامی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آن‌ها بعضی شباهت‌های ظاهری میان مفاهیم اسلامی و اصطلاحات مورد استفاده از سوی فرقۀ یهودی سامریان را دلیل تأثیرپذیری اسلام از این فرقه دانسته‌اند و مدعی شده‌اند که بعضی ریشه‌های اسلام را در سامریّت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صراحتاً نمی‌گویند که سامریّت خاستگاه پیدایش اسلام بوده، بلکه می‌گویند این فرقه با ارائه بعضی مفاهیم و اصطلاحات، به بسط و توسعه بُعد عقیدتی اسلام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می‌رسد آن‌ها به ارتباط ریشه‌ای‌تری بین اسلام و سامریّت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فرضیه‌های کرون و کوک از سوی دیگر اندیشمندان غربی مورد نقدهای فراوان قرار گرفته، اما ظاهراً تاکنون مقالۀ جداگانه‌ای در نقد فرضیه‌هایی که آنان درباره تأثیرپذیری اسلام از سامریّت مطرح کرده‌اند، منتشر نشده و این موضوع در سایر نوشته‌های انتقادی نیز به حد کافی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این پژوهش، روش تحلیلی ـ انتقادی است، و دو پرسش کلی را دربارۀ دیدگاه‌های این دو پژوهش‌گر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کرون و کوک، میزان تأثیرپذیری اسلام از سامریت تا چه اندازه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نقدهایی بر دیدگاه آن‌ها دربارۀ تأثیرپذیری سامریّت بر اسلام وارد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فرضیه‌های ما در پاسخ به پرسش‌های فوق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برخی آموزه‌ها از سامریّت تأثیر پذیرفته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کرون و کوک و چگونگی استفادۀ آن‌ها از منابع و هم‌چنین استنتاج‌های آنان قابل نقد است</w:t>
      </w:r>
      <w:r>
        <w:rPr>
          <w:rFonts w:eastAsia="IRNazanin" w:cs="IRNazanin"/>
          <w:color w:val="111111"/>
          <w:sz w:val="28"/>
          <w:szCs w:val="28"/>
          <w:rtl w:val="true"/>
          <w:lang w:bidi="fa-IR"/>
        </w:rPr>
        <w:t>.</w:t>
      </w:r>
      <w:bookmarkStart w:id="288" w:name="pg3253_17391"/>
    </w:p>
    <w:p>
      <w:pPr>
        <w:pStyle w:val="Heading3"/>
        <w:numPr>
          <w:ilvl w:val="2"/>
          <w:numId w:val="1"/>
        </w:numPr>
        <w:rPr/>
      </w:pPr>
      <w:bookmarkStart w:id="289" w:name="__RefHeading___Toc2031103_2749589250"/>
      <w:bookmarkStart w:id="290" w:name="_Toc111"/>
      <w:bookmarkEnd w:id="288"/>
      <w:bookmarkEnd w:id="289"/>
      <w:r>
        <w:rPr>
          <w:rtl w:val="true"/>
        </w:rPr>
        <w:t>اندیشۀ سامریت؛ پیشینه و آموزه‌ها</w:t>
      </w:r>
      <w:bookmarkEnd w:id="290"/>
    </w:p>
    <w:p>
      <w:pPr>
        <w:pStyle w:val="BookText"/>
        <w:rPr/>
      </w:pPr>
      <w:r>
        <w:rPr>
          <w:rFonts w:ascii="IRNazanin" w:hAnsi="IRNazanin" w:eastAsia="IRNazanin"/>
          <w:color w:val="111111"/>
          <w:sz w:val="28"/>
          <w:sz w:val="28"/>
          <w:szCs w:val="28"/>
          <w:rtl w:val="true"/>
          <w:lang w:bidi="fa-IR"/>
        </w:rPr>
        <w:t xml:space="preserve">سامریان، که به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شومرونیم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اقلیتی قومی ـ دینی از مردم شام هستند که ریشه‌شان به ساکنان کهن سامی این منطقه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مذهبی، سامریان پیروان آیین سامریّت هستند، که عمدتاً شاخه‌ای از یهودیت تلقی می‌شود و پیشینه‌ای به قدمت خود آیین یهود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سامریان همیشه مورد مناقشه بوده، اما تلمود آنان را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شومرون بن یساکار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سامریان باور دارند که پیروان یهودیتِ راستین پیش از تبعید دسته‌جمعی یهودیان به بابِل هستند که توسط مردمی که در سرزمین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مانده‌اند، حفظ شده است؛ از این رو با یهودیت رسمی مخالفند و آن را شبیه دین خود اما تحریف‌شده و دست‌آورد بازگشتگان از تبعید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همیشه حس رقابت شدیدی با یهودیت رسمی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سامریان جمعیت عمده‌ای داشته‌اند، اما به تدریج در قرون بعدی به چند ده‌هزار نفر کاهش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جمعیت بدین شکل، نتیجۀ چندین حادثه تاریخی بوده که از جمله مهم‌ترینشان، سرکوب خونین سومین قیام سامریان به دست امپراتوری بیزانس، و اسلام آوردن جمعیت‌های عمده‌ای از آن‌ها در اوایل دورۀ اسلامی فلسطین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سامریان در دو نقطه از فلسطین، یعنی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کرانۀ باختری رود اردن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عدۀ کمی هم در غزه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سامریان هنوز کتاب تورات و سایر کتاب‌های مقدس خود را با خط عبری فنیقی ـ که به نام خط سامری هم شناخته می‌شود ـ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این فرقه، تفوّق نظام کهانت بر سایر نظامات اجتماعی و جمع بودن هر دو مرجعیت مذهبی و دنیوی در کاهن اعظم، وسواس خیلی زیاد در رعایت مسائل مربوط به طهارت و پرهیز از هرگونه تماس با بیگانگان، و تأکید بر جدا نگه داشتن جامعه از سایر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یهودیت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متون مذهبی کهن به‌ویژه تورات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سامریان با مسلمانان در قرون گذشته همواره خوب بوده است و هیچ برخورد مهمی بین این دو در منابع تاریخی ثبت نشده است</w:t>
      </w:r>
      <w:r>
        <w:rPr>
          <w:rFonts w:eastAsia="IRNazanin" w:cs="IRNazanin"/>
          <w:color w:val="111111"/>
          <w:sz w:val="28"/>
          <w:szCs w:val="28"/>
          <w:rtl w:val="true"/>
          <w:lang w:bidi="fa-IR"/>
        </w:rPr>
        <w:t>.</w:t>
      </w:r>
    </w:p>
    <w:p>
      <w:pPr>
        <w:pStyle w:val="Heading3"/>
        <w:numPr>
          <w:ilvl w:val="2"/>
          <w:numId w:val="1"/>
        </w:numPr>
        <w:rPr/>
      </w:pPr>
      <w:bookmarkStart w:id="291" w:name="__RefHeading___Toc2031105_2749589250"/>
      <w:bookmarkStart w:id="292" w:name="_Toc112"/>
      <w:bookmarkEnd w:id="291"/>
      <w:r>
        <w:rPr>
          <w:rtl w:val="true"/>
        </w:rPr>
        <w:t>تحلیل و نقد ابعاد تأثیرپذیری اسلام از سامریت</w:t>
      </w:r>
      <w:bookmarkEnd w:id="292"/>
    </w:p>
    <w:p>
      <w:pPr>
        <w:pStyle w:val="Heading4"/>
        <w:numPr>
          <w:ilvl w:val="3"/>
          <w:numId w:val="1"/>
        </w:numPr>
        <w:rPr/>
      </w:pPr>
      <w:bookmarkStart w:id="293" w:name="__RefHeading___Toc2031107_2749589250"/>
      <w:bookmarkStart w:id="294" w:name="_Toc113"/>
      <w:bookmarkEnd w:id="293"/>
      <w:r>
        <w:rPr>
          <w:rtl w:val="true"/>
        </w:rPr>
        <w:t>اشاره</w:t>
      </w:r>
      <w:bookmarkEnd w:id="2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ارتباط تأثیرگذارانه سامریت و اسلام، ابتدا باید اشاره کنیم که این موضوع ادعایی است که از قرن‌ها پیش، در آثار متأخری از خود سامریان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ابوالفتح بن ابی‌الحسن، مورخ سامری،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خود موسوم به سالنامه سامری نوشته، اصلاً آغاز دعوت پیامبر اسلام صلی الله و علیه و آله و سلم ، تحت تأثیر گفت‌وگوها و</w:t>
      </w:r>
    </w:p>
    <w:p>
      <w:pPr>
        <w:pStyle w:val="BookText"/>
        <w:rPr/>
      </w:pPr>
      <w:r>
        <w:rPr>
          <w:rFonts w:ascii="IRNazanin" w:hAnsi="IRNazanin" w:eastAsia="IRNazanin"/>
          <w:color w:val="111111"/>
          <w:sz w:val="28"/>
          <w:sz w:val="28"/>
          <w:szCs w:val="28"/>
          <w:rtl w:val="true"/>
          <w:lang w:bidi="fa-IR"/>
        </w:rPr>
        <w:t xml:space="preserve">القائات یک منجّم سامری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همراه با دو منجّم دیگر که یکی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دیداری با حضرت محمد صلی الله و علیه و اله و سلم داشته‌اند و ضمن گفت‌وگوهایی با آن حضرت، نخستین بار فکر نبوت را در ذهن او القا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ابوالفتح،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175</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عهدنامه‌ای واقعاً منعقد شده بود و وجود می‌داشت، مسلماً منابع اسلامی که تمام وقایع حیات پیغمبر را غالباً با جزئیات زیاد نقل و ثبت کرده‌اند، به آن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 است که صِرف وجود این گزارش در یک منبع سامری، دلیل درستیِ آن تلقی نمی‌شود، زیرا در قرون بعد از اسلام به دلیل گسترش فرهنگ اسلامی و جایگاه ممتاز حضرت محمد صلی الله و علیه و اله و سلم نزد مسلمانان که اکثریت غالب را در عالم اسلام تشکیل می‌دادند، این حس در میان برخی پیروان سایر ادیان به وجود آمده بود که به نحوی میان آیین خود و آن حضرت رابطه‌ای برقرار کنند، و شاید یکی از انگیزه‌های آن ایجاد هم‌گرایی و وفاق بیشتر بین هم‌کیشان خود با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که شبیه همین رابطه، در متون متأخر هندو نیز با اسلام برقرار شده، و نویسندگان آن‌ها گزارش‌هایی دربارۀ دیدار و گفت‌وگوی بعضی بزرگان قدیم آیین خود با حضرت محمد صلی الله و علیه و اله و سلم آورده‌اند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این‌گونه داستان‌ها، با توجه به سکوت منابع اسلامی، تا وقتی که سند محکمی در تأییدشان به دست نیاید، اعتباری هم از نظر علمی نخواهند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صورت علمی، موضوع تأثیرگذاریِ سامریّت بر پیدایش اسلام و توسعۀ مفاهیم اسلامی، نخستین بار از سوی پاتریشیا کرون و مایکل کوک، و به عنوان یکی از جنبه‌های نظریۀ هاجریسم،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آن‌که به بیان مواردی که از نظر خودشان نشانه تأثیر سامریت بر اسلام هستند بپردازند، ابتدا برای نشان دادن اهمیت سامریت در زمان پیدایش اسلام، زمینه‌ای فکری برای خواننده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منبع، سامریان در زمان فتوحات و چشم‌گیر شدن حضور اعراب در خاورمیانه، گروه مهمی تلقی می‌شده‌اند که به عقایدشان در مناظره‌ها اشاره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مورد نظر، متنی مسیحی است که به اواخر دورۀ امویان</w:t>
      </w:r>
      <w:bookmarkStart w:id="295" w:name="pg3253_17393"/>
    </w:p>
    <w:p>
      <w:pPr>
        <w:pStyle w:val="BookText"/>
        <w:rPr/>
      </w:pPr>
      <w:bookmarkEnd w:id="295"/>
      <w:r>
        <w:rPr>
          <w:rFonts w:ascii="IRNazanin" w:hAnsi="IRNazanin" w:eastAsia="IRNazanin"/>
          <w:color w:val="111111"/>
          <w:sz w:val="28"/>
          <w:sz w:val="28"/>
          <w:szCs w:val="28"/>
          <w:rtl w:val="true"/>
          <w:lang w:bidi="fa-IR"/>
        </w:rPr>
        <w:t xml:space="preserve">تعلق دارد، و حاوی مناظره‌ای به زبان سریانی است که بین یک راهب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حَیل</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یکی از پیروان امیر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عرب در عصر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مناظره، امیر می‌خواهد که به او گفته شود اگر انجیل یکی است، پس چگونه فرقه‌های مسیحی در مسائل عقیدتی میان خود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پاتریارک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تورات یکی است و مورد پذیرش ما مسیحیان و شما مَهگرایه‌ها، و یهودیان و سامریان و هر جامعه‌ای است که از نظر عقیدتی منشعب شده است، عقیده به انجیل نیز چنین است، و هر مسلکی آن را به شکلی جداگانه می‌فهمد و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همین متن، سخن از موضوع الوهیت مسیح و جایگاه او به عنوان پسر خدا به میان می‌آید، و امیر دلیلی از تورات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پاتریارک با نقل مطالبی از کتاب مقدس، که همگی از کتب انبیا </w:t>
      </w:r>
      <w:r>
        <w:rPr>
          <w:rStyle w:val="FootnoteAnchor"/>
          <w:rtl w:val="true"/>
        </w:rPr>
        <w:footnoteReference w:id="44"/>
      </w:r>
      <w:r>
        <w:rPr>
          <w:rFonts w:ascii="IRNazanin" w:hAnsi="IRNazanin" w:eastAsia="IRNazanin"/>
          <w:color w:val="111111"/>
          <w:sz w:val="28"/>
          <w:sz w:val="28"/>
          <w:szCs w:val="28"/>
          <w:rtl w:val="true"/>
          <w:lang w:bidi="fa-IR"/>
        </w:rPr>
        <w:t>هستند، به امیر پاسخ می‌دهد، امیر در واکنش به او جمله‌ای می‌گوید که از نظر کرون و کوک مهم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شوکت‌مند، این‌ها را از کتب انبیا نپذیرفت، بلکه خواستار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خدا بودن مسیح، برایش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کرون و کوک بلافاصله بعد از نقل این جمله،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تورات و رد کردن کتاب‌های انبیا همان موضع‌گیری است که سامریان دربارۀ کتاب آسمانی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296" w:name="__RefHeading___Toc2031109_2749589250"/>
      <w:bookmarkStart w:id="297" w:name="_Toc114"/>
      <w:bookmarkEnd w:id="296"/>
      <w:r>
        <w:rPr/>
        <w:t>1</w:t>
      </w:r>
      <w:r>
        <w:rPr>
          <w:rtl w:val="true"/>
        </w:rPr>
        <w:t xml:space="preserve">. </w:t>
      </w:r>
      <w:r>
        <w:rPr>
          <w:rtl w:val="true"/>
        </w:rPr>
        <w:t xml:space="preserve">نام </w:t>
      </w:r>
      <w:r>
        <w:rPr>
          <w:rtl w:val="true"/>
        </w:rPr>
        <w:t>«</w:t>
      </w:r>
      <w:r>
        <w:rPr>
          <w:rtl w:val="true"/>
        </w:rPr>
        <w:t>اسلام</w:t>
      </w:r>
      <w:r>
        <w:rPr>
          <w:rtl w:val="true"/>
        </w:rPr>
        <w:t>»:</w:t>
      </w:r>
      <w:bookmarkEnd w:id="2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چیزی که نظریه‌پردازان برای القای عاریه‌گیری اسلام از سامریان به ذهن خواننده مورد اشاره قرار می‌دهند،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صلح، کامل بودن،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وجود داشته و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 در زبان عبری رسمی که هم‌خانواده با عربی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زبان عبری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با همان ریشۀ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با اشتقاق‌های مختلف به کار می‌رود، اما هیچ صرف فعلی با مصدر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مصدر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خاصی از گویش عبری که خاص سامریان است ـ و فقط در همین گویش ـ با همین معنا وجود دارد و شواهدی از کاربرد آن در</w:t>
      </w:r>
      <w:bookmarkStart w:id="298" w:name="pg3253_17394"/>
    </w:p>
    <w:p>
      <w:pPr>
        <w:pStyle w:val="BookText"/>
        <w:rPr/>
      </w:pPr>
      <w:bookmarkEnd w:id="298"/>
      <w:r>
        <w:rPr>
          <w:rFonts w:ascii="IRNazanin" w:hAnsi="IRNazanin" w:eastAsia="IRNazanin"/>
          <w:color w:val="111111"/>
          <w:sz w:val="28"/>
          <w:sz w:val="28"/>
          <w:szCs w:val="28"/>
          <w:rtl w:val="true"/>
          <w:lang w:bidi="fa-IR"/>
        </w:rPr>
        <w:t xml:space="preserve">متون سامری در قرون پیش از اسلام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سامری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 مَرقاه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قرن چهارم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کرون و کوک نتیجه می‌گیرند که پیغمبر اسلام ـ یا هاجریان اولیه 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دینی آن، یعنی تسلیم شدن در برابر خدا را از فرهنگ سامری اخذ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به آن اشاره کنیم،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ریشۀ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فرهنگ اسلامی مفهوم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کردن خویش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ـ از اشتراکات دو زبان عربی و عبری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زبان‌های کنعانی و اوگاریتی که اصل و ریشۀ بسیاری از کلمات رایج در زبان‌های سامی دانسته می‌شود،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بازپرداخت کردن و بازسپردن و تحویل دادن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حلیقا،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ریشه در زبان‌های عبری و سریانی نیز با همین معنا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کوستاز،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عجیب نیست اگر این ریشه با همین معنا در زبان عربی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زبانی بسیار کهن است که می‌توان آن را گنجینۀ ریشه‌های باستانی سامی دانست، و معلوم نیست چرا کرون و کوک تصور کرده‌اند که پیغمبر، یا هاجریان اولیه، این کلمه را در زبان خود نداشته و آن را از عبری سامری وام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بسیار وسیع است و حتی در معنای کلّی تسلیم شدن به غیر ـ و نه لزوماً خداوند ـ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بهترین گواه آن است که این کلمه در آن زمان عاریتی یا ساختگی از سوی آورندۀ قرآن نبوده و در محیط عربی که قرآن در آن ارائه شد، کلمۀ رایجی بوده است</w:t>
      </w:r>
      <w:r>
        <w:rPr>
          <w:rFonts w:eastAsia="IRNazanin" w:cs="IRNazanin"/>
          <w:color w:val="111111"/>
          <w:sz w:val="28"/>
          <w:szCs w:val="28"/>
          <w:rtl w:val="true"/>
          <w:lang w:bidi="fa-IR"/>
        </w:rPr>
        <w:t>.</w:t>
      </w:r>
    </w:p>
    <w:p>
      <w:pPr>
        <w:pStyle w:val="Heading4"/>
        <w:numPr>
          <w:ilvl w:val="3"/>
          <w:numId w:val="1"/>
        </w:numPr>
        <w:rPr/>
      </w:pPr>
      <w:bookmarkStart w:id="299" w:name="__RefHeading___Toc2031111_2749589250"/>
      <w:bookmarkStart w:id="300" w:name="_Toc115"/>
      <w:bookmarkEnd w:id="299"/>
      <w:r>
        <w:rPr/>
        <w:t>2</w:t>
      </w:r>
      <w:r>
        <w:rPr>
          <w:rtl w:val="true"/>
        </w:rPr>
        <w:t xml:space="preserve">. </w:t>
      </w:r>
      <w:r>
        <w:rPr>
          <w:rtl w:val="true"/>
        </w:rPr>
        <w:t>شهادت توحید</w:t>
      </w:r>
      <w:r>
        <w:rPr>
          <w:rtl w:val="true"/>
        </w:rPr>
        <w:t>:</w:t>
      </w:r>
      <w:bookmarkEnd w:id="300"/>
    </w:p>
    <w:p>
      <w:pPr>
        <w:pStyle w:val="BookText"/>
        <w:rPr/>
      </w:pPr>
      <w:r>
        <w:rPr>
          <w:rFonts w:ascii="IRNazanin" w:hAnsi="IRNazanin" w:eastAsia="IRNazanin"/>
          <w:color w:val="111111"/>
          <w:sz w:val="28"/>
          <w:sz w:val="28"/>
          <w:szCs w:val="28"/>
          <w:rtl w:val="true"/>
          <w:lang w:bidi="fa-IR"/>
        </w:rPr>
        <w:t xml:space="preserve">نکتۀ دیگری که کرون و کوک در پاورقی کتابشان بدان اشاره کرده‌اند و نه در متن اصلی، شباهت یکی از دو جزء شهادتین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این شهادت و اقرار،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 و قالب ظاهری، سبک و سیاق سامری دارد و در متون سامری پیشااسلامی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مثل اسلام،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 که در متن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 مرقاه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آغاز این اقرار 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کرون و کوک در این‌جا توضیحاتی در ادامه می‌آورند که ردکنندۀ ادعای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شکل‌های سامری و اسلامی در بخش آخر شهادت با هم تفاوت دارند، این‌که شکل‌های بیان شهادت در خود قرآن هم گوناگون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قالب رایج</w:t>
      </w:r>
      <w:bookmarkStart w:id="301" w:name="pg3253_17395"/>
    </w:p>
    <w:p>
      <w:pPr>
        <w:pStyle w:val="BookText"/>
        <w:rPr/>
      </w:pPr>
      <w:bookmarkEnd w:id="301"/>
      <w:r>
        <w:rPr>
          <w:rFonts w:ascii="IRNazanin" w:hAnsi="IRNazanin" w:eastAsia="IRNazanin"/>
          <w:color w:val="111111"/>
          <w:sz w:val="28"/>
          <w:sz w:val="28"/>
          <w:szCs w:val="28"/>
          <w:rtl w:val="true"/>
          <w:lang w:bidi="fa-IR"/>
        </w:rPr>
        <w:t xml:space="preserve">اسلامی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کتیبه قبّۀ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شکل سامری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اعتراف خود کرون و کوک، احتمال تأثیرپذیری متون سامری از فرهنگ عربی و اسلامی همیشه در نظر پژوهش‌گران مطرح بوده، و اصلاً ممکن است این شکل از شهادت که در این متون هست، بعداً تحت تأثیر فرهنگ اسلامی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این‌که شهادت اسلامی یک عاریه‌گیری از شهادت سامری باشد، ادعایی است که قابل اثبات نیست</w:t>
      </w:r>
      <w:r>
        <w:rPr>
          <w:rFonts w:eastAsia="IRNazanin" w:cs="IRNazanin"/>
          <w:color w:val="111111"/>
          <w:sz w:val="28"/>
          <w:szCs w:val="28"/>
          <w:rtl w:val="true"/>
          <w:lang w:bidi="fa-IR"/>
        </w:rPr>
        <w:t>.</w:t>
      </w:r>
    </w:p>
    <w:p>
      <w:pPr>
        <w:pStyle w:val="Heading4"/>
        <w:numPr>
          <w:ilvl w:val="3"/>
          <w:numId w:val="1"/>
        </w:numPr>
        <w:rPr/>
      </w:pPr>
      <w:bookmarkStart w:id="302" w:name="__RefHeading___Toc2031113_2749589250"/>
      <w:bookmarkStart w:id="303" w:name="_Toc116"/>
      <w:bookmarkEnd w:id="302"/>
      <w:r>
        <w:rPr/>
        <w:t>3</w:t>
      </w:r>
      <w:r>
        <w:rPr>
          <w:rtl w:val="true"/>
        </w:rPr>
        <w:t xml:space="preserve">. </w:t>
      </w:r>
      <w:r>
        <w:rPr>
          <w:rtl w:val="true"/>
        </w:rPr>
        <w:t>ارتباط مقدس بین حرم و کوه</w:t>
      </w:r>
      <w:r>
        <w:rPr>
          <w:rtl w:val="true"/>
        </w:rPr>
        <w:t>:</w:t>
      </w:r>
      <w:bookmarkEnd w:id="3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بعدی که کرون و کوک بدان اشاره می‌کنند، شباهت متناظری است که بین حرم‌های مقدس اسلام و سامریت، یعنی شهرهای مکه و شخیم، با کوه‌های اطرافشان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در ارتباط با کوهی نزدیک به آن، یعنی کوه حرا، که طبق روایات اسلامی محل نزول وحی بر پیغمبر بود دانسته می‌شود، و شهر شخیم نیز با کوه گرزیم که برای سامریان مقدس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نظریه‌پردازان با آن‌که در ابتدای فصلی که به این موضوع اختصاص داده به قداست شهر اورشلیم برای یهودیان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فراموش می‌کنند که به همان ترتیب که شخیم در نظر سامریان با گرزیم در ارتباط است، اورشلیم نیز برای یهودیان با کوه صهیون ارتباط دارد؛ پس می‌بینیم یکی از مواردی که کرون و کوک برای اثبات ادعای تأثیرگذاری سامریت بر اسلام بدان استناد کرده‌اند، یعنی ارتباط شهر مقدس با کوه مقدس در هر دو آیین، دربارۀ شباهت اسلام با خود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بدنه یهودیت ارتدوکس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بیان است و امری مختص سامریّت نیست، اگرچه قداست کوه گرزیم برای سامریان از قداست صهیون برای یهودیان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باره، نکتۀ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قداستی که قرآن برای مسجد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همۀ مفسران مسلمان در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و نبوّتی که برای داوود و آل داوود تصدیق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کاملاً برخلاف عقیده سامریت است که نگاه انکارآمیزی نسبت به هر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کرون و کوک سعی کرده‌اند دلالت آیۀ تغییر قبله به اورشلیم و مسجدالأقصی به عنوان قبلۀ اول مسلمانان را به سبب عدم تصریح به آن در خود آیه، مورد تردید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ارجاعات صریح قرآن به پیغمبران داوودی جای شکی باقی نمی‌گذارد که نبوّتی که در قرآن به رسمیت شناخته شده، مربوط به یهودیت رسمی است نه سامریت، و بنابراین روایات اسلامی مربوط به قبله بودن اورشلیم و مجادلات یهودیان مدینه با پیغمبر دربارۀ تغییر قبله، منطقاً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اگر اسلام در تعیین قداست اماکن تحت تأثیر سامریت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w:t>
      </w:r>
      <w:bookmarkStart w:id="304" w:name="pg3253_17396"/>
    </w:p>
    <w:p>
      <w:pPr>
        <w:pStyle w:val="BookText"/>
        <w:rPr/>
      </w:pPr>
      <w:bookmarkEnd w:id="304"/>
      <w:r>
        <w:rPr>
          <w:rFonts w:ascii="IRNazanin" w:hAnsi="IRNazanin" w:eastAsia="IRNazanin"/>
          <w:color w:val="111111"/>
          <w:sz w:val="28"/>
          <w:sz w:val="28"/>
          <w:szCs w:val="28"/>
          <w:rtl w:val="true"/>
          <w:lang w:bidi="fa-IR"/>
        </w:rPr>
        <w:t>کرون و کوک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برای اماکن مقدس سامریان بیش از یهودیان اهمیت قائل می‌شد، و حتماً انعکاسی از آن در قرآن و احادیث نبوی باقی می‌ماند؛ اما می‌بینیم که برعکس، شهر اورشلیم و خاندان داوود است که از نظر اسلام مقدس محسوب شده، و در مقابل، کوچک‌ترین اشاره‌ای به سامریت و اماکن مقدس آن در قرآن و روایات اسلامی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مخالفت آشکار، نادرستی حدس کرون و کوک درباره تأثیرپذیری اسلام از سامریت در موضوع قبله را به خوبی نشان می‌دهد</w:t>
      </w:r>
      <w:r>
        <w:rPr>
          <w:rFonts w:eastAsia="IRNazanin" w:cs="IRNazanin"/>
          <w:color w:val="111111"/>
          <w:sz w:val="28"/>
          <w:szCs w:val="28"/>
          <w:rtl w:val="true"/>
          <w:lang w:bidi="fa-IR"/>
        </w:rPr>
        <w:t>.</w:t>
      </w:r>
    </w:p>
    <w:p>
      <w:pPr>
        <w:pStyle w:val="Heading4"/>
        <w:numPr>
          <w:ilvl w:val="3"/>
          <w:numId w:val="1"/>
        </w:numPr>
        <w:rPr/>
      </w:pPr>
      <w:bookmarkStart w:id="305" w:name="__RefHeading___Toc2031115_2749589250"/>
      <w:bookmarkStart w:id="306" w:name="_Toc117"/>
      <w:bookmarkEnd w:id="305"/>
      <w:r>
        <w:rPr/>
        <w:t>4</w:t>
      </w:r>
      <w:r>
        <w:rPr>
          <w:rtl w:val="true"/>
        </w:rPr>
        <w:t xml:space="preserve">. </w:t>
      </w:r>
      <w:r>
        <w:rPr>
          <w:rtl w:val="true"/>
        </w:rPr>
        <w:t xml:space="preserve">واژۀ </w:t>
      </w:r>
      <w:r>
        <w:rPr>
          <w:rtl w:val="true"/>
        </w:rPr>
        <w:t>«</w:t>
      </w:r>
      <w:r>
        <w:rPr>
          <w:rtl w:val="true"/>
        </w:rPr>
        <w:t>بکّه</w:t>
      </w:r>
      <w:r>
        <w:rPr>
          <w:rtl w:val="true"/>
        </w:rPr>
        <w:t>»:</w:t>
      </w:r>
      <w:bookmarkEnd w:id="306"/>
    </w:p>
    <w:p>
      <w:pPr>
        <w:pStyle w:val="BookText"/>
        <w:rPr/>
      </w:pPr>
      <w:r>
        <w:rPr>
          <w:rFonts w:ascii="IRNazanin" w:hAnsi="IRNazanin" w:eastAsia="IRNazanin"/>
          <w:color w:val="111111"/>
          <w:sz w:val="28"/>
          <w:sz w:val="28"/>
          <w:szCs w:val="28"/>
          <w:rtl w:val="true"/>
          <w:lang w:bidi="fa-IR"/>
        </w:rPr>
        <w:t xml:space="preserve">نکتۀ دیگری که کرون و کوک در ایجاد ارتباط بین اسلام و سامریت مورد اشاره قرار می‌دهند،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و کوک در این رابطه، ابتدا اشاره می‌کنند که در جمله‌ای از تورات که به سرزمین‌های محل سکونت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בֹּאֲכָה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متنی سامری اشاره می‌کنند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زبان آرامی است و تاریخ دقیق نگارش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مورد توجه کرون و کوک این است که در متن مزبور، ضمن تأکید بر این‌که فرزندان اسماعیل شهر مکه را ساختند، همان جملۀ تورات نیز آورده شده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گویش عبری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می‌شود و این کلمه، بنا به ادعا، اصل و ریشۀ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توضیح کرون در این‌جا ناقص است، و شرح دقیق‌تر ماجرا این است که در متن کتاب اساطیر، جمله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 را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مکه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מכה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شده، و سپس در تفسیر پیترون </w:t>
      </w:r>
      <w:r>
        <w:rPr>
          <w:rStyle w:val="FootnoteAnchor"/>
          <w:rtl w:val="true"/>
        </w:rPr>
        <w:footnoteReference w:id="47"/>
      </w:r>
      <w:r>
        <w:rPr>
          <w:rFonts w:ascii="IRNazanin" w:hAnsi="IRNazanin" w:eastAsia="IRNazanin"/>
          <w:color w:val="111111"/>
          <w:sz w:val="28"/>
          <w:sz w:val="28"/>
          <w:szCs w:val="28"/>
          <w:rtl w:val="true"/>
          <w:lang w:bidi="fa-IR"/>
        </w:rPr>
        <w:t xml:space="preserve">که به زبان عربی و خط عبری در حاشیۀ متن مزبور نوشته شده، عین همین جمله تکرار شده؛ با این تفاوت که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בכה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بکه را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گاستر،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هم که کرون به دست می‌دهد، مشکلاتی دارد که پذیرش آن را دشوار می‌سازد؛ اولاً، ما هیچ دلیلی نداریم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تلفظ سامری واژۀ به‌کاررفته در تورات، و به‌خصوص از این منبع سامری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عرب و مسلمان،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تلفظ دیگری از همان نام مکّه دانسته‌اند، بر این مبنا که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عربی، در گویش‌های مختلف بسیار به یکدیگر قابل تبدیلند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با توجه به مثال‌های فراوان دیگری که برای آن در زبان عربی وجود دارد</w:t>
      </w:r>
      <w:r>
        <w:rPr>
          <w:rStyle w:val="FootnoteAnchor"/>
          <w:rtl w:val="true"/>
        </w:rPr>
        <w:footnoteReference w:id="48"/>
      </w:r>
      <w:r>
        <w:rPr>
          <w:rFonts w:ascii="IRNazanin" w:hAnsi="IRNazanin" w:eastAsia="IRNazanin"/>
          <w:color w:val="111111"/>
          <w:sz w:val="28"/>
          <w:sz w:val="28"/>
          <w:szCs w:val="28"/>
          <w:rtl w:val="true"/>
          <w:lang w:bidi="fa-IR"/>
        </w:rPr>
        <w:t>، از نظر منطقی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کتاب اساطیر یا اسرار موسی نیز باید گفت، اگرچه پژوهش‌گران در ابتدا آن را متنی متعلق به حدود قرن سوم پیش از میلاد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گاستر،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بررسی‌های دقیق‌تر اخیر نشان داده است که این متن بسیار متأخر و در واقع مربوط به حدود قرن دهم میلادی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که دربارۀ زمان دقیق نگارش این متن وجود دارد، به‌خصوص با توجه به این‌که تحقیقات جدیدتر، آن را بسیار متأخرتر از آنچه ابتدا تصور می‌شد نشان می‌دهد ـ حتی تا قرون بعد از اسلام ـ، امکان استناد به آن به عنوان متنی پیشااسلامی را برای ارائه هرگونه توجیهی دربارۀ اصطلاحات و مفاهیم اسلامی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کلمۀ مورد نظر کرون و کوک، نه در متن اصلی این کتاب، بلکه در تفسیری که به زبان عربی بر حاشیۀ صفحات آن نوشته شده، آمده است و این تفسیر البته از خود متن متأخرتر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بودن زبان تفسیر، نشان می‌دهد در زمان تسلط اعراب بر مناطق محل سکونت سامریان، یعنی بعد از دورۀ فتوحات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تأثیر فرهنگ عربی حاکم بر آن روزگار نوشته شده و همین نکته، هرگونه استناد به آن برای توجیه مفاهیم و اصطلاحات سال‌های آغازین پیدایش اسلام را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آشکارترین نشانه از اشتباه بودن استدلال کرون و کوک، این است که هم در متن اصلی سامری و هم در تفسیر عربی ـ یهودی پیترون، بلافاصله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عبارت تورات که حاوی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בֹּאֲכָה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آورده شده است، و بنابراین، شکل عبری نوشته‌شده برای کلمات مکّه و بکّه، ناشی از خطا در نگارش یا قرائت فعل مذکور نیست، و کاتبان سامری این کلمات را با یکدیگر اشتباه نگرفته و به تفاوت بین آن‌ها آگاهی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پرسش که اصلاً چرا باید از بین همۀ کلمات تورات، این یک کلمه از سوی هاجریان</w:t>
      </w:r>
      <w:bookmarkStart w:id="307" w:name="pg3253_17398"/>
    </w:p>
    <w:p>
      <w:pPr>
        <w:pStyle w:val="BookText"/>
        <w:rPr/>
      </w:pPr>
      <w:bookmarkEnd w:id="307"/>
      <w:r>
        <w:rPr>
          <w:rFonts w:ascii="IRNazanin" w:hAnsi="IRNazanin" w:eastAsia="IRNazanin"/>
          <w:color w:val="111111"/>
          <w:sz w:val="28"/>
          <w:sz w:val="28"/>
          <w:szCs w:val="28"/>
          <w:rtl w:val="true"/>
          <w:lang w:bidi="fa-IR"/>
        </w:rPr>
        <w:t>برای اشاره به حرم ابراهیمی انتخاب شده باشد، از سوی کرون و کوک بی‌توضیح مانده است و این، خود نقطه ضعف دیگری برای ادعای آنان به حساب می‌آید</w:t>
      </w:r>
      <w:r>
        <w:rPr>
          <w:rFonts w:eastAsia="IRNazanin" w:cs="IRNazanin"/>
          <w:color w:val="111111"/>
          <w:sz w:val="28"/>
          <w:szCs w:val="28"/>
          <w:rtl w:val="true"/>
          <w:lang w:bidi="fa-IR"/>
        </w:rPr>
        <w:t>.</w:t>
      </w:r>
    </w:p>
    <w:p>
      <w:pPr>
        <w:pStyle w:val="Heading4"/>
        <w:numPr>
          <w:ilvl w:val="3"/>
          <w:numId w:val="1"/>
        </w:numPr>
        <w:rPr/>
      </w:pPr>
      <w:bookmarkStart w:id="308" w:name="__RefHeading___Toc2031117_2749589250"/>
      <w:bookmarkStart w:id="309" w:name="_Toc118"/>
      <w:bookmarkEnd w:id="308"/>
      <w:r>
        <w:rPr/>
        <w:t>5</w:t>
      </w:r>
      <w:r>
        <w:rPr>
          <w:rtl w:val="true"/>
        </w:rPr>
        <w:t xml:space="preserve">. </w:t>
      </w:r>
      <w:r>
        <w:rPr>
          <w:rtl w:val="true"/>
        </w:rPr>
        <w:t>تغییر قبله</w:t>
      </w:r>
      <w:r>
        <w:rPr>
          <w:rtl w:val="true"/>
        </w:rPr>
        <w:t>:</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 و کوک سپس با استدلالی دور و دراز، به ماجرای تغییر قبله می‌پردازند و می‌کوشند روایت تاریخی تغییر قبلۀ مسلمانان از اورشلیم را، با دیدگاه سامری که به جای اورشلیم بر قداست شخیم و کوه گرزیم تأکید دارد، متناظر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تغییر قبله، آن‌طور که در منابع اسلامی روایت شده و اشاره‌ای به آن نیز در قرآن هست، هیچ ارتباطی با سامریان پیدا نمی‌کند و معلوم نیست چرا باید این تغییر قبله از سوی مسلمانان را تقلیدی از سامریان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کرون و کوک هم نشانه‌ای از تأثیرگذاری سامریان بر موضوع قبله نزد مسلمانان ارائه نمی‌دهند و به این ترتیب، تنها دستاویز آنان، همین است که مسلمانان و سامریان، هردو از اورشلیم به عنوان قبله، روی‌گردان شده‌اند؛ روشن است که صِرف این موضوع نمی‌تواند در طرح ادعای هیچ‌گونه رابطه‌ای میان اسلام و سامریت، قانع‌کننده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منابع اسلامی و هم منابع سامری به کلی از هر گونه اشاره‌ای به تأثیرگذاری سامریان در ماجرای تغییر قبله خالی هستند، ما نمی‌توانیم بدون داشتن مدرک محکم تاریخی و صرفاً با تکیه بر فرض و گمان به چنین چیزی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کرون و کوک در پایان استدلال‌هایشان به تفاوت مهمی در رویکرد اسلامی و سامری به موقعیت قبله و حرم، اشاره می‌کنند که فرد مغرض، حتی برعکس، می‌تواند تأثیرپذیری مسلمانان از یهودیت رسمی را، به جای سامریّت، از آن استنباط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شکل ظاهری حج، زیارت سامریان از کوه گرزیم را مطرح می‌کند، محتوای مناسکی آن شباهت‌های چشم‌گیری با گزارش کتاب مقدس از اقامت بنی‌اسرائیل در کنار کوه سینا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مکه در یک جنبۀ عمده، از مجتمع شخیم تفاوت دارد، چراکه در آن،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به شهر انتقال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ادعای تأثیرپذیری مسلمانان از سامریان در ماجرای تغییر قبله، فاقد هرگونه مدرک تاریخی است و تنها بر یک شباهت مناسکی استوار است که تفاوت‌های مهمی نیز در ضمن آن وجود دارد</w:t>
      </w:r>
      <w:r>
        <w:rPr>
          <w:rFonts w:eastAsia="IRNazanin" w:cs="IRNazanin"/>
          <w:color w:val="111111"/>
          <w:sz w:val="28"/>
          <w:szCs w:val="28"/>
          <w:rtl w:val="true"/>
          <w:lang w:bidi="fa-IR"/>
        </w:rPr>
        <w:t>.</w:t>
      </w:r>
    </w:p>
    <w:p>
      <w:pPr>
        <w:pStyle w:val="Heading4"/>
        <w:numPr>
          <w:ilvl w:val="3"/>
          <w:numId w:val="1"/>
        </w:numPr>
        <w:rPr/>
      </w:pPr>
      <w:bookmarkStart w:id="310" w:name="__RefHeading___Toc2031119_2749589250"/>
      <w:bookmarkStart w:id="311" w:name="_Toc119"/>
      <w:bookmarkEnd w:id="310"/>
      <w:r>
        <w:rPr/>
        <w:t>6</w:t>
      </w:r>
      <w:r>
        <w:rPr>
          <w:rtl w:val="true"/>
        </w:rPr>
        <w:t xml:space="preserve">. </w:t>
      </w:r>
      <w:r>
        <w:rPr>
          <w:rtl w:val="true"/>
        </w:rPr>
        <w:t>شباهت امامت و کهانت</w:t>
      </w:r>
      <w:r>
        <w:rPr>
          <w:rtl w:val="true"/>
        </w:rPr>
        <w:t>:</w:t>
      </w:r>
      <w:bookmarkEnd w:id="3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دیگری که کرون و کوک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عاریه‌گیری از سامریان بدان اشاره می‌کنند، موضوع امامت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کرون و کوک،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جمع شدن مرجعیت دینی و سیاسی به طور هم‌زمان در یک شخص واحد که از سلالۀ علی، برادر پیغمبر و جانشین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برادری علی و پیغمبر را کرون با استناد به همان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خوبی برای این عقیدۀ سامری است که هر دو نوع مرجعیت باید در یک فرد واحد از نسل هارون</w:t>
      </w:r>
    </w:p>
    <w:p>
      <w:pPr>
        <w:pStyle w:val="BookText"/>
        <w:rPr/>
      </w:pPr>
      <w:r>
        <w:rPr>
          <w:rFonts w:ascii="IRNazanin" w:hAnsi="IRNazanin" w:eastAsia="IRNazanin"/>
          <w:color w:val="111111"/>
          <w:sz w:val="28"/>
          <w:sz w:val="28"/>
          <w:szCs w:val="28"/>
          <w:rtl w:val="true"/>
          <w:lang w:bidi="fa-IR"/>
        </w:rPr>
        <w:t xml:space="preserve">ـ برادر موسی 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شود؛ به‌خصوص که در تشیع هم مثل سامریت، معرفت دینی حال و هوای باطن‌گرایانه‌ای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و کوک سپس می‌گویند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در میان مسلمانان و سامریان متداول هستند، هر کدام در ادبیات گروه مقابل نیز برای همان مفهوم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دو پژوهش‌گر چون قصد دارند تمامیت اسلام را نهضتی تأثیرپذیرفته از سامریت معرفی کنند، برخلاف عقیدۀ رسمی رایج بین پژوهش‌گران غربی، تلویحاً تشیع را تنۀ اصلی اسلام و تسنّن را فرع و جداشدۀ از آن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این‌جا هم کرون و کوک به جای ارائه سندی برای این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به شباهت‌ها استناد می‌کنند، در حالی که وجود شباهت، به‌خصوص در غیاب هرگونه سند تاریخی، به خودی خود نمی‌تواند اصالت چیزی را زیر سؤال ببرد و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دلایل شیعه دربارۀ خلافت حضرت علی علیه السلام بعد از پیغمبر صلی الله و علیه و آله و سلم ، منحصر به حدیث منزلت ـ که کرون و کوک نقل کرده‌اند ـ نیست و از سوی عالمان شیعه، دلایل فراوانی برای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و کوک ابتدا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معنایی که مورد نظر خودشان است، یک مفهوم متداول اسلامی معرفی کرده و سپس به چشم‌گیر بودن آن در اعتقادات شیعه اشاره می‌کنند؛ این در حالی است که این مفهوم، از همان ابتدا فقط نزد شیعه مورد پذیرش بوده و اساساً محور اصلی بحث‌های همیشگی شیعیان با اهل تسنن، همین موضوع بوده 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هدف کرون و کوک از تعمیم این موضوع از شیعه به کل جهان اسلام ـ هرچند با اشاره‌ای کوتاه و بدون تأکید صورت گرفته ـ آن است که بتوانند مطابق عقیدۀ خود، تمامیت اسلام را تأثیرپذیرفته از سامریت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آنان برای ادعای خود ـ چه آن را با عنوان تأثیرپذیری کلّیت اسلام از سامریّت مطرح کنند و چه از این لحاظ فقط به شیعه محدودش نمایند ـ هیچ پشتوانۀ محکمی ندارند و تمام استدلالشان صرفاً بر اساس شباهت‌هاست؛ بی آن‌که توضیح دهند این تأثیرپذیری چگونه و از چه طریق صورت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دیگری که در سخن کرون و کوک بدان اشاره شده، کاربرد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هر دو گروه مسلمان و سامری به طور متقابل برای مفهومی مشترک ـ جمع</w:t>
      </w:r>
    </w:p>
    <w:p>
      <w:pPr>
        <w:pStyle w:val="BookText"/>
        <w:rPr/>
      </w:pPr>
      <w:r>
        <w:rPr>
          <w:rFonts w:ascii="IRNazanin" w:hAnsi="IRNazanin" w:eastAsia="IRNazanin"/>
          <w:color w:val="111111"/>
          <w:sz w:val="28"/>
          <w:sz w:val="28"/>
          <w:szCs w:val="28"/>
          <w:rtl w:val="true"/>
          <w:lang w:bidi="fa-IR"/>
        </w:rPr>
        <w:t xml:space="preserve">شدن هر دو مرجعیت دینی و سیاسی در فرد واحد ـ است، زیرا می‌دانیم که در یهودیت رسمی، از زمان وفات حضرت موسی علیه السلام به بعد، دو جایگاه مرجعیت سیاسی و مرجعیت دینی،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یکدیگر جدا بوده‌اند، در حالی که در سامریّت، این دو مقام همواره در فردی واحد جمع بوده و کاهن اعظم، حاکم جامعه نیز دانسته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که در این موضوع میان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سامریت وجود دارد، سبب شده تا کرون باز هم فقط به استناد همین شباهت، رویکرد اسلامی را یک عاریه‌گیری از سامری‌ها تلقی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گفت که در هر دو طرف سامری و اسلامی، شواهدی در ردّ این استدلال وجود دارند؛ 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سامریت، بلکه در فرهنگ یهودیت رسمی نیز به عنوان یک مقام معنوی،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کتاب مزامیر، سرودی هست که خطاب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رسماً در مقام حاکم و پادشاه بوده و نه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قسم خورده و پشیمان نخواهد شد، که تو کاهن هستی تا ابدالآباد، به رتبۀ ملکیصدق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طبق نظر گروهی از مفسران یهود، قائل باشیم که این مزمور اشاره به مسیحای موعود است و نه خود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مسئله فرقی نمی‌کند، زیرا در عقیدۀ سنتی یهود، مسیحای موعود نیز خود پادشاهی از نسل داوود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می‌بینیم که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حاکم و فرمانروای سیاسی، مختص سامریان نیست، و اگر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جامعه دلیل جمع شدن هر دو مرجعیت سیاسی و دینی در او باشد، لزومی ندارد که حتماً آن را به سامریان منتسب کنیم، و می‌توان ریشه‌های این موضوع را در همان فرهنگ یهودیت رسمی نیز 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مفهوم یهودی آن تفاوت عمده‌ای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اگرچه در کتیبه‌ها و منابع عربی پیش از اسلام تقریباً با مفهوم یهودی‌اش ـ برگزاری مناسک دینی و ارائه خدمات مذهبی ـ استفاده شده، اما در زمان‌های نزدیک به ظهور اسلام معنای سابقش را از دست داده و مفهوم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غیب‌گویی از طریق برقراری رابطه با ارواح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مهم‌ترین منبع اسلامی،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بار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استفاده دیگری از سایر مشتقات ریشۀ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بار نیز صفتی با همین معنای اخیر است که اتصاف پیغمبر به آن نفی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حاقه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صفت در زمرۀ صفات سلبی از پیغمبر در کنار صفات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این‌ها اتهاماتی بوده‌اند که مشرکان قریش برای بد معرفی کردن پیغمبر صلی الله و علیه و اله و سلم به آن حضرت می‌زده‌اند؛ با این هدف که شأن الهی را از مقام وی بزدایند و او را به سان غیب‌گویان و ساحران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تمام منابع اسلامی، کهانت همواره عملی در ردیف سحر و جادوگری محسوب می‌گشته و با حسی بسیار منفی با آن برخورد می‌شده است، به طوری که روایات اسلامی کهانت را برابر با کفر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کهانت کند یا به کاهن مراجعه کند، از دین محمد بیرون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حضرت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آموختن علم نجوم بپرهیزید، مگر به اندازه‌ای که برای پیدا کردن راه در بیابان یا دریا به کارتان می‌آید، چراکه این علم به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منجّم مانند کاهن است، و کاهن مانند ساحر است، و ساحر مانند کافر، و کافر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تمام این موارد، کهانت با مفهوم رایج آن در میان اعراب شبه‌جزیره، یعنی غیب‌گویی از طریق برقراری ارتباط با ارواح و اجنّه مدّنظر است، نه مفهوم مرجعیت دینی که این واژه در یهودیت دارد، و مسلمانان نیز در تمام گسترۀ فرهنگ اسلامی، آن را با همان معنا و مفهوم رایجش 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قرآن و احادیث نبوی برای اشاره به پیشوایان دینی یهودیت، همواره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عموم مسلمانان نیز تحت تأثیر قرآن و احادیث، رؤسای دینی یهودیت را فقط با همان الفاظ می‌شناخته‌اند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به کار نمی‌بردند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مدرکی که کرون برای اثبات ادعایش بدان استناد می‌کند،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اسلامی، مدرک مورد استناد کرون در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فقط یکی است و آن، کتاب الإرجاء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اواخر قرن اول هجری می‌زیست و دربارۀ مذهب او حرف و حدیث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او را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بعداً به حلقه اصحاب امام سجاد علیه السلام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آن‌که اهل‌سنت هم از او حدیث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ابن‌حجاج،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نیز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امامت ائمه علیه السلام اعتقاد نداشت و می‌گفت که بعد از قتل عثمان، کار انتخاب حاکم و پیشوا را باید به خدا واگذار کرد، چون معلوم نیست که خلیفۀ پیغمبر بعد از عثمان چه کسی است؛ و کشف رأی خدا هم از طریق کاهن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وجه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فرد منتخب از طریق</w:t>
      </w:r>
      <w:bookmarkStart w:id="312" w:name="pg3253_17402"/>
    </w:p>
    <w:p>
      <w:pPr>
        <w:pStyle w:val="BookText"/>
        <w:rPr/>
      </w:pPr>
      <w:bookmarkEnd w:id="312"/>
      <w:r>
        <w:rPr>
          <w:rFonts w:ascii="IRNazanin" w:hAnsi="IRNazanin" w:eastAsia="IRNazanin"/>
          <w:color w:val="111111"/>
          <w:sz w:val="28"/>
          <w:sz w:val="28"/>
          <w:szCs w:val="28"/>
          <w:rtl w:val="true"/>
          <w:lang w:bidi="fa-IR"/>
        </w:rPr>
        <w:t>کهانت، همین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حنفیه با عقیدۀ او دربارۀ حضرت علی علیه السلام مخالف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که وی بعداً از نوشتن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همه حرف و حدیث که دربارۀ این شخص و کتابش هست و هم‌چنین فاصله آشکاری که میان عقیدۀ او با عقیدۀ روشن شیعیان و عامه مسلمانان دربارۀ امامت وجود دارد، مسلماً نمی‌توان نظریات او را نمایندۀ اسلام رسمی دانست و آن را مبنای هیچ فرضیه‌ای دربارۀ کلیّت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مغهومی که قرآن در مفاهیم سیاسی خود بر آن تأکید دارد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0"/>
      </w:r>
      <w:r>
        <w:rPr>
          <w:rFonts w:ascii="IRNazanin" w:hAnsi="IRNazanin" w:eastAsia="IRNazanin"/>
          <w:color w:val="111111"/>
          <w:sz w:val="28"/>
          <w:sz w:val="28"/>
          <w:szCs w:val="28"/>
          <w:rtl w:val="true"/>
          <w:lang w:bidi="fa-IR"/>
        </w:rPr>
        <w:t>و این خود نشان می‌دهد چنین مفهومی برای واژۀ مذکور در زمان پیغمبر صلی الله و علیه و آله و سلم ، شناخته‌شده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مدرک مورد استناد کرون و کوک در طرف سامری، اثری است موسوم به کتاب الکافی از یوسف بن سلامه العسکری، نویسندۀ سامری قرن 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نگارش این کتاب، از دورۀ وقایع صدر اسلام، یعنی قرن هفتم میلادی فاصلۀ زیادی دارد، و به سهولت می‌توان استفادۀ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تأثیر فرهنگ اسلامی ـ عربی رایج در محیط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 و کوک هیچ مدرکی ارائه نمی‌کنند که نشان دهد سامریان مفهوم امامت را پیش از زمان فوق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در سال‌های آغازین اسلام هم به کار می‌برده‌اند</w:t>
      </w:r>
      <w:r>
        <w:rPr>
          <w:rFonts w:eastAsia="IRNazanin" w:cs="IRNazanin"/>
          <w:color w:val="111111"/>
          <w:sz w:val="28"/>
          <w:szCs w:val="28"/>
          <w:rtl w:val="true"/>
          <w:lang w:bidi="fa-IR"/>
        </w:rPr>
        <w:t>.</w:t>
      </w:r>
    </w:p>
    <w:p>
      <w:pPr>
        <w:pStyle w:val="Heading3"/>
        <w:numPr>
          <w:ilvl w:val="2"/>
          <w:numId w:val="1"/>
        </w:numPr>
        <w:rPr/>
      </w:pPr>
      <w:bookmarkStart w:id="313" w:name="__RefHeading___Toc2031121_2749589250"/>
      <w:bookmarkStart w:id="314" w:name="_Toc120"/>
      <w:bookmarkEnd w:id="313"/>
      <w:r>
        <w:rPr>
          <w:rtl w:val="true"/>
        </w:rPr>
        <w:t>نتیجه گیری</w:t>
      </w:r>
      <w:bookmarkEnd w:id="3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تأثیر سامریّت بر اسلام، که از موضوعات جدید مطرح‌شده در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فرضیه‌ای است که به هیچ وجه از پشتوانه‌های علمی و تاریخی لازم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بعضی شباهت‌های ظاهری میان مفاهیم اسلامی و اصطلاحات مورد استفاده از سوی فرقۀ یهودی سامریان را دلیل تأثیرپذیری اسلام از این فرقه می‌داند، و بر این اساس مدعی است که بعضی از ریشه‌های اسلام را در سامریّت باید جست؛ این در حالی است که شباهت هیچ‌گاه دلیل بر اقتباس نیست، و می‌تواند دلایل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مسائل مهم تاریخی، برای اثبات ادعاهای بزرگی از این دست، باید مدارک تاریخی محکم و به تعداد کافی در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فرضیۀ مذکور می‌کوشد نشان دهد اسلام از جهاتی تحت تأثیر سامریّت بوده، اما خود مضامین قرآنی و هم‌چنین روایات معتبر سنت اسلامی، نشان می‌دهند اسلام، برخلاف این</w:t>
      </w:r>
      <w:bookmarkStart w:id="315" w:name="pg3253_17403"/>
    </w:p>
    <w:p>
      <w:pPr>
        <w:pStyle w:val="BookText"/>
        <w:rPr/>
      </w:pPr>
      <w:bookmarkEnd w:id="315"/>
      <w:r>
        <w:rPr>
          <w:rFonts w:ascii="IRNazanin" w:hAnsi="IRNazanin" w:eastAsia="IRNazanin"/>
          <w:color w:val="111111"/>
          <w:sz w:val="28"/>
          <w:sz w:val="28"/>
          <w:szCs w:val="28"/>
          <w:rtl w:val="true"/>
          <w:lang w:bidi="fa-IR"/>
        </w:rPr>
        <w:t>مدعا، به پیامبران یهودیت رسمی همچون خاندان داوود و عبادتگاه آنان که مورد نفی سامریان بوده‌اند، توجه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مدارک تاریخی کافی، استناد صِرف به شباهت‌ها، بدفهمی متون، خیال‌پردازی و بی‌توجهی به حقایق تاریخی مستندشده در سنت اسلامی، همگی از نقاط ضعف تحلیل‌های کرون و کوک هستند، که سبب بی‌اعتبار شدن استدلال‌های آنان در این فرضیه می‌شود</w:t>
      </w:r>
      <w:r>
        <w:rPr>
          <w:rFonts w:eastAsia="IRNazanin" w:cs="IRNazanin"/>
          <w:color w:val="111111"/>
          <w:sz w:val="28"/>
          <w:szCs w:val="28"/>
          <w:rtl w:val="true"/>
          <w:lang w:bidi="fa-IR"/>
        </w:rPr>
        <w:t>.</w:t>
      </w:r>
    </w:p>
    <w:p>
      <w:pPr>
        <w:pStyle w:val="Heading3"/>
        <w:numPr>
          <w:ilvl w:val="2"/>
          <w:numId w:val="1"/>
        </w:numPr>
        <w:rPr/>
      </w:pPr>
      <w:bookmarkStart w:id="316" w:name="__RefHeading___Toc2031123_2749589250"/>
      <w:bookmarkStart w:id="317" w:name="_Toc121"/>
      <w:bookmarkEnd w:id="316"/>
      <w:r>
        <w:rPr>
          <w:rtl w:val="true"/>
        </w:rPr>
        <w:t>منابع</w:t>
      </w:r>
      <w:bookmarkEnd w:id="317"/>
    </w:p>
    <w:p>
      <w:pPr>
        <w:pStyle w:val="Heading4"/>
        <w:numPr>
          <w:ilvl w:val="3"/>
          <w:numId w:val="1"/>
        </w:numPr>
        <w:rPr/>
      </w:pPr>
      <w:bookmarkStart w:id="318" w:name="__RefHeading___Toc2031125_2749589250"/>
      <w:bookmarkStart w:id="319" w:name="_Toc122"/>
      <w:bookmarkEnd w:id="318"/>
      <w:r>
        <w:rPr>
          <w:rtl w:val="true"/>
        </w:rPr>
        <w:t>اشاره</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ابن‌حجاج،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عمادالدین اسماعیل،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قاهره، دار 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اوپادهی، وِد پرکاش و آشیت کومار بنداوپادهی،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و علیه و اله و سلم در کتاب‌های مقدس هندو،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کریم‌پور، تهران، راه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حییم، سلیمان،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عبری ـ فارسی، تل 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العبر فی خبر من غَبَر، کویت، مطبعه صلاح‌الدین 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جارالله محمود بن عمر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تفسیرالکشاف،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قاهره، مطبعه احمد فهمی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 چاپخانه جواد قیومی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وداد،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الکیسانیة فی التاریخ و الأدب، بیروت، 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کوستاز، لوئیس،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سریانی عربی، بیروت، دار 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 علی‌نقی فیض‌الإسلام اصفهانی، تهران، مؤسسه چاپ و نشر تألیفات فیض‌الإسلام</w:t>
      </w:r>
      <w:r>
        <w:rPr>
          <w:rFonts w:eastAsia="IRNazanin" w:cs="IRNazanin"/>
          <w:color w:val="111111"/>
          <w:sz w:val="28"/>
          <w:szCs w:val="28"/>
          <w:rtl w:val="true"/>
          <w:lang w:bidi="fa-IR"/>
        </w:rPr>
        <w:t>.</w:t>
      </w:r>
    </w:p>
    <w:p>
      <w:pPr>
        <w:pStyle w:val="Heading4"/>
        <w:numPr>
          <w:ilvl w:val="3"/>
          <w:numId w:val="1"/>
        </w:numPr>
        <w:rPr/>
      </w:pPr>
      <w:bookmarkStart w:id="320" w:name="__RefHeading___Toc2031127_2749589250"/>
      <w:bookmarkStart w:id="321" w:name="_Toc123"/>
      <w:bookmarkEnd w:id="320"/>
      <w:r>
        <w:rPr/>
        <w:t>Point</w:t>
      </w:r>
      <w:bookmarkEnd w:id="32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al-Fath ibn abi al-Hasan al-Samiri, (1865), Annales Samaritani, ed. Eduardus Vilmar, Gothae, Sumtibus Friderici Andreae Perthes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Braude, William G., (trans.), (1959), The Midrash on Psalms, Yale, New Haven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Crone, Patricia, and Cook, Michael, (1977), Hagarism: The Making of the Islamic World,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Crown, Alan David, (2001), Samaritan Scribes and Manuscripts, Tübingen, Mohr Siebeck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Gaster, Moses, (1927), The Asatir (Secrets of Moses), London, The Royal Asyatic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Halayqa, Issam K. H., (2008), A Comparative Lexicon of Ugarit and Canaanite, Münster, Ugarit</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Verlag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Hitti, Philip Khûri, (1973), Capital Cities of Arab Islam, Minneapolis, University of Minnesota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Jeffery, Arthur, (1938), The Foreign Vocabulary of The Qur'an, Baroda, Oriental Institute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under: ‘as</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Samiri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Montgomery, James Alan, (1907), The Samaritans, Philadelphia, The John C. Winston Co</w:t>
      </w:r>
      <w:r>
        <w:rPr>
          <w:rFonts w:eastAsia="Times New Roman" w:cs="Times New Roman" w:ascii="Times New Roman" w:hAnsi="Times New Roman"/>
          <w:color w:val="111111"/>
          <w:sz w:val="28"/>
          <w:szCs w:val="28"/>
          <w:rtl w:val="true"/>
          <w:lang w:val="en-US" w:bidi="en-US"/>
        </w:rPr>
        <w:t>.</w:t>
      </w:r>
      <w:bookmarkStart w:id="322" w:name="pg3253_17405"/>
    </w:p>
    <w:p>
      <w:pPr>
        <w:pStyle w:val="Heading2"/>
        <w:numPr>
          <w:ilvl w:val="1"/>
          <w:numId w:val="1"/>
        </w:numPr>
        <w:rPr/>
      </w:pPr>
      <w:bookmarkStart w:id="323" w:name="__RefHeading___Toc2031129_2749589250"/>
      <w:bookmarkStart w:id="324" w:name="_Toc124"/>
      <w:bookmarkEnd w:id="322"/>
      <w:bookmarkEnd w:id="323"/>
      <w:r>
        <w:rPr>
          <w:rtl w:val="true"/>
        </w:rPr>
        <w:t>خلاصة المقالات باللغة العربیة</w:t>
      </w:r>
      <w:bookmarkEnd w:id="324"/>
    </w:p>
    <w:p>
      <w:pPr>
        <w:pStyle w:val="Heading3"/>
        <w:numPr>
          <w:ilvl w:val="2"/>
          <w:numId w:val="1"/>
        </w:numPr>
        <w:rPr/>
      </w:pPr>
      <w:bookmarkStart w:id="325" w:name="__RefHeading___Toc2031131_2749589250"/>
      <w:bookmarkStart w:id="326" w:name="_Toc125"/>
      <w:bookmarkEnd w:id="325"/>
      <w:r>
        <w:rPr>
          <w:rtl w:val="true"/>
        </w:rPr>
        <w:t>تطور عقیدة المعرفة الاضطراریة فی معارف المعتزلة</w:t>
      </w:r>
      <w:r>
        <w:rPr>
          <w:rtl w:val="true"/>
        </w:rPr>
        <w:t>/</w:t>
      </w:r>
      <w:r>
        <w:rPr>
          <w:rtl w:val="true"/>
        </w:rPr>
        <w:t xml:space="preserve">علی أمیرخانی </w:t>
      </w:r>
      <w:r>
        <w:rPr>
          <w:rtl w:val="true"/>
        </w:rPr>
        <w:t xml:space="preserve">- </w:t>
      </w:r>
      <w:r>
        <w:rPr>
          <w:rtl w:val="true"/>
        </w:rPr>
        <w:t>محمدتقی السبحانی</w:t>
      </w:r>
      <w:bookmarkEnd w:id="326"/>
    </w:p>
    <w:p>
      <w:pPr>
        <w:pStyle w:val="Heading4"/>
        <w:numPr>
          <w:ilvl w:val="3"/>
          <w:numId w:val="1"/>
        </w:numPr>
        <w:rPr/>
      </w:pPr>
      <w:bookmarkStart w:id="327" w:name="__RefHeading___Toc2031133_2749589250"/>
      <w:bookmarkStart w:id="328" w:name="_Toc126"/>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تم تقییم عقیدة المعرفة الاضطراریة عند المعتزلة بمعیارین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إلی النظر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واجهت تغیرات و تطورات کثیرة علی مر تاریخ الاعتزال، فجعل أبو هذیل العلاف معیارها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أصل معرفة الله اضطراری، و أما سائر المعارف فهی اکتسابیة، و أنکر المعرفة الاضطراریة فی غیر ذلک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الجاحظ و أصحاب المعارف بأن جمیع المعارف اضطراریة، و أنکروا المعرفة الاختیاریة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النظام ـ و هو أول معتزلی أبدی معیاراً جدیداً لتقییم المعرفة الاضطراریة ـ إن المعیار فی المعارف الحسیة لوحدها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إلی النظر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سائر المعارف فهی نظریة و بحاجة إلی النظر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یرون أن معرفة الله اضطراریة، لا یرون وجوبها، بل لا یرون معقولیة التکلیف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یعتقدون أنها اکتسابیة فإنهم یرونها واجبة و أنها أول التکالیف، و قالوا إنه یجب علی الإنسان بعد معرفة نفسه ـ والذی یتحقق بالاضطرار ـ أن یکسب معرفة الله سبحانه</w:t>
      </w:r>
      <w:r>
        <w:rPr>
          <w:rFonts w:eastAsia="IRNazanin" w:cs="IRNazanin"/>
          <w:color w:val="111111"/>
          <w:sz w:val="28"/>
          <w:szCs w:val="28"/>
          <w:rtl w:val="true"/>
          <w:lang w:bidi="fa-IR"/>
        </w:rPr>
        <w:t>.</w:t>
      </w:r>
    </w:p>
    <w:p>
      <w:pPr>
        <w:pStyle w:val="Heading4"/>
        <w:numPr>
          <w:ilvl w:val="3"/>
          <w:numId w:val="1"/>
        </w:numPr>
        <w:rPr/>
      </w:pPr>
      <w:bookmarkStart w:id="329" w:name="__RefHeading___Toc2031135_2749589250"/>
      <w:bookmarkStart w:id="330" w:name="_Toc127"/>
      <w:bookmarkEnd w:id="329"/>
      <w:r>
        <w:rPr>
          <w:rtl w:val="true"/>
        </w:rPr>
        <w:t>الألفاظ المحوریة</w:t>
      </w:r>
      <w:bookmarkEnd w:id="330"/>
    </w:p>
    <w:p>
      <w:pPr>
        <w:pStyle w:val="BookText"/>
        <w:rPr/>
      </w:pPr>
      <w:r>
        <w:rPr>
          <w:rFonts w:ascii="IRNazanin" w:hAnsi="IRNazanin" w:eastAsia="IRNazanin"/>
          <w:color w:val="111111"/>
          <w:sz w:val="28"/>
          <w:sz w:val="28"/>
          <w:szCs w:val="28"/>
          <w:rtl w:val="true"/>
          <w:lang w:bidi="fa-IR"/>
        </w:rPr>
        <w:t>المعرفة الاضطراریة، المعرفة الاکتسابیة، المعرفة الطبعیة، أصحاب المعارف، اصحاب المهلة، اول التکالیف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bookmarkStart w:id="331" w:name="pg3253_17406"/>
    </w:p>
    <w:p>
      <w:pPr>
        <w:pStyle w:val="Heading3"/>
        <w:numPr>
          <w:ilvl w:val="2"/>
          <w:numId w:val="1"/>
        </w:numPr>
        <w:rPr/>
      </w:pPr>
      <w:bookmarkStart w:id="332" w:name="__RefHeading___Toc2031137_2749589250"/>
      <w:bookmarkStart w:id="333" w:name="_Toc128"/>
      <w:bookmarkEnd w:id="331"/>
      <w:bookmarkEnd w:id="332"/>
      <w:r>
        <w:rPr>
          <w:rtl w:val="true"/>
        </w:rPr>
        <w:t xml:space="preserve">المبانی الکلامیة لتوسعة الاستنباط من فعل المعصوم </w:t>
      </w:r>
      <w:r>
        <w:rPr>
          <w:rtl w:val="true"/>
        </w:rPr>
        <w:t>/</w:t>
      </w:r>
      <w:r>
        <w:rPr>
          <w:rtl w:val="true"/>
        </w:rPr>
        <w:t xml:space="preserve">مهدی المردانی </w:t>
      </w:r>
      <w:r>
        <w:rPr>
          <w:rtl w:val="true"/>
        </w:rPr>
        <w:t xml:space="preserve">- </w:t>
      </w:r>
      <w:r>
        <w:rPr>
          <w:rtl w:val="true"/>
        </w:rPr>
        <w:t>علی راد</w:t>
      </w:r>
      <w:bookmarkEnd w:id="333"/>
    </w:p>
    <w:p>
      <w:pPr>
        <w:pStyle w:val="Heading4"/>
        <w:numPr>
          <w:ilvl w:val="3"/>
          <w:numId w:val="1"/>
        </w:numPr>
        <w:rPr/>
      </w:pPr>
      <w:bookmarkStart w:id="334" w:name="__RefHeading___Toc2031139_2749589250"/>
      <w:bookmarkStart w:id="335" w:name="_Toc129"/>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وفقاً لعقائد الشیعة فإن فعل المعصوم أحد مصادر التشریع، إلا أنه بسبب عدم تنقیح مبانی حجیته وأنحاء دلالته لم یحظ بالالتفات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أحد سبل توسعة نطاق الانتفاع بفعل المعصوم هی بیان المبانی و الخلفیات الذهنیة التی ینتهی قبولها إلی الانتفاع بفعل المعصوم بشکل أوسع و بالتالی، و بالتالی توسعة الاستنباط من 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یحاول بیان المبانی الکلامیة للاستنباط من فعل المعصوم ـ بأسلوب تحلیلی اکتشافی ـ و علی ضوء المصادر المعتبرة التی تقوم علی أساس بیان سیرة المعصوم، و تهیئ الأرضیة المناسبة للانتفاع بفعل المعصوم بشکل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حجیة فعل المعصوم ـ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ـ و حجیة أفعال الأنبیاء الماضین، وکذلک أفعال الزهراء علیها السلام ، هی من جملة الأسس و المبانی المؤثرة فی توسعة نطاق استنباط المفاهیم الدینیة من فعل المعصوم</w:t>
      </w:r>
      <w:r>
        <w:rPr>
          <w:rFonts w:eastAsia="IRNazanin" w:cs="IRNazanin"/>
          <w:color w:val="111111"/>
          <w:sz w:val="28"/>
          <w:szCs w:val="28"/>
          <w:rtl w:val="true"/>
          <w:lang w:bidi="fa-IR"/>
        </w:rPr>
        <w:t>.</w:t>
      </w:r>
    </w:p>
    <w:p>
      <w:pPr>
        <w:pStyle w:val="Heading4"/>
        <w:numPr>
          <w:ilvl w:val="3"/>
          <w:numId w:val="1"/>
        </w:numPr>
        <w:rPr/>
      </w:pPr>
      <w:bookmarkStart w:id="336" w:name="__RefHeading___Toc2031141_2749589250"/>
      <w:bookmarkStart w:id="337" w:name="_Toc130"/>
      <w:bookmarkEnd w:id="336"/>
      <w:r>
        <w:rPr>
          <w:rtl w:val="true"/>
        </w:rPr>
        <w:t>الألفاظ المحوریة</w:t>
      </w:r>
      <w:bookmarkEnd w:id="337"/>
    </w:p>
    <w:p>
      <w:pPr>
        <w:pStyle w:val="BookText"/>
        <w:rPr/>
      </w:pPr>
      <w:r>
        <w:rPr>
          <w:rFonts w:ascii="IRNazanin" w:hAnsi="IRNazanin" w:eastAsia="IRNazanin"/>
          <w:color w:val="111111"/>
          <w:sz w:val="28"/>
          <w:sz w:val="28"/>
          <w:szCs w:val="28"/>
          <w:rtl w:val="true"/>
          <w:lang w:bidi="fa-IR"/>
        </w:rPr>
        <w:t>السنة العملیة، استنباط المفاهیم الدینیة، وظائف فعل المعصوم، الخلفیات العقیدیة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bookmarkStart w:id="338" w:name="pg3253_17407"/>
    </w:p>
    <w:p>
      <w:pPr>
        <w:pStyle w:val="Heading3"/>
        <w:numPr>
          <w:ilvl w:val="2"/>
          <w:numId w:val="1"/>
        </w:numPr>
        <w:rPr/>
      </w:pPr>
      <w:bookmarkStart w:id="339" w:name="__RefHeading___Toc2031143_2749589250"/>
      <w:bookmarkStart w:id="340" w:name="_Toc131"/>
      <w:bookmarkEnd w:id="338"/>
      <w:bookmarkEnd w:id="339"/>
      <w:r>
        <w:rPr>
          <w:rtl w:val="true"/>
        </w:rPr>
        <w:t>تحلیل لسیر تطور الإرادة الإلهیة فی المنظومة الفکریة للمعتزلة</w:t>
      </w:r>
      <w:r>
        <w:rPr>
          <w:rtl w:val="true"/>
        </w:rPr>
        <w:t xml:space="preserve">/ </w:t>
      </w:r>
      <w:r>
        <w:rPr>
          <w:rtl w:val="true"/>
        </w:rPr>
        <w:t>اکبر اقوام الکرباسی</w:t>
      </w:r>
      <w:bookmarkEnd w:id="340"/>
    </w:p>
    <w:p>
      <w:pPr>
        <w:pStyle w:val="Heading4"/>
        <w:numPr>
          <w:ilvl w:val="3"/>
          <w:numId w:val="1"/>
        </w:numPr>
        <w:rPr/>
      </w:pPr>
      <w:bookmarkStart w:id="341" w:name="__RefHeading___Toc2031145_2749589250"/>
      <w:bookmarkStart w:id="342" w:name="_Toc132"/>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تعد الإرادة الإلهیة من أهم أرکان إلهیات الأفعال، و لهذا أبدیت بشأن وجودها و معناها تفسیرات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حرکة الاعتزال الفکریة علی غیرها من الاتجاهات فی تناول هذا الموضوع بالبحث من زوایا عدیدة، و النظریة الرائجة بین أبناء هذه المدرسة تتضمن هذه الفکرة و هی أن إرادة الله سبحانه عرض حادث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وکونها لا فی محل مستلهم من آراء قدماء المعتزلة بشأن العرَض، والذی یسمح لهم أن تکون مثل هذه الحقیقة بدون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التلقی للعرض أخذ منحی آخر بین متأخری المعتزلة و ذلک بسبب میولهم للفکر الفلسفی المشائی، فأخذ المنحی الفلسفی، و بالتالی فإن هذا المفهوم واجه إشکالات أساسیة و أنه کیف یمکن تصوّر عرَض دون أن یحلّ فی محلّ؟ ولهذا رأی متأخرو المعتزلة أن حلّ هذا المسألة یکمن فی تبیین الإرادة من خلال النهج الفلسفی، و لهذا فسروها بالداعی، و یعرف الداعی بأنه العلم بالنظام الأحسن</w:t>
      </w:r>
      <w:r>
        <w:rPr>
          <w:rFonts w:eastAsia="IRNazanin" w:cs="IRNazanin"/>
          <w:color w:val="111111"/>
          <w:sz w:val="28"/>
          <w:szCs w:val="28"/>
          <w:rtl w:val="true"/>
          <w:lang w:bidi="fa-IR"/>
        </w:rPr>
        <w:t>.</w:t>
      </w:r>
    </w:p>
    <w:p>
      <w:pPr>
        <w:pStyle w:val="Heading4"/>
        <w:numPr>
          <w:ilvl w:val="3"/>
          <w:numId w:val="1"/>
        </w:numPr>
        <w:rPr/>
      </w:pPr>
      <w:bookmarkStart w:id="343" w:name="__RefHeading___Toc2031147_2749589250"/>
      <w:bookmarkStart w:id="344" w:name="_Toc133"/>
      <w:bookmarkEnd w:id="343"/>
      <w:r>
        <w:rPr>
          <w:rtl w:val="true"/>
        </w:rPr>
        <w:t>الألفاظ المحوریة</w:t>
      </w:r>
      <w:bookmarkEnd w:id="344"/>
    </w:p>
    <w:p>
      <w:pPr>
        <w:pStyle w:val="BookText"/>
        <w:rPr/>
      </w:pPr>
      <w:r>
        <w:rPr>
          <w:rFonts w:ascii="IRNazanin" w:hAnsi="IRNazanin" w:eastAsia="IRNazanin"/>
          <w:color w:val="111111"/>
          <w:sz w:val="28"/>
          <w:sz w:val="28"/>
          <w:szCs w:val="28"/>
          <w:rtl w:val="true"/>
          <w:lang w:bidi="fa-IR"/>
        </w:rPr>
        <w:t>الإرادة، الفعل، الداعی، العرض، لا فی محل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bookmarkStart w:id="345" w:name="pg3253_17408"/>
    </w:p>
    <w:p>
      <w:pPr>
        <w:pStyle w:val="Heading3"/>
        <w:numPr>
          <w:ilvl w:val="2"/>
          <w:numId w:val="1"/>
        </w:numPr>
        <w:rPr/>
      </w:pPr>
      <w:bookmarkStart w:id="346" w:name="__RefHeading___Toc2031149_2749589250"/>
      <w:bookmarkStart w:id="347" w:name="_Toc134"/>
      <w:bookmarkEnd w:id="345"/>
      <w:bookmarkEnd w:id="346"/>
      <w:r>
        <w:rPr>
          <w:rtl w:val="true"/>
        </w:rPr>
        <w:t>توظیف التوحید الربوبی فی تربیة الانسان من منظار القرآن الکریم</w:t>
      </w:r>
      <w:r>
        <w:rPr>
          <w:rtl w:val="true"/>
        </w:rPr>
        <w:t xml:space="preserve">/ </w:t>
      </w:r>
      <w:r>
        <w:rPr>
          <w:rtl w:val="true"/>
        </w:rPr>
        <w:t xml:space="preserve">حسین المحمدی </w:t>
      </w:r>
      <w:r>
        <w:rPr>
          <w:rtl w:val="true"/>
        </w:rPr>
        <w:t xml:space="preserve">- </w:t>
      </w:r>
      <w:r>
        <w:rPr>
          <w:rtl w:val="true"/>
        </w:rPr>
        <w:t>السید اسحاق الحسینی الکوهساری</w:t>
      </w:r>
      <w:r>
        <w:rPr>
          <w:rtl w:val="true"/>
        </w:rPr>
        <w:t xml:space="preserve">- </w:t>
      </w:r>
      <w:r>
        <w:rPr>
          <w:rtl w:val="true"/>
        </w:rPr>
        <w:t>السید محمد الموسوی المقدم</w:t>
      </w:r>
      <w:bookmarkEnd w:id="347"/>
    </w:p>
    <w:p>
      <w:pPr>
        <w:pStyle w:val="Heading4"/>
        <w:numPr>
          <w:ilvl w:val="3"/>
          <w:numId w:val="1"/>
        </w:numPr>
        <w:rPr/>
      </w:pPr>
      <w:bookmarkStart w:id="348" w:name="__RefHeading___Toc2031151_2749589250"/>
      <w:bookmarkStart w:id="349" w:name="_Toc135"/>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 xml:space="preserve">إن أهم الأهداف الإلهیة لنزول القرآن تتمثل فی تربیة الانسان، و إن أهم فکرة فی هذا المسیر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یهدف الی رسم مسیرة تربیة الانسان علی ضوء التوحید الربوبی ضمن ثلاث مراحل؛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الذی یقوم علی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الانسان فطریاً بالخالق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البنیة الأساسیة لشخصیة الانسان وفق مبنی العبودیة، و التی تمر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رابطة التلازم بین الربوبیة و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مبدأ اتخاذ الرب؛ یعنی جلب المنافع و دفع المضار علی ضوء الحب العبودی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والمرحلة الثالثة ناظرة للأهداف الغائیة للتربیة، یعنی مشاهدة أن الوجود غیر مستقل، و أن تمام التدبیر فیه راجع الی رب العالمین، و هذا ما یحصل من خلال تقویة المعرفة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المقال الحاضر أن یدرس توظیف التوحید الربوبی فی هذه المراحل الثلاث، و أن یستخرج منه نموذجاً مناسباً</w:t>
      </w:r>
      <w:r>
        <w:rPr>
          <w:rFonts w:eastAsia="IRNazanin" w:cs="IRNazanin"/>
          <w:color w:val="111111"/>
          <w:sz w:val="28"/>
          <w:szCs w:val="28"/>
          <w:rtl w:val="true"/>
          <w:lang w:bidi="fa-IR"/>
        </w:rPr>
        <w:t>.</w:t>
      </w:r>
    </w:p>
    <w:p>
      <w:pPr>
        <w:pStyle w:val="Heading4"/>
        <w:numPr>
          <w:ilvl w:val="3"/>
          <w:numId w:val="1"/>
        </w:numPr>
        <w:rPr/>
      </w:pPr>
      <w:bookmarkStart w:id="350" w:name="__RefHeading___Toc2031153_2749589250"/>
      <w:bookmarkStart w:id="351" w:name="_Toc136"/>
      <w:bookmarkEnd w:id="350"/>
      <w:r>
        <w:rPr>
          <w:rtl w:val="true"/>
        </w:rPr>
        <w:t>الألفاظ المحوریة</w:t>
      </w:r>
      <w:bookmarkEnd w:id="351"/>
    </w:p>
    <w:p>
      <w:pPr>
        <w:pStyle w:val="BookText"/>
        <w:rPr/>
      </w:pPr>
      <w:r>
        <w:rPr>
          <w:rFonts w:ascii="IRNazanin" w:hAnsi="IRNazanin" w:eastAsia="IRNazanin"/>
          <w:color w:val="111111"/>
          <w:sz w:val="28"/>
          <w:sz w:val="28"/>
          <w:szCs w:val="28"/>
          <w:rtl w:val="true"/>
          <w:lang w:bidi="fa-IR"/>
        </w:rPr>
        <w:t>الالوهیة، الخالقیة، الربوبیة، التوحید الربوبی، الهدف الغائی</w:t>
      </w:r>
      <w:r>
        <w:rPr>
          <w:rFonts w:eastAsia="IRNazanin" w:cs="IRNazanin"/>
          <w:color w:val="111111"/>
          <w:sz w:val="28"/>
          <w:szCs w:val="28"/>
          <w:rtl w:val="true"/>
          <w:lang w:bidi="fa-IR"/>
        </w:rPr>
        <w:t>.</w:t>
      </w:r>
    </w:p>
    <w:p>
      <w:pPr>
        <w:pStyle w:val="BookText"/>
        <w:rPr/>
      </w:pPr>
      <w:r>
        <w:rPr>
          <w:rStyle w:val="FootnoteAnchor"/>
          <w:rtl w:val="true"/>
        </w:rPr>
        <w:footnoteReference w:id="5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استاذ مساعد فی قسم علوم القرآن و الحدیث جامعة طهران ـ فردیس الفارابی</w:t>
      </w:r>
      <w:r>
        <w:rPr>
          <w:rFonts w:eastAsia="IRNazanin" w:cs="IRNazanin"/>
          <w:color w:val="111111"/>
          <w:sz w:val="28"/>
          <w:szCs w:val="28"/>
          <w:rtl w:val="true"/>
          <w:lang w:bidi="fa-IR"/>
        </w:rPr>
        <w:t>.</w:t>
      </w:r>
      <w:bookmarkStart w:id="352" w:name="pg3253_17409"/>
    </w:p>
    <w:p>
      <w:pPr>
        <w:pStyle w:val="Heading3"/>
        <w:numPr>
          <w:ilvl w:val="2"/>
          <w:numId w:val="1"/>
        </w:numPr>
        <w:rPr/>
      </w:pPr>
      <w:bookmarkStart w:id="353" w:name="__RefHeading___Toc2031155_2749589250"/>
      <w:bookmarkStart w:id="354" w:name="_Toc137"/>
      <w:bookmarkEnd w:id="352"/>
      <w:bookmarkEnd w:id="353"/>
      <w:r>
        <w:rPr>
          <w:rtl w:val="true"/>
        </w:rPr>
        <w:t>«</w:t>
      </w:r>
      <w:r>
        <w:rPr>
          <w:rtl w:val="true"/>
        </w:rPr>
        <w:t>الإحباط و تکفیر العمل</w:t>
      </w:r>
      <w:r>
        <w:rPr>
          <w:rtl w:val="true"/>
        </w:rPr>
        <w:t xml:space="preserve">» </w:t>
      </w:r>
      <w:r>
        <w:rPr>
          <w:rtl w:val="true"/>
        </w:rPr>
        <w:t>من منظار آیة الله جوادی الآملی</w:t>
      </w:r>
      <w:r>
        <w:rPr>
          <w:rtl w:val="true"/>
        </w:rPr>
        <w:t xml:space="preserve">/ </w:t>
      </w:r>
      <w:r>
        <w:rPr>
          <w:rtl w:val="true"/>
        </w:rPr>
        <w:t xml:space="preserve">أقدس الیزدی </w:t>
      </w:r>
      <w:r>
        <w:rPr>
          <w:rtl w:val="true"/>
        </w:rPr>
        <w:t>-</w:t>
      </w:r>
      <w:r>
        <w:rPr>
          <w:rtl w:val="true"/>
        </w:rPr>
        <w:t>زینب العباسی الآغوری</w:t>
      </w:r>
      <w:bookmarkEnd w:id="354"/>
    </w:p>
    <w:p>
      <w:pPr>
        <w:pStyle w:val="Heading4"/>
        <w:numPr>
          <w:ilvl w:val="3"/>
          <w:numId w:val="1"/>
        </w:numPr>
        <w:rPr/>
      </w:pPr>
      <w:bookmarkStart w:id="355" w:name="__RefHeading___Toc2031157_2749589250"/>
      <w:bookmarkStart w:id="356" w:name="_Toc138"/>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فیما یتعلق بمسألة الإحباط و التکفیر یری المعتزلة القول بالإحباط الکلی، و استدلوا له بأدلة عقلیة و 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 ذلک ینکر الأشاعرة و أکثر الإمامیة الإحباط الکلی فی حال الکفر أو الارتداد أو الشرک أو النفاق، و یرون أنه مستلزم للظلم و الترجیح بلا مرجح و التناقض والدور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آیة الله جوادی الآملی الإحباط المحض فی حال الکفر و الارتداد و الشرک و النفاق، و أن الإنسان سیفقد وجوده أجمع بسببها، و أما فی غیرها من المعاصی فهو یری الإحباط غیر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ـ وفق نظریة الحرکة الجوهریة للنفس ـ أنه ما دامت النفس متعلقة بالبدن فإن لها قابلیة التغیر، و أن الأفعال الإنسانیة متحدة وجوداً مع النفس و أنها توجد صوراً وجودیة تناسبها</w:t>
      </w:r>
      <w:r>
        <w:rPr>
          <w:rFonts w:eastAsia="IRNazanin" w:cs="IRNazanin"/>
          <w:color w:val="111111"/>
          <w:sz w:val="28"/>
          <w:szCs w:val="28"/>
          <w:rtl w:val="true"/>
          <w:lang w:bidi="fa-IR"/>
        </w:rPr>
        <w:t>.</w:t>
      </w:r>
    </w:p>
    <w:p>
      <w:pPr>
        <w:pStyle w:val="Heading4"/>
        <w:numPr>
          <w:ilvl w:val="3"/>
          <w:numId w:val="1"/>
        </w:numPr>
        <w:rPr/>
      </w:pPr>
      <w:bookmarkStart w:id="357" w:name="__RefHeading___Toc2031159_2749589250"/>
      <w:bookmarkStart w:id="358" w:name="_Toc139"/>
      <w:bookmarkEnd w:id="357"/>
      <w:r>
        <w:rPr>
          <w:rtl w:val="true"/>
        </w:rPr>
        <w:t>الألفاظ المحوریة</w:t>
      </w:r>
      <w:bookmarkEnd w:id="358"/>
    </w:p>
    <w:p>
      <w:pPr>
        <w:pStyle w:val="BookText"/>
        <w:rPr/>
      </w:pPr>
      <w:r>
        <w:rPr>
          <w:rFonts w:ascii="IRNazanin" w:hAnsi="IRNazanin" w:eastAsia="IRNazanin"/>
          <w:color w:val="111111"/>
          <w:sz w:val="28"/>
          <w:sz w:val="28"/>
          <w:szCs w:val="28"/>
          <w:rtl w:val="true"/>
          <w:lang w:bidi="fa-IR"/>
        </w:rPr>
        <w:t>الإحباط، التکفیر، آیة الله جوادی الآملی، الموافاة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359" w:name="pg3253_17410"/>
    </w:p>
    <w:p>
      <w:pPr>
        <w:pStyle w:val="Heading3"/>
        <w:numPr>
          <w:ilvl w:val="2"/>
          <w:numId w:val="1"/>
        </w:numPr>
        <w:rPr/>
      </w:pPr>
      <w:bookmarkStart w:id="360" w:name="__RefHeading___Toc2031161_2749589250"/>
      <w:bookmarkStart w:id="361" w:name="_Toc140"/>
      <w:bookmarkEnd w:id="359"/>
      <w:bookmarkEnd w:id="360"/>
      <w:r>
        <w:rPr>
          <w:rtl w:val="true"/>
        </w:rPr>
        <w:t>تحلیل و نقد فرضیة تأثیر السامریة علی الإسلام</w:t>
      </w:r>
      <w:r>
        <w:rPr>
          <w:rtl w:val="true"/>
        </w:rPr>
        <w:t xml:space="preserve">/ </w:t>
      </w:r>
      <w:r>
        <w:rPr>
          <w:rtl w:val="true"/>
        </w:rPr>
        <w:t xml:space="preserve">علی راد </w:t>
      </w:r>
      <w:r>
        <w:rPr>
          <w:rtl w:val="true"/>
        </w:rPr>
        <w:t xml:space="preserve">- </w:t>
      </w:r>
      <w:r>
        <w:rPr>
          <w:rtl w:val="true"/>
        </w:rPr>
        <w:t>سعید کریم بور</w:t>
      </w:r>
      <w:bookmarkEnd w:id="361"/>
    </w:p>
    <w:p>
      <w:pPr>
        <w:pStyle w:val="Heading4"/>
        <w:numPr>
          <w:ilvl w:val="3"/>
          <w:numId w:val="1"/>
        </w:numPr>
        <w:rPr/>
      </w:pPr>
      <w:bookmarkStart w:id="362" w:name="__RefHeading___Toc2031163_2749589250"/>
      <w:bookmarkStart w:id="363" w:name="_Toc141"/>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 xml:space="preserve">أبدی باتریشا کرون و مایکل کوک فی القرن السالف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 أبدوا رأیاً جدیداً حول الإسلام، و هو یرتکز علی التشکیک المفرط فی المصادر الاسلامیة و الاعتماد علی المصادر غیر الاسلامیة بنطاق واسع، و قد وردت فیه ادعاءات جدیدة؛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السامریة علی نشأة الإسلام و سعة نطاقه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للاستدلال علی ذلک اعتمدوا علی بعض وجوه الشبه الظاهری بین المفاهیم الإسلامیة و الفرقة السامریة من الیهود، و ادعوا أن بعض جذور الإسلام ترجع الی الیهودیة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اختیار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الجدید، و العلقة المقدسة بین الحرم و الجبل، و حادثة تغییر القبلة، والشبه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السامریة، تعد أهم المحاور التی اعتمدتها هذه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تناولنا فی هذا المقال دعوی نظریة هاجریسم ـ بتأثر الإسلام بالسامریة ـ بالنقد و التحلیل</w:t>
      </w:r>
      <w:r>
        <w:rPr>
          <w:rFonts w:eastAsia="IRNazanin" w:cs="IRNazanin"/>
          <w:color w:val="111111"/>
          <w:sz w:val="28"/>
          <w:szCs w:val="28"/>
          <w:rtl w:val="true"/>
          <w:lang w:bidi="fa-IR"/>
        </w:rPr>
        <w:t>.</w:t>
      </w:r>
    </w:p>
    <w:p>
      <w:pPr>
        <w:pStyle w:val="Heading4"/>
        <w:numPr>
          <w:ilvl w:val="3"/>
          <w:numId w:val="1"/>
        </w:numPr>
        <w:rPr/>
      </w:pPr>
      <w:bookmarkStart w:id="364" w:name="__RefHeading___Toc2031165_2749589250"/>
      <w:bookmarkStart w:id="365" w:name="_Toc142"/>
      <w:bookmarkEnd w:id="364"/>
      <w:r>
        <w:rPr>
          <w:rtl w:val="true"/>
        </w:rPr>
        <w:t>الألفاظ المحوریة</w:t>
      </w:r>
      <w:bookmarkEnd w:id="365"/>
    </w:p>
    <w:p>
      <w:pPr>
        <w:pStyle w:val="BookText"/>
        <w:rPr/>
      </w:pPr>
      <w:r>
        <w:rPr>
          <w:rFonts w:ascii="IRNazanin" w:hAnsi="IRNazanin" w:eastAsia="IRNazanin"/>
          <w:color w:val="111111"/>
          <w:sz w:val="28"/>
          <w:sz w:val="28"/>
          <w:szCs w:val="28"/>
          <w:rtl w:val="true"/>
          <w:lang w:bidi="fa-IR"/>
        </w:rPr>
        <w:t>هاجریسم، الإسلام، التشیع، الإمامة، السامریة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bookmarkStart w:id="366" w:name="pg3253_17411"/>
    </w:p>
    <w:p>
      <w:pPr>
        <w:pStyle w:val="Heading2"/>
        <w:numPr>
          <w:ilvl w:val="1"/>
          <w:numId w:val="1"/>
        </w:numPr>
        <w:rPr/>
      </w:pPr>
      <w:bookmarkStart w:id="367" w:name="__RefHeading___Toc2031167_2749589250"/>
      <w:bookmarkStart w:id="368" w:name="_Toc143"/>
      <w:bookmarkEnd w:id="366"/>
      <w:bookmarkEnd w:id="367"/>
      <w:r>
        <w:rPr/>
        <w:t>Abstracts</w:t>
      </w:r>
      <w:bookmarkEnd w:id="368"/>
    </w:p>
    <w:p>
      <w:pPr>
        <w:pStyle w:val="Heading3"/>
        <w:numPr>
          <w:ilvl w:val="2"/>
          <w:numId w:val="1"/>
        </w:numPr>
        <w:rPr/>
      </w:pPr>
      <w:bookmarkStart w:id="369" w:name="__RefHeading___Toc2031169_2749589250"/>
      <w:bookmarkStart w:id="370" w:name="_Toc144"/>
      <w:bookmarkEnd w:id="369"/>
      <w:r>
        <w:rPr/>
        <w:t>The Development of the Idea of Exigent Knowledge in the Mu'tazilite Thought /Ali Amirkhani - MohammadTaghi Sobhani</w:t>
      </w:r>
      <w:bookmarkEnd w:id="370"/>
    </w:p>
    <w:p>
      <w:pPr>
        <w:pStyle w:val="Heading4"/>
        <w:numPr>
          <w:ilvl w:val="3"/>
          <w:numId w:val="1"/>
        </w:numPr>
        <w:rPr/>
      </w:pPr>
      <w:bookmarkStart w:id="371" w:name="__RefHeading___Toc2031171_2749589250"/>
      <w:bookmarkStart w:id="372" w:name="_Toc145"/>
      <w:bookmarkEnd w:id="371"/>
      <w:r>
        <w:rPr/>
        <w:t>Point</w:t>
      </w:r>
      <w:bookmarkEnd w:id="372"/>
    </w:p>
    <w:p>
      <w:pPr>
        <w:pStyle w:val="BookText"/>
        <w:rPr/>
      </w:pPr>
      <w:r>
        <w:rPr>
          <w:rFonts w:eastAsia="Times New Roman" w:cs="Times New Roman" w:ascii="Times New Roman" w:hAnsi="Times New Roman"/>
          <w:color w:val="111111"/>
          <w:sz w:val="28"/>
          <w:szCs w:val="28"/>
          <w:lang w:val="en-US" w:bidi="en-US"/>
        </w:rPr>
        <w:t>The idea of the exigent knowledge (al-ma'rifat ul-iztirariyyah) is examined by the Mu'tazilites with the two different criteria of being "non- arbitrary" and "needless of contemplation and reasoning". It encountered many developments and changes during the Mu'tazilite thought history. With the criterion of being "non- arbitrary", Abu al-Hudhayl al-Allaf considered the genuine of knowledge of God as exigent and the rest of the knowledge as attainable (ektesabi). With the same criterion, Beshr ibn al-Mu'tamer regarded all knowledge as attainable and denied any kind of exigent knowledge, whereas Jahez and the Ashab ul-Ma'aref (the companions of Knowledge), counted all knowledge as exigent and denied any kind of arbitrary knowledge. Al-Nazzam was the first Mu'tazilite which by changing the measure of the exigent knowledge, considered only the sensory knowledge as exigent with the criterion of "needled of thinking and contemplation" (nazar) and named other knowledge as theoretical that need to thinking and contemplation. The believers in the attainability of the knowledge of God (ektesabiyytu ma'refate Allah), on the contrary, regarded it the first duty and believed that for the responsible person in order to attain and choose the knowledge of God, there must be a moratorium for thinking and contemplation between knowing the self – which occurs exigently- and knowing God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2031173_2749589250"/>
      <w:bookmarkStart w:id="374" w:name="_Toc146"/>
      <w:bookmarkEnd w:id="373"/>
      <w:r>
        <w:rPr/>
        <w:t>Keywords</w:t>
      </w:r>
      <w:bookmarkEnd w:id="374"/>
    </w:p>
    <w:p>
      <w:pPr>
        <w:pStyle w:val="BookText"/>
        <w:rPr/>
      </w:pPr>
      <w:r>
        <w:rPr>
          <w:rFonts w:eastAsia="Times New Roman" w:cs="Times New Roman" w:ascii="Times New Roman" w:hAnsi="Times New Roman"/>
          <w:color w:val="111111"/>
          <w:sz w:val="28"/>
          <w:szCs w:val="28"/>
          <w:lang w:val="en-US" w:bidi="en-US"/>
        </w:rPr>
        <w:t>exigent knowledge, attainable knowledge, natural knowledge, the Ashab ul-Ma'aref (the companions of Knowledge), the Ashab ul-Muhlah (the companions of moratorium), the first duty</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375" w:name="pg3253_17412"/>
    </w:p>
    <w:p>
      <w:pPr>
        <w:pStyle w:val="Heading3"/>
        <w:numPr>
          <w:ilvl w:val="2"/>
          <w:numId w:val="1"/>
        </w:numPr>
        <w:rPr/>
      </w:pPr>
      <w:bookmarkStart w:id="376" w:name="__RefHeading___Toc2031175_2749589250"/>
      <w:bookmarkStart w:id="377" w:name="_Toc147"/>
      <w:bookmarkEnd w:id="375"/>
      <w:bookmarkEnd w:id="376"/>
      <w:r>
        <w:rPr/>
        <w:t>The Kalami Bases for the Development of Deduction from the Behavior of the Infallibles / Mehdi Mardani - Ali Rad</w:t>
      </w:r>
      <w:bookmarkEnd w:id="377"/>
    </w:p>
    <w:p>
      <w:pPr>
        <w:pStyle w:val="Heading4"/>
        <w:numPr>
          <w:ilvl w:val="3"/>
          <w:numId w:val="1"/>
        </w:numPr>
        <w:rPr/>
      </w:pPr>
      <w:bookmarkStart w:id="378" w:name="__RefHeading___Toc2031177_2749589250"/>
      <w:bookmarkStart w:id="379" w:name="_Toc148"/>
      <w:bookmarkEnd w:id="378"/>
      <w:r>
        <w:rPr/>
        <w:t>Point</w:t>
      </w:r>
      <w:bookmarkEnd w:id="379"/>
    </w:p>
    <w:p>
      <w:pPr>
        <w:pStyle w:val="BookText"/>
        <w:rPr/>
      </w:pPr>
      <w:r>
        <w:rPr>
          <w:rFonts w:eastAsia="Times New Roman" w:cs="Times New Roman" w:ascii="Times New Roman" w:hAnsi="Times New Roman"/>
          <w:color w:val="111111"/>
          <w:sz w:val="28"/>
          <w:szCs w:val="28"/>
          <w:lang w:val="en-US" w:bidi="en-US"/>
        </w:rPr>
        <w:t>On the basis of the Shi'a Thought, "the behavior of the Infallibles" is one of the sources of deducting the religious teachings that, because of not-clarification of its bases in validation and denotation, did not paid attention to it as it should. One way to increase the domain of benefiting the practical tradition is to explain the bases and assumptions that their acceptance brings about more using of the Infallibles' behavior and, as a result, brings about the development of referring to it and deducing of it. With an analytic-discovering method, the present research tries to explain the kalami bases of deduction from the Infallibles' behavior that are based on the basis of validity of the sources of Infallibles' behavior, and to prepare the field for much use of the act tradition. The authority of the Infallibles' behavior before prophecy/Imamah, the authority of the previous prophets and the authority of Fatima al-Zahra (p.b.u.h.) are amongst the influential bases in the development of deducting the religious teachings from the Infallibles' behavior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031179_2749589250"/>
      <w:bookmarkStart w:id="381" w:name="_Toc149"/>
      <w:bookmarkEnd w:id="380"/>
      <w:r>
        <w:rPr/>
        <w:t>Keywords</w:t>
      </w:r>
      <w:bookmarkEnd w:id="381"/>
    </w:p>
    <w:p>
      <w:pPr>
        <w:pStyle w:val="BookText"/>
        <w:rPr/>
      </w:pPr>
      <w:r>
        <w:rPr>
          <w:rFonts w:eastAsia="Times New Roman" w:cs="Times New Roman" w:ascii="Times New Roman" w:hAnsi="Times New Roman"/>
          <w:color w:val="111111"/>
          <w:sz w:val="28"/>
          <w:szCs w:val="28"/>
          <w:lang w:val="en-US" w:bidi="en-US"/>
        </w:rPr>
        <w:t>Act tradition, deduction of the religious teachings, the Infallibles' behavior function, and belief assumptions</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382" w:name="pg3253_17413"/>
    </w:p>
    <w:p>
      <w:pPr>
        <w:pStyle w:val="Heading3"/>
        <w:numPr>
          <w:ilvl w:val="2"/>
          <w:numId w:val="1"/>
        </w:numPr>
        <w:rPr/>
      </w:pPr>
      <w:bookmarkStart w:id="383" w:name="__RefHeading___Toc2031181_2749589250"/>
      <w:bookmarkStart w:id="384" w:name="_Toc150"/>
      <w:bookmarkEnd w:id="382"/>
      <w:bookmarkEnd w:id="383"/>
      <w:r>
        <w:rPr/>
        <w:t>An Ontological Analysis of the Development of the Divine Will in the Mu'tazlite Thought System / Akbar Aghwam Karbasi</w:t>
      </w:r>
      <w:bookmarkEnd w:id="384"/>
    </w:p>
    <w:p>
      <w:pPr>
        <w:pStyle w:val="Heading4"/>
        <w:numPr>
          <w:ilvl w:val="3"/>
          <w:numId w:val="1"/>
        </w:numPr>
        <w:rPr/>
      </w:pPr>
      <w:bookmarkStart w:id="385" w:name="__RefHeading___Toc2031183_2749589250"/>
      <w:bookmarkStart w:id="386" w:name="_Toc151"/>
      <w:bookmarkEnd w:id="385"/>
      <w:r>
        <w:rPr/>
        <w:t>Point</w:t>
      </w:r>
      <w:bookmarkEnd w:id="386"/>
    </w:p>
    <w:p>
      <w:pPr>
        <w:pStyle w:val="BookText"/>
        <w:rPr/>
      </w:pPr>
      <w:r>
        <w:rPr>
          <w:rFonts w:eastAsia="Times New Roman" w:cs="Times New Roman" w:ascii="Times New Roman" w:hAnsi="Times New Roman"/>
          <w:color w:val="111111"/>
          <w:sz w:val="28"/>
          <w:szCs w:val="28"/>
          <w:lang w:val="en-US" w:bidi="en-US"/>
        </w:rPr>
        <w:t>The divine will (al-iradah al-ilahiyyah) is one of the most important elements of the theology of acts that there had been offered various ontological and semantic analyses about. In this regard, the Mu'tazilite line of thought discussed the divine will and its various parts more than the others. The current theory between this line of thought includes this idea that the divine will is an accident happened "not in a place" (arazun hadatha la fi mahallen). Being "not in a place" of the will in this theory is taken from the early Mu'tazilah of the meaning of accident (araz) which allowed to regard it as having no place. But, because of convergence with the peripatetic philosophy, the recent Mu'taziltes have been led to a philosophical reading and indeed seriously challenged this conception that how could it be possible to conceive an accident that is not stay in a place. Therefore the recent Mu'taziltes found the resolution of the dilemma in the usage of a philosophical version of the explanation of will that accordingly will is introduced by motive (da'i) and motive is introduced by the awareness of the best system of the universe</w:t>
      </w:r>
    </w:p>
    <w:p>
      <w:pPr>
        <w:pStyle w:val="Heading4"/>
        <w:numPr>
          <w:ilvl w:val="3"/>
          <w:numId w:val="1"/>
        </w:numPr>
        <w:rPr/>
      </w:pPr>
      <w:bookmarkStart w:id="387" w:name="__RefHeading___Toc2031185_2749589250"/>
      <w:bookmarkStart w:id="388" w:name="_Toc152"/>
      <w:bookmarkEnd w:id="387"/>
      <w:r>
        <w:rPr/>
        <w:t>Keywords</w:t>
      </w:r>
      <w:bookmarkEnd w:id="388"/>
    </w:p>
    <w:p>
      <w:pPr>
        <w:pStyle w:val="BookText"/>
        <w:rPr/>
      </w:pPr>
      <w:r>
        <w:rPr>
          <w:rFonts w:eastAsia="Times New Roman" w:cs="Times New Roman" w:ascii="Times New Roman" w:hAnsi="Times New Roman"/>
          <w:color w:val="111111"/>
          <w:sz w:val="28"/>
          <w:szCs w:val="28"/>
          <w:lang w:val="en-US" w:bidi="en-US"/>
        </w:rPr>
        <w:t>will, act, motive, accident, "not in a place</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389" w:name="pg3253_17414"/>
    </w:p>
    <w:p>
      <w:pPr>
        <w:pStyle w:val="Heading3"/>
        <w:numPr>
          <w:ilvl w:val="2"/>
          <w:numId w:val="1"/>
        </w:numPr>
        <w:rPr/>
      </w:pPr>
      <w:bookmarkStart w:id="390" w:name="__RefHeading___Toc2031187_2749589250"/>
      <w:bookmarkStart w:id="391" w:name="_Toc153"/>
      <w:bookmarkEnd w:id="389"/>
      <w:bookmarkEnd w:id="390"/>
      <w:r>
        <w:rPr/>
        <w:t>he Function of the Contrivance Unity in the Education from the Quran Point of View / Hossein Mohammadi -Sayed Eshaq Hosseini Kohsari -Sayed Mohammad MousaviMoghaddam</w:t>
      </w:r>
      <w:bookmarkEnd w:id="391"/>
    </w:p>
    <w:p>
      <w:pPr>
        <w:pStyle w:val="Heading4"/>
        <w:numPr>
          <w:ilvl w:val="3"/>
          <w:numId w:val="1"/>
        </w:numPr>
        <w:rPr/>
      </w:pPr>
      <w:bookmarkStart w:id="392" w:name="__RefHeading___Toc2031189_2749589250"/>
      <w:bookmarkStart w:id="393" w:name="_Toc154"/>
      <w:bookmarkEnd w:id="392"/>
      <w:r>
        <w:rPr/>
        <w:t>Point</w:t>
      </w:r>
      <w:bookmarkEnd w:id="393"/>
    </w:p>
    <w:p>
      <w:pPr>
        <w:pStyle w:val="BookText"/>
        <w:rPr/>
      </w:pPr>
      <w:r>
        <w:rPr>
          <w:rFonts w:eastAsia="Times New Roman" w:cs="Times New Roman" w:ascii="Times New Roman" w:hAnsi="Times New Roman"/>
          <w:color w:val="111111"/>
          <w:sz w:val="28"/>
          <w:szCs w:val="28"/>
          <w:lang w:val="en-US" w:bidi="en-US"/>
        </w:rPr>
        <w:t>The main divine aim from revealing the Quran is the training of human beings and the most basic teaching in this course is contrivance unity (Tawhid-e Rububi). The purpose of this research is to explain the process of human education on the basis of contrivance unity in three phases. The first phase is the direction to the category of "taking a lord" which takes place on the basis of the idea of "human innate awareness of the creatorship" and "making it in relationship to contrivance". The second phase is the formation of personal figure of man on the basis of servant-hood that takes place through "thinking about the inseparable relationship of contrivance with divinity" and "the transcending the trending origin of taking a Lord that is attracting the benefits and fending the detriments on the basis of servant-hood love". The third phase includes the final goal of education. It is seeing the non-autonomy of the universe and returning of all the contrivances to the Lord of the worlds that is gained through the reinforcement of the Lordship</w:t>
      </w:r>
    </w:p>
    <w:p>
      <w:pPr>
        <w:pStyle w:val="BookText"/>
        <w:rPr/>
      </w:pPr>
      <w:r>
        <w:rPr>
          <w:rFonts w:eastAsia="Times New Roman" w:cs="Times New Roman" w:ascii="Times New Roman" w:hAnsi="Times New Roman"/>
          <w:color w:val="111111"/>
          <w:sz w:val="28"/>
          <w:szCs w:val="28"/>
          <w:lang w:val="en-US" w:bidi="en-US"/>
        </w:rPr>
        <w:t>knowledge. This article tries to examine the function of the contrivance unity in each of these phases and deduce a model of it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031191_2749589250"/>
      <w:bookmarkStart w:id="395" w:name="_Toc155"/>
      <w:bookmarkEnd w:id="394"/>
      <w:r>
        <w:rPr/>
        <w:t>Keywords</w:t>
      </w:r>
      <w:bookmarkEnd w:id="395"/>
    </w:p>
    <w:p>
      <w:pPr>
        <w:pStyle w:val="BookText"/>
        <w:rPr/>
      </w:pPr>
      <w:r>
        <w:rPr>
          <w:rFonts w:eastAsia="Times New Roman" w:cs="Times New Roman" w:ascii="Times New Roman" w:hAnsi="Times New Roman"/>
          <w:color w:val="111111"/>
          <w:sz w:val="28"/>
          <w:szCs w:val="28"/>
          <w:lang w:val="en-US" w:bidi="en-US"/>
        </w:rPr>
        <w:t>divinity, creatorship, contrivance, contrivance unity, the final goal</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Associate professor in Quran and Hadith Sciences in University of Tehran – Pardis Farabi</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396" w:name="pg3253_17415"/>
    </w:p>
    <w:p>
      <w:pPr>
        <w:pStyle w:val="Heading3"/>
        <w:numPr>
          <w:ilvl w:val="2"/>
          <w:numId w:val="1"/>
        </w:numPr>
        <w:rPr/>
      </w:pPr>
      <w:bookmarkStart w:id="397" w:name="__RefHeading___Toc2031193_2749589250"/>
      <w:bookmarkStart w:id="398" w:name="_Toc156"/>
      <w:bookmarkEnd w:id="396"/>
      <w:bookmarkEnd w:id="397"/>
      <w:r>
        <w:rPr>
          <w:rtl w:val="true"/>
        </w:rPr>
        <w:t>"</w:t>
      </w:r>
      <w:r>
        <w:rPr/>
        <w:t>The Act Annihilationand Recompense" from the Ayatullah Jawadi Amoli Point of View/ Aghdas Yazdi -Zeynab Abbasi Aghavi</w:t>
      </w:r>
      <w:bookmarkEnd w:id="398"/>
    </w:p>
    <w:p>
      <w:pPr>
        <w:pStyle w:val="Heading4"/>
        <w:numPr>
          <w:ilvl w:val="3"/>
          <w:numId w:val="1"/>
        </w:numPr>
        <w:rPr/>
      </w:pPr>
      <w:bookmarkStart w:id="399" w:name="__RefHeading___Toc2031195_2749589250"/>
      <w:bookmarkStart w:id="400" w:name="_Toc157"/>
      <w:bookmarkEnd w:id="399"/>
      <w:r>
        <w:rPr/>
        <w:t>Point</w:t>
      </w:r>
      <w:bookmarkEnd w:id="400"/>
    </w:p>
    <w:p>
      <w:pPr>
        <w:pStyle w:val="BookText"/>
        <w:rPr/>
      </w:pPr>
      <w:r>
        <w:rPr>
          <w:rFonts w:eastAsia="Times New Roman" w:cs="Times New Roman" w:ascii="Times New Roman" w:hAnsi="Times New Roman"/>
          <w:color w:val="111111"/>
          <w:sz w:val="28"/>
          <w:szCs w:val="28"/>
          <w:lang w:val="en-US" w:bidi="en-US"/>
        </w:rPr>
        <w:t>On the issue of "act annihilation and recompense", the Mu'tazilites believe in total annihilation and refer to rational and narrated arguments. The Ash'arites and the most Imamis, on the contrary, deny the total annihilation in the conditions of infidelity, apostasy, polytheism and hypocrisy (nefaq) and regard it as demanding oppression, preferring without a preferable cause and/or contradictory and cyclical argumentation. On infidelity, polytheism, hypocrisy and apostasy, Ayatollah Jawadi Amoli believes in complete annihilation of acts that accordingly one may lose all his/her being, but, about the sins, he believes in incomplete annihilation. On the basis of essence movement (harakate jawhari) of the soul, he believes that the soul, while in a relative relationship to the body, is changeable and the human acts have an existential unity with the soul so they may create the proper forms with themselves</w:t>
      </w:r>
    </w:p>
    <w:p>
      <w:pPr>
        <w:pStyle w:val="Heading4"/>
        <w:numPr>
          <w:ilvl w:val="3"/>
          <w:numId w:val="1"/>
        </w:numPr>
        <w:rPr/>
      </w:pPr>
      <w:bookmarkStart w:id="401" w:name="__RefHeading___Toc2031197_2749589250"/>
      <w:bookmarkStart w:id="402" w:name="_Toc158"/>
      <w:bookmarkEnd w:id="401"/>
      <w:r>
        <w:rPr/>
        <w:t>Keywords</w:t>
      </w:r>
      <w:bookmarkEnd w:id="402"/>
    </w:p>
    <w:p>
      <w:pPr>
        <w:pStyle w:val="BookText"/>
        <w:rPr/>
      </w:pPr>
      <w:r>
        <w:rPr>
          <w:rFonts w:eastAsia="Times New Roman" w:cs="Times New Roman" w:ascii="Times New Roman" w:hAnsi="Times New Roman"/>
          <w:color w:val="111111"/>
          <w:sz w:val="28"/>
          <w:szCs w:val="28"/>
          <w:lang w:val="en-US" w:bidi="en-US"/>
        </w:rPr>
        <w:t>act annihilation, act recompense, Ayatollah Jawadi Amoli, accomplishment</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Qom Islamic Seminary</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403" w:name="pg3253_17416"/>
    </w:p>
    <w:p>
      <w:pPr>
        <w:pStyle w:val="Heading3"/>
        <w:numPr>
          <w:ilvl w:val="2"/>
          <w:numId w:val="1"/>
        </w:numPr>
        <w:rPr/>
      </w:pPr>
      <w:bookmarkStart w:id="404" w:name="__RefHeading___Toc2031199_2749589250"/>
      <w:bookmarkStart w:id="405" w:name="_Toc159"/>
      <w:bookmarkEnd w:id="403"/>
      <w:bookmarkEnd w:id="404"/>
      <w:r>
        <w:rPr/>
        <w:t>Analysis and Criticism of the Hypothesis of the Samarian Influence on Islam / Ali Rad -Saeid Karimpour</w:t>
      </w:r>
      <w:bookmarkEnd w:id="405"/>
    </w:p>
    <w:p>
      <w:pPr>
        <w:pStyle w:val="Heading4"/>
        <w:numPr>
          <w:ilvl w:val="3"/>
          <w:numId w:val="1"/>
        </w:numPr>
        <w:rPr/>
      </w:pPr>
      <w:bookmarkStart w:id="406" w:name="__RefHeading___Toc2031201_2749589250"/>
      <w:bookmarkStart w:id="407" w:name="_Toc160"/>
      <w:bookmarkEnd w:id="406"/>
      <w:r>
        <w:rPr/>
        <w:t>Point</w:t>
      </w:r>
      <w:bookmarkEnd w:id="407"/>
    </w:p>
    <w:p>
      <w:pPr>
        <w:pStyle w:val="BookText"/>
        <w:rPr/>
      </w:pPr>
      <w:r>
        <w:rPr>
          <w:rFonts w:eastAsia="Times New Roman" w:cs="Times New Roman" w:ascii="Times New Roman" w:hAnsi="Times New Roman"/>
          <w:color w:val="111111"/>
          <w:sz w:val="28"/>
          <w:szCs w:val="28"/>
          <w:lang w:val="en-US" w:bidi="en-US"/>
        </w:rPr>
        <w:t>In the last century, by offering the theory of "Hagarism", Patricia Crone and Michael Cook, introduced a new view on Islam which is based on radical skepticism about the Islamic sources and on vast usage of non-Islamic sources. They offered new claims that one is the influence of Samarians on the appearance and development of Islam. They considered some of the evident affinities between Islamic concepts and the terms used in the Jewish Samarian sect as an evidence of the Islamic impressionability of this sect and claimed that one must find some roots of Islam in the Samarian sect. The selection of the word "Islam" as a name for the new faith, a sacred relation between Haram and mountain, the event of changing the Keblah (prayer direction) and the structural similarity between Imamah in Shi'ism and kehanah in Samarian are among the most important documentations in this hypothesis. In this research we will analyze and criticize the claim of Hagarism on the basis of Islamic impressionability of the Samarian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031203_2749589250"/>
      <w:bookmarkStart w:id="409" w:name="_Toc161"/>
      <w:bookmarkEnd w:id="408"/>
      <w:r>
        <w:rPr/>
        <w:t>Keywords</w:t>
      </w:r>
      <w:bookmarkEnd w:id="40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Hagarism, Islam, Shi'ism, Imamah, Samarian sect</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410" w:name="pg3253_17417"/>
    </w:p>
    <w:p>
      <w:pPr>
        <w:pStyle w:val="Heading3"/>
        <w:numPr>
          <w:ilvl w:val="2"/>
          <w:numId w:val="1"/>
        </w:numPr>
        <w:rPr/>
      </w:pPr>
      <w:bookmarkStart w:id="411" w:name="__RefHeading___Toc2031205_2749589250"/>
      <w:bookmarkStart w:id="412" w:name="_Toc162"/>
      <w:bookmarkEnd w:id="410"/>
      <w:bookmarkEnd w:id="411"/>
      <w:r>
        <w:rPr/>
        <w:t>Tahqīqāt-e Kalāmi</w:t>
      </w:r>
      <w:bookmarkEnd w:id="412"/>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Vol.4, No.14, October-December 2016</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Box:3765-133</w:t>
      </w:r>
    </w:p>
    <w:p>
      <w:pPr>
        <w:pStyle w:val="BookText"/>
        <w:rPr/>
      </w:pPr>
      <w:r>
        <w:rPr>
          <w:rFonts w:eastAsia="Times New Roman" w:cs="Times New Roman" w:ascii="Times New Roman" w:hAnsi="Times New Roman"/>
          <w:color w:val="111111"/>
          <w:sz w:val="28"/>
          <w:szCs w:val="28"/>
          <w:lang w:val="en-US" w:bidi="en-US"/>
        </w:rPr>
        <w:t>Telephon:0098-25-32928546</w:t>
      </w:r>
    </w:p>
    <w:p>
      <w:pPr>
        <w:pStyle w:val="BookText"/>
        <w:rPr/>
      </w:pPr>
      <w:r>
        <w:rPr>
          <w:rFonts w:eastAsia="Times New Roman" w:cs="Times New Roman" w:ascii="Times New Roman" w:hAnsi="Times New Roman"/>
          <w:color w:val="111111"/>
          <w:sz w:val="28"/>
          <w:szCs w:val="28"/>
          <w:lang w:val="en-US" w:bidi="en-US"/>
        </w:rPr>
        <w:t>Tsms:30007227007705</w:t>
      </w:r>
    </w:p>
    <w:p>
      <w:pPr>
        <w:pStyle w:val="BookText"/>
        <w:rPr/>
      </w:pPr>
      <w:r>
        <w:rPr>
          <w:rFonts w:eastAsia="Times New Roman" w:cs="Times New Roman" w:ascii="Times New Roman" w:hAnsi="Times New Roman"/>
          <w:color w:val="111111"/>
          <w:sz w:val="28"/>
          <w:szCs w:val="28"/>
          <w:lang w:val="en-US" w:bidi="en-US"/>
        </w:rPr>
        <w:t>Site:www.tkalam.ir / www.ikq.ir</w:t>
      </w:r>
    </w:p>
    <w:p>
      <w:pPr>
        <w:pStyle w:val="BookText"/>
        <w:rPr/>
      </w:pPr>
      <w:r>
        <w:rPr>
          <w:rFonts w:eastAsia="Times New Roman" w:cs="Times New Roman" w:ascii="Times New Roman" w:hAnsi="Times New Roman"/>
          <w:color w:val="111111"/>
          <w:sz w:val="28"/>
          <w:szCs w:val="28"/>
          <w:lang w:val="en-US" w:bidi="en-US"/>
        </w:rPr>
        <w:t>Email:Info@Tkalam.ir / Info@Ikq.ir</w:t>
      </w:r>
    </w:p>
    <w:p>
      <w:pPr>
        <w:pStyle w:val="BookText"/>
        <w:rPr/>
      </w:pPr>
      <w:r>
        <w:rPr>
          <w:rFonts w:eastAsia="Times New Roman" w:cs="Times New Roman" w:ascii="Times New Roman" w:hAnsi="Times New Roman"/>
          <w:color w:val="111111"/>
          <w:sz w:val="28"/>
          <w:szCs w:val="28"/>
          <w:lang w:val="en-US" w:bidi="en-US"/>
        </w:rPr>
        <w:t>Price: 80000 Rials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قرآن و حدیث و عضو انجمن کلام اسلامی حوزه علمیه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 و عضو انجمن کلام اسلامی حوزه علمیه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الناس فی المعرفة اختلافاً شدیداً، و تباینوا فیها تبایناً مفرطاً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جاحظ،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فقط شامل معتقدان به اضطراری بودن معارف از معتزلیان می‌شده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عیاد،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منطق، معرفت 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معرفتی است که به فکر و استدلال نیاز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تحتاج الی تجشّم 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ملاعبدالله،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برخی نویسندگان معاصر هم توجهی به تفاوت ملاک و معیار معرفت اضطراری در بین اندیشمندان نخستین امامی و معتزلی و نیز میان خود دانشوران معتزلی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انصاری در یادداشتی که در نقد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وب‌سایت خود به اشتراک گذاشته است، معرفت اضطراریِ اصحاب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معرفت اضطراری اصحاب معارفِ از معتزله را معرفتی که نیازمند نظر و فکر نیست، معرفی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http://ansari.kateban.com/post/2768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اسلامی طرفداران این نظریه اصطلاحاً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شده‌اند؛ یعنی کسانی که معتقد بودند انسان از زمان بلوغ و شناخت خویشتن، تا اثبات خداوند از راه استدلال و تفکر، نیازمند به مهلت و فرصت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از منظر متکلمان، اضطرارِ در فعل، معادل جبر فلسفی نیست که علت تامه باشد و حتماً و لاجرم محقق شود، بلکه منظور این است که اگر فعل و ارتکاب یک طرف بر طرف دیگر ترجیح داشته باشد، به طوری که انجام آن طرف طبیعتاً مشکل باشد، می‌شود عدم استطاعت بر آن؛ مثلاً اگر آدم درباره یک فعل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دواعی منفعت و ایجاب داشته باشد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دواعی سلب، در واقع تساوی دواعی ندارد و در نتیجه استطاعت ندارد و طبعاً طرف ایجاب را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تساوی دواعی نیز به معنای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یعنی شرایط طوری باشد که انجام یا ترک فعل در یک حد متعادل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تکلیف نخستین از دیدگاه او گزارشی نیست، اما علی‌القاعده اثبات صانع در مبنای او نخستین تکلیف نخواهد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امور کاملاً بدیهی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بزرگ‌تر از جزء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 نظر او نبوده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مسلمان افعالی که از فاعل‌ها صادر می‌شود را به دو دسته تقسیم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مباشر و فعل متولد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که بدون واسطه محقق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اثری که به طور غیرمستقیم از انسان صادر می‌شود و فعل دیگری سبب حدوث و صدور آن می‌گردد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حرکت کلید یا قلم به سبب حرکت دست که بدون واسطه مقدور ما نیست و نمی‌توانیم بدون حرکت دست و صرفاً با اراده باطنی کلید را به حرکت درآورده، در را بگشاییم یا قلم را به گردش درآورده، چیزی بنویسیم، بلکه باید کلید یا قلم را به دست بگیریم و حرکات خاصی را انجام دهیم تا مقصود حاصل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بِشر بن معتمر خاطر منفی را از سوی شیطان می‌داند، در حالی که نظّام، هر دو خاطر را از سوی پروردگار می‌دانست و آن را با حکمت و عدالت خداوند توجیه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بغدای،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مشترک ابوهذیل علاف و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ابن‌مرتضی،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از شاگردان بارز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ابن‌مرتضی،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او، شناخت و آشنایی او با میراث کلامی امامیه ـ به‌ویژه هشام بن حکم ـ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ابن‌حزم،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طبقه هفتم معتزله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ابن‌مرتضی،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قاضی عبدالجبار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اکثر مَن تکلّم فی هذا الباب، عنه أخذوا و ببعض ما أورده تعلّقوا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عبدالجبار،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 با واقع، میزان تشخیص صدق از کذب در مقام ثبوت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جاحظ در مقام اثبات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از آن‌جا که رساله جاحظ افتادگی دارد، حل معضل چگونگی تشخیص حق از باطل، بر اساس مبنای معرفت اضطراری تبیین نشده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انسان از زمانی که از رحم مادر متولد می‌شود تا دوران بلوغ، با چیزهایی مواجهه دارد که معرفت او را بر امور زیاد می‌کند، تجربه‌اش را زیاد می‌کند، هرچند قصد و اراده‌ای هم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جاحظ،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مطالب جاحظ افتادگی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چاره‌ای از ذکر این مطالب نداشتم، به دلیل آن‌که اکثر مردم از فهم منظورم عاجزند، وگرنه کلام در معرفت را خلاصه می‌کردم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جاحظ،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هیات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Mardani.m@qhu.ac.ir</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دانشگاه تهران ـ پردیس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ali.rad@ut.ac.ir</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پژوهشگاه علوم و فرهنگ اسلامی، دانشجوی دکتری مذاهب کلامی دانشگاه ادیان و مذاهب، و عضو انجمن کلام اسلامی حوزه علمیه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akbarkarbassi@gmail.com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مورخان فکر و اندیشه، کلام معتزله را به دو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 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 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و معیار این تقسیم، گذر از اعتزال بصری و اقبال به قواعد، روش‌شناسی و ادبیات فلسفه در کلام اعتزال از زمان ابوالحسین بصری و شاگردان او هم‌چون ملاحمی خوارزمی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پیشینیان از ابو‌الحسین را معتزله متقدم و پس از او را معتزله متأخر نام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 نگاه او، نفس مصدر اراده نامیده می‌شود و نه حاصل مصدر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زابیته اشمیتگه معتقد است، گزارش مشهوری که منابع از پس یکدیگر بلخی کعبی را چنین باور‌مند می‌دانند که او نیز اراده الهی را مساوق با علم الهی به افعالش می‌دانسته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ابواسحاق ابراهیم 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ابوالحسین بصری و سید مرتضی هم‌عصر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حکی أبوالحسین البصریّ ـ فی تصفحه عن بعض الشیوخ و لم یسمّه ـ أنّه یذهب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الفاعل مریدا إنّما هو داعیه إلی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این بعض از شیوخ، ابراهیم بن نوبخت بوده باشد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فخر رازی نظر نظّام و جاحظ را نادیده گرفته و از آن عبور کرده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متکلمان برای افعال، سه گونه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مطرح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مخترع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بود که در غیر محلی که قدرت بر او اعمال می‌شود خلق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مدل از فعل آنچه ایجاد می‌شود، نیازمند به سابقه و محل نیست و هیچ ماده اولیه و محلی برای تحقق آن نیاز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فعل تنها مخصوص خداست و همان خلق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دومی بود که ایجادش در محلی بود که قدرت بر او اعمال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فعلی است که به واسطه دیگری محقق می‌شد؛ مثل وقتی که سنگی رها می‌شود و آن سنگ به شیشه برخورد کرده و شیشه را می‌شکند، این فعل متولد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علوم قرآن و حدیث دانشگاه تهران، پردیس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tohid1512@chmail.ir</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قرآن و حدیث دانشگاه تهران، پردیس فارابی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قرآن و حدیث دانشگاه تهران، پردیس فارابی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دانشگاه قم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فلسفه و کلام اسلامی دانشگاه قم و دانش‌آموخته حوزه علمیه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معنای مجازی این است که احباط به معنای لغوی و حقیقی آن که از بین رفتن است، به کار نرفته‌است؛ بلکه مراد از احباط این است که عمل از ابتدا به صورت صحیح انجام نشده‌است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محقق نشده‌است تا به واسطه عقاب بعدی از بین برود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سیئات به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برعکس، خارج از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احباط و 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نیاز به بررسی مستقل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دانشگاه تهران ـ پردیس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ali.rad@ut.ac.ir</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رشته ادیان و عرفان دانشگاه فردوسی مشهد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پدیدآورندگان آن پاتریشیا کرون و مایکل کوک در کتابی که به همین نام در سال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منتشر کردند، مطرح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مؤلفان در ارائه نظریه خود از دیدگاه‌های استاد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ونزبرو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تأثیر پذیرفته‌اند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هاجریسم، آخرین نظریه آکادمیک غرب در حوزه اسلام‌شناسی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این نظریه، سلب اعتبار کلی از منابع اسلامی و ارائه دیدگاهی نو درباره تاریخ اسلام با تکیه بر منابع غیراسلامی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هاجریسم از سوی پدیدآورندگان همین مقاله به فارسی ترجمه شده و در فرایند ویرایش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نخستین بار به تحلیل و نقد ادعای تأثیرپذیری اسلام از سامریّت که در نظریه هاجریسم مطرح شده، می‌پردازد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شگفتی است که کرون و کوک در کتاب خود، هیچ اشاره‌ای به این منبع سامری نمی‌کنند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یکی از متون مقدس متأخر هندو که بخش‌هایی از آن متعلق به قرون بعد از اسلام است، گفته شده که در زمان ظهور حضرت محمد صلی الله و علیه و آله و سلم ، یکی از پادشاهان هندو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او از هندوستان به عربستان رفت و در آن‌جا آن حضرت را با آب رودخانه مقدس گنگ که با خود برده بود، غسل داد و با آمیزه‌ای از خمیر چوب صندل و روغن محصولات گاو مسح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 او گفت‌وگو کرد و پس از ادای احترام به وی، آیینش را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بهاویشیا پورانا،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اوپادهی،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Beth Hale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کتب انبیا، کتاب‌های منتسب به پیامبران بنی‌اسرائیل است که دوره نبوت آنان قرن‌ها بعد از خود موسی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مجموعه عهد عتیق، این کتاب‌ها بعد از اسفار خمسه تورات و عمدتاً بعد از بخش کتاب‌های تاریخی قرار می‌گیرند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فراوان دیگری که بر نبوت راستین داوود و سلیمان و سایر پیامبران یهودیت رسمی دلالت دارند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וַיִּשְׁכְּנוּ מֵחֲוִילָה עַד־שׁוּר אֲשֶׁר עַל־פְּנֵי מִצְרַיִם בֹּאֲכָה אַשּׁוּרָה עַל־פְּנֵי כָל־אֶחָיו נָפָל</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آنان از حویله تا شور ساکن شدند که در برابر مصر است، وقتی که به سمت آشور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پیش روی تمام برادرانش ساکن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Pitron</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عرب از دیرباز معتقد بوده‌اند که در زبان عربی، اگر مخرج تلفظ دو حرف بسیار به هم نزدیک باشد، گاهی در بعضی کلمات که حاوی آن‌ها هستند، تغییر یکی از آن‌ها به دیگری اتفاق می‌افتد، که اصطلاحاً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و 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اصطلاحاً حروف لبی و دارای مخرج نزدیک هستند، گاهی دچار همین تبدیل می‌شده‌اند، و لغت‌شناسان عرب کلماتی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و لازب، دائم و دائب، راتم و راتب، و مغمطه و مغبطه را برای آن مثال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 تفسیر کشاف گفته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کلمه هستند با یک مصداق، همان‌طور که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 یک مکان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شیعی مربوط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الإمامه و ابطال حجج العامه از سید مرتضی، الافصاح فی امامة امیرالمؤمنین علی بن ابی‌طالب از شیخ مفید، و المفصح فی الإمامه از شیخ طوسی را مورد اشاره قرار داد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ائمه نار که پیروان خود را به سوی آتش جهنم می‌برند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ائمه هدایت‌گر با امر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موارد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و عضو الهیئة العلمیة فی معهد القرآن و الحدیث، و عضو مجمع الکلام الاسلامی للحوزة العلمیة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معهد علوم و فرهنگ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 و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جامعة القرآن و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mardani.m@ut.ac.ir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استاذ مساعد فی جامعة طهران ـ فردیس الفارابی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ali.rad@ut.ac.ir</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معهد علوم و فرهنگ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 و الثقافة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طالب دکتوراه فی جامعة الأدیان و المذاهب ـ فرع المذاهب الکلامیة، 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دکتوراه فی علوم القرآن و الحدیث من جامعة طهران ـ فردیس الفارابی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استاذ مساعد فی قسم علوم القرآن و الحدیث جامعة طهران ـ فردیس الفارابی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اساذة مساعدة و عضو الهیئة العلمیة فی جامعة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ماجستیر فی الفلسفة و الکلام الاسلامی من جامعة قم، و طالب فی الحوزة العلمیة فی قم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استاذ مساعد فی جامعة طهران ـ فردیس الفارابی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ali.rad@ut.ac.ir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دکتوراه ، فی جامعة فردوسی ـ مشهد، فرع الأدیان و العرفان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Associate professor and faculty member of The Quran and Hadith Research Center, and Member of the Kalam Islamic Association in Qom Islamic Seminary. 2. Faculty member of The Islamic Sciences and Culture Academy, and Member of the Kalam Islamic Association in Qom Islamic Seminary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Faculty member of the Quran and Hadith University; email: Mardani.m@qhu.ac.ir 2 . Assistant professor of University of Tehran – Pardis Farabi; emai: ali.rad@ut.ac.ir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Faculty member of The Islamic Sciences and Culture Academy and doctoral student of Kalami denominations in the university of Religions and Denominations, and Member of the Kalam Islamic Association in Qom Islamic Seminary; email: akbarkarbassi@gmail.com</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Ph.D graduate in Quran and Hadith Sciences of University of Tehran – Pardis Farabi; email: tohid1512@chmail.ir 2 . Associate professor in Quran and Hadith Sciences in University of Tehran – Pardis Farabi</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Assistant professor and faculty member of Qom University. 2 . Master graduate in Islamic Philosophy and Kalam of Qom University and Graduate of</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Associate professor in Quran and Hadith Sciences in University of Tehran – Pardis Farabi; email: ali.rad@ut.ac.ir 2 . Doctoral student of the Religions and Mysticism discipline in the Ferdousi University of Mashhad</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44083</Words>
  <Characters>186067</Characters>
  <CharactersWithSpaces>229166</CharactersWithSpaces>
  <Paragraphs>983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2026-08-17T21:45:13Z</dcterms:created>
  <dc:creator>ghaemiyeh.com</dc:creator>
  <dc:description/>
  <dc:language>en-US</dc:language>
  <cp:lastModifiedBy/>
  <dcterms:modified xsi:type="dcterms:W3CDTF">2026-08-18T01:15:18Z</dcterms:modified>
  <cp:revision>1</cp:revision>
  <dc:subject/>
  <dc:title>فصلنامه تحقیقات کلامی شماره 14</dc:title>
</cp:coreProperties>
</file>

<file path=docProps/custom.xml><?xml version="1.0" encoding="utf-8"?>
<Properties xmlns="http://schemas.openxmlformats.org/officeDocument/2006/custom-properties" xmlns:vt="http://schemas.openxmlformats.org/officeDocument/2006/docPropsVTypes"/>
</file>