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حسین علیه السلام فی وجدان الفرد العراقی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2946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22948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22950_1395250215">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1022952_1395250215">
            <w:r>
              <w:rPr>
                <w:webHidden/>
                <w:rStyle w:val="IndexLink"/>
                <w:rtl w:val="true"/>
              </w:rPr>
              <w:t>خلود النهضة وأثرها علی مواقف الفرد العامة</w:t>
            </w:r>
            <w:r>
              <w:rPr>
                <w:rStyle w:val="IndexLink"/>
                <w:rtl w:val="true"/>
              </w:rPr>
              <w:tab/>
            </w:r>
            <w:r>
              <w:rPr>
                <w:rStyle w:val="IndexLink"/>
              </w:rPr>
              <w:t>8</w:t>
            </w:r>
          </w:hyperlink>
        </w:p>
        <w:p>
          <w:pPr>
            <w:pStyle w:val="Contents3"/>
            <w:tabs>
              <w:tab w:val="clear" w:pos="8459"/>
              <w:tab w:val="right" w:pos="9026" w:leader="dot"/>
            </w:tabs>
            <w:rPr/>
          </w:pPr>
          <w:hyperlink w:anchor="__RefHeading___Toc1022954_1395250215">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022956_1395250215">
            <w:r>
              <w:rPr>
                <w:webHidden/>
                <w:rStyle w:val="IndexLink"/>
                <w:rtl w:val="true"/>
              </w:rPr>
              <w:t>تعریف النهضة</w:t>
            </w:r>
            <w:r>
              <w:rPr>
                <w:rStyle w:val="IndexLink"/>
                <w:rtl w:val="true"/>
              </w:rPr>
              <w:tab/>
            </w:r>
            <w:r>
              <w:rPr>
                <w:rStyle w:val="IndexLink"/>
              </w:rPr>
              <w:t>9</w:t>
            </w:r>
          </w:hyperlink>
        </w:p>
        <w:p>
          <w:pPr>
            <w:pStyle w:val="Contents4"/>
            <w:tabs>
              <w:tab w:val="clear" w:pos="8176"/>
              <w:tab w:val="right" w:pos="9026" w:leader="dot"/>
            </w:tabs>
            <w:rPr/>
          </w:pPr>
          <w:hyperlink w:anchor="__RefHeading___Toc1022958_1395250215">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1022960_1395250215">
            <w:r>
              <w:rPr>
                <w:webHidden/>
                <w:rStyle w:val="IndexLink"/>
                <w:rtl w:val="true"/>
              </w:rPr>
              <w:t>عوامل خلود النهضة</w:t>
            </w:r>
            <w:r>
              <w:rPr>
                <w:rStyle w:val="IndexLink"/>
                <w:rtl w:val="true"/>
              </w:rPr>
              <w:tab/>
            </w:r>
            <w:r>
              <w:rPr>
                <w:rStyle w:val="IndexLink"/>
              </w:rPr>
              <w:t>10</w:t>
            </w:r>
          </w:hyperlink>
        </w:p>
        <w:p>
          <w:pPr>
            <w:pStyle w:val="Contents2"/>
            <w:tabs>
              <w:tab w:val="clear" w:pos="8743"/>
              <w:tab w:val="right" w:pos="9026" w:leader="dot"/>
            </w:tabs>
            <w:rPr/>
          </w:pPr>
          <w:hyperlink w:anchor="__RefHeading___Toc1022962_1395250215">
            <w:r>
              <w:rPr>
                <w:webHidden/>
                <w:rStyle w:val="IndexLink"/>
                <w:rtl w:val="true"/>
              </w:rPr>
              <w:t>أهداف النهضة  وآثارها علی مواقف الفرد العامة</w:t>
            </w:r>
            <w:r>
              <w:rPr>
                <w:rStyle w:val="IndexLink"/>
                <w:rtl w:val="true"/>
              </w:rPr>
              <w:tab/>
            </w:r>
            <w:r>
              <w:rPr>
                <w:rStyle w:val="IndexLink"/>
              </w:rPr>
              <w:t>15</w:t>
            </w:r>
          </w:hyperlink>
        </w:p>
        <w:p>
          <w:pPr>
            <w:pStyle w:val="Contents3"/>
            <w:tabs>
              <w:tab w:val="clear" w:pos="8459"/>
              <w:tab w:val="right" w:pos="9026" w:leader="dot"/>
            </w:tabs>
            <w:rPr/>
          </w:pPr>
          <w:hyperlink w:anchor="__RefHeading___Toc1022964_1395250215">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022966_1395250215">
            <w:r>
              <w:rPr>
                <w:webHidden/>
                <w:rStyle w:val="IndexLink"/>
                <w:rtl w:val="true"/>
              </w:rPr>
              <w:t>معطیات الأهداف</w:t>
            </w:r>
            <w:r>
              <w:rPr>
                <w:rStyle w:val="IndexLink"/>
                <w:rtl w:val="true"/>
              </w:rPr>
              <w:tab/>
            </w:r>
            <w:r>
              <w:rPr>
                <w:rStyle w:val="IndexLink"/>
              </w:rPr>
              <w:t>18</w:t>
            </w:r>
          </w:hyperlink>
        </w:p>
        <w:p>
          <w:pPr>
            <w:pStyle w:val="Contents2"/>
            <w:tabs>
              <w:tab w:val="clear" w:pos="8743"/>
              <w:tab w:val="right" w:pos="9026" w:leader="dot"/>
            </w:tabs>
            <w:rPr/>
          </w:pPr>
          <w:hyperlink w:anchor="__RefHeading___Toc1022968_1395250215">
            <w:r>
              <w:rPr>
                <w:webHidden/>
                <w:rStyle w:val="IndexLink"/>
                <w:rtl w:val="true"/>
              </w:rPr>
              <w:t>آثار النهضة  علی الفرد</w:t>
            </w:r>
            <w:r>
              <w:rPr>
                <w:rStyle w:val="IndexLink"/>
                <w:rtl w:val="true"/>
              </w:rPr>
              <w:tab/>
            </w:r>
            <w:r>
              <w:rPr>
                <w:rStyle w:val="IndexLink"/>
              </w:rPr>
              <w:t>20</w:t>
            </w:r>
          </w:hyperlink>
        </w:p>
        <w:p>
          <w:pPr>
            <w:pStyle w:val="Contents3"/>
            <w:tabs>
              <w:tab w:val="clear" w:pos="8459"/>
              <w:tab w:val="right" w:pos="9026" w:leader="dot"/>
            </w:tabs>
            <w:rPr/>
          </w:pPr>
          <w:hyperlink w:anchor="__RefHeading___Toc1022970_1395250215">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022972_1395250215">
            <w:r>
              <w:rPr>
                <w:webHidden/>
                <w:rStyle w:val="IndexLink"/>
                <w:rtl w:val="true"/>
              </w:rPr>
              <w:t>آثار البعد العقائدی</w:t>
            </w:r>
            <w:r>
              <w:rPr>
                <w:rStyle w:val="IndexLink"/>
                <w:rtl w:val="true"/>
              </w:rPr>
              <w:tab/>
            </w:r>
            <w:r>
              <w:rPr>
                <w:rStyle w:val="IndexLink"/>
              </w:rPr>
              <w:t>21</w:t>
            </w:r>
          </w:hyperlink>
        </w:p>
        <w:p>
          <w:pPr>
            <w:pStyle w:val="Contents3"/>
            <w:tabs>
              <w:tab w:val="clear" w:pos="8459"/>
              <w:tab w:val="right" w:pos="9026" w:leader="dot"/>
            </w:tabs>
            <w:rPr/>
          </w:pPr>
          <w:hyperlink w:anchor="__RefHeading___Toc1022974_1395250215">
            <w:r>
              <w:rPr>
                <w:webHidden/>
                <w:rStyle w:val="IndexLink"/>
                <w:rtl w:val="true"/>
              </w:rPr>
              <w:t>آثار البعد الأخلاقی</w:t>
            </w:r>
            <w:r>
              <w:rPr>
                <w:rStyle w:val="IndexLink"/>
                <w:rtl w:val="true"/>
              </w:rPr>
              <w:tab/>
            </w:r>
            <w:r>
              <w:rPr>
                <w:rStyle w:val="IndexLink"/>
              </w:rPr>
              <w:t>23</w:t>
            </w:r>
          </w:hyperlink>
        </w:p>
        <w:p>
          <w:pPr>
            <w:pStyle w:val="Contents4"/>
            <w:tabs>
              <w:tab w:val="clear" w:pos="8176"/>
              <w:tab w:val="right" w:pos="9026" w:leader="dot"/>
            </w:tabs>
            <w:rPr/>
          </w:pPr>
          <w:hyperlink w:anchor="__RefHeading___Toc1022976_1395250215">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022978_1395250215">
            <w:r>
              <w:rPr>
                <w:webHidden/>
                <w:rStyle w:val="IndexLink"/>
                <w:rtl w:val="true"/>
              </w:rPr>
              <w:t>الحیاة بعز</w:t>
            </w:r>
            <w:r>
              <w:rPr>
                <w:rStyle w:val="IndexLink"/>
                <w:rtl w:val="true"/>
              </w:rPr>
              <w:tab/>
            </w:r>
            <w:r>
              <w:rPr>
                <w:rStyle w:val="IndexLink"/>
              </w:rPr>
              <w:t>24</w:t>
            </w:r>
          </w:hyperlink>
        </w:p>
        <w:p>
          <w:pPr>
            <w:pStyle w:val="Contents4"/>
            <w:tabs>
              <w:tab w:val="clear" w:pos="8176"/>
              <w:tab w:val="right" w:pos="9026" w:leader="dot"/>
            </w:tabs>
            <w:rPr/>
          </w:pPr>
          <w:hyperlink w:anchor="__RefHeading___Toc1022980_1395250215">
            <w:r>
              <w:rPr>
                <w:webHidden/>
                <w:rStyle w:val="IndexLink"/>
                <w:rtl w:val="true"/>
              </w:rPr>
              <w:t>التوکل</w:t>
            </w:r>
            <w:r>
              <w:rPr>
                <w:rStyle w:val="IndexLink"/>
                <w:rtl w:val="true"/>
              </w:rPr>
              <w:tab/>
            </w:r>
            <w:r>
              <w:rPr>
                <w:rStyle w:val="IndexLink"/>
              </w:rPr>
              <w:t>26</w:t>
            </w:r>
          </w:hyperlink>
        </w:p>
        <w:p>
          <w:pPr>
            <w:pStyle w:val="Contents4"/>
            <w:tabs>
              <w:tab w:val="clear" w:pos="8176"/>
              <w:tab w:val="right" w:pos="9026" w:leader="dot"/>
            </w:tabs>
            <w:rPr/>
          </w:pPr>
          <w:hyperlink w:anchor="__RefHeading___Toc1022982_1395250215">
            <w:r>
              <w:rPr>
                <w:webHidden/>
                <w:rStyle w:val="IndexLink"/>
                <w:rtl w:val="true"/>
              </w:rPr>
              <w:t>الإیثار</w:t>
            </w:r>
            <w:r>
              <w:rPr>
                <w:rStyle w:val="IndexLink"/>
                <w:rtl w:val="true"/>
              </w:rPr>
              <w:tab/>
            </w:r>
            <w:r>
              <w:rPr>
                <w:rStyle w:val="IndexLink"/>
              </w:rPr>
              <w:t>26</w:t>
            </w:r>
          </w:hyperlink>
        </w:p>
        <w:p>
          <w:pPr>
            <w:pStyle w:val="Contents4"/>
            <w:tabs>
              <w:tab w:val="clear" w:pos="8176"/>
              <w:tab w:val="right" w:pos="9026" w:leader="dot"/>
            </w:tabs>
            <w:rPr/>
          </w:pPr>
          <w:hyperlink w:anchor="__RefHeading___Toc1022984_1395250215">
            <w:r>
              <w:rPr>
                <w:webHidden/>
                <w:rStyle w:val="IndexLink"/>
                <w:rtl w:val="true"/>
              </w:rPr>
              <w:t>رفض التمیز العنصری</w:t>
            </w:r>
            <w:r>
              <w:rPr>
                <w:rStyle w:val="IndexLink"/>
                <w:rtl w:val="true"/>
              </w:rPr>
              <w:tab/>
            </w:r>
            <w:r>
              <w:rPr>
                <w:rStyle w:val="IndexLink"/>
              </w:rPr>
              <w:t>28</w:t>
            </w:r>
          </w:hyperlink>
        </w:p>
        <w:p>
          <w:pPr>
            <w:pStyle w:val="Contents2"/>
            <w:tabs>
              <w:tab w:val="clear" w:pos="8743"/>
              <w:tab w:val="right" w:pos="9026" w:leader="dot"/>
            </w:tabs>
            <w:rPr/>
          </w:pPr>
          <w:hyperlink w:anchor="__RefHeading___Toc1022986_1395250215">
            <w:r>
              <w:rPr>
                <w:webHidden/>
                <w:rStyle w:val="IndexLink"/>
                <w:rtl w:val="true"/>
              </w:rPr>
              <w:t>معطیات النهضة</w:t>
            </w:r>
            <w:r>
              <w:rPr>
                <w:rStyle w:val="IndexLink"/>
                <w:rtl w:val="true"/>
              </w:rPr>
              <w:tab/>
            </w:r>
            <w:r>
              <w:rPr>
                <w:rStyle w:val="IndexLink"/>
              </w:rPr>
              <w:t>34</w:t>
            </w:r>
          </w:hyperlink>
        </w:p>
        <w:p>
          <w:pPr>
            <w:pStyle w:val="Contents2"/>
            <w:tabs>
              <w:tab w:val="clear" w:pos="8743"/>
              <w:tab w:val="right" w:pos="9026" w:leader="dot"/>
            </w:tabs>
            <w:rPr/>
          </w:pPr>
          <w:hyperlink w:anchor="__RefHeading___Toc1022988_1395250215">
            <w:r>
              <w:rPr>
                <w:webHidden/>
                <w:rStyle w:val="IndexLink"/>
                <w:rtl w:val="true"/>
              </w:rPr>
              <w:t>دورة المرأة فی النهضة</w:t>
            </w:r>
            <w:r>
              <w:rPr>
                <w:rStyle w:val="IndexLink"/>
                <w:rtl w:val="true"/>
              </w:rPr>
              <w:tab/>
            </w:r>
            <w:r>
              <w:rPr>
                <w:rStyle w:val="IndexLink"/>
              </w:rPr>
              <w:t>40</w:t>
            </w:r>
          </w:hyperlink>
        </w:p>
        <w:p>
          <w:pPr>
            <w:pStyle w:val="Contents3"/>
            <w:tabs>
              <w:tab w:val="clear" w:pos="8459"/>
              <w:tab w:val="right" w:pos="9026" w:leader="dot"/>
            </w:tabs>
            <w:rPr/>
          </w:pPr>
          <w:hyperlink w:anchor="__RefHeading___Toc1022990_1395250215">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022992_1395250215">
            <w:r>
              <w:rPr>
                <w:webHidden/>
                <w:rStyle w:val="IndexLink"/>
                <w:rtl w:val="true"/>
              </w:rPr>
              <w:t>زینب العقیلة وتعدد الأدوار</w:t>
            </w:r>
            <w:r>
              <w:rPr>
                <w:rStyle w:val="IndexLink"/>
                <w:rtl w:val="true"/>
              </w:rPr>
              <w:tab/>
            </w:r>
            <w:r>
              <w:rPr>
                <w:rStyle w:val="IndexLink"/>
              </w:rPr>
              <w:t>41</w:t>
            </w:r>
          </w:hyperlink>
        </w:p>
        <w:p>
          <w:pPr>
            <w:pStyle w:val="Contents3"/>
            <w:tabs>
              <w:tab w:val="clear" w:pos="8459"/>
              <w:tab w:val="right" w:pos="9026" w:leader="dot"/>
            </w:tabs>
            <w:rPr/>
          </w:pPr>
          <w:hyperlink w:anchor="__RefHeading___Toc1022994_1395250215">
            <w:r>
              <w:rPr>
                <w:webHidden/>
                <w:rStyle w:val="IndexLink"/>
                <w:rtl w:val="true"/>
              </w:rPr>
              <w:t>الوقوف بوجه الطاغیة</w:t>
            </w:r>
            <w:r>
              <w:rPr>
                <w:rStyle w:val="IndexLink"/>
                <w:rtl w:val="true"/>
              </w:rPr>
              <w:tab/>
            </w:r>
            <w:r>
              <w:rPr>
                <w:rStyle w:val="IndexLink"/>
              </w:rPr>
              <w:t>42</w:t>
            </w:r>
          </w:hyperlink>
        </w:p>
        <w:p>
          <w:pPr>
            <w:pStyle w:val="Contents3"/>
            <w:tabs>
              <w:tab w:val="clear" w:pos="8459"/>
              <w:tab w:val="right" w:pos="9026" w:leader="dot"/>
            </w:tabs>
            <w:rPr/>
          </w:pPr>
          <w:hyperlink w:anchor="__RefHeading___Toc1022996_1395250215">
            <w:r>
              <w:rPr>
                <w:webHidden/>
                <w:rStyle w:val="IndexLink"/>
                <w:rtl w:val="true"/>
              </w:rPr>
              <w:t>الالتزام بالحجاب رغم کل شیء</w:t>
            </w:r>
            <w:r>
              <w:rPr>
                <w:rStyle w:val="IndexLink"/>
                <w:rtl w:val="true"/>
              </w:rPr>
              <w:tab/>
            </w:r>
            <w:r>
              <w:rPr>
                <w:rStyle w:val="IndexLink"/>
              </w:rPr>
              <w:t>43</w:t>
            </w:r>
          </w:hyperlink>
        </w:p>
        <w:p>
          <w:pPr>
            <w:pStyle w:val="Contents3"/>
            <w:tabs>
              <w:tab w:val="clear" w:pos="8459"/>
              <w:tab w:val="right" w:pos="9026" w:leader="dot"/>
            </w:tabs>
            <w:rPr/>
          </w:pPr>
          <w:hyperlink w:anchor="__RefHeading___Toc1022998_1395250215">
            <w:r>
              <w:rPr>
                <w:webHidden/>
                <w:rStyle w:val="IndexLink"/>
                <w:rtl w:val="true"/>
              </w:rPr>
              <w:t>زوجة زهیر بن القین</w:t>
            </w:r>
            <w:r>
              <w:rPr>
                <w:rStyle w:val="IndexLink"/>
                <w:rtl w:val="true"/>
              </w:rPr>
              <w:tab/>
            </w:r>
            <w:r>
              <w:rPr>
                <w:rStyle w:val="IndexLink"/>
              </w:rPr>
              <w:t>43</w:t>
            </w:r>
          </w:hyperlink>
        </w:p>
        <w:p>
          <w:pPr>
            <w:pStyle w:val="Contents3"/>
            <w:tabs>
              <w:tab w:val="clear" w:pos="8459"/>
              <w:tab w:val="right" w:pos="9026" w:leader="dot"/>
            </w:tabs>
            <w:rPr/>
          </w:pPr>
          <w:hyperlink w:anchor="__RefHeading___Toc1023000_1395250215">
            <w:r>
              <w:rPr>
                <w:webHidden/>
                <w:rStyle w:val="IndexLink"/>
                <w:rtl w:val="true"/>
              </w:rPr>
              <w:t>المرأة الشهیدة</w:t>
            </w:r>
            <w:r>
              <w:rPr>
                <w:rStyle w:val="IndexLink"/>
                <w:rtl w:val="true"/>
              </w:rPr>
              <w:tab/>
            </w:r>
            <w:r>
              <w:rPr>
                <w:rStyle w:val="IndexLink"/>
              </w:rPr>
              <w:t>44</w:t>
            </w:r>
          </w:hyperlink>
        </w:p>
        <w:p>
          <w:pPr>
            <w:pStyle w:val="Contents2"/>
            <w:tabs>
              <w:tab w:val="clear" w:pos="8743"/>
              <w:tab w:val="right" w:pos="9026" w:leader="dot"/>
            </w:tabs>
            <w:rPr/>
          </w:pPr>
          <w:hyperlink w:anchor="__RefHeading___Toc1023002_1395250215">
            <w:r>
              <w:rPr>
                <w:webHidden/>
                <w:rStyle w:val="IndexLink"/>
                <w:rtl w:val="true"/>
              </w:rPr>
              <w:t>ما به الامتیاز</w:t>
            </w:r>
            <w:r>
              <w:rPr>
                <w:rStyle w:val="IndexLink"/>
                <w:rtl w:val="true"/>
              </w:rPr>
              <w:tab/>
            </w:r>
            <w:r>
              <w:rPr>
                <w:rStyle w:val="IndexLink"/>
              </w:rPr>
              <w:t>45</w:t>
            </w:r>
          </w:hyperlink>
        </w:p>
        <w:p>
          <w:pPr>
            <w:pStyle w:val="Contents3"/>
            <w:tabs>
              <w:tab w:val="clear" w:pos="8459"/>
              <w:tab w:val="right" w:pos="9026" w:leader="dot"/>
            </w:tabs>
            <w:rPr/>
          </w:pPr>
          <w:hyperlink w:anchor="__RefHeading___Toc1023004_1395250215">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023006_1395250215">
            <w:r>
              <w:rPr>
                <w:webHidden/>
                <w:rStyle w:val="IndexLink"/>
                <w:rtl w:val="true"/>
              </w:rPr>
              <w:t>تلخیص البحث</w:t>
            </w:r>
            <w:r>
              <w:rPr>
                <w:rStyle w:val="IndexLink"/>
                <w:rtl w:val="true"/>
              </w:rPr>
              <w:tab/>
            </w:r>
            <w:r>
              <w:rPr>
                <w:rStyle w:val="IndexLink"/>
              </w:rPr>
              <w:t>48</w:t>
            </w:r>
          </w:hyperlink>
        </w:p>
        <w:p>
          <w:pPr>
            <w:pStyle w:val="Contents2"/>
            <w:tabs>
              <w:tab w:val="clear" w:pos="8743"/>
              <w:tab w:val="right" w:pos="9026" w:leader="dot"/>
            </w:tabs>
            <w:rPr/>
          </w:pPr>
          <w:hyperlink w:anchor="__RefHeading___Toc1023008_1395250215">
            <w:r>
              <w:rPr>
                <w:webHidden/>
                <w:rStyle w:val="IndexLink"/>
                <w:rtl w:val="true"/>
              </w:rPr>
              <w:t>المحتویات</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02_32799"/>
      <w:bookmarkStart w:id="1" w:name="pg2702_32799"/>
      <w:bookmarkEnd w:id="1"/>
    </w:p>
    <w:p>
      <w:pPr>
        <w:pStyle w:val="Heading2"/>
        <w:numPr>
          <w:ilvl w:val="1"/>
          <w:numId w:val="1"/>
        </w:numPr>
        <w:rPr/>
      </w:pPr>
      <w:bookmarkStart w:id="2" w:name="pg2702_32799"/>
      <w:bookmarkStart w:id="3" w:name="__RefHeading___Toc1022946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الفتلاوی، علی،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وجدان الفرد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الفتلاوی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الحسینیه المقدسه،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الشؤون الفکریة والثقافیة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 الفرد العراقی</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 العراقی – تأثیر –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 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 تأثیر – واقعة کربلاء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2948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قسـم الشؤون الفکریـة والثقـافیة فی العتبة الحسینیة المقدسة</w:t>
      </w:r>
    </w:p>
    <w:p>
      <w:pPr>
        <w:pStyle w:val="BookText"/>
        <w:rPr/>
      </w:pPr>
      <w:r>
        <w:rPr>
          <w:rFonts w:ascii="Amiri" w:hAnsi="Amiri" w:eastAsia="Amiri" w:cs="Amiri"/>
          <w:color w:val="111111"/>
          <w:sz w:val="28"/>
          <w:sz w:val="28"/>
          <w:szCs w:val="28"/>
          <w:rtl w:val="true"/>
          <w:lang w:bidi="ar-SA"/>
        </w:rPr>
        <w:t>شعبة الدراسات والبحوث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کل الحقوق محفوظة</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www.ihlib.com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info@ihlib.com</w:t>
      </w:r>
      <w:bookmarkStart w:id="7" w:name="pg2702_32803"/>
    </w:p>
    <w:p>
      <w:pPr>
        <w:pStyle w:val="Heading2"/>
        <w:numPr>
          <w:ilvl w:val="1"/>
          <w:numId w:val="1"/>
        </w:numPr>
        <w:rPr/>
      </w:pPr>
      <w:bookmarkStart w:id="8" w:name="__RefHeading___Toc1022950_1395250215"/>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ینحنی القلم إجلالا عندما یتعرض لذکر عظیم کالإمام الحسین علیه السلام، ویلوذ ببعضه حیاء لو طلب منه التعبیر عن نهضة الطهر ونهضة العصمة، ولکنه یجد مبررا یسوّغ له ذلک إلا وهو اطلاع القارئ علی قداسة وسعة عطائها لکی یقتدی بها فی سیرته وجهاده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 الإمام أبو عبد الله علیه السلام فی ظرف لا یرضی بالسکوت، ولا یقبل المداهنة مع الحاکم الجائر فجاءت نهضته الحکیمة فی موضعها المناسب لها من حیث الزمان والمکان ومن حیث العوامل الأخری التی تسهم فی إنجاح کل نهضة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نجاح النهضة الحسینیة وخلودها یعتمد علی عوامل متعددة سنتعرض لها فی بحثنا، إن شاء الله تعالی کما ان لنهضة الإمام الحسین علیه السلام آثارا أخلاقیة لا یستغنی عنها الإنسان المبدئی ولا یتجاوزها الثائر المخلص ولا یتجاهلها الشعب الذی یرید الحیاة الکریمة، فهی ثریة ببواعث التضحیة وغنیة بالمبادئ الإنسانیة وملیئة بالممیزات التی تجعلها قدوة للثورات ومضربا للمثل فی الصمود والرفعة والعزة والأنفة والصبر والشجاعة والحکمة والحب الإلهی والتقوی، بل فیها کل صفات الکمال التی ینبغی أن تتصف بها أی ثورة تروم الانتصار وهذا ما سنتناوله فی عرضنا للآثار الأخلاقیة لنهضة علی الفرد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نستثمر الصفات العالیة لقائد الثورة ورائد النهضة ومن سار علی دربه لابد ان نطلع علی صفات القائد وطریقه تعامله مع مفردات النهضة وعلی بعض الشخصیات التی لها الدور الأساس فی نهضة الإمام علیه السلام وهذا ما سنسلط الضوء علیه فی معرفتنا لما یتصف به الإمام القائد علیه السلام وأهل بیته وأصحابه علیهم السلام ولا ننسی أن نبین دور المرأة الحسینیة فی النهضة لتکون قدوة وأسوة لما سواها من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کربلاء المقدسة</w:t>
      </w:r>
      <w:bookmarkStart w:id="10" w:name="pg2702_32805"/>
    </w:p>
    <w:p>
      <w:pPr>
        <w:pStyle w:val="Heading2"/>
        <w:numPr>
          <w:ilvl w:val="1"/>
          <w:numId w:val="1"/>
        </w:numPr>
        <w:rPr/>
      </w:pPr>
      <w:bookmarkStart w:id="11" w:name="__RefHeading___Toc1022952_1395250215"/>
      <w:bookmarkStart w:id="12" w:name="_Toc4"/>
      <w:bookmarkEnd w:id="10"/>
      <w:bookmarkEnd w:id="11"/>
      <w:r>
        <w:rPr>
          <w:rtl w:val="true"/>
        </w:rPr>
        <w:t>خلود النهضة وأثرها علی مواقف الفرد العامة</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022954_1395250215"/>
      <w:bookmarkStart w:id="14" w:name="_Toc5"/>
      <w:bookmarkEnd w:id="13"/>
      <w:r>
        <w:rPr>
          <w:rtl w:val="true"/>
        </w:rPr>
        <w:t>اشارة</w:t>
      </w:r>
      <w:bookmarkStart w:id="15" w:name="pg2702_32807"/>
      <w:bookmarkEnd w:id="14"/>
    </w:p>
    <w:p>
      <w:pPr>
        <w:pStyle w:val="BookText"/>
        <w:rPr/>
      </w:pPr>
      <w:bookmarkEnd w:id="15"/>
      <w:r>
        <w:rPr>
          <w:rFonts w:ascii="IRNazanin" w:hAnsi="IRNazanin" w:eastAsia="IRNazanin"/>
          <w:color w:val="111111"/>
          <w:sz w:val="28"/>
          <w:sz w:val="28"/>
          <w:szCs w:val="28"/>
          <w:rtl w:val="true"/>
          <w:lang w:bidi="fa-IR"/>
        </w:rPr>
        <w:t>قبل التعرض لعوامل خلود النهضة الحسینیة التی کان لها الدور الکبیر فی استمراریة حیاة هذه النهضة لابد أن نتعرف علی مفهومی النهضة والثورة وهل أن بینها ما یعتبر صفة ممیزة یفرق أحدهما عن الآخر؟</w:t>
      </w:r>
      <w:r>
        <w:rPr>
          <w:rFonts w:eastAsia="IRNazanin" w:cs="IRNazanin"/>
          <w:color w:val="111111"/>
          <w:sz w:val="28"/>
          <w:szCs w:val="28"/>
          <w:rtl w:val="true"/>
          <w:lang w:bidi="fa-IR"/>
        </w:rPr>
        <w:t>.</w:t>
      </w:r>
    </w:p>
    <w:p>
      <w:pPr>
        <w:pStyle w:val="Heading3"/>
        <w:numPr>
          <w:ilvl w:val="2"/>
          <w:numId w:val="1"/>
        </w:numPr>
        <w:rPr/>
      </w:pPr>
      <w:bookmarkStart w:id="16" w:name="__RefHeading___Toc1022956_1395250215"/>
      <w:bookmarkStart w:id="17" w:name="_Toc6"/>
      <w:bookmarkEnd w:id="16"/>
      <w:r>
        <w:rPr>
          <w:rtl w:val="true"/>
        </w:rPr>
        <w:t>تعریف النهضة</w:t>
      </w:r>
      <w:bookmarkEnd w:id="17"/>
    </w:p>
    <w:p>
      <w:pPr>
        <w:pStyle w:val="Heading4"/>
        <w:numPr>
          <w:ilvl w:val="3"/>
          <w:numId w:val="1"/>
        </w:numPr>
        <w:rPr/>
      </w:pPr>
      <w:bookmarkStart w:id="18" w:name="__RefHeading___Toc1022958_1395250215"/>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النهضة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یقظا ونشطا، أو نهض إلی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إلی ملاقاته، ناهض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قاوم النهاض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الدؤوب علی أن یسلک سبیل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ألخ</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النهضة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إیجابی للتغیرات التی یحدثها من قام بها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الثورة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وانتشر، ثار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نبع بقوة، ثار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وثبوا علیه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20" w:name="pg2702_32808"/>
    </w:p>
    <w:p>
      <w:pPr>
        <w:pStyle w:val="BookText"/>
        <w:rPr/>
      </w:pPr>
      <w:bookmarkEnd w:id="20"/>
      <w:r>
        <w:rPr>
          <w:rFonts w:ascii="IRNazanin" w:hAnsi="IRNazanin" w:eastAsia="IRNazanin"/>
          <w:color w:val="111111"/>
          <w:sz w:val="28"/>
          <w:sz w:val="28"/>
          <w:szCs w:val="28"/>
          <w:rtl w:val="true"/>
          <w:lang w:bidi="fa-IR"/>
        </w:rPr>
        <w:t>الثورة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أساسی فی الأوضاع السیاسیة أو الاجتماعیة یقوم بها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تأملنا هذین المفهومین لوجدنا فارقا واضحا بینهما لم یظهر بسهولة وهو أن النهضة وصف إیجابی لحالة التغیر التی تمتاز بالتطور والتقدم، بینما الثورة تعد حالة انقلابیة وتمردا علی الوضع القائم دون لحاظ أنها إیجابیة أو 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نلحظ النهضة الحسینیة نستطیع أن نطبق علیها مفهوم الثورة کونها حالة انقلاب علی الوضع الفاسد ولکنها حالة إیجابیة ملیئة بالصفات الکاملة التی تقود المجتمع إلی الکمال والتطور والتقدم وهی بذلک تکون مصداقا لمفهوم النهضة</w:t>
      </w:r>
      <w:r>
        <w:rPr>
          <w:rFonts w:eastAsia="IRNazanin" w:cs="IRNazanin"/>
          <w:color w:val="111111"/>
          <w:sz w:val="28"/>
          <w:szCs w:val="28"/>
          <w:rtl w:val="true"/>
          <w:lang w:bidi="fa-IR"/>
        </w:rPr>
        <w:t>.</w:t>
      </w:r>
    </w:p>
    <w:p>
      <w:pPr>
        <w:pStyle w:val="Heading4"/>
        <w:numPr>
          <w:ilvl w:val="3"/>
          <w:numId w:val="1"/>
        </w:numPr>
        <w:rPr/>
      </w:pPr>
      <w:bookmarkStart w:id="21" w:name="__RefHeading___Toc1022960_1395250215"/>
      <w:bookmarkStart w:id="22" w:name="_Toc8"/>
      <w:bookmarkEnd w:id="21"/>
      <w:r>
        <w:rPr>
          <w:rtl w:val="true"/>
        </w:rPr>
        <w:t>عوامل خلود النهضة</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حدثت نهضات کثیرة قبل وبعد نهضة الإمام أبی عبدالله الحسین علیه السلام إلا أنها لم تخلد کما خلدت هذه النهضة، ولم یکتب لها ما کتب لنهضة الإمام علیه السلام من تقدیس وتعظیم، ولم تستحق هذه النهضات أن تکون قدوة ومنارا کما صارت نهضة سید الشهداء علیه السلام ففی هذه النهضة المبارکة نجد کثیرا من المفردات التی تصلح أن تکون رمزا یحتذی فی کل المجالات سواء کانت دینیة أو اجتماعیة أو عسکریة أو نفسیة أو عاطفیة، بل نلمس أندکاک مبادئ وقیم النهضات السابقة بوضوح فی نهضة السبط المظلوم  علیه السلام ولا نغالی إذ</w:t>
      </w:r>
    </w:p>
    <w:p>
      <w:pPr>
        <w:pStyle w:val="BookText"/>
        <w:rPr/>
      </w:pPr>
      <w:r>
        <w:rPr>
          <w:rFonts w:ascii="IRNazanin" w:hAnsi="IRNazanin" w:eastAsia="IRNazanin"/>
          <w:color w:val="111111"/>
          <w:sz w:val="28"/>
          <w:sz w:val="28"/>
          <w:szCs w:val="28"/>
          <w:rtl w:val="true"/>
          <w:lang w:bidi="fa-IR"/>
        </w:rPr>
        <w:t>قلنا أنها عصارة النهضات السامیة وزبدتها ولذلک نجدها طریة علی مدی القرون والدهور التی مرت، وما هذا الخلود إلا بسبب العوامل الأساسیة التی قامت علیها هذه النهضة الإلهیة الکاملة، ومن هذه العوامل 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المبادئ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استعراض الآیات القرآنیة الکریمة یتجلی لنا أن الله تعالی کتب علی نفسه نصرة أولیائه الذین یدعون الناس لإعلاء کلمته وتطبیق نهجه واعتماد مبادئه ونشر دینه دین الحق کما ورد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وهناک الکثیر من الآیات الشریفة التی تصرح بضرورة اعتماد المبادئ الإلهیة التی یتضمنها الدین الحق وهذا ما فعله الإمام  علیه السلام فی نهضته، وأما التکفل الصریح الذی نطقت به آیات القرآن الکریم 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إِنْ تَنْصُرُوا اللَّهَ یَنْصُرْکُمْ وَیُثَبِّتْ أَقْدَامَکُمْ</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وکما فی آیات أخری</w:t>
      </w:r>
      <w:r>
        <w:rPr>
          <w:rStyle w:val="FootnoteAnchor"/>
          <w:rtl w:val="true"/>
        </w:rPr>
        <w:footnoteReference w:id="6"/>
      </w:r>
      <w:r>
        <w:rPr>
          <w:rFonts w:ascii="IRNazanin" w:hAnsi="IRNazanin" w:eastAsia="IRNazanin"/>
          <w:color w:val="111111"/>
          <w:sz w:val="28"/>
          <w:sz w:val="28"/>
          <w:szCs w:val="28"/>
          <w:rtl w:val="true"/>
          <w:lang w:bidi="fa-IR"/>
        </w:rPr>
        <w:t>لا یلم به هذا البحث المختصر، بل أکدت آیات أخری فی وقوع النصر الإلهی والوفاء بما تکفل به الله سبحانه کما فی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نَصَرَکُمُ اللَّهُ بِبَدْرٍ وَأَنْتُمْ أَذِلَّةٌ فَاتَّقُوا اللَّهَ لَعَلَّکُمْ تَشْکُرُونَ </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ویضاف الی هذه الباقة العطرة من آیات الذکر الحکیم کثیر من الأحادیث الشریفة علی لسان رسول الله  صلی الله علیه وآله وسلم وأهل بیته الطاهرین طوینا عنها کشحا روما للاختصار واکتفاء بما ورد من الآیات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نستفید مما تقدم ضرورة أن تکون مبادئ أیة نهضة أو أیة دعوة مبادئ مرضیة لله تعالی، ووجوب أن ننهج فی تعاملنا مع مفردات حیاتنا سواء کانت مفردات عامة أو خاصة نهجا فیه طاعة لله تعالی ولرسوله  صلی الله علیه وآله وسلم وأهل بیته علیهم السلام، کما نستفید أن النصر الإلهی لم یکن مختصرا علی النصر العسکری فحسب بل نصر علی جمیع الأصعد بما فیها خلود النهضة لتبقی منارة یهتدی به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شخصیة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تجسدت کامل الصفات القیادیة فی القائد الإلهی الذی یمثل الخلیفة الحقیقی لله تعالی فی الأرض، ویمثل الحجة التامة علی الأمة الذی قال فیه جده المصطفی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إماما أمتی بعد أبیهما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فمن هذا یتضح مدی اعتماد نجاح النهضة الحسینیة علی قائدها السبط الشهید  علیه السلام فهو الإمام المعصوم والرجل الأکمل والأفضل والأعبد والأشجع والأعلم والأکرم والأحلم والأسمح والأتقی والأزهد والأکفأ بل یتصف بکل صفات الکمال للقائد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نستفید من النقطة الثانیة وجوب وجود القائد الکفوء الذی یمتاز علی أقرانه بکل الصفات أو أغلبها لکی یحقق نهضة تامة وناجحة لهذا لابد من بث هذه الثقافة فی نفس الفرد العراقی لکی یستطیع تشخیص الأنسب والأصلح، کما نستفید أیضا ان الشعب الذی یرید لأبنائه أن یکونوا بمستوی المسؤولیة أو الأسرة التی ترید لأبنائها أن یتبوءوا مناصبا قیادیة أن تأخذ من شخصیة الإمام  علیه السلام ما یرفدهم فی بناء شخصیاتهم، وتقع هذه المسؤولیة علی عاتق الأبوین سیما الأم التی هی فی احتکاک مستمر مع ولدها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أن التخطیط من الأسس المهمة التی یعتمد علیها نجاح النهضة أو الثورة بل هو سر نجاحها، ومن هذا یتضح وجوب التخطیط والدراسة الدقیقة بکل ما یحیط الثورة أو النهضة ومعرفة العناصر والعوامل التی تساعد علی نجاحها، ویتعدی هذا الأمر إلی وجوب التخطیط فی الحیاة الخاصة الفردیة لمن أراد الوصول إلی أهدافه وغایته دون تعثر أو انتکاسة أو معوقات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یؤید ذلک تصریح النبی الأکرم صلی الله علیه وآله وسلم فی حق ولده الإمام الحسین علیه السلام لیعرف الأمة مقامه ویحثهم علی نصرته فیما بعد کما فی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 یعنی الحسین – یقتل بأرض العراق فمن أدرکه منکم فلینصره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نوع من التخطیط لنصرة الإمام  علیه السلام وما فعله أبو عبدالله علیه السلام فی تحدید وقت النهضة والإعلان عن القیام بالثورة وأهدافها وطریقة اختیاره لأصحابه هو مفردة من مفردات التخطیط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مشارکة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الدعم الکبیر الذی قدمه الإعلام والأجله من أهل بیت النبی  صلی الله علیه وآله وسلم وأصحابه کان له الأثر الکبیر فی نجاح الثورة وخلودها سیما ما صدر عن الإمام زین العابدین  علیه السلام والسیدة زینب الکبری من دور إعلامی للثورة وما صدر عن العباس بن أمیر المؤمنین وعلی بن الحسین علیه السلام من دور جهادی بالإضافة إلی المشارکین من البیت الهاشمی الذین استشهدوا فی ساحة کربلاء، وما صدر عن مشارکة جهادیة من جل الصحابة کحبیب بن مظاهر الأسدی وبریر ومسلم بن عوسجة وغیرهم کان حجة علی من یری تمام الحجیة للإمام الحسین علیه السلام، والخوض فی تفاصیل سیرة هذه الشخصیات یخرجنا عن جوهر البحث، والوقوف علی ما قدمه هؤلاء الأعلام یبعدنا عما نرید بیانه فلذا نکتفی ببیان دورهم بشکل إجمالی لکی نهتدی إلی نتیجة مهمة ألا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تأیید تام من کبار الأمة أو من لدن أهل الحل والعقد لکی نضمن نجاح خطواتنا وتحقیق أهدافنا سواء کانت علی المستوی الاجتماعی أو الفردی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عوامل أخری ساهمت بشکل کبیر فی تخلید النهضة الحسینیة لیس لها علاقة بما نحن فیه، واختصارا للبحث لم نشأ ذکرها</w:t>
      </w:r>
      <w:r>
        <w:rPr>
          <w:rFonts w:eastAsia="IRNazanin" w:cs="IRNazanin"/>
          <w:color w:val="111111"/>
          <w:sz w:val="28"/>
          <w:szCs w:val="28"/>
          <w:rtl w:val="true"/>
          <w:lang w:bidi="fa-IR"/>
        </w:rPr>
        <w:t>.</w:t>
      </w:r>
      <w:bookmarkStart w:id="23" w:name="pg2702_32813"/>
    </w:p>
    <w:p>
      <w:pPr>
        <w:pStyle w:val="Heading2"/>
        <w:numPr>
          <w:ilvl w:val="1"/>
          <w:numId w:val="1"/>
        </w:numPr>
        <w:rPr/>
      </w:pPr>
      <w:bookmarkStart w:id="24" w:name="__RefHeading___Toc1022962_1395250215"/>
      <w:bookmarkStart w:id="25" w:name="_Toc9"/>
      <w:bookmarkEnd w:id="23"/>
      <w:bookmarkEnd w:id="24"/>
      <w:r>
        <w:rPr>
          <w:rtl w:val="true"/>
        </w:rPr>
        <w:t>أهداف النهضة  وآثارها علی مواقف الفرد العامة</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022964_1395250215"/>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ان للنهضة الحسینیة المقدسة أهدافا کثیرة وغایات سامیة ظهرت علی لسان الإمام القائد  علیه السلام وما بطن منها أکثر، ولا بأس أن نتعرض لذکر ما ذکره الإمام  علیه السلام لکی نتخذها نبراسا فی حیاتنا الاجتماعیة والجهادیة والفردیة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إزالة الحکم الأموی الظالم وإحیاء الحکم الإسلامی العادل وهذا واضح من خلال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لحرام الله، ناکثا لعهد الله، مخالفا لسنة رسول الله، یعمل فی عباد الله بالإثن والعدوان فلم یغیر علیه بفعل ولا قول کان حقا علی الله أن یدخله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وأن هؤلاء القوم قد لزموا طاعة الشیطان</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رفض إعطاء الشرعیة للظالم سواء کانت بالبیعة أو بالسکوت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لا یبایع مثله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الامتثال للتکلیف الشرعی لما فی ذلک من آثار مهمة تنتفع منها البشریة جمعاء إلی یوم القیامة وهذا ما أکده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الله أن یرانی قتیلا</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إنقاذ الأمة من الآثار المأساویة التی جلبها الحکم الأموی علیه کما یظهر ذلک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ترکوا طاعة الرحمن وأظهروا الفساد، وعطلوا الحدود واستأثروا بالفیء وأحلوا حرام الله وحرموا حلاله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الأمة التحرر من قیود الظالمین بل قام بنفسه الشریفة بتحریر إرادة الأمة وهذا ما أکده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أعطیهم بیدی إعطاء الذلیل ولا أقرّ لهم إقرار العبید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أحقیة أهل البیت علیهم السلام فی الخلافة لکونهم أهلا لها وهذا ما عبر عنه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نصبح وتصبحون وننظر وتنظرون أیّنا أحق بالخلافة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الهدف الذی یجمع ما تقدم من الأهداف وما تأخر هو الحفاظ علی الدین الإسلامی وهذا ما یوضحه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w:t>
      </w:r>
      <w:bookmarkStart w:id="28" w:name="pg2702_32817"/>
    </w:p>
    <w:p>
      <w:pPr>
        <w:pStyle w:val="BookText"/>
        <w:rPr/>
      </w:pPr>
      <w:bookmarkEnd w:id="28"/>
      <w:r>
        <w:rPr>
          <w:rFonts w:ascii="IRNazanin" w:hAnsi="IRNazanin" w:eastAsia="IRNazanin"/>
          <w:color w:val="111111"/>
          <w:sz w:val="28"/>
          <w:sz w:val="28"/>
          <w:szCs w:val="28"/>
          <w:rtl w:val="true"/>
          <w:lang w:bidi="fa-IR"/>
        </w:rPr>
        <w:t>جائرا، مستحلا لحرام الله، ناکثا لعهد الله، مخالفا لسنة رسول الله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 وفی قول آخر نضمه إلی 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السنة قد أمیتت والبدعة قد أحییت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ولکی تتغیر هذه المفاسد وترجع الأمور إلی ما کانت علیه من صلاح وحیاة للدین وحکم للکتاب وهدی للسنة لابد من ثائر وناهض یعرف قدسیة الدین وجلالة الکتاب وطهارة السنة ویؤدی واجبه اتجاههم، وهناک أهداف أخری ذکرت من قبل بعض الأعلام لا تخرج عن حدود ما سبق ذکره، ومقتضی الاختصار أن ندع التعرض لها</w:t>
      </w:r>
      <w:r>
        <w:rPr>
          <w:rFonts w:eastAsia="IRNazanin" w:cs="IRNazanin"/>
          <w:color w:val="111111"/>
          <w:sz w:val="28"/>
          <w:szCs w:val="28"/>
          <w:rtl w:val="true"/>
          <w:lang w:bidi="fa-IR"/>
        </w:rPr>
        <w:t>.</w:t>
      </w:r>
    </w:p>
    <w:p>
      <w:pPr>
        <w:pStyle w:val="Heading3"/>
        <w:numPr>
          <w:ilvl w:val="2"/>
          <w:numId w:val="1"/>
        </w:numPr>
        <w:rPr/>
      </w:pPr>
      <w:bookmarkStart w:id="29" w:name="__RefHeading___Toc1022966_1395250215"/>
      <w:bookmarkStart w:id="30" w:name="_Toc11"/>
      <w:bookmarkEnd w:id="29"/>
      <w:r>
        <w:rPr>
          <w:rtl w:val="true"/>
        </w:rPr>
        <w:t>معطیات الأهداف</w:t>
      </w:r>
      <w:bookmarkEnd w:id="30"/>
    </w:p>
    <w:p>
      <w:pPr>
        <w:pStyle w:val="BookText"/>
        <w:rPr/>
      </w:pPr>
      <w:r>
        <w:rPr>
          <w:rFonts w:ascii="IRNazanin" w:hAnsi="IRNazanin" w:eastAsia="IRNazanin"/>
          <w:color w:val="111111"/>
          <w:sz w:val="28"/>
          <w:sz w:val="28"/>
          <w:szCs w:val="28"/>
          <w:rtl w:val="true"/>
          <w:lang w:bidi="fa-IR"/>
        </w:rPr>
        <w:t>أراد الإمام الحسین  علیه السلام أن یربی الأجیال التی عاصرته والتی تأتی من بعده علی مجموعة من القیم والمفاهیم العالی التی دعا إلیها الإسلام ومن هذه المعطیات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الحکم الذی لا یقوم علی أساس شرعی ومنطقی واستحقاقی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إعطاء الشرعیة لمن لا یستحقها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السکوت عن الظلم لما فی ذلک من حیاة للظلم وموت للعدل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للمظلومین ودفع الأذی والقهر والألم عنهم وإرجاع الحق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التحرر من الروح الانهزامیة والخنوع وطلب السلامة علی حساب المبادئ والقیم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اختیار الأکفأ ودعم المؤهل لکی یتسنی له التصدی للمسؤولیة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التضحیة بالغالی والنفیس من أجل سلامة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الامتثال للتکلیف الشرعی دون ضرورة معرفة الحکمة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اتصاف الحاکم بالتقوی والنزاهة والطهارة الظاهریة والباطنیة</w:t>
      </w:r>
      <w:r>
        <w:rPr>
          <w:rFonts w:eastAsia="IRNazanin" w:cs="IRNazanin"/>
          <w:color w:val="111111"/>
          <w:sz w:val="28"/>
          <w:szCs w:val="28"/>
          <w:rtl w:val="true"/>
          <w:lang w:bidi="fa-IR"/>
        </w:rPr>
        <w:t>.</w:t>
      </w:r>
      <w:bookmarkStart w:id="31" w:name="pg2702_32819"/>
    </w:p>
    <w:p>
      <w:pPr>
        <w:pStyle w:val="Heading2"/>
        <w:numPr>
          <w:ilvl w:val="1"/>
          <w:numId w:val="1"/>
        </w:numPr>
        <w:rPr/>
      </w:pPr>
      <w:bookmarkStart w:id="32" w:name="__RefHeading___Toc1022968_1395250215"/>
      <w:bookmarkStart w:id="33" w:name="_Toc12"/>
      <w:bookmarkEnd w:id="31"/>
      <w:bookmarkEnd w:id="32"/>
      <w:r>
        <w:rPr>
          <w:rtl w:val="true"/>
        </w:rPr>
        <w:t>آثار النهضة  علی الفرد</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1022970_1395250215"/>
      <w:bookmarkStart w:id="35" w:name="_Toc13"/>
      <w:bookmarkEnd w:id="34"/>
      <w:r>
        <w:rPr>
          <w:rtl w:val="true"/>
        </w:rPr>
        <w:t>اشارة</w:t>
      </w:r>
      <w:bookmarkStart w:id="36" w:name="pg2702_32821"/>
      <w:bookmarkEnd w:id="35"/>
    </w:p>
    <w:p>
      <w:pPr>
        <w:pStyle w:val="BookText"/>
        <w:rPr/>
      </w:pPr>
      <w:bookmarkEnd w:id="36"/>
      <w:r>
        <w:rPr>
          <w:rFonts w:ascii="IRNazanin" w:hAnsi="IRNazanin" w:eastAsia="IRNazanin"/>
          <w:color w:val="111111"/>
          <w:sz w:val="28"/>
          <w:sz w:val="28"/>
          <w:szCs w:val="28"/>
          <w:rtl w:val="true"/>
          <w:lang w:bidi="fa-IR"/>
        </w:rPr>
        <w:t>للإسلام ثلاثة أبعاد أساسیة تهتم ببناء الشخصیة الإنسانیة والمجتمع الذی یروم الرقی والتطور، ومن هذه الأبعاد ما یهتم ببناء فکر الإنسان کالبعد العقائدی ومنها ما یهتم بتهذیب روح الإنسان وتزکیة نفسه کالبعد الأخلاقی والبعد الثالث هو البعد الفقهی الذی یبین السلوک العبادی والمعاملاتی للإنسان لکی یصل إلی کماله المنشود</w:t>
      </w:r>
      <w:r>
        <w:rPr>
          <w:rFonts w:eastAsia="IRNazanin" w:cs="IRNazanin"/>
          <w:color w:val="111111"/>
          <w:sz w:val="28"/>
          <w:szCs w:val="28"/>
          <w:rtl w:val="true"/>
          <w:lang w:bidi="fa-IR"/>
        </w:rPr>
        <w:t>.</w:t>
      </w:r>
    </w:p>
    <w:p>
      <w:pPr>
        <w:pStyle w:val="Heading3"/>
        <w:numPr>
          <w:ilvl w:val="2"/>
          <w:numId w:val="1"/>
        </w:numPr>
        <w:rPr/>
      </w:pPr>
      <w:bookmarkStart w:id="37" w:name="__RefHeading___Toc1022972_1395250215"/>
      <w:bookmarkStart w:id="38" w:name="_Toc14"/>
      <w:bookmarkEnd w:id="37"/>
      <w:r>
        <w:rPr>
          <w:rtl w:val="true"/>
        </w:rPr>
        <w:t>آثار البعد العقائدی</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یمتاز الإنسان علی غیره من المخلوقات التی تشارکه هذه الأرض بنعمة العقل الذی یمثل الملاک الإسلامی للتکلیف الشرعی، ویشترک مع غیره فیما تبقی من المکونات الأخری کالجسد والروح والشهوة، ولکی یبقی الإنسان إنسانا لابد أن یحافظ علی هذه النعمة من خلال رفدها بغذائها المناسب لها الا وهو العلم، وهذا ما یؤکده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العلم من المهد إلی اللحد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لما فی تحصیله من بناء لفکر</w:t>
      </w:r>
    </w:p>
    <w:p>
      <w:pPr>
        <w:pStyle w:val="BookText"/>
        <w:rPr/>
      </w:pPr>
      <w:r>
        <w:rPr>
          <w:rFonts w:ascii="IRNazanin" w:hAnsi="IRNazanin" w:eastAsia="IRNazanin"/>
          <w:color w:val="111111"/>
          <w:sz w:val="28"/>
          <w:sz w:val="28"/>
          <w:szCs w:val="28"/>
          <w:rtl w:val="true"/>
          <w:lang w:bidi="fa-IR"/>
        </w:rPr>
        <w:t xml:space="preserve">الإنسان وتحصین له من المهلکات التی تجعله کالأنعام بل أضلّ سبیلا، ومن أهم ما یحتاجه الإنسان فی بناء فکره هو المعرفة التامة للعقیدة التی تضع رجله علی الصراط المستقیم، بل هی المیزان الدقیق لصحة وسلامة دینه الذی یعتنق، ولو تأملنا هذا الحدیث الشریف لأمیر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الدین معرفته</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لاتضح لنا الأساس الأول الذی یقف علیه الدین الحنیف، وهو ما سار علیه الأنبیاء والأولیاء والأئمة  علیهم السلام، وممن سار علی النهج القویم صاحب النهضة المبارکة الإمام الحسین  علیه السلام فنجده یقول فی وصیته لأخیه محمد بن 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أوصی به الحسین بن علی ابن أبی طالب إلی أخیه محمد المعروف بابن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یشهد أن لا إله إلا الله وحده لا شریک له، وأن محمدا عبده ورسوله جاء بالحق من عنده، وأن الجنة حق، والنار حق، وأن الساعة آتیة لا ریب فیها، وأن الله یبعث من فی القبور</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وبالإضافة إلی ما تقدم من قول الإمام  علیه السلام الذی ینم عن عقیدته ودینه هناک بعض النصوص التی قالها فی حوادث حدثت فی نهضته فیها إشارة إلی عقائد أخری غیر عقیدة التوحید والنبوة والمعاد التی ظهرت فی النص السابق کدعائه علی رجل فی عسکر ابن سعد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جریرة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خاطب الإمام  علیه السلام بهذا الخطاب الوقح الذی ینم عن حقد وجهل کبیرین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تعجلت النار فی الدنیا قبل</w:t>
      </w:r>
      <w:bookmarkStart w:id="39" w:name="pg2702_32823"/>
    </w:p>
    <w:p>
      <w:pPr>
        <w:pStyle w:val="BookText"/>
        <w:rPr/>
      </w:pPr>
      <w:bookmarkEnd w:id="39"/>
      <w:r>
        <w:rPr>
          <w:rFonts w:ascii="IRNazanin" w:hAnsi="IRNazanin" w:eastAsia="IRNazanin"/>
          <w:color w:val="111111"/>
          <w:sz w:val="28"/>
          <w:sz w:val="28"/>
          <w:szCs w:val="28"/>
          <w:rtl w:val="true"/>
          <w:lang w:bidi="fa-IR"/>
        </w:rPr>
        <w:t>الآخرة،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 اللهم جره إلی النار، وأذقه حرّها قبل مصیره إلی نار الآخرة، فلم یکن بأسرع من أن شب به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 حتی ألقاه فی النار فاحترق</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فالنهضة الحسینیة ملیئة بالأحداث التی یؤطرها البعد العقائدی، فیظهر مما تقدم ما یؤثر فی تفکیر وسلوک الفرد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نهضة الإمام  علیه السلام نهضة إلهیة یحتذی بها ویجب الدفاع عنها وعن ضریح قائدها مهما کلف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الإمام القائد  علیه السلام عارف بدینه حق المعرفة بل هو حجة الله تعالی علی خلقه ومع ذلک تصدی لمن یتلبس بالدین فیتضح من هذا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یتصف القائد الذی یروم التغییر بما اتصف به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التلبس بالدین لا یحمی الظالم والمنحرف من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للمؤمن أن یکون علی بصیرة من أمره</w:t>
      </w:r>
      <w:r>
        <w:rPr>
          <w:rFonts w:eastAsia="IRNazanin" w:cs="IRNazanin"/>
          <w:color w:val="111111"/>
          <w:sz w:val="28"/>
          <w:szCs w:val="28"/>
          <w:rtl w:val="true"/>
          <w:lang w:bidi="fa-IR"/>
        </w:rPr>
        <w:t>.</w:t>
      </w:r>
    </w:p>
    <w:p>
      <w:pPr>
        <w:pStyle w:val="Heading3"/>
        <w:numPr>
          <w:ilvl w:val="2"/>
          <w:numId w:val="1"/>
        </w:numPr>
        <w:rPr/>
      </w:pPr>
      <w:bookmarkStart w:id="40" w:name="__RefHeading___Toc1022974_1395250215"/>
      <w:bookmarkStart w:id="41" w:name="_Toc15"/>
      <w:bookmarkEnd w:id="40"/>
      <w:r>
        <w:rPr>
          <w:rtl w:val="true"/>
        </w:rPr>
        <w:t>آثار البعد الأخلاقی</w:t>
      </w:r>
      <w:bookmarkEnd w:id="41"/>
    </w:p>
    <w:p>
      <w:pPr>
        <w:pStyle w:val="Heading4"/>
        <w:numPr>
          <w:ilvl w:val="3"/>
          <w:numId w:val="1"/>
        </w:numPr>
        <w:rPr/>
      </w:pPr>
      <w:bookmarkStart w:id="42" w:name="__RefHeading___Toc1022976_1395250215"/>
      <w:bookmarkStart w:id="43" w:name="_Toc16"/>
      <w:bookmarkEnd w:id="42"/>
      <w:r>
        <w:rPr>
          <w:rtl w:val="true"/>
        </w:rPr>
        <w:t>اشارة</w:t>
      </w:r>
      <w:bookmarkEnd w:id="4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النداءات الأخلاقیة</w:t>
      </w:r>
      <w:r>
        <w:rPr>
          <w:rStyle w:val="FootnoteAnchor"/>
          <w:rtl w:val="true"/>
        </w:rPr>
        <w:footnoteReference w:id="22"/>
      </w:r>
      <w:r>
        <w:rPr>
          <w:rFonts w:ascii="IRNazanin" w:hAnsi="IRNazanin" w:eastAsia="IRNazanin"/>
          <w:color w:val="111111"/>
          <w:sz w:val="28"/>
          <w:sz w:val="28"/>
          <w:szCs w:val="28"/>
          <w:rtl w:val="true"/>
          <w:lang w:bidi="fa-IR"/>
        </w:rPr>
        <w:t>التی وجهتها النهضة الحسینیة للجماهیر المؤمنة بها کثیرة ومتشعبة وملیئة بکل صفات الکمال الأخلاقی، وإذا تأملنا هذه النداءات نجد آثارها علی الفرد العراقی الذی یعیش أحداث</w:t>
      </w:r>
      <w:bookmarkStart w:id="44" w:name="pg2702_32824"/>
    </w:p>
    <w:p>
      <w:pPr>
        <w:pStyle w:val="BookText"/>
        <w:rPr/>
      </w:pPr>
      <w:bookmarkEnd w:id="44"/>
      <w:r>
        <w:rPr>
          <w:rFonts w:ascii="IRNazanin" w:hAnsi="IRNazanin" w:eastAsia="IRNazanin"/>
          <w:color w:val="111111"/>
          <w:sz w:val="28"/>
          <w:sz w:val="28"/>
          <w:szCs w:val="28"/>
          <w:rtl w:val="true"/>
          <w:lang w:bidi="fa-IR"/>
        </w:rPr>
        <w:t>النهضة بروحه ویتواصل مع قائدها بکثرة زیارته کما أن آثارها علی مواقفه العامة اتضح مما مرّ من تضحیات قام بها الفرد العراقی منذ أن اعتنق خط الحق المتمثل بأهل البیت علیهم السلام ولا بأس أن نستعرض بعض الجوانب الأخلاقیة التی أعدتها النهضة لتکون درسا کاملا لنا کأفراد ومجتمعات من عربٍ وغیرهم مسلمین وغیر مسلمین، ومن هذه النداءات ما یلی</w:t>
      </w:r>
      <w:r>
        <w:rPr>
          <w:rFonts w:eastAsia="IRNazanin" w:cs="IRNazanin"/>
          <w:color w:val="111111"/>
          <w:sz w:val="28"/>
          <w:szCs w:val="28"/>
          <w:rtl w:val="true"/>
          <w:lang w:bidi="fa-IR"/>
        </w:rPr>
        <w:t>:</w:t>
      </w:r>
    </w:p>
    <w:p>
      <w:pPr>
        <w:pStyle w:val="Heading4"/>
        <w:numPr>
          <w:ilvl w:val="3"/>
          <w:numId w:val="1"/>
        </w:numPr>
        <w:rPr/>
      </w:pPr>
      <w:bookmarkStart w:id="45" w:name="__RefHeading___Toc1022978_1395250215"/>
      <w:bookmarkStart w:id="46" w:name="_Toc17"/>
      <w:bookmarkEnd w:id="45"/>
      <w:r>
        <w:rPr>
          <w:rtl w:val="true"/>
        </w:rPr>
        <w:t>الحیاة بعز</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الوقوف علی حیاة الأکابر والعظماء سیما أهل البیت علیهم السلام نری أنفسهم ملیئة بالعز نافرة من الذل، حرة کریمة لا یؤسرها شیء، بعیدة عن شبکة الشهوة حذرة من کمائن الدنیا الدنیة لا تری ثمنا لها إلا الجنة وهذا ما صرح به أبوهم أمیر المؤمنین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حر یدع هذه اللماظة لأهلها؟ أنه لیس لنفسکم ثمنا إلا الجنة فلا تبیعوها إلا بها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فالأحرار الذین رفضوا ربق عبودیة الشهوات وتحرروا من رقها أسمی بکثیر مما هو موجود فی هذه الدنیا الزائلة فلذلک لا یترکوا لحظة واحدة یعیشونها خالیة من العز والحریة والکرامة واذا خیروا بین وقوعهم بما یجعلهم أذلة خانعین وبین فقد النفس فإنهم لن یختاروا إلا ما تربوا علیه من عزة فیضحّوا بأنفسهم ویغادروا الدنیا أعزة کراما، وهذا ما یصرح به الإمام أبو عبدالله الحسین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فهذه الفکرة والقیمة الأخلاقیة التی ملأت</w:t>
      </w:r>
    </w:p>
    <w:p>
      <w:pPr>
        <w:pStyle w:val="BookText"/>
        <w:rPr/>
      </w:pPr>
      <w:r>
        <w:rPr>
          <w:rFonts w:ascii="IRNazanin" w:hAnsi="IRNazanin" w:eastAsia="IRNazanin"/>
          <w:color w:val="111111"/>
          <w:sz w:val="28"/>
          <w:sz w:val="28"/>
          <w:szCs w:val="28"/>
          <w:rtl w:val="true"/>
          <w:lang w:bidi="fa-IR"/>
        </w:rPr>
        <w:t xml:space="preserve">أرکان نفس سید الشهداء  علیه السلام رأینا تطبیقها یوم کربلاء عندما أقسم بربه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أعطیهم بیدی إعطاء الذلیل ولا أقر لهم إقرار العبید</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کان رافضا للذل مستأنسا بالموت وفرحا به لما فیه من عز وشموخ وعنفوان، ولأن الحیاة مع الظالمین مرّة کریهة وملیئة بالملل والخنوع نجده یصرح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أری الموت إلا سعادة والحیاة مع الظالمین إلا برما</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سارع إلی الانتقال إلی عالم لا لغو فیه ولا تأثیم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المبادئ السامیة التی تجلّت فی کربلاء قسّمت القوم إلی فریقین، فریق یحب الدنیا ویتهافت علیها کتهافت الذباب علی مزبلة قذرة وفریق نافر منها زاهد فیها راغب فیما عند الله تعالی من العطاء والبقاء والرحمة والواسعة، وهذه المبادئ جعلت عمر بن سعد یفکر ویقدم علی قتل ابن رسول الله  صلی الله علیه وآله وسلم من اجل ملک الری وجعلت الإمام المنتصر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وأن الدعی بن الدعی قد رکز بین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السلة والذلة وهیهات منا الذلة</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وهی عینها التی جعلتهم یتصدون بشجاعة وبطولة وعزة تذهل کل من اطلع علیها، فلقد تجسدت هذه المبادئ فی القائد وفی الجند، فی الکبیر والصغیر وفی الرجل والمرأة، وحتی فی الإمام زین العابدین  علیه السلام الذی کان مریضا وقد سقط عنه الجهاد إلا أنه طلب عصا وسیفا لکی یجسد هذا المبدأ السامی لو سمح الإمام  علیه السلام له، فیتضح من کل هذا مدی وجوب الموت بشرف وعزة دفاعا عن الحق سواء کان هذا الحق شخصیا أو عاما، وسواء کان المدافع فردا أو مجتمعا</w:t>
      </w:r>
      <w:r>
        <w:rPr>
          <w:rFonts w:eastAsia="IRNazanin" w:cs="IRNazanin"/>
          <w:color w:val="111111"/>
          <w:sz w:val="28"/>
          <w:szCs w:val="28"/>
          <w:rtl w:val="true"/>
          <w:lang w:bidi="fa-IR"/>
        </w:rPr>
        <w:t>.</w:t>
      </w:r>
      <w:bookmarkStart w:id="47" w:name="pg2702_32826"/>
    </w:p>
    <w:p>
      <w:pPr>
        <w:pStyle w:val="Heading4"/>
        <w:numPr>
          <w:ilvl w:val="3"/>
          <w:numId w:val="1"/>
        </w:numPr>
        <w:rPr/>
      </w:pPr>
      <w:bookmarkStart w:id="48" w:name="__RefHeading___Toc1022980_1395250215"/>
      <w:bookmarkStart w:id="49" w:name="_Toc18"/>
      <w:bookmarkEnd w:id="47"/>
      <w:bookmarkEnd w:id="48"/>
      <w:r>
        <w:rPr>
          <w:rtl w:val="true"/>
        </w:rPr>
        <w:t>التوکل</w:t>
      </w:r>
      <w:bookmarkEnd w:id="49"/>
    </w:p>
    <w:p>
      <w:pPr>
        <w:pStyle w:val="BookText"/>
        <w:rPr/>
      </w:pPr>
      <w:r>
        <w:rPr>
          <w:rFonts w:ascii="IRNazanin" w:hAnsi="IRNazanin" w:eastAsia="IRNazanin"/>
          <w:color w:val="111111"/>
          <w:sz w:val="28"/>
          <w:sz w:val="28"/>
          <w:szCs w:val="28"/>
          <w:rtl w:val="true"/>
          <w:lang w:bidi="fa-IR"/>
        </w:rPr>
        <w:t xml:space="preserve">من القیم الأخلاقیة التی بثها القرآن الکریم فی نفوس المؤمنین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استقرار للنفس واطمئنان للقلب سیما اذا کان المتوکل علیه هو الله تعالی الذی هو القادر علی کل شیء والحکیم المطلق وله الصفات الکاملة، ولولا ذلک لما ورد فی القرآن الکریم، الکثیر من الآیات الکریمة التی تشیر إلی ضرورة التوکل فی أمورنا جمیعا وإلجاء ظهورنا إلی ربنا ومدبر شؤوننا، وفی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اللَّهِ فَتَوَکَّلُوا إِنْ کُنْتُمْ مُؤْمِنِینَ</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أمر صریح بالتوکل علیه سبحانه فی کل أمورنا لما فی ذلک من کفایة واطئمنان وهذا ما عمل به سید الشهداء  علیه السلام فی یوم عاشوراء لیعلمنا التوکل عملیا فی کل أمورنا فلذلک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فاجمعوا أمرکم وشرکاءکم ثم کیدون جمیعا ثم لا تنظرون، أنی توکلت علی الله ربی وربکم، ما من دابة إلا هو أخذ بناصیتها ان ربی علی صراط مستقیم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ولو تأملنا حدیث الإمام علیه السلام لوجدناه یستند إلی آیات کریمة تبین إن الله تعالی محیط بکل شیء ولا یفوته ماکر أو کائد ولا یغلبه قوی، وکل ما سواه محتاج إلیه فلهذا وذاک لابد من التوکل علیه وتفویض الأمر إلیه</w:t>
      </w:r>
      <w:r>
        <w:rPr>
          <w:rFonts w:eastAsia="IRNazanin" w:cs="IRNazanin"/>
          <w:color w:val="111111"/>
          <w:sz w:val="28"/>
          <w:szCs w:val="28"/>
          <w:rtl w:val="true"/>
          <w:lang w:bidi="fa-IR"/>
        </w:rPr>
        <w:t>.</w:t>
      </w:r>
    </w:p>
    <w:p>
      <w:pPr>
        <w:pStyle w:val="Heading4"/>
        <w:numPr>
          <w:ilvl w:val="3"/>
          <w:numId w:val="1"/>
        </w:numPr>
        <w:rPr/>
      </w:pPr>
      <w:bookmarkStart w:id="50" w:name="__RefHeading___Toc1022982_1395250215"/>
      <w:bookmarkStart w:id="51" w:name="_Toc19"/>
      <w:bookmarkEnd w:id="50"/>
      <w:r>
        <w:rPr>
          <w:rtl w:val="true"/>
        </w:rPr>
        <w:t>الإیثار</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ترغب فی شیء وتزهد فیه من أجل أن یستمتع به الغیر هذا من شیم النفوس ومن علوّ الأخلاق ومما استحق صاحبه المدح والثناء وهذا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یسمی بالإیثار، فهذا التخلی عما یریده ویرغب فیه بل ویحتاج إلیه ثم یقدم غیره علی نفسه لکی ینتفع منه هو عین الرأفة والرحمة بالغیر، وأن هذه الصفة الأخلاقیة العالیة ظهرت جلیة فی القرآن العینی لکی تطابق القرآن العلمی فی خلق أهل البیت علیهم السلام عندما نزلت فی حقهم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وتجلت بأعلی درجاتها فی نهضة الإمام الحسین  علیه السلام سیما عندما خطب فی أصحابه وأهل بیته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وانی أظن یومنا من هؤلاء الأعداء غدا وإنی قد أذنت لکم فانطلقوا جمیعا فی حل لیس علیکم منی ذمام، وهذا اللیل قد غشیکم فقوموا واتخذوه 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ألخ</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فلقد کره الموت لأصحابه وأهل بیته ووطن نفسه علیه لینجو من ینجو، وأجابه الأهل والأصحاب بمثل الإیثار والتضحیة التی اتصف بها وما قاله زهیر بن القین دلیل واضح علی هذا الإیثار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وددت انی قتلت ثم نشرت ثم قتلت، حتی أقتل ألف مرة، وأن الله عز وجل یدفع القتل عن نفسک وعن أنفس هؤلاء الفتیان من أهل بیتک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وفی صورة أخری من الأحداث یتجلی الإیثار سیما فی شرب الماء الذی کانوا بأمس الحاجة إلیه، وهناک مواقف ملیئة بالإیثار نترک ذکرها للاختصار</w:t>
      </w:r>
      <w:r>
        <w:rPr>
          <w:rFonts w:eastAsia="IRNazanin" w:cs="IRNazanin"/>
          <w:color w:val="111111"/>
          <w:sz w:val="28"/>
          <w:szCs w:val="28"/>
          <w:rtl w:val="true"/>
          <w:lang w:bidi="fa-IR"/>
        </w:rPr>
        <w:t>.</w:t>
      </w:r>
      <w:bookmarkStart w:id="52" w:name="pg2702_32828"/>
    </w:p>
    <w:p>
      <w:pPr>
        <w:pStyle w:val="Heading4"/>
        <w:numPr>
          <w:ilvl w:val="3"/>
          <w:numId w:val="1"/>
        </w:numPr>
        <w:rPr/>
      </w:pPr>
      <w:bookmarkStart w:id="53" w:name="__RefHeading___Toc1022984_1395250215"/>
      <w:bookmarkStart w:id="54" w:name="_Toc20"/>
      <w:bookmarkEnd w:id="52"/>
      <w:bookmarkEnd w:id="53"/>
      <w:r>
        <w:rPr>
          <w:rtl w:val="true"/>
        </w:rPr>
        <w:t>رفض التمیز العنصری</w:t>
      </w:r>
      <w:bookmarkEnd w:id="54"/>
    </w:p>
    <w:p>
      <w:pPr>
        <w:pStyle w:val="BookText"/>
        <w:rPr/>
      </w:pPr>
      <w:r>
        <w:rPr>
          <w:rFonts w:ascii="IRNazanin" w:hAnsi="IRNazanin" w:eastAsia="IRNazanin"/>
          <w:color w:val="111111"/>
          <w:sz w:val="28"/>
          <w:sz w:val="28"/>
          <w:szCs w:val="28"/>
          <w:rtl w:val="true"/>
          <w:lang w:bidi="fa-IR"/>
        </w:rPr>
        <w:t>هذه الخصلة الذمیمة التی تخلق بها المتکبرون من کفار قریش هُدّمت علی یدی النبی الأکرم  صلی الله علیه وآله وسلم فی صدر الإسلام وها هو الإمام الحسین علیه السلام یحذو حذو جده المصطفی  صلی الله علیه وآله وسلم عندما استشهد جون ذلک العبد الأسود فوقف علیه الإمام علیه السلام مؤبنا وداعیا 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 وجهه وطیب ریحه، واحشره مع الأبرار وعرّف بینه وبین محمد وآل محمد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بعد أن ضمّه إلی صدره ووضع خدّه الشریف علی خدّه، صار میزانه فی یوم کربلاء حدیث جدّه الرسول الأکرم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عربی وأعجمی ولا أسود وأبیض إلا بالتقوی</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فکان یتعامل مع غیر العربی ومع الأسود وغیره کما یتعامل مع أهل بیته وإخوته  علیهم السلام فکلهم عنده سواء إلا ما تمیزوا به فی ذواتهم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ورغبة فی الاختصار نقف علی النصوص والمواقف التی تشیر إلی الصفات الأخلاقیة العالیة ونبینها بشکل موجز لنستلهم منها الدروس الأخلاقیة الرائعة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تکون ذا قلب ثابت لا یصیبه الهلع والخوف اذا مررت بخطر ما وأن تقول کما قال الإمام  علیه السلام عند مواجهة جیش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شأنی شأن من یخاف الموت</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رباطة الجأش عند نزول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الصفة من فروع الشجاعة</w:t>
      </w:r>
    </w:p>
    <w:p>
      <w:pPr>
        <w:pStyle w:val="BookText"/>
        <w:rPr/>
      </w:pPr>
      <w:r>
        <w:rPr>
          <w:rFonts w:ascii="IRNazanin" w:hAnsi="IRNazanin" w:eastAsia="IRNazanin"/>
          <w:color w:val="111111"/>
          <w:sz w:val="28"/>
          <w:sz w:val="28"/>
          <w:szCs w:val="28"/>
          <w:rtl w:val="true"/>
          <w:lang w:bidi="fa-IR"/>
        </w:rPr>
        <w:t>والثبات ولقد اتصف بها الإمام أبو عبد الله  علیه السلام فی یوم کثر واتره وقل ناصره وقتل أولاده وإخوته وصحبه، وشهد له بذلک مراقب الأحداث المأساویة حمید بن مسلم فوصفه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رأیت مکثور قط قتل ولده وأهل بیته وأصحابه أربط جأشا ولا أمضی جنانا منه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مقام الصابرین معروف للجمیع، وما اعدّ لهم ربهم فی الآخرة یتمناه کل عاقل، فلا عجب ان یعیش الإمام  علیه السلام حیاته صابرا حتی فی أشد أنواع البلاء، بل لم یکتف بذلک حتی دعا له أصحابه وأهل بیته ونساؤه فی مواقف مختلفة فنجده فی مخاطبة الناس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فمن کان منکم یصبر علی حدّ السیف وطعن الأسنة فلیقم معنا والا فلینصرف عنا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فکان الصبر شرطا للصحبة لما فیه من نجاح وظفر، وأما فی یوم عاشوراء قال الإمام  علیه السلام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بنی الکرام، فما الموت إلا قنطرة تعبر بکم عن البؤس والضراء إلی الجنان الواسعة والنعیم الدائمة</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 وفی طلبه من نسائه سیّما أخته زینب علیها السلام دلیل واضح علی تربیته لمن حوله علی هذه الخصلة الکبیرة والمقام الشامخ فنجده یخاطب أخته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أوصیکن بتقوی الله رب البریّة والصبر علی البلیة وکظم نزول</w:t>
      </w:r>
    </w:p>
    <w:p>
      <w:pPr>
        <w:pStyle w:val="BookText"/>
        <w:rPr/>
      </w:pPr>
      <w:r>
        <w:rPr>
          <w:rFonts w:ascii="IRNazanin" w:hAnsi="IRNazanin" w:eastAsia="IRNazanin"/>
          <w:color w:val="111111"/>
          <w:sz w:val="28"/>
          <w:sz w:val="28"/>
          <w:szCs w:val="28"/>
          <w:rtl w:val="true"/>
          <w:lang w:bidi="fa-IR"/>
        </w:rPr>
        <w:t>الرزیة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ألخ</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فهو صابر ومصبّر لغیره وداع للتحلّی بالصبر، وفی النصوص الآتیة دلالة واضحة علی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خطاب لابنته سکینة یقول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فاصبری علی قضاء الله ولا تشتکی</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وخطابه لبنی عمومته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بنی عمومتی، صبرا یا أهل بیتی</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الحرص علی العرض أو ما یجب الدفاع عنه عند تعرضه للانتهاک وعدم السماح للغیر أن، یعبث به، وهذه الصفة الأخلاقیة العالیة لابد أن یتصف بها کل مؤمن سلیم الإیمان کما ورد فی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الغیرة من الإیمان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والمؤمن الغیور محبوب عند الله تعالی کما 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من عباده الغیور</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ولکی یتجسد هذا المعنی فی الواقع الخارجی نری الإمام القائد علیه السلام مصداقا واضحا لهذه الصفة السامیة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أحمی عیالات أبی، أمضی علی دین النبی</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فلتکن هذه المقولة الرائعة درسا لنا فی حیاتنا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وهناک صفاة أخلاقیة کثیرة کالفتوة والمواساة والوفاء والإغاثة وحب الشهادة والزهد فی الدنیا والرضا والتسلیم لقضاء الله تعالی، ومما یدل علی اتصاف الإمام  علیه السلام بهذه الصفات أقواله الشریفة فضلا عن کونه إماما معصوما وحجة الله تعالی علی خلقه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الفتوة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سئمت من الحیاة بعد قتل هؤلاء الفتیة من آل محمد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وفی هذا دلالة واضحة علی علوّ نفس الإمام  علیه السلام والتزامه بعدم التنصل عن مبادئه السامیة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المواساة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تقربوا إلی الله تعالی بمواساة إخوانکم</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وکان فی موقف أبی الفضل العباس علیه السلام صورة واضحة للمواساة، ولهذا جاء فی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نعم الأخ المواسی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مواقف کثیرة من أحداث عاشوراء اتضحت هذه الصفة فی الرجال والنساء والأطفال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لا أعلم أصحابها أوفی من أصحابی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 وفی زیارة العباس بن أمیر المؤمنین علیهما السلام نقول تبعا لأئمتنا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لک بالتسلیم والتصدیق والوفاء والنصیحة لخلف النبی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الإغاثة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آتکم حتی أتتنی کتبکم وقدمت علیّ</w:t>
      </w:r>
    </w:p>
    <w:p>
      <w:pPr>
        <w:pStyle w:val="BookText"/>
        <w:rPr/>
      </w:pPr>
      <w:r>
        <w:rPr>
          <w:rFonts w:ascii="IRNazanin" w:hAnsi="IRNazanin" w:eastAsia="IRNazanin"/>
          <w:color w:val="111111"/>
          <w:sz w:val="28"/>
          <w:sz w:val="28"/>
          <w:szCs w:val="28"/>
          <w:rtl w:val="true"/>
          <w:lang w:bidi="fa-IR"/>
        </w:rPr>
        <w:t>رسلکم أن أقدم علینا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فهذا قول صریح فی إغاثته لأهل العراق الذین استنجدوا به للخلاص من جور بنی أمیة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حب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واقع الحال الذی صار إلیه الإمام  علیه السلام وأهل بیته وأصحابته یؤکد حبه للشهادة فی سبیل الله تعالی ونصرة الحق، کما فی حواره مع الحر بن یزید الریاحی ما یدل علی ذلک عندما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 فما بالموت عار علی الفتی</w:t>
      </w:r>
    </w:p>
    <w:p>
      <w:pPr>
        <w:pStyle w:val="BookText"/>
        <w:rPr/>
      </w:pPr>
      <w:r>
        <w:rPr>
          <w:rFonts w:ascii="IRNazanin" w:hAnsi="IRNazanin" w:eastAsia="IRNazanin"/>
          <w:color w:val="111111"/>
          <w:sz w:val="28"/>
          <w:sz w:val="28"/>
          <w:szCs w:val="28"/>
          <w:rtl w:val="true"/>
          <w:lang w:bidi="fa-IR"/>
        </w:rPr>
        <w:t>إذا ما نوی حقا وجاهد مسلما</w:t>
      </w:r>
    </w:p>
    <w:p>
      <w:pPr>
        <w:pStyle w:val="BookText"/>
        <w:rPr/>
      </w:pPr>
      <w:r>
        <w:rPr>
          <w:rFonts w:ascii="IRNazanin" w:hAnsi="IRNazanin" w:eastAsia="IRNazanin"/>
          <w:color w:val="111111"/>
          <w:sz w:val="28"/>
          <w:sz w:val="28"/>
          <w:szCs w:val="28"/>
          <w:rtl w:val="true"/>
          <w:lang w:bidi="fa-IR"/>
        </w:rPr>
        <w:t>وواسی الرجال الصالحین بنفسه</w:t>
      </w:r>
    </w:p>
    <w:p>
      <w:pPr>
        <w:pStyle w:val="BookText"/>
        <w:rPr/>
      </w:pPr>
      <w:r>
        <w:rPr>
          <w:rFonts w:ascii="IRNazanin" w:hAnsi="IRNazanin" w:eastAsia="IRNazanin"/>
          <w:color w:val="111111"/>
          <w:sz w:val="28"/>
          <w:sz w:val="28"/>
          <w:szCs w:val="28"/>
          <w:rtl w:val="true"/>
          <w:lang w:bidi="fa-IR"/>
        </w:rPr>
        <w:t>وفارق مذموما وخالف مجرما</w:t>
      </w:r>
    </w:p>
    <w:p>
      <w:pPr>
        <w:pStyle w:val="BookText"/>
        <w:rPr/>
      </w:pPr>
      <w:r>
        <w:rPr>
          <w:rFonts w:ascii="IRNazanin" w:hAnsi="IRNazanin" w:eastAsia="IRNazanin"/>
          <w:color w:val="111111"/>
          <w:sz w:val="28"/>
          <w:sz w:val="28"/>
          <w:szCs w:val="28"/>
          <w:rtl w:val="true"/>
          <w:lang w:bidi="fa-IR"/>
        </w:rPr>
        <w:t>أقدّم نفس لا أرید بقاءها</w:t>
      </w:r>
    </w:p>
    <w:p>
      <w:pPr>
        <w:pStyle w:val="BookText"/>
        <w:rPr/>
      </w:pPr>
      <w:r>
        <w:rPr>
          <w:rFonts w:ascii="IRNazanin" w:hAnsi="IRNazanin" w:eastAsia="IRNazanin"/>
          <w:color w:val="111111"/>
          <w:sz w:val="28"/>
          <w:sz w:val="28"/>
          <w:szCs w:val="28"/>
          <w:rtl w:val="true"/>
          <w:lang w:bidi="fa-IR"/>
        </w:rPr>
        <w:t>لتلقی خمیسا فی النزال عرمرما</w:t>
      </w:r>
    </w:p>
    <w:p>
      <w:pPr>
        <w:pStyle w:val="BookText"/>
        <w:rPr/>
      </w:pPr>
      <w:r>
        <w:rPr>
          <w:rFonts w:ascii="IRNazanin" w:hAnsi="IRNazanin" w:eastAsia="IRNazanin"/>
          <w:color w:val="111111"/>
          <w:sz w:val="28"/>
          <w:sz w:val="28"/>
          <w:szCs w:val="28"/>
          <w:rtl w:val="true"/>
          <w:lang w:bidi="fa-IR"/>
        </w:rPr>
        <w:t xml:space="preserve">بالإضافة إلی قولته التی ملأت الأرض بصداها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أری الموت إلا سعادة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الزهد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حلوها ومرها حلم والانتباه فی الآخرة</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فکأن الدنیا لم تکن وکأن الآخرة لم تزل والسلام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ففی هذه الأقوال النورانیة تصریح برفض الدنیا وإرشاد عن الاغترار بها لأنها لا تمثل إلا مرحلة سریعة یمر بها الإنسان مرور المسافر بظل شجرة ثم یرحل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الرضا والتسلیم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افلح قوم آثروا مرضاة أنفسهم علی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مرضاة الخالق</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 وفی آخر کلمته التی قالها وهو فی لحظاته الأخیرة وجسمه ینزف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رضاء بقضائک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ففی هذه المقولة لم یبق الإمام  علیه السلام عذرا لأحد فی الجزع من قضاء الله سبحانه</w:t>
      </w:r>
      <w:r>
        <w:rPr>
          <w:rFonts w:eastAsia="IRNazanin" w:cs="IRNazanin"/>
          <w:color w:val="111111"/>
          <w:sz w:val="28"/>
          <w:szCs w:val="28"/>
          <w:rtl w:val="true"/>
          <w:lang w:bidi="fa-IR"/>
        </w:rPr>
        <w:t>.</w:t>
      </w:r>
      <w:bookmarkStart w:id="55" w:name="pg2702_3283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1022986_1395250215"/>
      <w:bookmarkStart w:id="57" w:name="_Toc21"/>
      <w:bookmarkEnd w:id="55"/>
      <w:bookmarkEnd w:id="56"/>
      <w:r>
        <w:rPr>
          <w:rtl w:val="true"/>
        </w:rPr>
        <w:t>معطیات النهضة</w:t>
      </w:r>
      <w:bookmarkEnd w:id="57"/>
    </w:p>
    <w:p>
      <w:pPr>
        <w:pStyle w:val="BookText"/>
        <w:rPr/>
      </w:pPr>
      <w:r>
        <w:rPr>
          <w:rFonts w:ascii="IRNazanin" w:hAnsi="IRNazanin" w:eastAsia="IRNazanin"/>
          <w:color w:val="111111"/>
          <w:sz w:val="28"/>
          <w:sz w:val="28"/>
          <w:szCs w:val="28"/>
          <w:rtl w:val="true"/>
          <w:lang w:bidi="fa-IR"/>
        </w:rPr>
        <w:t>عندما یتأمل العاقل فی نهضة الإمام الحسین  علیه السلام وصورها الملیئة بالعقیدة والأخلاق والعبر یجد أن هذه النهضة المقدسة لها القدرة علی إشباع حاجة الباحث عن العقائد السلیمة والقیم الأخلاقیة الرفیعة والصفات الروحیة العالیة والخبرة العسکریة والآداب العامة والفصاحة والبلاغة وغیر ذلک وما تقدم من استعراض لبعض الآثار العقائدیة والأخلاقیة دلیل علی ان هذه النهضة ثروة إسلامیة یجب الحفاظ علیها بسفک الدماء وبذل المهج، ولکی نعرف الصورة المشرقة الأخری للنهضة نقف علی بعض المواقف والخطابات التی ملئت دروسا وعبرا یحتذی بها بل انتفع منها القاصی والدانی والمسلم وغیره علی مر الدهور، ومن هذه الصورة التی ینبغی بالفرد العراقی خاصة وغیره عامة أن یستظهر منها الدروس والعبر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موالاة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خطته النهضة الحسینیة فی قانون الحیاة الحرة الکریمة وجوب موالاة القائد الحق الذی یتصف بالصفات المطلوبة للقیادة کما حصل ذلک فی شخصیة الإمام المعصوم  علیه السلام ولا بد من رفض المدعی</w:t>
      </w:r>
    </w:p>
    <w:p>
      <w:pPr>
        <w:pStyle w:val="BookText"/>
        <w:rPr/>
      </w:pPr>
      <w:r>
        <w:rPr>
          <w:rFonts w:ascii="IRNazanin" w:hAnsi="IRNazanin" w:eastAsia="IRNazanin"/>
          <w:color w:val="111111"/>
          <w:sz w:val="28"/>
          <w:sz w:val="28"/>
          <w:szCs w:val="28"/>
          <w:rtl w:val="true"/>
          <w:lang w:bidi="fa-IR"/>
        </w:rPr>
        <w:t xml:space="preserve">ما لیس له أهلا وهذا ما صرح به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أهل البیت أولی بولایة هذا الأمر علیکم من هؤلاء المدعین ما لیس لهم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لمن یرید التغییر والإصلاح أن یعتمد مبدأ الأمر بالمعروف والنهی عن المنکر سواء کان ذلک علی المستوی الفردی وفی حدود أسرته أو علی المستوی الاجتماعی فی وسطه الاجتماعی، وإذا أراد التغییر الکبیر فی الأمة أو الناس جمیعا لابد أن ینطلق من تغییر الولاة الفاسدین وبطانتهم من خلال الأمر بالمعروف والنهی عن المنکر وهذا ما أشار إلیه الإمام  علیه السلام عند بیانه دوافع نهضته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آمر بالمعروف وأنهی عن المنکر</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یرسل الرسل ولم یدع الأنبیاء ولم یقاتل الأولیاء إلا من أجل أن یقوم الناس بالقسط ویعم العدل ویسود الاستقرار ولهذا وقف سید الشهداء  علیه السلام رافعا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رای سلطانا جائرا مستحلا لحرام الله ناکثا لعهد الله مخالفا لسنة رسول الله یعمل فی عباد الله بالإثم والعدوان فلم یغیر علیه بفعل ولا قول کان حقا علی الله أن یدخله مدخله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نصرة الحق ودحض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بالحق للغیر لا یؤدی إلی إحقاقه فلا بد حینئذ من نصرته وتحقیقه وعدم خذلانه، ولابد من محاربة الباطل ومواجهته وذلک لا یتم إلا من خلال محاربة مصدر تضییع الحق وخروج الباطل فلذلک قال الإمام القائد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ترون ان الحق لا یعمل به وأن الباطل لا یتناهی عنه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الإعداد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ینجح کل أمر سواء کان أمرا فردیا أو اجتماعیا لابد من تحقیق المقدمات التی تکفل نجاح هذا الأمر وتضمن الوصول إلی الغایة المطلوبة ومن هذه المقدمات التخطیط الصحیح والتنفیذ الدقیق لما خطط، وهذا ما ابرزته مواقف الإمام  علیه السلام المتعددة مع والی المدینة او من خلال تکلیف أخیه محمد بن الحنفیة بأن یکون لهم عینا او من خلال تقویة جبهته ورفدها بمثل زهیر رضی الله عنه وتصفیة قواته من العناصر الوصولیة وتنظیم قواته وتعبئة جیشه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الاتصاف بالمبادئ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المبادئ الحقة فضلا عن أنها عامل من عوامل نجاح الفرد أو الثورة فهی مدعاة للرعایة الإلهیة ونزول النصر وخلود النهضة ولهذا عندما أراد مسلم بن عوسجة أن یبدأ برمی السهام نهاه الإمام علیه السلام عن ذلک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ترم، فإنی أکره أن أبدأهم بقتال</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وفی موقف إنسانی آخر من مواقف الإمام الکثیرة نجده</w:t>
      </w:r>
    </w:p>
    <w:p>
      <w:pPr>
        <w:pStyle w:val="BookText"/>
        <w:rPr/>
      </w:pPr>
      <w:r>
        <w:rPr>
          <w:rFonts w:ascii="IRNazanin" w:hAnsi="IRNazanin" w:eastAsia="IRNazanin"/>
          <w:color w:val="111111"/>
          <w:sz w:val="28"/>
          <w:sz w:val="28"/>
          <w:szCs w:val="28"/>
          <w:rtl w:val="true"/>
          <w:lang w:bidi="fa-IR"/>
        </w:rPr>
        <w:t>یحرص علی سقی جیش الحر الذی أهلکه العطش وعدم استغلال ضعفه ومقاتلته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إشراک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المرأة عون ثابت ودائم للرجل فی حیاته الخاصة ومواقفه العامة نجد أن لها دورا فی مراحل النهضة ومجالاتها العاطفیة والنفسیة والإعلامیة والحربیة والسیاسیة وبقلیل من الالتفات إلی نساء النهضة نستلهم کثیرا من القیم العلیا والمواقف الصلبة وسنتعرض لذلک فی موضوع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التریث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یلحق بالتخطیط الصحیح التریث وعدم التسرع فی إصدار الأحکام أو فی اتخاذ القرارات حتی یتسنی الظرف المناسب لذلک، وهذا ما قام به الإمام  علیه السلام عندما ألحّ شیعته علیه بالقیام والنهضة ضد معاویة لکنه أمرهم بالتریث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التشتت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عوامل نجاح النهضة عدم التشتت والانقسام والتناحر بل یجب توحید الجهود والآراء والإمکانیات من أجل النصر والوصول إلی الغایة وبدون ذلک سیحصل ما حصل لأهل الکوفة من وقوع فی خذلان الحق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الروح القبلیة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ان تنصهر الروح القبلیة فی بودقة الثورة حتی یتم التلاحم الذی هو الأس الذی تعتمد علیه النهضات والثورات فی تحقیق أهدافها وبخلاف ذلک تفشل الثورة ویقتل أبطالها</w:t>
      </w:r>
    </w:p>
    <w:p>
      <w:pPr>
        <w:pStyle w:val="BookText"/>
        <w:rPr/>
      </w:pPr>
      <w:r>
        <w:rPr>
          <w:rFonts w:ascii="IRNazanin" w:hAnsi="IRNazanin" w:eastAsia="IRNazanin"/>
          <w:color w:val="111111"/>
          <w:sz w:val="28"/>
          <w:sz w:val="28"/>
          <w:szCs w:val="28"/>
          <w:rtl w:val="true"/>
          <w:lang w:bidi="fa-IR"/>
        </w:rPr>
        <w:t>کما حصل لهانئ بن عروة فی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ضرورة الموقف المبدئی لوجهاء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یتأمل حوار الإمام  علیه السلام مع عبد الله بن عمر یدرک مدی تأثیر المواقف الضعیفة لوجهاء الأمة علی نجاح الثورة بل أن الوجیه له القدرة علی تغییر الأحکام التی تصدر سلبا وایجابا لما لهذه الوجیه من ثقل اجتماعی وانقیاد الناس إلیه، فإذن لابد من تبنی موقف مبدئی اتجاه الأحداث دون النظر إلی لومة اللائمین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التحلی بالروح المعنویة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للروح المعنویة أثر کبیر فی تحقیق النصر والاستبسال من أجل الحق وبدون ذلک لا یتحقق الظفر وهذه الصورة جلیّة وواضحة فی کربلاء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انتصار العقیدة علی العاطفة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یحدث الصراع المر فی النفس الإنسانیة بین العقیدة والعاطفة لابد أن تنتصر العقیدة علی العاطفة وهذا ما تحقق فی کربلاء فی مواقف ومشاهد متعددة منها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موقف أم عمرو بن جنادة الأنصاری التی شهدت مصرع زوجها فازدادت قوة وثباتا فأمرت ولدها عمرو أن یضحی بنفسه ویقاتل بین یدی الإمام علیه السلام الذی یمثل العقیدة الحقة وله من العمر أحد عشر سنة وأصرت علیه حتی استشهد فی قصة عاطفیة کبیرة</w:t>
      </w:r>
      <w:r>
        <w:rPr>
          <w:rFonts w:eastAsia="IRNazanin" w:cs="IRNazanin"/>
          <w:color w:val="111111"/>
          <w:sz w:val="28"/>
          <w:szCs w:val="28"/>
          <w:rtl w:val="true"/>
          <w:lang w:bidi="fa-IR"/>
        </w:rPr>
        <w:t>.</w:t>
      </w:r>
      <w:bookmarkStart w:id="58" w:name="pg2702_32843"/>
    </w:p>
    <w:p>
      <w:pPr>
        <w:pStyle w:val="Heading2"/>
        <w:numPr>
          <w:ilvl w:val="1"/>
          <w:numId w:val="1"/>
        </w:numPr>
        <w:rPr/>
      </w:pPr>
      <w:bookmarkStart w:id="59" w:name="__RefHeading___Toc1022988_1395250215"/>
      <w:bookmarkStart w:id="60" w:name="_Toc22"/>
      <w:bookmarkEnd w:id="58"/>
      <w:bookmarkEnd w:id="59"/>
      <w:r>
        <w:rPr>
          <w:rtl w:val="true"/>
        </w:rPr>
        <w:t>دورة المرأة فی النهضة</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1022990_1395250215"/>
      <w:bookmarkStart w:id="62" w:name="_Toc23"/>
      <w:bookmarkEnd w:id="61"/>
      <w:r>
        <w:rPr>
          <w:rtl w:val="true"/>
        </w:rPr>
        <w:t>اشارة</w:t>
      </w:r>
      <w:bookmarkStart w:id="63" w:name="pg2702_32845"/>
      <w:bookmarkEnd w:id="62"/>
    </w:p>
    <w:p>
      <w:pPr>
        <w:pStyle w:val="BookText"/>
        <w:rPr/>
      </w:pPr>
      <w:bookmarkEnd w:id="63"/>
      <w:r>
        <w:rPr>
          <w:rFonts w:ascii="IRNazanin" w:hAnsi="IRNazanin" w:eastAsia="IRNazanin"/>
          <w:color w:val="111111"/>
          <w:sz w:val="28"/>
          <w:sz w:val="28"/>
          <w:szCs w:val="28"/>
          <w:rtl w:val="true"/>
          <w:lang w:bidi="fa-IR"/>
        </w:rPr>
        <w:t>شارکت المرأة الحسینیة فی نجاح الثورة ونصرتها وتغلبت علی عاطفتها فی المواقف التی تحتاج إلی التجرد من العاطفة وتنکرت لرقتها فی المواقف التی لا تنفع فیها الرقة، تلبّست بعنوان التضحیة وتدرّعت بالصبر والاستقامة وصرخت فی وجه الباطل ملبیة نداء الإمام القائد علیه السلام ولکی نقف علی الألوان المختلفة التی مارستها المرأة الحسینیة فی نصرة النهضة والمشارکة فی نجاحها وخلودها نستعرض ما قامت به هذه النساء من أدوار</w:t>
      </w:r>
      <w:r>
        <w:rPr>
          <w:rFonts w:eastAsia="IRNazanin" w:cs="IRNazanin"/>
          <w:color w:val="111111"/>
          <w:sz w:val="28"/>
          <w:szCs w:val="28"/>
          <w:rtl w:val="true"/>
          <w:lang w:bidi="fa-IR"/>
        </w:rPr>
        <w:t>:</w:t>
      </w:r>
    </w:p>
    <w:p>
      <w:pPr>
        <w:pStyle w:val="Heading3"/>
        <w:numPr>
          <w:ilvl w:val="2"/>
          <w:numId w:val="1"/>
        </w:numPr>
        <w:rPr/>
      </w:pPr>
      <w:bookmarkStart w:id="64" w:name="__RefHeading___Toc1022992_1395250215"/>
      <w:bookmarkStart w:id="65" w:name="_Toc24"/>
      <w:bookmarkEnd w:id="64"/>
      <w:r>
        <w:rPr>
          <w:rtl w:val="true"/>
        </w:rPr>
        <w:t>زینب العقیلة وتعدد الأدوار</w:t>
      </w:r>
      <w:bookmarkEnd w:id="6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للسیدة الصغری زینب الهاشمیة عقیلة آل أبی طالب أکثر من دور وموقف فی نصرة النهضة ابتداءا من حضورها مع الإمام  علیه السلام فی کربلاء ومرورا بتضحیتها بأولادها بین یدی إمامهم وانتهاء بمعاونة الإمام زین العابدین  علیه السلام فی قیادة الرکب الحسینی بعد الواقعة والدفاع الاعلامی الکبیر عن هذه النهضة المبارکة</w:t>
      </w:r>
      <w:r>
        <w:rPr>
          <w:rFonts w:eastAsia="IRNazanin" w:cs="IRNazanin"/>
          <w:color w:val="111111"/>
          <w:sz w:val="28"/>
          <w:szCs w:val="28"/>
          <w:rtl w:val="true"/>
          <w:lang w:bidi="fa-IR"/>
        </w:rPr>
        <w:t>.</w:t>
      </w:r>
      <w:bookmarkStart w:id="66" w:name="pg2702_32846"/>
    </w:p>
    <w:p>
      <w:pPr>
        <w:pStyle w:val="BookText"/>
        <w:rPr/>
      </w:pPr>
      <w:bookmarkEnd w:id="66"/>
      <w:r>
        <w:rPr>
          <w:rFonts w:ascii="IRNazanin" w:hAnsi="IRNazanin" w:eastAsia="IRNazanin"/>
          <w:color w:val="111111"/>
          <w:sz w:val="28"/>
          <w:sz w:val="28"/>
          <w:szCs w:val="28"/>
          <w:rtl w:val="true"/>
          <w:lang w:bidi="fa-IR"/>
        </w:rPr>
        <w:t>واستمر عطاء السیدة زینب علیهما السلام حتی وفاتها لاسیما أیام کانت فی مدینة جدها  صلی الله علیه وآله وسلم ولا یخفی علی أحد ما قامت به بطلة کربلاء، إلا أننا نسلط الضوء علی بعض الصور المشرقة لهذه اللبوة لکی تکون درسا لنساء المسلمین عامة وللمرأة العراقیة خاصة</w:t>
      </w:r>
      <w:r>
        <w:rPr>
          <w:rFonts w:eastAsia="IRNazanin" w:cs="IRNazanin"/>
          <w:color w:val="111111"/>
          <w:sz w:val="28"/>
          <w:szCs w:val="28"/>
          <w:rtl w:val="true"/>
          <w:lang w:bidi="fa-IR"/>
        </w:rPr>
        <w:t>.</w:t>
      </w:r>
    </w:p>
    <w:p>
      <w:pPr>
        <w:pStyle w:val="Heading3"/>
        <w:numPr>
          <w:ilvl w:val="2"/>
          <w:numId w:val="1"/>
        </w:numPr>
        <w:rPr/>
      </w:pPr>
      <w:bookmarkStart w:id="67" w:name="__RefHeading___Toc1022994_1395250215"/>
      <w:bookmarkStart w:id="68" w:name="_Toc25"/>
      <w:bookmarkEnd w:id="67"/>
      <w:r>
        <w:rPr>
          <w:rtl w:val="true"/>
        </w:rPr>
        <w:t>الوقوف بوجه الطاغیة</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اطلع العالم بأجمعه علی تلک الخطبة الرائعة التی تنم عن شجاعة وثبات العقیلة  علیها السلام حیث وجهت خطابها إلی طاغیة عصرها یزید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أظننت یا یزید حیث اخذت علینا أقطار الأرض وآفاق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 هوانا علی الله وبک علیه کرامة وان ذلک لعظیم خطرک عنده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فکانت تلک الکلمات بمثابة الطعن الذی مزق شموخ الطاغیة وبدد سروره بالنصر العسکری الظاهری، ثم لم تکتف بذلک بل وجهت له قولا ذکرته بأصله ومقامه حیث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العدل یابن الطلقاء تخدیرک حرائرک وإمائک وسوقک بنات رسول الله  صلی الله علیه وآله وسلم سبایا</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فأظهرت بهذه العبارات البلیغة فسق یزید وظلمه وتجاوزه علی حرمة رسول الله صلی الله علیه وآله وسلم وبهذا یکون قد خرج مما یدعی</w:t>
      </w:r>
      <w:r>
        <w:rPr>
          <w:rFonts w:eastAsia="IRNazanin" w:cs="IRNazanin"/>
          <w:color w:val="111111"/>
          <w:sz w:val="28"/>
          <w:szCs w:val="28"/>
          <w:rtl w:val="true"/>
          <w:lang w:bidi="fa-IR"/>
        </w:rPr>
        <w:t>.</w:t>
      </w:r>
      <w:bookmarkStart w:id="69" w:name="pg2702_32847"/>
    </w:p>
    <w:p>
      <w:pPr>
        <w:pStyle w:val="Heading3"/>
        <w:numPr>
          <w:ilvl w:val="2"/>
          <w:numId w:val="1"/>
        </w:numPr>
        <w:rPr/>
      </w:pPr>
      <w:bookmarkStart w:id="70" w:name="__RefHeading___Toc1022996_1395250215"/>
      <w:bookmarkStart w:id="71" w:name="_Toc26"/>
      <w:bookmarkEnd w:id="69"/>
      <w:bookmarkEnd w:id="70"/>
      <w:r>
        <w:rPr>
          <w:rtl w:val="true"/>
        </w:rPr>
        <w:t>الالتزام بالحجاب رغم کل شیء</w:t>
      </w:r>
      <w:bookmarkEnd w:id="71"/>
    </w:p>
    <w:p>
      <w:pPr>
        <w:pStyle w:val="BookText"/>
        <w:rPr/>
      </w:pPr>
      <w:r>
        <w:rPr>
          <w:rFonts w:ascii="IRNazanin" w:hAnsi="IRNazanin" w:eastAsia="IRNazanin"/>
          <w:color w:val="111111"/>
          <w:sz w:val="28"/>
          <w:sz w:val="28"/>
          <w:szCs w:val="28"/>
          <w:rtl w:val="true"/>
          <w:lang w:bidi="fa-IR"/>
        </w:rPr>
        <w:t>المعروف اذا نزلت مصیبة علی رجل قد تجعله جزوعا مضطربا مع ماله من الصلابة والخشونة، وأما اذا نزلت بامرأة فالأمر اشد لرقة المرأة وعاطفتها فقد یصل بها الأمر إلی فقدان التوازن وعدم الالتفات إلی حجابها، ولکن ما حصل لزینب  علیها السلام لم یحصل لامرأة من قبل ولن یحصل من بعد فلقد کانت مصیبة عظیمة تنهدّ لها الجبال ومع ذلک لم تفرّط زینب  علیها السلام بحجابها وعفتها انما یصفا المؤرخون أنها خرجت تتعثّر بأذیالها أی أن حجابها تجاوز قدمیها لطوله وسعة ستره، ویصفها الآخر أنها کانت تردّ السوط بید وتمسک حجابها بیدها الأخری، وهکذا باقی النسوة فی کربلاء</w:t>
      </w:r>
      <w:r>
        <w:rPr>
          <w:rFonts w:eastAsia="IRNazanin" w:cs="IRNazanin"/>
          <w:color w:val="111111"/>
          <w:sz w:val="28"/>
          <w:szCs w:val="28"/>
          <w:rtl w:val="true"/>
          <w:lang w:bidi="fa-IR"/>
        </w:rPr>
        <w:t>.</w:t>
      </w:r>
    </w:p>
    <w:p>
      <w:pPr>
        <w:pStyle w:val="Heading3"/>
        <w:numPr>
          <w:ilvl w:val="2"/>
          <w:numId w:val="1"/>
        </w:numPr>
        <w:rPr/>
      </w:pPr>
      <w:bookmarkStart w:id="72" w:name="__RefHeading___Toc1022998_1395250215"/>
      <w:bookmarkStart w:id="73" w:name="_Toc27"/>
      <w:bookmarkEnd w:id="72"/>
      <w:r>
        <w:rPr>
          <w:rtl w:val="true"/>
        </w:rPr>
        <w:t>زوجة زهیر بن القین</w:t>
      </w:r>
      <w:bookmarkEnd w:id="7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النساء اللواتی کان لها دور عظیم هی زوجة زهیر حیث أنها قامت فی تحویل زوجها من شخص عثمانی الهوی إلی شهید بین یدی الإمام  علیه السلام وذلک عندما التقت قافلة الإمام  علیه السلام مع قافلة زهیر بن القین الذی کان یتجنب اللقاء، أرسل الإمام  علیه السلام رسولا إلی زهیر یدعوه للالتقاء فتردد إلا أن دلهم بنت عمرو زوجته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أیبعث الیک ابن رسول الله ثم لا تأتیه؟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فحثته علی الذهاب فنهض مسرعا وما لبث أن</w:t>
      </w:r>
      <w:bookmarkStart w:id="74" w:name="pg2702_32848"/>
    </w:p>
    <w:p>
      <w:pPr>
        <w:pStyle w:val="BookText"/>
        <w:rPr/>
      </w:pPr>
      <w:bookmarkEnd w:id="74"/>
      <w:r>
        <w:rPr>
          <w:rFonts w:ascii="IRNazanin" w:hAnsi="IRNazanin" w:eastAsia="IRNazanin"/>
          <w:color w:val="111111"/>
          <w:sz w:val="28"/>
          <w:sz w:val="28"/>
          <w:szCs w:val="28"/>
          <w:rtl w:val="true"/>
          <w:lang w:bidi="fa-IR"/>
        </w:rPr>
        <w:t>عاد کذلک حیث وطّن نفسه علی الشهادة بین یدی الإمام  علیه السلام وعندما سمعت زوجته بذلک طلبت منه أن یشرکها معه إلا أنه رفض وذهب بمفرده ونال درجة الشهادة</w:t>
      </w:r>
      <w:r>
        <w:rPr>
          <w:rFonts w:eastAsia="IRNazanin" w:cs="IRNazanin"/>
          <w:color w:val="111111"/>
          <w:sz w:val="28"/>
          <w:szCs w:val="28"/>
          <w:rtl w:val="true"/>
          <w:lang w:bidi="fa-IR"/>
        </w:rPr>
        <w:t>.</w:t>
      </w:r>
    </w:p>
    <w:p>
      <w:pPr>
        <w:pStyle w:val="Heading3"/>
        <w:numPr>
          <w:ilvl w:val="2"/>
          <w:numId w:val="1"/>
        </w:numPr>
        <w:rPr/>
      </w:pPr>
      <w:bookmarkStart w:id="75" w:name="__RefHeading___Toc1023000_1395250215"/>
      <w:bookmarkStart w:id="76" w:name="_Toc28"/>
      <w:bookmarkEnd w:id="75"/>
      <w:r>
        <w:rPr>
          <w:rtl w:val="true"/>
        </w:rPr>
        <w:t>المرأة الشهیدة</w:t>
      </w:r>
      <w:bookmarkEnd w:id="7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وهب زوجة عبد الله بن عمیر الکلبی اشترکت مع زوجها وولدها فی محاربة الکفر والطغیان ولم تکتف بقتل ولدها وفلذة کبدها عندما سألها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أمها ارضیت؟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رضیت حتی تقتل بین یدی الحسین  علیه السلام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وفعلا رجع ولدها إلی القتال واستشهد فی ساحة المعرکة، ولما استشهد زوجها ذهبت إلی ساحة المعرکة ومسحت عن وجهه الدم والتراب فأرسل إلیها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 فضربها بعمود علی رأسها فمضت شهیدة مرضیة</w:t>
      </w:r>
      <w:r>
        <w:rPr>
          <w:rFonts w:eastAsia="IRNazanin" w:cs="IRNazanin"/>
          <w:color w:val="111111"/>
          <w:sz w:val="28"/>
          <w:szCs w:val="28"/>
          <w:rtl w:val="true"/>
          <w:lang w:bidi="fa-IR"/>
        </w:rPr>
        <w:t>.</w:t>
      </w:r>
      <w:bookmarkStart w:id="77" w:name="pg2702_32849"/>
    </w:p>
    <w:p>
      <w:pPr>
        <w:pStyle w:val="Heading2"/>
        <w:numPr>
          <w:ilvl w:val="1"/>
          <w:numId w:val="1"/>
        </w:numPr>
        <w:rPr/>
      </w:pPr>
      <w:bookmarkStart w:id="78" w:name="__RefHeading___Toc1023002_1395250215"/>
      <w:bookmarkStart w:id="79" w:name="_Toc29"/>
      <w:bookmarkEnd w:id="77"/>
      <w:bookmarkEnd w:id="78"/>
      <w:r>
        <w:rPr>
          <w:rtl w:val="true"/>
        </w:rPr>
        <w:t>ما به الامتیاز</w:t>
      </w:r>
      <w:bookmarkEnd w:id="7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1023004_1395250215"/>
      <w:bookmarkStart w:id="81" w:name="_Toc30"/>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کل ما تقدم من حیث التأثر به واتخاذه درسا أو عبرة کان مشترکا بین الفرد العراقی وغیره، ولکن هناک ما هو مختص بالفرد العراقی فقط ولا یؤثر إلا فیه وعلیه ولنا أن نستعرض بعض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 قبر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 الله تعالی علی العراق والعراقیین وجود قبر أبی عبد الله الحسین  علیه السلام فی وسط العراق، ولذا یجب علی کل عراقی أن یدافع عن هذه النعمة من باب شکر المنعم وذلک من خلال تعمیر قبر الإمام  علیه السلام بالحضور وتعهده بالزیارة له ولغیره من الأئمة الأطهار ولو أدی ذلک إلی بعض التضحیة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صاحب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نقدم إلی زیارة الإمام  علیه السلام ونستشعر هذه الشخصیة العظیمة ونعیش تضحیتها وعطائها نستلهم منها الهمم والدروس مما یجعلنا فی ثورة ورفض دائم للباطل، کما أن لوجود هذا الإمام الکریم علی الله تعالی وغیره من أهل البیت  علیهم السلام من قدسیة ووجاهة إلهیة ترتفع بها البلایا وتنزل بها البرکات والعطایا الإلهیة، فبقع کربلاء والنجف والکاظمین وسامراء بقع مقدسة بل هی ریاض من ریاض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الحسین  علیه السلام ملاذ وملجأ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سفن النجاة ولکن سفینة جدی الحسین أسرع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فالإمام الحسین  علیه السلام یعتبر ملاذا وملجأ للهاربین واللائذین به من عواتی الزمن وقساوة الدهر وبالتالی لا تجد مهموما أو مغموما من العراقیین وغیرهم إلا ویقصد هذا المکان المقدس ویدعو عند رأس الإمام الطاهر علیه 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مشعل دام یستنهض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عراقی مظلوم سواء کان مسلما أو غیره عربیا أو غیره یجد فی هذا الإمام الشامخ دافعا ومشجعا لرفض الظلم سیما عندما یعلم أن نور الإمام  علیه السلام لا یخبو ولا یطفأ من قبل الظالمین کما قالت السیدة زینب لابن أخیها الإمام زین العابدین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وینصبون بهذا الطف علما لقبر أبیک سید الشهداء لا یدرس أثره، ولا یعفو رسمه، علی کرور اللیالی والأیام، ولیجتهدن أئمة الکفر وأشیاع الضلالة فی محوه وتطمیسه فلا یزداد أثره إلا ظهورا وأمره إلا علوا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ولذلک صار وجود الإمام  علیه السلام فی العراق حافزا ومنطلقا لثوراتهم الرافضة للظلم والطغیان، وتحطمت به تیجان الطغاة وتکسرت فی کربلاء أسواط الظالمین</w:t>
      </w:r>
      <w:r>
        <w:rPr>
          <w:rFonts w:eastAsia="IRNazanin" w:cs="IRNazanin"/>
          <w:color w:val="111111"/>
          <w:sz w:val="28"/>
          <w:szCs w:val="28"/>
          <w:rtl w:val="true"/>
          <w:lang w:bidi="fa-IR"/>
        </w:rPr>
        <w:t>.</w:t>
      </w:r>
      <w:bookmarkStart w:id="82" w:name="pg2702_32853"/>
    </w:p>
    <w:p>
      <w:pPr>
        <w:pStyle w:val="Heading3"/>
        <w:numPr>
          <w:ilvl w:val="2"/>
          <w:numId w:val="1"/>
        </w:numPr>
        <w:rPr/>
      </w:pPr>
      <w:bookmarkStart w:id="83" w:name="__RefHeading___Toc1023006_1395250215"/>
      <w:bookmarkStart w:id="84" w:name="_Toc31"/>
      <w:bookmarkEnd w:id="82"/>
      <w:bookmarkEnd w:id="83"/>
      <w:r>
        <w:rPr>
          <w:rtl w:val="true"/>
        </w:rPr>
        <w:t>تلخیص البحث</w:t>
      </w:r>
      <w:bookmarkEnd w:id="84"/>
    </w:p>
    <w:p>
      <w:pPr>
        <w:pStyle w:val="BookText"/>
        <w:rPr/>
      </w:pPr>
      <w:r>
        <w:rPr>
          <w:rFonts w:ascii="IRNazanin" w:hAnsi="IRNazanin" w:eastAsia="IRNazanin"/>
          <w:color w:val="111111"/>
          <w:sz w:val="28"/>
          <w:sz w:val="28"/>
          <w:szCs w:val="28"/>
          <w:rtl w:val="true"/>
          <w:lang w:bidi="fa-IR"/>
        </w:rPr>
        <w:t>یتلخص البحث بنقاط عدیدة تشکل النقاط الأساسیة التی دار حولها البحث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تعرض الباحث فی الصفحة الثانیة لبیان معنی مفهومی النهضة والثورة وتشخیص الفرق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تعرض الباحث لبیان العوامل التی ینبغی توفرها فی کل نهضة تروم النجاح والخلود وتکون نبراسا للأجیال القادمة فی الصفحة الثانیة إلی الصفحة الخامسة مع بیان النتائج المستفیدة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لکل نهضة من أهداف مهمة یجب تحقیقها وهذا ما تعرض له الباحث فی الخامسة والسادسة ، وبیّن معطیات هذه الأهداف لکی یتخذها الفرد أو المجتمع فی حیاته الخاصة والعامة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المنطقی أن تکون لنهضة الإمام  علیه السلام المبارکة آثار تنعکس علی الفرد والمجتمع معا وتبنی الفرد بناء عقائدیا وأخلاقیا واجتماعیا فتم تناول البعد العقائدی والأخلاقی فی الصفحة السابعة والثامنة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لنهضة الإمام  علیه السلام معطیات کموالاة القائد، واعتماد الأمر بالمعروف والنهی عن المنکر فی حیاتنا الفردیة والاجتماعیة وحتی السیاسیة، وضرورة نشر العدل ونصرة الحق ودحض الباطل وغیرها من المعطیات التی بحثها الباحث فی الصفحة السادسة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دور المرأة فی کربلاء والوقوف علی سموها وشموخ مواقفها لتکون قدوة یقتدی بها من قبل النساء الطالبات للعدل والحریة وهذا ما ذکر فی الصفحة الثامنة عشر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هناک نقاط یمتاز بها الفرد العراقی علی وجه الخصوص من حیث تأثره بنهضة الإمام  علیه السلام فضلا عما اشترک به مع غیره من حیث التأثر واتخاذه درسا وعبرة تم ذکرها فی الصفحة عشرین</w:t>
      </w:r>
      <w:r>
        <w:rPr>
          <w:rFonts w:eastAsia="IRNazanin" w:cs="IRNazanin"/>
          <w:color w:val="111111"/>
          <w:sz w:val="28"/>
          <w:szCs w:val="28"/>
          <w:rtl w:val="true"/>
          <w:lang w:bidi="fa-IR"/>
        </w:rPr>
        <w:t>.</w:t>
      </w:r>
      <w:bookmarkStart w:id="85" w:name="pg2702_32855"/>
    </w:p>
    <w:p>
      <w:pPr>
        <w:pStyle w:val="Heading2"/>
        <w:numPr>
          <w:ilvl w:val="1"/>
          <w:numId w:val="1"/>
        </w:numPr>
        <w:rPr/>
      </w:pPr>
      <w:bookmarkStart w:id="86" w:name="__RefHeading___Toc1023008_1395250215"/>
      <w:bookmarkStart w:id="87" w:name="_Toc32"/>
      <w:bookmarkEnd w:id="85"/>
      <w:bookmarkEnd w:id="86"/>
      <w:r>
        <w:rPr>
          <w:rtl w:val="true"/>
        </w:rPr>
        <w:t>المحتویات</w:t>
      </w:r>
      <w:bookmarkEnd w:id="87"/>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خلود النهضة وأثرها علی مواقف الفرد العامة</w:t>
      </w:r>
    </w:p>
    <w:p>
      <w:pPr>
        <w:pStyle w:val="BookText"/>
        <w:rPr/>
      </w:pPr>
      <w:r>
        <w:rPr>
          <w:rFonts w:ascii="IRNazanin" w:hAnsi="IRNazanin" w:eastAsia="IRNazanin"/>
          <w:color w:val="111111"/>
          <w:sz w:val="28"/>
          <w:sz w:val="28"/>
          <w:szCs w:val="28"/>
          <w:rtl w:val="true"/>
          <w:lang w:bidi="fa-IR"/>
        </w:rPr>
        <w:t>تعریف النهضة</w:t>
      </w:r>
    </w:p>
    <w:p>
      <w:pPr>
        <w:pStyle w:val="BookText"/>
        <w:rPr/>
      </w:pPr>
      <w:r>
        <w:rPr>
          <w:rFonts w:ascii="Amiri" w:hAnsi="Amiri" w:eastAsia="Amiri" w:cs="Amiri"/>
          <w:color w:val="111111"/>
          <w:sz w:val="28"/>
          <w:sz w:val="28"/>
          <w:szCs w:val="28"/>
          <w:rtl w:val="true"/>
          <w:lang w:bidi="ar-SA"/>
        </w:rPr>
        <w:t>عوامل خلود النهضة</w:t>
      </w:r>
    </w:p>
    <w:p>
      <w:pPr>
        <w:pStyle w:val="BookText"/>
        <w:rPr/>
      </w:pPr>
      <w:r>
        <w:rPr>
          <w:rFonts w:ascii="IRNazanin" w:hAnsi="IRNazanin" w:eastAsia="IRNazanin"/>
          <w:color w:val="111111"/>
          <w:sz w:val="28"/>
          <w:sz w:val="28"/>
          <w:szCs w:val="28"/>
          <w:rtl w:val="true"/>
          <w:lang w:bidi="fa-IR"/>
        </w:rPr>
        <w:t>أهداف النهضة  وآثارها علی مواقف الفرد العامة</w:t>
      </w:r>
    </w:p>
    <w:p>
      <w:pPr>
        <w:pStyle w:val="BookText"/>
        <w:rPr/>
      </w:pPr>
      <w:r>
        <w:rPr>
          <w:rFonts w:ascii="IRNazanin" w:hAnsi="IRNazanin" w:eastAsia="IRNazanin"/>
          <w:color w:val="111111"/>
          <w:sz w:val="28"/>
          <w:sz w:val="28"/>
          <w:szCs w:val="28"/>
          <w:rtl w:val="true"/>
          <w:lang w:bidi="fa-IR"/>
        </w:rPr>
        <w:t>معطیات الأهداف</w:t>
      </w:r>
    </w:p>
    <w:p>
      <w:pPr>
        <w:pStyle w:val="BookText"/>
        <w:rPr/>
      </w:pPr>
      <w:r>
        <w:rPr>
          <w:rFonts w:ascii="IRNazanin" w:hAnsi="IRNazanin" w:eastAsia="IRNazanin"/>
          <w:color w:val="111111"/>
          <w:sz w:val="28"/>
          <w:sz w:val="28"/>
          <w:szCs w:val="28"/>
          <w:rtl w:val="true"/>
          <w:lang w:bidi="fa-IR"/>
        </w:rPr>
        <w:t>آثار النهضة  علی الفرد</w:t>
      </w:r>
    </w:p>
    <w:p>
      <w:pPr>
        <w:pStyle w:val="BookText"/>
        <w:rPr/>
      </w:pPr>
      <w:r>
        <w:rPr>
          <w:rFonts w:ascii="IRNazanin" w:hAnsi="IRNazanin" w:eastAsia="IRNazanin"/>
          <w:color w:val="111111"/>
          <w:sz w:val="28"/>
          <w:sz w:val="28"/>
          <w:szCs w:val="28"/>
          <w:rtl w:val="true"/>
          <w:lang w:bidi="fa-IR"/>
        </w:rPr>
        <w:t>آثار البعد العقائدی</w:t>
      </w:r>
    </w:p>
    <w:p>
      <w:pPr>
        <w:pStyle w:val="BookText"/>
        <w:rPr/>
      </w:pPr>
      <w:r>
        <w:rPr>
          <w:rFonts w:ascii="IRNazanin" w:hAnsi="IRNazanin" w:eastAsia="IRNazanin"/>
          <w:color w:val="111111"/>
          <w:sz w:val="28"/>
          <w:sz w:val="28"/>
          <w:szCs w:val="28"/>
          <w:rtl w:val="true"/>
          <w:lang w:bidi="fa-IR"/>
        </w:rPr>
        <w:t>آثار البعد الأخلاقی</w:t>
      </w:r>
    </w:p>
    <w:p>
      <w:pPr>
        <w:pStyle w:val="BookText"/>
        <w:rPr/>
      </w:pPr>
      <w:r>
        <w:rPr>
          <w:rFonts w:ascii="IRNazanin" w:hAnsi="IRNazanin" w:eastAsia="IRNazanin"/>
          <w:color w:val="111111"/>
          <w:sz w:val="28"/>
          <w:sz w:val="28"/>
          <w:szCs w:val="28"/>
          <w:rtl w:val="true"/>
          <w:lang w:bidi="fa-IR"/>
        </w:rPr>
        <w:t>الحیاة بعز</w:t>
      </w:r>
    </w:p>
    <w:p>
      <w:pPr>
        <w:pStyle w:val="BookText"/>
        <w:rPr/>
      </w:pPr>
      <w:r>
        <w:rPr>
          <w:rFonts w:ascii="IRNazanin" w:hAnsi="IRNazanin" w:eastAsia="IRNazanin"/>
          <w:color w:val="111111"/>
          <w:sz w:val="28"/>
          <w:sz w:val="28"/>
          <w:szCs w:val="28"/>
          <w:rtl w:val="true"/>
          <w:lang w:bidi="fa-IR"/>
        </w:rPr>
        <w:t>التوکل</w:t>
      </w:r>
    </w:p>
    <w:p>
      <w:pPr>
        <w:pStyle w:val="BookText"/>
        <w:rPr/>
      </w:pPr>
      <w:r>
        <w:rPr>
          <w:rFonts w:ascii="IRNazanin" w:hAnsi="IRNazanin" w:eastAsia="IRNazanin"/>
          <w:color w:val="111111"/>
          <w:sz w:val="28"/>
          <w:sz w:val="28"/>
          <w:szCs w:val="28"/>
          <w:rtl w:val="true"/>
          <w:lang w:bidi="fa-IR"/>
        </w:rPr>
        <w:t>الإیثار</w:t>
      </w:r>
    </w:p>
    <w:p>
      <w:pPr>
        <w:pStyle w:val="BookText"/>
        <w:rPr/>
      </w:pPr>
      <w:r>
        <w:rPr>
          <w:rFonts w:ascii="IRNazanin" w:hAnsi="IRNazanin" w:eastAsia="IRNazanin"/>
          <w:color w:val="111111"/>
          <w:sz w:val="28"/>
          <w:sz w:val="28"/>
          <w:szCs w:val="28"/>
          <w:rtl w:val="true"/>
          <w:lang w:bidi="fa-IR"/>
        </w:rPr>
        <w:t>رفض التمیز العنصری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معطیات النهضة</w:t>
      </w:r>
    </w:p>
    <w:p>
      <w:pPr>
        <w:pStyle w:val="BookText"/>
        <w:rPr/>
      </w:pPr>
      <w:r>
        <w:rPr>
          <w:rFonts w:ascii="IRNazanin" w:hAnsi="IRNazanin" w:eastAsia="IRNazanin"/>
          <w:color w:val="111111"/>
          <w:sz w:val="28"/>
          <w:sz w:val="28"/>
          <w:szCs w:val="28"/>
          <w:rtl w:val="true"/>
          <w:lang w:bidi="fa-IR"/>
        </w:rPr>
        <w:t>دورة المرأة فی النهضة</w:t>
      </w:r>
    </w:p>
    <w:p>
      <w:pPr>
        <w:pStyle w:val="BookText"/>
        <w:rPr/>
      </w:pPr>
      <w:r>
        <w:rPr>
          <w:rFonts w:ascii="IRNazanin" w:hAnsi="IRNazanin" w:eastAsia="IRNazanin"/>
          <w:color w:val="111111"/>
          <w:sz w:val="28"/>
          <w:sz w:val="28"/>
          <w:szCs w:val="28"/>
          <w:rtl w:val="true"/>
          <w:lang w:bidi="fa-IR"/>
        </w:rPr>
        <w:t>زینب العقیلة وتعدد الأدوار</w:t>
      </w:r>
    </w:p>
    <w:p>
      <w:pPr>
        <w:pStyle w:val="BookText"/>
        <w:rPr/>
      </w:pPr>
      <w:r>
        <w:rPr>
          <w:rFonts w:ascii="IRNazanin" w:hAnsi="IRNazanin" w:eastAsia="IRNazanin"/>
          <w:color w:val="111111"/>
          <w:sz w:val="28"/>
          <w:sz w:val="28"/>
          <w:szCs w:val="28"/>
          <w:rtl w:val="true"/>
          <w:lang w:bidi="fa-IR"/>
        </w:rPr>
        <w:t>الوقوف بوجه الطاغیة</w:t>
      </w:r>
    </w:p>
    <w:p>
      <w:pPr>
        <w:pStyle w:val="BookText"/>
        <w:rPr/>
      </w:pPr>
      <w:r>
        <w:rPr>
          <w:rFonts w:ascii="IRNazanin" w:hAnsi="IRNazanin" w:eastAsia="IRNazanin"/>
          <w:color w:val="111111"/>
          <w:sz w:val="28"/>
          <w:sz w:val="28"/>
          <w:szCs w:val="28"/>
          <w:rtl w:val="true"/>
          <w:lang w:bidi="fa-IR"/>
        </w:rPr>
        <w:t>الالتزام بالحجاب رغم کل شیء</w:t>
      </w:r>
    </w:p>
    <w:p>
      <w:pPr>
        <w:pStyle w:val="BookText"/>
        <w:rPr/>
      </w:pPr>
      <w:r>
        <w:rPr>
          <w:rFonts w:ascii="IRNazanin" w:hAnsi="IRNazanin" w:eastAsia="IRNazanin"/>
          <w:color w:val="111111"/>
          <w:sz w:val="28"/>
          <w:sz w:val="28"/>
          <w:szCs w:val="28"/>
          <w:rtl w:val="true"/>
          <w:lang w:bidi="fa-IR"/>
        </w:rPr>
        <w:t>زوجة زهیر بن القین</w:t>
      </w:r>
    </w:p>
    <w:p>
      <w:pPr>
        <w:pStyle w:val="BookText"/>
        <w:rPr/>
      </w:pPr>
      <w:r>
        <w:rPr>
          <w:rFonts w:ascii="IRNazanin" w:hAnsi="IRNazanin" w:eastAsia="IRNazanin"/>
          <w:color w:val="111111"/>
          <w:sz w:val="28"/>
          <w:sz w:val="28"/>
          <w:szCs w:val="28"/>
          <w:rtl w:val="true"/>
          <w:lang w:bidi="fa-IR"/>
        </w:rPr>
        <w:t>المرأة الشهیدة</w:t>
      </w:r>
    </w:p>
    <w:p>
      <w:pPr>
        <w:pStyle w:val="BookText"/>
        <w:rPr/>
      </w:pPr>
      <w:r>
        <w:rPr>
          <w:rFonts w:ascii="IRNazanin" w:hAnsi="IRNazanin" w:eastAsia="IRNazanin"/>
          <w:color w:val="111111"/>
          <w:sz w:val="28"/>
          <w:sz w:val="28"/>
          <w:szCs w:val="28"/>
          <w:rtl w:val="true"/>
          <w:lang w:bidi="fa-IR"/>
        </w:rPr>
        <w:t>ما به الامتیاز</w:t>
      </w:r>
    </w:p>
    <w:p>
      <w:pPr>
        <w:pStyle w:val="BookText"/>
        <w:rPr/>
      </w:pPr>
      <w:r>
        <w:rPr>
          <w:rFonts w:ascii="IRNazanin" w:hAnsi="IRNazanin" w:eastAsia="IRNazanin"/>
          <w:color w:val="111111"/>
          <w:sz w:val="28"/>
          <w:sz w:val="28"/>
          <w:szCs w:val="28"/>
          <w:rtl w:val="true"/>
          <w:lang w:bidi="fa-IR"/>
        </w:rPr>
        <w:t>تلخیص البحث</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ألخ</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الثورة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علی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فی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الثورة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علی الطبری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رسالة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والخوارزمی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نداءات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للحلی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الإمام الحسین للشیخ الشریفی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للنیسابوری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الإمام الحسین للشیخ الشریفی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الإمام الحسن للشیخ الشریفی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الإمام الحسین للشیخ الشریفی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الإمام الحسین للشیخ الشریفی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نداءات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الثورة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الثورة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علیه السلام للأزدی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6642</Words>
  <Characters>30197</Characters>
  <CharactersWithSpaces>36697</CharactersWithSpaces>
  <Paragraphs>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2026-08-17T13:19:54Z</dcterms:created>
  <dc:creator>ghaemiyeh.com</dc:creator>
  <dc:description/>
  <dc:language>en-US</dc:language>
  <cp:lastModifiedBy/>
  <dcterms:modified xsi:type="dcterms:W3CDTF">2026-08-17T16:49:56Z</dcterms:modified>
  <cp:revision>1</cp:revision>
  <dc:subject/>
  <dc:title>الامام حسین علیه السلام فی وجدان الفرد العراقی</dc:title>
</cp:coreProperties>
</file>

<file path=docProps/custom.xml><?xml version="1.0" encoding="utf-8"?>
<Properties xmlns="http://schemas.openxmlformats.org/officeDocument/2006/custom-properties" xmlns:vt="http://schemas.openxmlformats.org/officeDocument/2006/docPropsVTypes"/>
</file>