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رفتارشناسی امام رضا علیه السلام و فرقه های درون شیعی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9316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69318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69320_1395250215">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569322_1395250215">
            <w:r>
              <w:rPr>
                <w:webHidden/>
                <w:rStyle w:val="IndexLink"/>
                <w:rtl w:val="true"/>
              </w:rPr>
              <w:t>مقدمه</w:t>
            </w:r>
            <w:r>
              <w:rPr>
                <w:rStyle w:val="IndexLink"/>
                <w:rtl w:val="true"/>
              </w:rPr>
              <w:t>:</w:t>
              <w:tab/>
            </w:r>
            <w:r>
              <w:rPr>
                <w:rStyle w:val="IndexLink"/>
              </w:rPr>
              <w:t>10</w:t>
            </w:r>
          </w:hyperlink>
        </w:p>
        <w:p>
          <w:pPr>
            <w:pStyle w:val="Contents2"/>
            <w:tabs>
              <w:tab w:val="clear" w:pos="8743"/>
              <w:tab w:val="right" w:pos="9026" w:leader="dot"/>
            </w:tabs>
            <w:rPr/>
          </w:pPr>
          <w:hyperlink w:anchor="__RefHeading___Toc569324_1395250215">
            <w:r>
              <w:rPr>
                <w:webHidden/>
                <w:rStyle w:val="IndexLink"/>
                <w:rtl w:val="true"/>
              </w:rPr>
              <w:t>مروری بر فرقه‌ها و جریان‌های مختلف شیعی</w:t>
            </w:r>
            <w:r>
              <w:rPr>
                <w:rStyle w:val="IndexLink"/>
                <w:rtl w:val="true"/>
              </w:rPr>
              <w:tab/>
            </w:r>
            <w:r>
              <w:rPr>
                <w:rStyle w:val="IndexLink"/>
              </w:rPr>
              <w:t>15</w:t>
            </w:r>
          </w:hyperlink>
        </w:p>
        <w:p>
          <w:pPr>
            <w:pStyle w:val="Contents3"/>
            <w:tabs>
              <w:tab w:val="clear" w:pos="8459"/>
              <w:tab w:val="right" w:pos="9026" w:leader="dot"/>
            </w:tabs>
            <w:rPr/>
          </w:pPr>
          <w:hyperlink w:anchor="__RefHeading___Toc569326_1395250215">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569328_1395250215">
            <w:r>
              <w:rPr>
                <w:webHidden/>
                <w:rStyle w:val="IndexLink"/>
                <w:rtl w:val="true"/>
              </w:rPr>
              <w:t xml:space="preserve">- </w:t>
            </w:r>
            <w:r>
              <w:rPr>
                <w:rStyle w:val="IndexLink"/>
                <w:rtl w:val="true"/>
              </w:rPr>
              <w:t>غالیان</w:t>
            </w:r>
            <w:r>
              <w:rPr>
                <w:rStyle w:val="IndexLink"/>
                <w:rtl w:val="true"/>
              </w:rPr>
              <w:tab/>
            </w:r>
            <w:r>
              <w:rPr>
                <w:rStyle w:val="IndexLink"/>
              </w:rPr>
              <w:t>16</w:t>
            </w:r>
          </w:hyperlink>
        </w:p>
        <w:p>
          <w:pPr>
            <w:pStyle w:val="Contents3"/>
            <w:tabs>
              <w:tab w:val="clear" w:pos="8459"/>
              <w:tab w:val="right" w:pos="9026" w:leader="dot"/>
            </w:tabs>
            <w:rPr/>
          </w:pPr>
          <w:hyperlink w:anchor="__RefHeading___Toc569330_1395250215">
            <w:r>
              <w:rPr>
                <w:webHidden/>
                <w:rStyle w:val="IndexLink"/>
                <w:rtl w:val="true"/>
              </w:rPr>
              <w:t xml:space="preserve">- </w:t>
            </w:r>
            <w:r>
              <w:rPr>
                <w:rStyle w:val="IndexLink"/>
                <w:rtl w:val="true"/>
              </w:rPr>
              <w:t>کیسانیه</w:t>
            </w:r>
            <w:r>
              <w:rPr>
                <w:rStyle w:val="IndexLink"/>
                <w:rtl w:val="true"/>
              </w:rPr>
              <w:t>:</w:t>
              <w:tab/>
            </w:r>
            <w:r>
              <w:rPr>
                <w:rStyle w:val="IndexLink"/>
              </w:rPr>
              <w:t>19</w:t>
            </w:r>
          </w:hyperlink>
        </w:p>
        <w:p>
          <w:pPr>
            <w:pStyle w:val="Contents3"/>
            <w:tabs>
              <w:tab w:val="clear" w:pos="8459"/>
              <w:tab w:val="right" w:pos="9026" w:leader="dot"/>
            </w:tabs>
            <w:rPr/>
          </w:pPr>
          <w:hyperlink w:anchor="__RefHeading___Toc569332_1395250215">
            <w:r>
              <w:rPr>
                <w:webHidden/>
                <w:rStyle w:val="IndexLink"/>
                <w:rtl w:val="true"/>
              </w:rPr>
              <w:t xml:space="preserve">- </w:t>
            </w:r>
            <w:r>
              <w:rPr>
                <w:rStyle w:val="IndexLink"/>
                <w:rtl w:val="true"/>
              </w:rPr>
              <w:t>زیدیه</w:t>
            </w:r>
            <w:r>
              <w:rPr>
                <w:rStyle w:val="IndexLink"/>
                <w:rtl w:val="true"/>
              </w:rPr>
              <w:t>:</w:t>
              <w:tab/>
            </w:r>
            <w:r>
              <w:rPr>
                <w:rStyle w:val="IndexLink"/>
              </w:rPr>
              <w:t>22</w:t>
            </w:r>
          </w:hyperlink>
        </w:p>
        <w:p>
          <w:pPr>
            <w:pStyle w:val="Contents3"/>
            <w:tabs>
              <w:tab w:val="clear" w:pos="8459"/>
              <w:tab w:val="right" w:pos="9026" w:leader="dot"/>
            </w:tabs>
            <w:rPr/>
          </w:pPr>
          <w:hyperlink w:anchor="__RefHeading___Toc569334_1395250215">
            <w:r>
              <w:rPr>
                <w:webHidden/>
                <w:rStyle w:val="IndexLink"/>
                <w:rtl w:val="true"/>
              </w:rPr>
              <w:t xml:space="preserve">- </w:t>
            </w:r>
            <w:r>
              <w:rPr>
                <w:rStyle w:val="IndexLink"/>
                <w:rtl w:val="true"/>
              </w:rPr>
              <w:t>باقریه</w:t>
            </w:r>
            <w:r>
              <w:rPr>
                <w:rStyle w:val="IndexLink"/>
                <w:rtl w:val="true"/>
              </w:rPr>
              <w:t>:</w:t>
              <w:tab/>
            </w:r>
            <w:r>
              <w:rPr>
                <w:rStyle w:val="IndexLink"/>
              </w:rPr>
              <w:t>24</w:t>
            </w:r>
          </w:hyperlink>
        </w:p>
        <w:p>
          <w:pPr>
            <w:pStyle w:val="Contents3"/>
            <w:tabs>
              <w:tab w:val="clear" w:pos="8459"/>
              <w:tab w:val="right" w:pos="9026" w:leader="dot"/>
            </w:tabs>
            <w:rPr/>
          </w:pPr>
          <w:hyperlink w:anchor="__RefHeading___Toc569336_1395250215">
            <w:r>
              <w:rPr>
                <w:webHidden/>
                <w:rStyle w:val="IndexLink"/>
                <w:rtl w:val="true"/>
              </w:rPr>
              <w:t xml:space="preserve">- </w:t>
            </w:r>
            <w:r>
              <w:rPr>
                <w:rStyle w:val="IndexLink"/>
                <w:rtl w:val="true"/>
              </w:rPr>
              <w:t>ناووسیه</w:t>
            </w:r>
            <w:r>
              <w:rPr>
                <w:rStyle w:val="IndexLink"/>
                <w:rtl w:val="true"/>
              </w:rPr>
              <w:t>:</w:t>
              <w:tab/>
            </w:r>
            <w:r>
              <w:rPr>
                <w:rStyle w:val="IndexLink"/>
              </w:rPr>
              <w:t>24</w:t>
            </w:r>
          </w:hyperlink>
        </w:p>
        <w:p>
          <w:pPr>
            <w:pStyle w:val="Contents3"/>
            <w:tabs>
              <w:tab w:val="clear" w:pos="8459"/>
              <w:tab w:val="right" w:pos="9026" w:leader="dot"/>
            </w:tabs>
            <w:rPr/>
          </w:pPr>
          <w:hyperlink w:anchor="__RefHeading___Toc569338_1395250215">
            <w:r>
              <w:rPr>
                <w:webHidden/>
                <w:rStyle w:val="IndexLink"/>
                <w:rtl w:val="true"/>
              </w:rPr>
              <w:t xml:space="preserve">- </w:t>
            </w:r>
            <w:r>
              <w:rPr>
                <w:rStyle w:val="IndexLink"/>
                <w:rtl w:val="true"/>
              </w:rPr>
              <w:t>اسماعیلیة خالصه</w:t>
            </w:r>
            <w:r>
              <w:rPr>
                <w:rStyle w:val="IndexLink"/>
                <w:rtl w:val="true"/>
              </w:rPr>
              <w:t>:</w:t>
              <w:tab/>
            </w:r>
            <w:r>
              <w:rPr>
                <w:rStyle w:val="IndexLink"/>
              </w:rPr>
              <w:t>25</w:t>
            </w:r>
          </w:hyperlink>
        </w:p>
        <w:p>
          <w:pPr>
            <w:pStyle w:val="Contents3"/>
            <w:tabs>
              <w:tab w:val="clear" w:pos="8459"/>
              <w:tab w:val="right" w:pos="9026" w:leader="dot"/>
            </w:tabs>
            <w:rPr/>
          </w:pPr>
          <w:hyperlink w:anchor="__RefHeading___Toc569340_1395250215">
            <w:r>
              <w:rPr>
                <w:webHidden/>
                <w:rStyle w:val="IndexLink"/>
                <w:rtl w:val="true"/>
              </w:rPr>
              <w:t xml:space="preserve">- </w:t>
            </w:r>
            <w:r>
              <w:rPr>
                <w:rStyle w:val="IndexLink"/>
                <w:rtl w:val="true"/>
              </w:rPr>
              <w:t>مبارکیه</w:t>
            </w:r>
            <w:r>
              <w:rPr>
                <w:rStyle w:val="IndexLink"/>
                <w:rtl w:val="true"/>
              </w:rPr>
              <w:t>:</w:t>
              <w:tab/>
            </w:r>
            <w:r>
              <w:rPr>
                <w:rStyle w:val="IndexLink"/>
              </w:rPr>
              <w:t>26</w:t>
            </w:r>
          </w:hyperlink>
        </w:p>
        <w:p>
          <w:pPr>
            <w:pStyle w:val="Contents3"/>
            <w:tabs>
              <w:tab w:val="clear" w:pos="8459"/>
              <w:tab w:val="right" w:pos="9026" w:leader="dot"/>
            </w:tabs>
            <w:rPr/>
          </w:pPr>
          <w:hyperlink w:anchor="__RefHeading___Toc569342_1395250215">
            <w:r>
              <w:rPr>
                <w:webHidden/>
                <w:rStyle w:val="IndexLink"/>
                <w:rtl w:val="true"/>
              </w:rPr>
              <w:t xml:space="preserve">- </w:t>
            </w:r>
            <w:r>
              <w:rPr>
                <w:rStyle w:val="IndexLink"/>
                <w:rtl w:val="true"/>
              </w:rPr>
              <w:t>سمیطیه</w:t>
            </w:r>
            <w:r>
              <w:rPr>
                <w:rStyle w:val="IndexLink"/>
                <w:rtl w:val="true"/>
              </w:rPr>
              <w:t>:</w:t>
              <w:tab/>
            </w:r>
            <w:r>
              <w:rPr>
                <w:rStyle w:val="IndexLink"/>
              </w:rPr>
              <w:t>26</w:t>
            </w:r>
          </w:hyperlink>
        </w:p>
        <w:p>
          <w:pPr>
            <w:pStyle w:val="Contents3"/>
            <w:tabs>
              <w:tab w:val="clear" w:pos="8459"/>
              <w:tab w:val="right" w:pos="9026" w:leader="dot"/>
            </w:tabs>
            <w:rPr/>
          </w:pPr>
          <w:hyperlink w:anchor="__RefHeading___Toc569344_1395250215">
            <w:r>
              <w:rPr>
                <w:webHidden/>
                <w:rStyle w:val="IndexLink"/>
                <w:rtl w:val="true"/>
              </w:rPr>
              <w:t xml:space="preserve">- </w:t>
            </w:r>
            <w:r>
              <w:rPr>
                <w:rStyle w:val="IndexLink"/>
                <w:rtl w:val="true"/>
              </w:rPr>
              <w:t>فطحیه</w:t>
            </w:r>
            <w:r>
              <w:rPr>
                <w:rStyle w:val="IndexLink"/>
                <w:rtl w:val="true"/>
              </w:rPr>
              <w:t>:</w:t>
              <w:tab/>
            </w:r>
            <w:r>
              <w:rPr>
                <w:rStyle w:val="IndexLink"/>
              </w:rPr>
              <w:t>26</w:t>
            </w:r>
          </w:hyperlink>
        </w:p>
        <w:p>
          <w:pPr>
            <w:pStyle w:val="Contents3"/>
            <w:tabs>
              <w:tab w:val="clear" w:pos="8459"/>
              <w:tab w:val="right" w:pos="9026" w:leader="dot"/>
            </w:tabs>
            <w:rPr/>
          </w:pPr>
          <w:hyperlink w:anchor="__RefHeading___Toc569346_1395250215">
            <w:r>
              <w:rPr>
                <w:webHidden/>
                <w:rStyle w:val="IndexLink"/>
                <w:rtl w:val="true"/>
              </w:rPr>
              <w:t xml:space="preserve">- </w:t>
            </w:r>
            <w:r>
              <w:rPr>
                <w:rStyle w:val="IndexLink"/>
                <w:rtl w:val="true"/>
              </w:rPr>
              <w:t>واقفیه</w:t>
            </w:r>
            <w:r>
              <w:rPr>
                <w:rStyle w:val="IndexLink"/>
                <w:rtl w:val="true"/>
              </w:rPr>
              <w:t>:</w:t>
              <w:tab/>
            </w:r>
            <w:r>
              <w:rPr>
                <w:rStyle w:val="IndexLink"/>
              </w:rPr>
              <w:t>27</w:t>
            </w:r>
          </w:hyperlink>
        </w:p>
        <w:p>
          <w:pPr>
            <w:pStyle w:val="Contents2"/>
            <w:tabs>
              <w:tab w:val="clear" w:pos="8743"/>
              <w:tab w:val="right" w:pos="9026" w:leader="dot"/>
            </w:tabs>
            <w:rPr/>
          </w:pPr>
          <w:hyperlink w:anchor="__RefHeading___Toc569348_1395250215">
            <w:r>
              <w:rPr>
                <w:webHidden/>
                <w:rStyle w:val="IndexLink"/>
                <w:rtl w:val="true"/>
              </w:rPr>
              <w:t xml:space="preserve">وضعیت سیاسی و فرهنگی شیعیان در دوره امامت امام رضا </w:t>
            </w:r>
            <w:r>
              <w:rPr>
                <w:rStyle w:val="IndexLink"/>
                <w:rtl w:val="true"/>
              </w:rPr>
              <w:t>(</w:t>
            </w:r>
            <w:r>
              <w:rPr>
                <w:rStyle w:val="IndexLink"/>
                <w:rtl w:val="true"/>
              </w:rPr>
              <w:t>علیه السلام</w:t>
            </w:r>
            <w:r>
              <w:rPr>
                <w:rStyle w:val="IndexLink"/>
                <w:rtl w:val="true"/>
              </w:rPr>
              <w:t>)</w:t>
              <w:tab/>
            </w:r>
            <w:r>
              <w:rPr>
                <w:rStyle w:val="IndexLink"/>
              </w:rPr>
              <w:t>29</w:t>
            </w:r>
          </w:hyperlink>
        </w:p>
        <w:p>
          <w:pPr>
            <w:pStyle w:val="Contents3"/>
            <w:tabs>
              <w:tab w:val="clear" w:pos="8459"/>
              <w:tab w:val="right" w:pos="9026" w:leader="dot"/>
            </w:tabs>
            <w:rPr/>
          </w:pPr>
          <w:hyperlink w:anchor="__RefHeading___Toc569350_1395250215">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569352_1395250215">
            <w:r>
              <w:rPr>
                <w:webHidden/>
                <w:rStyle w:val="IndexLink"/>
                <w:rtl w:val="true"/>
              </w:rPr>
              <w:t xml:space="preserve">- </w:t>
            </w:r>
            <w:r>
              <w:rPr>
                <w:rStyle w:val="IndexLink"/>
                <w:rtl w:val="true"/>
              </w:rPr>
              <w:t xml:space="preserve">وضعیت سیاسی جامعة اسلامی معاصر امامت امام رضا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569354_1395250215">
            <w:r>
              <w:rPr>
                <w:webHidden/>
                <w:rStyle w:val="IndexLink"/>
                <w:rtl w:val="true"/>
              </w:rPr>
              <w:t xml:space="preserve">- </w:t>
            </w:r>
            <w:r>
              <w:rPr>
                <w:rStyle w:val="IndexLink"/>
                <w:rtl w:val="true"/>
              </w:rPr>
              <w:t xml:space="preserve">هارون </w:t>
            </w:r>
            <w:r>
              <w:rPr>
                <w:rStyle w:val="IndexLink"/>
                <w:rtl w:val="true"/>
              </w:rPr>
              <w:t>(</w:t>
            </w:r>
            <w:r>
              <w:rPr>
                <w:rStyle w:val="IndexLink"/>
              </w:rPr>
              <w:t>170</w:t>
            </w:r>
            <w:r>
              <w:rPr>
                <w:rStyle w:val="IndexLink"/>
                <w:rtl w:val="true"/>
              </w:rPr>
              <w:t xml:space="preserve"> </w:t>
            </w:r>
            <w:r>
              <w:rPr>
                <w:rStyle w:val="IndexLink"/>
                <w:rtl w:val="true"/>
              </w:rPr>
              <w:t xml:space="preserve">ـ </w:t>
            </w:r>
            <w:r>
              <w:rPr>
                <w:rStyle w:val="IndexLink"/>
              </w:rPr>
              <w:t>193</w:t>
            </w:r>
            <w:r>
              <w:rPr>
                <w:rStyle w:val="IndexLink"/>
                <w:rtl w:val="true"/>
              </w:rPr>
              <w:t xml:space="preserve"> </w:t>
            </w:r>
            <w:r>
              <w:rPr>
                <w:rStyle w:val="IndexLink"/>
                <w:rtl w:val="true"/>
              </w:rPr>
              <w:t>هـ</w:t>
            </w:r>
            <w:r>
              <w:rPr>
                <w:rStyle w:val="IndexLink"/>
                <w:rtl w:val="true"/>
              </w:rPr>
              <w:t>.</w:t>
            </w:r>
            <w:r>
              <w:rPr>
                <w:rStyle w:val="IndexLink"/>
                <w:rtl w:val="true"/>
              </w:rPr>
              <w:t>ق</w:t>
            </w:r>
            <w:r>
              <w:rPr>
                <w:rStyle w:val="IndexLink"/>
                <w:rtl w:val="true"/>
              </w:rPr>
              <w:t>)</w:t>
              <w:tab/>
            </w:r>
            <w:r>
              <w:rPr>
                <w:rStyle w:val="IndexLink"/>
              </w:rPr>
              <w:t>32</w:t>
            </w:r>
          </w:hyperlink>
        </w:p>
        <w:p>
          <w:pPr>
            <w:pStyle w:val="Contents3"/>
            <w:tabs>
              <w:tab w:val="clear" w:pos="8459"/>
              <w:tab w:val="right" w:pos="9026" w:leader="dot"/>
            </w:tabs>
            <w:rPr/>
          </w:pPr>
          <w:hyperlink w:anchor="__RefHeading___Toc569356_1395250215">
            <w:r>
              <w:rPr>
                <w:webHidden/>
                <w:rStyle w:val="IndexLink"/>
                <w:rtl w:val="true"/>
              </w:rPr>
              <w:t xml:space="preserve">ـ امین </w:t>
            </w:r>
            <w:r>
              <w:rPr>
                <w:rStyle w:val="IndexLink"/>
                <w:rtl w:val="true"/>
              </w:rPr>
              <w:t>(</w:t>
            </w:r>
            <w:r>
              <w:rPr>
                <w:rStyle w:val="IndexLink"/>
              </w:rPr>
              <w:t>193</w:t>
            </w:r>
            <w:r>
              <w:rPr>
                <w:rStyle w:val="IndexLink"/>
                <w:rtl w:val="true"/>
              </w:rPr>
              <w:t xml:space="preserve"> </w:t>
            </w:r>
            <w:r>
              <w:rPr>
                <w:rStyle w:val="IndexLink"/>
                <w:rtl w:val="true"/>
              </w:rPr>
              <w:t xml:space="preserve">ـ </w:t>
            </w:r>
            <w:r>
              <w:rPr>
                <w:rStyle w:val="IndexLink"/>
              </w:rPr>
              <w:t>198</w:t>
            </w:r>
            <w:r>
              <w:rPr>
                <w:rStyle w:val="IndexLink"/>
                <w:rtl w:val="true"/>
              </w:rPr>
              <w:t xml:space="preserve"> </w:t>
            </w:r>
            <w:r>
              <w:rPr>
                <w:rStyle w:val="IndexLink"/>
                <w:rtl w:val="true"/>
              </w:rPr>
              <w:t>هـ</w:t>
            </w:r>
            <w:r>
              <w:rPr>
                <w:rStyle w:val="IndexLink"/>
                <w:rtl w:val="true"/>
              </w:rPr>
              <w:t>.</w:t>
            </w:r>
            <w:r>
              <w:rPr>
                <w:rStyle w:val="IndexLink"/>
                <w:rtl w:val="true"/>
              </w:rPr>
              <w:t>ق</w:t>
            </w:r>
            <w:r>
              <w:rPr>
                <w:rStyle w:val="IndexLink"/>
                <w:rtl w:val="true"/>
              </w:rPr>
              <w:t>)</w:t>
              <w:tab/>
            </w:r>
            <w:r>
              <w:rPr>
                <w:rStyle w:val="IndexLink"/>
              </w:rPr>
              <w:t>36</w:t>
            </w:r>
          </w:hyperlink>
        </w:p>
        <w:p>
          <w:pPr>
            <w:pStyle w:val="Contents3"/>
            <w:tabs>
              <w:tab w:val="clear" w:pos="8459"/>
              <w:tab w:val="right" w:pos="9026" w:leader="dot"/>
            </w:tabs>
            <w:rPr/>
          </w:pPr>
          <w:hyperlink w:anchor="__RefHeading___Toc569358_1395250215">
            <w:r>
              <w:rPr>
                <w:webHidden/>
                <w:rStyle w:val="IndexLink"/>
                <w:rtl w:val="true"/>
              </w:rPr>
              <w:t xml:space="preserve">ـ مأمون </w:t>
            </w:r>
            <w:r>
              <w:rPr>
                <w:rStyle w:val="IndexLink"/>
                <w:rtl w:val="true"/>
              </w:rPr>
              <w:t>(</w:t>
            </w:r>
            <w:r>
              <w:rPr>
                <w:rStyle w:val="IndexLink"/>
              </w:rPr>
              <w:t>198</w:t>
            </w:r>
            <w:r>
              <w:rPr>
                <w:rStyle w:val="IndexLink"/>
                <w:rtl w:val="true"/>
              </w:rPr>
              <w:t xml:space="preserve"> </w:t>
            </w:r>
            <w:r>
              <w:rPr>
                <w:rStyle w:val="IndexLink"/>
                <w:rtl w:val="true"/>
              </w:rPr>
              <w:t xml:space="preserve">ـ </w:t>
            </w:r>
            <w:r>
              <w:rPr>
                <w:rStyle w:val="IndexLink"/>
              </w:rPr>
              <w:t>218</w:t>
            </w:r>
            <w:r>
              <w:rPr>
                <w:rStyle w:val="IndexLink"/>
                <w:rtl w:val="true"/>
              </w:rPr>
              <w:t xml:space="preserve"> </w:t>
            </w:r>
            <w:r>
              <w:rPr>
                <w:rStyle w:val="IndexLink"/>
                <w:rtl w:val="true"/>
              </w:rPr>
              <w:t>هـ</w:t>
            </w:r>
            <w:r>
              <w:rPr>
                <w:rStyle w:val="IndexLink"/>
                <w:rtl w:val="true"/>
              </w:rPr>
              <w:t>.</w:t>
            </w:r>
            <w:r>
              <w:rPr>
                <w:rStyle w:val="IndexLink"/>
                <w:rtl w:val="true"/>
              </w:rPr>
              <w:t>ق</w:t>
            </w:r>
            <w:r>
              <w:rPr>
                <w:rStyle w:val="IndexLink"/>
                <w:rtl w:val="true"/>
              </w:rPr>
              <w:t>)</w:t>
              <w:tab/>
            </w:r>
            <w:r>
              <w:rPr>
                <w:rStyle w:val="IndexLink"/>
              </w:rPr>
              <w:t>38</w:t>
            </w:r>
          </w:hyperlink>
        </w:p>
        <w:p>
          <w:pPr>
            <w:pStyle w:val="Contents3"/>
            <w:tabs>
              <w:tab w:val="clear" w:pos="8459"/>
              <w:tab w:val="right" w:pos="9026" w:leader="dot"/>
            </w:tabs>
            <w:rPr/>
          </w:pPr>
          <w:hyperlink w:anchor="__RefHeading___Toc569360_1395250215">
            <w:r>
              <w:rPr>
                <w:webHidden/>
                <w:rStyle w:val="IndexLink"/>
                <w:rtl w:val="true"/>
              </w:rPr>
              <w:t xml:space="preserve">- </w:t>
            </w:r>
            <w:r>
              <w:rPr>
                <w:rStyle w:val="IndexLink"/>
                <w:rtl w:val="true"/>
              </w:rPr>
              <w:t xml:space="preserve">وضعیت فرهنگی جامعة اسلامی معاصر امامت امام </w:t>
            </w:r>
            <w:r>
              <w:rPr>
                <w:rStyle w:val="IndexLink"/>
                <w:rtl w:val="true"/>
              </w:rPr>
              <w:t>(</w:t>
            </w:r>
            <w:r>
              <w:rPr>
                <w:rStyle w:val="IndexLink"/>
                <w:rtl w:val="true"/>
              </w:rPr>
              <w:t>علیه 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569362_1395250215">
            <w:r>
              <w:rPr>
                <w:webHidden/>
                <w:rStyle w:val="IndexLink"/>
                <w:rtl w:val="true"/>
              </w:rPr>
              <w:t xml:space="preserve">- </w:t>
            </w:r>
            <w:r>
              <w:rPr>
                <w:rStyle w:val="IndexLink"/>
                <w:rtl w:val="true"/>
              </w:rPr>
              <w:t xml:space="preserve">وضعیت سیاسی شیعیان در دورة امامت امام رضا </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569364_1395250215">
            <w:r>
              <w:rPr>
                <w:webHidden/>
                <w:rStyle w:val="IndexLink"/>
                <w:rtl w:val="true"/>
              </w:rPr>
              <w:t xml:space="preserve">- </w:t>
            </w:r>
            <w:r>
              <w:rPr>
                <w:rStyle w:val="IndexLink"/>
                <w:rtl w:val="true"/>
              </w:rPr>
              <w:t xml:space="preserve">وضعیت فرهنگی شیعیان در زمان امامت امام رضا </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2"/>
            <w:tabs>
              <w:tab w:val="clear" w:pos="8743"/>
              <w:tab w:val="right" w:pos="9026" w:leader="dot"/>
            </w:tabs>
            <w:rPr/>
          </w:pPr>
          <w:hyperlink w:anchor="__RefHeading___Toc569366_1395250215">
            <w:r>
              <w:rPr>
                <w:webHidden/>
                <w:rStyle w:val="IndexLink"/>
                <w:rtl w:val="true"/>
              </w:rPr>
              <w:t xml:space="preserve">تعامل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با فرقه زیدیه</w:t>
            </w:r>
            <w:r>
              <w:rPr>
                <w:rStyle w:val="IndexLink"/>
                <w:rtl w:val="true"/>
              </w:rPr>
              <w:tab/>
            </w:r>
            <w:r>
              <w:rPr>
                <w:rStyle w:val="IndexLink"/>
              </w:rPr>
              <w:t>69</w:t>
            </w:r>
          </w:hyperlink>
        </w:p>
        <w:p>
          <w:pPr>
            <w:pStyle w:val="Contents3"/>
            <w:tabs>
              <w:tab w:val="clear" w:pos="8459"/>
              <w:tab w:val="right" w:pos="9026" w:leader="dot"/>
            </w:tabs>
            <w:rPr/>
          </w:pPr>
          <w:hyperlink w:anchor="__RefHeading___Toc569368_1395250215">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569370_1395250215">
            <w:r>
              <w:rPr>
                <w:webHidden/>
                <w:rStyle w:val="IndexLink"/>
                <w:rtl w:val="true"/>
              </w:rPr>
              <w:t xml:space="preserve">- </w:t>
            </w:r>
            <w:r>
              <w:rPr>
                <w:rStyle w:val="IndexLink"/>
                <w:rtl w:val="true"/>
              </w:rPr>
              <w:t xml:space="preserve">تعامل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با زیدیه پیش از ولایت عهدی</w:t>
            </w:r>
            <w:r>
              <w:rPr>
                <w:rStyle w:val="IndexLink"/>
                <w:rtl w:val="true"/>
              </w:rPr>
              <w:t>:</w:t>
              <w:tab/>
            </w:r>
            <w:r>
              <w:rPr>
                <w:rStyle w:val="IndexLink"/>
              </w:rPr>
              <w:t>71</w:t>
            </w:r>
          </w:hyperlink>
        </w:p>
        <w:p>
          <w:pPr>
            <w:pStyle w:val="Contents4"/>
            <w:tabs>
              <w:tab w:val="clear" w:pos="8176"/>
              <w:tab w:val="right" w:pos="9026" w:leader="dot"/>
            </w:tabs>
            <w:rPr/>
          </w:pPr>
          <w:hyperlink w:anchor="__RefHeading___Toc569372_1395250215">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569374_1395250215">
            <w:r>
              <w:rPr>
                <w:webHidden/>
                <w:rStyle w:val="IndexLink"/>
              </w:rPr>
              <w:t>1</w:t>
            </w:r>
            <w:r>
              <w:rPr>
                <w:rStyle w:val="IndexLink"/>
                <w:rtl w:val="true"/>
              </w:rPr>
              <w:t xml:space="preserve">. </w:t>
            </w:r>
            <w:r>
              <w:rPr>
                <w:rStyle w:val="IndexLink"/>
                <w:rtl w:val="true"/>
              </w:rPr>
              <w:t>قیام ابن طباطبا</w:t>
            </w:r>
            <w:r>
              <w:rPr>
                <w:rStyle w:val="IndexLink"/>
                <w:rtl w:val="true"/>
              </w:rPr>
              <w:tab/>
            </w:r>
            <w:r>
              <w:rPr>
                <w:rStyle w:val="IndexLink"/>
              </w:rPr>
              <w:t>72</w:t>
            </w:r>
          </w:hyperlink>
        </w:p>
        <w:p>
          <w:pPr>
            <w:pStyle w:val="Contents4"/>
            <w:tabs>
              <w:tab w:val="clear" w:pos="8176"/>
              <w:tab w:val="right" w:pos="9026" w:leader="dot"/>
            </w:tabs>
            <w:rPr/>
          </w:pPr>
          <w:hyperlink w:anchor="__RefHeading___Toc569376_1395250215">
            <w:r>
              <w:rPr>
                <w:webHidden/>
                <w:rStyle w:val="IndexLink"/>
              </w:rPr>
              <w:t>2</w:t>
            </w:r>
            <w:r>
              <w:rPr>
                <w:rStyle w:val="IndexLink"/>
                <w:rtl w:val="true"/>
              </w:rPr>
              <w:t xml:space="preserve">. </w:t>
            </w:r>
            <w:r>
              <w:rPr>
                <w:rStyle w:val="IndexLink"/>
                <w:rtl w:val="true"/>
              </w:rPr>
              <w:t>قیام محمد دیباج</w:t>
            </w:r>
            <w:r>
              <w:rPr>
                <w:rStyle w:val="IndexLink"/>
                <w:rtl w:val="true"/>
              </w:rPr>
              <w:tab/>
            </w:r>
            <w:r>
              <w:rPr>
                <w:rStyle w:val="IndexLink"/>
              </w:rPr>
              <w:t>77</w:t>
            </w:r>
          </w:hyperlink>
        </w:p>
        <w:p>
          <w:pPr>
            <w:pStyle w:val="Contents4"/>
            <w:tabs>
              <w:tab w:val="clear" w:pos="8176"/>
              <w:tab w:val="right" w:pos="9026" w:leader="dot"/>
            </w:tabs>
            <w:rPr/>
          </w:pPr>
          <w:hyperlink w:anchor="__RefHeading___Toc569378_1395250215">
            <w:r>
              <w:rPr>
                <w:webHidden/>
                <w:rStyle w:val="IndexLink"/>
              </w:rPr>
              <w:t>3</w:t>
            </w:r>
            <w:r>
              <w:rPr>
                <w:rStyle w:val="IndexLink"/>
                <w:rtl w:val="true"/>
              </w:rPr>
              <w:t xml:space="preserve">. </w:t>
            </w:r>
            <w:r>
              <w:rPr>
                <w:rStyle w:val="IndexLink"/>
                <w:rtl w:val="true"/>
              </w:rPr>
              <w:t>قیام حسین بن حسن افطس</w:t>
            </w:r>
            <w:r>
              <w:rPr>
                <w:rStyle w:val="IndexLink"/>
                <w:rtl w:val="true"/>
              </w:rPr>
              <w:tab/>
            </w:r>
            <w:r>
              <w:rPr>
                <w:rStyle w:val="IndexLink"/>
              </w:rPr>
              <w:t>80</w:t>
            </w:r>
          </w:hyperlink>
        </w:p>
        <w:p>
          <w:pPr>
            <w:pStyle w:val="Contents4"/>
            <w:tabs>
              <w:tab w:val="clear" w:pos="8176"/>
              <w:tab w:val="right" w:pos="9026" w:leader="dot"/>
            </w:tabs>
            <w:rPr/>
          </w:pPr>
          <w:hyperlink w:anchor="__RefHeading___Toc569380_1395250215">
            <w:r>
              <w:rPr>
                <w:webHidden/>
                <w:rStyle w:val="IndexLink"/>
              </w:rPr>
              <w:t>4</w:t>
            </w:r>
            <w:r>
              <w:rPr>
                <w:rStyle w:val="IndexLink"/>
                <w:rtl w:val="true"/>
              </w:rPr>
              <w:t xml:space="preserve">. </w:t>
            </w:r>
            <w:r>
              <w:rPr>
                <w:rStyle w:val="IndexLink"/>
                <w:rtl w:val="true"/>
              </w:rPr>
              <w:t>قیام ابراهیم</w:t>
            </w:r>
            <w:r>
              <w:rPr>
                <w:rStyle w:val="IndexLink"/>
                <w:rtl w:val="true"/>
              </w:rPr>
              <w:tab/>
            </w:r>
            <w:r>
              <w:rPr>
                <w:rStyle w:val="IndexLink"/>
              </w:rPr>
              <w:t>81</w:t>
            </w:r>
          </w:hyperlink>
        </w:p>
        <w:p>
          <w:pPr>
            <w:pStyle w:val="Contents4"/>
            <w:tabs>
              <w:tab w:val="clear" w:pos="8176"/>
              <w:tab w:val="right" w:pos="9026" w:leader="dot"/>
            </w:tabs>
            <w:rPr/>
          </w:pPr>
          <w:hyperlink w:anchor="__RefHeading___Toc569382_1395250215">
            <w:r>
              <w:rPr>
                <w:webHidden/>
                <w:rStyle w:val="IndexLink"/>
              </w:rPr>
              <w:t>5</w:t>
            </w:r>
            <w:r>
              <w:rPr>
                <w:rStyle w:val="IndexLink"/>
                <w:rtl w:val="true"/>
              </w:rPr>
              <w:t xml:space="preserve">. </w:t>
            </w:r>
            <w:r>
              <w:rPr>
                <w:rStyle w:val="IndexLink"/>
                <w:rtl w:val="true"/>
              </w:rPr>
              <w:t xml:space="preserve">قیام زید فرزند امام موسی بن جعفر </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569384_1395250215">
            <w:r>
              <w:rPr>
                <w:webHidden/>
                <w:rStyle w:val="IndexLink"/>
                <w:rtl w:val="true"/>
              </w:rPr>
              <w:t xml:space="preserve">- </w:t>
            </w:r>
            <w:r>
              <w:rPr>
                <w:rStyle w:val="IndexLink"/>
                <w:rtl w:val="true"/>
              </w:rPr>
              <w:t xml:space="preserve">تعامل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با زیدیه، پس از ولایت عهدی</w:t>
            </w:r>
            <w:r>
              <w:rPr>
                <w:rStyle w:val="IndexLink"/>
                <w:rtl w:val="true"/>
              </w:rPr>
              <w:t>:</w:t>
              <w:tab/>
            </w:r>
            <w:r>
              <w:rPr>
                <w:rStyle w:val="IndexLink"/>
              </w:rPr>
              <w:t>84</w:t>
            </w:r>
          </w:hyperlink>
        </w:p>
        <w:p>
          <w:pPr>
            <w:pStyle w:val="Contents4"/>
            <w:tabs>
              <w:tab w:val="clear" w:pos="8176"/>
              <w:tab w:val="right" w:pos="9026" w:leader="dot"/>
            </w:tabs>
            <w:rPr/>
          </w:pPr>
          <w:hyperlink w:anchor="__RefHeading___Toc569386_1395250215">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569388_1395250215">
            <w:r>
              <w:rPr>
                <w:webHidden/>
                <w:rStyle w:val="IndexLink"/>
                <w:rtl w:val="true"/>
              </w:rPr>
              <w:t>الف</w:t>
            </w:r>
            <w:r>
              <w:rPr>
                <w:rStyle w:val="IndexLink"/>
                <w:rtl w:val="true"/>
              </w:rPr>
              <w:t xml:space="preserve">) </w:t>
            </w:r>
            <w:r>
              <w:rPr>
                <w:rStyle w:val="IndexLink"/>
                <w:rtl w:val="true"/>
              </w:rPr>
              <w:t xml:space="preserve">تعامل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با قیام زید النار</w:t>
            </w:r>
            <w:r>
              <w:rPr>
                <w:rStyle w:val="IndexLink"/>
                <w:rtl w:val="true"/>
              </w:rPr>
              <w:tab/>
            </w:r>
            <w:r>
              <w:rPr>
                <w:rStyle w:val="IndexLink"/>
              </w:rPr>
              <w:t>85</w:t>
            </w:r>
          </w:hyperlink>
        </w:p>
        <w:p>
          <w:pPr>
            <w:pStyle w:val="Contents5"/>
            <w:tabs>
              <w:tab w:val="clear" w:pos="7892"/>
              <w:tab w:val="right" w:pos="9026" w:leader="dot"/>
            </w:tabs>
            <w:rPr/>
          </w:pPr>
          <w:hyperlink w:anchor="__RefHeading___Toc569390_1395250215">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569392_1395250215">
            <w:r>
              <w:rPr>
                <w:webHidden/>
                <w:rStyle w:val="IndexLink"/>
              </w:rPr>
              <w:t>1</w:t>
            </w:r>
            <w:r>
              <w:rPr>
                <w:rStyle w:val="IndexLink"/>
                <w:rtl w:val="true"/>
              </w:rPr>
              <w:t xml:space="preserve">. </w:t>
            </w:r>
            <w:r>
              <w:rPr>
                <w:rStyle w:val="IndexLink"/>
                <w:rtl w:val="true"/>
              </w:rPr>
              <w:t xml:space="preserve">گفتگوی امام </w:t>
            </w:r>
            <w:r>
              <w:rPr>
                <w:rStyle w:val="IndexLink"/>
                <w:rtl w:val="true"/>
              </w:rPr>
              <w:t>(</w:t>
            </w:r>
            <w:r>
              <w:rPr>
                <w:rStyle w:val="IndexLink"/>
                <w:rtl w:val="true"/>
              </w:rPr>
              <w:t>علیه السلام</w:t>
            </w:r>
            <w:r>
              <w:rPr>
                <w:rStyle w:val="IndexLink"/>
                <w:rtl w:val="true"/>
              </w:rPr>
              <w:t xml:space="preserve">) </w:t>
            </w:r>
            <w:r>
              <w:rPr>
                <w:rStyle w:val="IndexLink"/>
                <w:rtl w:val="true"/>
              </w:rPr>
              <w:t>با مأمون</w:t>
            </w:r>
            <w:r>
              <w:rPr>
                <w:rStyle w:val="IndexLink"/>
                <w:rtl w:val="true"/>
              </w:rPr>
              <w:tab/>
            </w:r>
            <w:r>
              <w:rPr>
                <w:rStyle w:val="IndexLink"/>
              </w:rPr>
              <w:t>85</w:t>
            </w:r>
          </w:hyperlink>
        </w:p>
        <w:p>
          <w:pPr>
            <w:pStyle w:val="Contents5"/>
            <w:tabs>
              <w:tab w:val="clear" w:pos="7892"/>
              <w:tab w:val="right" w:pos="9026" w:leader="dot"/>
            </w:tabs>
            <w:rPr/>
          </w:pPr>
          <w:hyperlink w:anchor="__RefHeading___Toc569394_1395250215">
            <w:r>
              <w:rPr>
                <w:webHidden/>
                <w:rStyle w:val="IndexLink"/>
              </w:rPr>
              <w:t>2</w:t>
            </w:r>
            <w:r>
              <w:rPr>
                <w:rStyle w:val="IndexLink"/>
                <w:rtl w:val="true"/>
              </w:rPr>
              <w:t xml:space="preserve">. </w:t>
            </w:r>
            <w:r>
              <w:rPr>
                <w:rStyle w:val="IndexLink"/>
                <w:rtl w:val="true"/>
              </w:rPr>
              <w:t xml:space="preserve">گفتگوی امام </w:t>
            </w:r>
            <w:r>
              <w:rPr>
                <w:rStyle w:val="IndexLink"/>
                <w:rtl w:val="true"/>
              </w:rPr>
              <w:t>(</w:t>
            </w:r>
            <w:r>
              <w:rPr>
                <w:rStyle w:val="IndexLink"/>
                <w:rtl w:val="true"/>
              </w:rPr>
              <w:t>علیه السلام</w:t>
            </w:r>
            <w:r>
              <w:rPr>
                <w:rStyle w:val="IndexLink"/>
                <w:rtl w:val="true"/>
              </w:rPr>
              <w:t xml:space="preserve">) </w:t>
            </w:r>
            <w:r>
              <w:rPr>
                <w:rStyle w:val="IndexLink"/>
                <w:rtl w:val="true"/>
              </w:rPr>
              <w:t>با زید</w:t>
            </w:r>
            <w:r>
              <w:rPr>
                <w:rStyle w:val="IndexLink"/>
                <w:rtl w:val="true"/>
              </w:rPr>
              <w:tab/>
            </w:r>
            <w:r>
              <w:rPr>
                <w:rStyle w:val="IndexLink"/>
              </w:rPr>
              <w:t>88</w:t>
            </w:r>
          </w:hyperlink>
        </w:p>
        <w:p>
          <w:pPr>
            <w:pStyle w:val="Contents4"/>
            <w:tabs>
              <w:tab w:val="clear" w:pos="8176"/>
              <w:tab w:val="right" w:pos="9026" w:leader="dot"/>
            </w:tabs>
            <w:rPr/>
          </w:pPr>
          <w:hyperlink w:anchor="__RefHeading___Toc569396_1395250215">
            <w:r>
              <w:rPr>
                <w:webHidden/>
                <w:rStyle w:val="IndexLink"/>
                <w:rtl w:val="true"/>
              </w:rPr>
              <w:t>ب</w:t>
            </w:r>
            <w:r>
              <w:rPr>
                <w:rStyle w:val="IndexLink"/>
                <w:rtl w:val="true"/>
              </w:rPr>
              <w:t xml:space="preserve">) </w:t>
            </w:r>
            <w:r>
              <w:rPr>
                <w:rStyle w:val="IndexLink"/>
                <w:rtl w:val="true"/>
              </w:rPr>
              <w:t xml:space="preserve">آثار ولایت عهدی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بر فرقۀ زیدیه</w:t>
            </w:r>
            <w:r>
              <w:rPr>
                <w:rStyle w:val="IndexLink"/>
                <w:rtl w:val="true"/>
              </w:rPr>
              <w:tab/>
            </w:r>
            <w:r>
              <w:rPr>
                <w:rStyle w:val="IndexLink"/>
              </w:rPr>
              <w:t>90</w:t>
            </w:r>
          </w:hyperlink>
        </w:p>
        <w:p>
          <w:pPr>
            <w:pStyle w:val="Contents2"/>
            <w:tabs>
              <w:tab w:val="clear" w:pos="8743"/>
              <w:tab w:val="right" w:pos="9026" w:leader="dot"/>
            </w:tabs>
            <w:rPr/>
          </w:pPr>
          <w:hyperlink w:anchor="__RefHeading___Toc569398_1395250215">
            <w:r>
              <w:rPr>
                <w:webHidden/>
                <w:rStyle w:val="IndexLink"/>
                <w:rtl w:val="true"/>
              </w:rPr>
              <w:t xml:space="preserve">تعامل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با فرقة اسماعیلیه</w:t>
            </w:r>
            <w:r>
              <w:rPr>
                <w:rStyle w:val="IndexLink"/>
                <w:rtl w:val="true"/>
              </w:rPr>
              <w:tab/>
            </w:r>
            <w:r>
              <w:rPr>
                <w:rStyle w:val="IndexLink"/>
              </w:rPr>
              <w:t>92</w:t>
            </w:r>
          </w:hyperlink>
        </w:p>
        <w:p>
          <w:pPr>
            <w:pStyle w:val="Contents2"/>
            <w:tabs>
              <w:tab w:val="clear" w:pos="8743"/>
              <w:tab w:val="right" w:pos="9026" w:leader="dot"/>
            </w:tabs>
            <w:rPr/>
          </w:pPr>
          <w:hyperlink w:anchor="__RefHeading___Toc569400_1395250215">
            <w:r>
              <w:rPr>
                <w:webHidden/>
                <w:rStyle w:val="IndexLink"/>
                <w:rtl w:val="true"/>
              </w:rPr>
              <w:t xml:space="preserve">تعامل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با فرقه فطحیه</w:t>
            </w:r>
            <w:r>
              <w:rPr>
                <w:rStyle w:val="IndexLink"/>
                <w:rtl w:val="true"/>
              </w:rPr>
              <w:tab/>
            </w:r>
            <w:r>
              <w:rPr>
                <w:rStyle w:val="IndexLink"/>
              </w:rPr>
              <w:t>95</w:t>
            </w:r>
          </w:hyperlink>
        </w:p>
        <w:p>
          <w:pPr>
            <w:pStyle w:val="Contents2"/>
            <w:tabs>
              <w:tab w:val="clear" w:pos="8743"/>
              <w:tab w:val="right" w:pos="9026" w:leader="dot"/>
            </w:tabs>
            <w:rPr/>
          </w:pPr>
          <w:hyperlink w:anchor="__RefHeading___Toc569402_1395250215">
            <w:r>
              <w:rPr>
                <w:webHidden/>
                <w:rStyle w:val="IndexLink"/>
                <w:rtl w:val="true"/>
              </w:rPr>
              <w:t xml:space="preserve">تعامل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با فرقة واقفیه</w:t>
            </w:r>
            <w:r>
              <w:rPr>
                <w:rStyle w:val="IndexLink"/>
                <w:rtl w:val="true"/>
              </w:rPr>
              <w:tab/>
            </w:r>
            <w:r>
              <w:rPr>
                <w:rStyle w:val="IndexLink"/>
              </w:rPr>
              <w:t>100</w:t>
            </w:r>
          </w:hyperlink>
        </w:p>
        <w:p>
          <w:pPr>
            <w:pStyle w:val="Contents3"/>
            <w:tabs>
              <w:tab w:val="clear" w:pos="8459"/>
              <w:tab w:val="right" w:pos="9026" w:leader="dot"/>
            </w:tabs>
            <w:rPr/>
          </w:pPr>
          <w:hyperlink w:anchor="__RefHeading___Toc569404_1395250215">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569406_1395250215">
            <w:r>
              <w:rPr>
                <w:webHidden/>
                <w:rStyle w:val="IndexLink"/>
                <w:rtl w:val="true"/>
              </w:rPr>
              <w:t xml:space="preserve">- </w:t>
            </w:r>
            <w:r>
              <w:rPr>
                <w:rStyle w:val="IndexLink"/>
                <w:rtl w:val="true"/>
              </w:rPr>
              <w:t>ویژگی‌ها</w:t>
            </w:r>
            <w:r>
              <w:rPr>
                <w:rStyle w:val="IndexLink"/>
                <w:rtl w:val="true"/>
              </w:rPr>
              <w:t>:</w:t>
              <w:tab/>
            </w:r>
            <w:r>
              <w:rPr>
                <w:rStyle w:val="IndexLink"/>
              </w:rPr>
              <w:t>102</w:t>
            </w:r>
          </w:hyperlink>
        </w:p>
        <w:p>
          <w:pPr>
            <w:pStyle w:val="Contents3"/>
            <w:tabs>
              <w:tab w:val="clear" w:pos="8459"/>
              <w:tab w:val="right" w:pos="9026" w:leader="dot"/>
            </w:tabs>
            <w:rPr/>
          </w:pPr>
          <w:hyperlink w:anchor="__RefHeading___Toc569408_1395250215">
            <w:r>
              <w:rPr>
                <w:webHidden/>
                <w:rStyle w:val="IndexLink"/>
                <w:rtl w:val="true"/>
              </w:rPr>
              <w:t xml:space="preserve">- </w:t>
            </w:r>
            <w:r>
              <w:rPr>
                <w:rStyle w:val="IndexLink"/>
                <w:rtl w:val="true"/>
              </w:rPr>
              <w:t>علل انحراف واقفیه</w:t>
            </w:r>
            <w:r>
              <w:rPr>
                <w:rStyle w:val="IndexLink"/>
                <w:rtl w:val="true"/>
              </w:rPr>
              <w:t>:</w:t>
              <w:tab/>
            </w:r>
            <w:r>
              <w:rPr>
                <w:rStyle w:val="IndexLink"/>
              </w:rPr>
              <w:t>104</w:t>
            </w:r>
          </w:hyperlink>
        </w:p>
        <w:p>
          <w:pPr>
            <w:pStyle w:val="Contents3"/>
            <w:tabs>
              <w:tab w:val="clear" w:pos="8459"/>
              <w:tab w:val="right" w:pos="9026" w:leader="dot"/>
            </w:tabs>
            <w:rPr/>
          </w:pPr>
          <w:hyperlink w:anchor="__RefHeading___Toc569410_1395250215">
            <w:r>
              <w:rPr>
                <w:webHidden/>
                <w:rStyle w:val="IndexLink"/>
                <w:rtl w:val="true"/>
              </w:rPr>
              <w:t xml:space="preserve">- </w:t>
            </w:r>
            <w:r>
              <w:rPr>
                <w:rStyle w:val="IndexLink"/>
                <w:rtl w:val="true"/>
              </w:rPr>
              <w:t>راهیابی جریان غلو به وقف</w:t>
            </w:r>
            <w:r>
              <w:rPr>
                <w:rStyle w:val="IndexLink"/>
                <w:rtl w:val="true"/>
              </w:rPr>
              <w:t>:</w:t>
              <w:tab/>
            </w:r>
            <w:r>
              <w:rPr>
                <w:rStyle w:val="IndexLink"/>
              </w:rPr>
              <w:t>107</w:t>
            </w:r>
          </w:hyperlink>
        </w:p>
        <w:p>
          <w:pPr>
            <w:pStyle w:val="Contents3"/>
            <w:tabs>
              <w:tab w:val="clear" w:pos="8459"/>
              <w:tab w:val="right" w:pos="9026" w:leader="dot"/>
            </w:tabs>
            <w:rPr/>
          </w:pPr>
          <w:hyperlink w:anchor="__RefHeading___Toc569412_1395250215">
            <w:r>
              <w:rPr>
                <w:webHidden/>
                <w:rStyle w:val="IndexLink"/>
                <w:rtl w:val="true"/>
              </w:rPr>
              <w:t xml:space="preserve">- </w:t>
            </w:r>
            <w:r>
              <w:rPr>
                <w:rStyle w:val="IndexLink"/>
                <w:rtl w:val="true"/>
              </w:rPr>
              <w:t>تلاش‌های واقفیان</w:t>
            </w:r>
            <w:r>
              <w:rPr>
                <w:rStyle w:val="IndexLink"/>
                <w:rtl w:val="true"/>
              </w:rPr>
              <w:t>:</w:t>
              <w:tab/>
            </w:r>
            <w:r>
              <w:rPr>
                <w:rStyle w:val="IndexLink"/>
              </w:rPr>
              <w:t>109</w:t>
            </w:r>
          </w:hyperlink>
        </w:p>
        <w:p>
          <w:pPr>
            <w:pStyle w:val="Contents4"/>
            <w:tabs>
              <w:tab w:val="clear" w:pos="8176"/>
              <w:tab w:val="right" w:pos="9026" w:leader="dot"/>
            </w:tabs>
            <w:rPr/>
          </w:pPr>
          <w:hyperlink w:anchor="__RefHeading___Toc569414_1395250215">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569416_1395250215">
            <w:r>
              <w:rPr>
                <w:webHidden/>
                <w:rStyle w:val="IndexLink"/>
                <w:rtl w:val="true"/>
              </w:rPr>
              <w:t>الف</w:t>
            </w:r>
            <w:r>
              <w:rPr>
                <w:rStyle w:val="IndexLink"/>
                <w:rtl w:val="true"/>
              </w:rPr>
              <w:t xml:space="preserve">) </w:t>
            </w:r>
            <w:r>
              <w:rPr>
                <w:rStyle w:val="IndexLink"/>
                <w:rtl w:val="true"/>
              </w:rPr>
              <w:t>تبلیغ آموزه‌ها</w:t>
            </w:r>
            <w:r>
              <w:rPr>
                <w:rStyle w:val="IndexLink"/>
                <w:rtl w:val="true"/>
              </w:rPr>
              <w:t>:</w:t>
              <w:tab/>
            </w:r>
            <w:r>
              <w:rPr>
                <w:rStyle w:val="IndexLink"/>
              </w:rPr>
              <w:t>109</w:t>
            </w:r>
          </w:hyperlink>
        </w:p>
        <w:p>
          <w:pPr>
            <w:pStyle w:val="Contents5"/>
            <w:tabs>
              <w:tab w:val="clear" w:pos="7892"/>
              <w:tab w:val="right" w:pos="9026" w:leader="dot"/>
            </w:tabs>
            <w:rPr/>
          </w:pPr>
          <w:hyperlink w:anchor="__RefHeading___Toc569418_1395250215">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569420_1395250215">
            <w:r>
              <w:rPr>
                <w:webHidden/>
                <w:rStyle w:val="IndexLink"/>
              </w:rPr>
              <w:t>1</w:t>
            </w:r>
            <w:r>
              <w:rPr>
                <w:rStyle w:val="IndexLink"/>
                <w:rtl w:val="true"/>
              </w:rPr>
              <w:t xml:space="preserve">- </w:t>
            </w:r>
            <w:r>
              <w:rPr>
                <w:rStyle w:val="IndexLink"/>
                <w:rtl w:val="true"/>
              </w:rPr>
              <w:t>نوشتن کتاب</w:t>
            </w:r>
            <w:r>
              <w:rPr>
                <w:rStyle w:val="IndexLink"/>
                <w:rtl w:val="true"/>
              </w:rPr>
              <w:tab/>
            </w:r>
            <w:r>
              <w:rPr>
                <w:rStyle w:val="IndexLink"/>
              </w:rPr>
              <w:t>109</w:t>
            </w:r>
          </w:hyperlink>
        </w:p>
        <w:p>
          <w:pPr>
            <w:pStyle w:val="Contents5"/>
            <w:tabs>
              <w:tab w:val="clear" w:pos="7892"/>
              <w:tab w:val="right" w:pos="9026" w:leader="dot"/>
            </w:tabs>
            <w:rPr/>
          </w:pPr>
          <w:hyperlink w:anchor="__RefHeading___Toc569422_1395250215">
            <w:r>
              <w:rPr>
                <w:webHidden/>
                <w:rStyle w:val="IndexLink"/>
              </w:rPr>
              <w:t>2</w:t>
            </w:r>
            <w:r>
              <w:rPr>
                <w:rStyle w:val="IndexLink"/>
                <w:rtl w:val="true"/>
              </w:rPr>
              <w:t xml:space="preserve">- </w:t>
            </w:r>
            <w:r>
              <w:rPr>
                <w:rStyle w:val="IndexLink"/>
                <w:rtl w:val="true"/>
              </w:rPr>
              <w:t>تعلیم و تربیت شاگرد</w:t>
            </w:r>
            <w:r>
              <w:rPr>
                <w:rStyle w:val="IndexLink"/>
                <w:rtl w:val="true"/>
              </w:rPr>
              <w:tab/>
            </w:r>
            <w:r>
              <w:rPr>
                <w:rStyle w:val="IndexLink"/>
              </w:rPr>
              <w:t>110</w:t>
            </w:r>
          </w:hyperlink>
        </w:p>
        <w:p>
          <w:pPr>
            <w:pStyle w:val="Contents5"/>
            <w:tabs>
              <w:tab w:val="clear" w:pos="7892"/>
              <w:tab w:val="right" w:pos="9026" w:leader="dot"/>
            </w:tabs>
            <w:rPr/>
          </w:pPr>
          <w:hyperlink w:anchor="__RefHeading___Toc569424_1395250215">
            <w:r>
              <w:rPr>
                <w:webHidden/>
                <w:rStyle w:val="IndexLink"/>
              </w:rPr>
              <w:t>3</w:t>
            </w:r>
            <w:r>
              <w:rPr>
                <w:rStyle w:val="IndexLink"/>
                <w:rtl w:val="true"/>
              </w:rPr>
              <w:t xml:space="preserve">- </w:t>
            </w:r>
            <w:r>
              <w:rPr>
                <w:rStyle w:val="IndexLink"/>
                <w:rtl w:val="true"/>
              </w:rPr>
              <w:t>جعل و تحریف احادیث و پراکندن شایعات</w:t>
            </w:r>
            <w:r>
              <w:rPr>
                <w:rStyle w:val="IndexLink"/>
                <w:rtl w:val="true"/>
              </w:rPr>
              <w:tab/>
            </w:r>
            <w:r>
              <w:rPr>
                <w:rStyle w:val="IndexLink"/>
              </w:rPr>
              <w:t>111</w:t>
            </w:r>
          </w:hyperlink>
        </w:p>
        <w:p>
          <w:pPr>
            <w:pStyle w:val="Contents4"/>
            <w:tabs>
              <w:tab w:val="clear" w:pos="8176"/>
              <w:tab w:val="right" w:pos="9026" w:leader="dot"/>
            </w:tabs>
            <w:rPr/>
          </w:pPr>
          <w:hyperlink w:anchor="__RefHeading___Toc569426_1395250215">
            <w:r>
              <w:rPr>
                <w:webHidden/>
                <w:rStyle w:val="IndexLink"/>
                <w:rtl w:val="true"/>
              </w:rPr>
              <w:t>ب</w:t>
            </w:r>
            <w:r>
              <w:rPr>
                <w:rStyle w:val="IndexLink"/>
                <w:rtl w:val="true"/>
              </w:rPr>
              <w:t xml:space="preserve">) </w:t>
            </w:r>
            <w:r>
              <w:rPr>
                <w:rStyle w:val="IndexLink"/>
                <w:rtl w:val="true"/>
              </w:rPr>
              <w:t>تطمیع</w:t>
            </w:r>
            <w:r>
              <w:rPr>
                <w:rStyle w:val="IndexLink"/>
                <w:rtl w:val="true"/>
              </w:rPr>
              <w:t>:</w:t>
              <w:tab/>
            </w:r>
            <w:r>
              <w:rPr>
                <w:rStyle w:val="IndexLink"/>
              </w:rPr>
              <w:t>113</w:t>
            </w:r>
          </w:hyperlink>
        </w:p>
        <w:p>
          <w:pPr>
            <w:pStyle w:val="Contents4"/>
            <w:tabs>
              <w:tab w:val="clear" w:pos="8176"/>
              <w:tab w:val="right" w:pos="9026" w:leader="dot"/>
            </w:tabs>
            <w:rPr/>
          </w:pPr>
          <w:hyperlink w:anchor="__RefHeading___Toc569428_1395250215">
            <w:r>
              <w:rPr>
                <w:webHidden/>
                <w:rStyle w:val="IndexLink"/>
                <w:rtl w:val="true"/>
              </w:rPr>
              <w:t>ج</w:t>
            </w:r>
            <w:r>
              <w:rPr>
                <w:rStyle w:val="IndexLink"/>
                <w:rtl w:val="true"/>
              </w:rPr>
              <w:t xml:space="preserve">) </w:t>
            </w:r>
            <w:r>
              <w:rPr>
                <w:rStyle w:val="IndexLink"/>
                <w:rtl w:val="true"/>
              </w:rPr>
              <w:t>شبهه افکنی</w:t>
            </w:r>
            <w:r>
              <w:rPr>
                <w:rStyle w:val="IndexLink"/>
                <w:rtl w:val="true"/>
              </w:rPr>
              <w:t>:</w:t>
              <w:tab/>
            </w:r>
            <w:r>
              <w:rPr>
                <w:rStyle w:val="IndexLink"/>
              </w:rPr>
              <w:t>114</w:t>
            </w:r>
          </w:hyperlink>
        </w:p>
        <w:p>
          <w:pPr>
            <w:pStyle w:val="Contents2"/>
            <w:tabs>
              <w:tab w:val="clear" w:pos="8743"/>
              <w:tab w:val="right" w:pos="9026" w:leader="dot"/>
            </w:tabs>
            <w:rPr/>
          </w:pPr>
          <w:hyperlink w:anchor="__RefHeading___Toc569430_1395250215">
            <w:r>
              <w:rPr>
                <w:webHidden/>
                <w:rStyle w:val="IndexLink"/>
                <w:rtl w:val="true"/>
              </w:rPr>
              <w:t xml:space="preserve">مواضع و پاسخ‌های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به واقفیه</w:t>
            </w:r>
            <w:r>
              <w:rPr>
                <w:rStyle w:val="IndexLink"/>
                <w:rtl w:val="true"/>
              </w:rPr>
              <w:t>:</w:t>
              <w:tab/>
            </w:r>
            <w:r>
              <w:rPr>
                <w:rStyle w:val="IndexLink"/>
              </w:rPr>
              <w:t>116</w:t>
            </w:r>
          </w:hyperlink>
        </w:p>
        <w:p>
          <w:pPr>
            <w:pStyle w:val="Contents3"/>
            <w:tabs>
              <w:tab w:val="clear" w:pos="8459"/>
              <w:tab w:val="right" w:pos="9026" w:leader="dot"/>
            </w:tabs>
            <w:rPr/>
          </w:pPr>
          <w:hyperlink w:anchor="__RefHeading___Toc569432_1395250215">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569434_1395250215">
            <w:r>
              <w:rPr>
                <w:webHidden/>
                <w:rStyle w:val="IndexLink"/>
              </w:rPr>
              <w:t>1</w:t>
            </w:r>
            <w:r>
              <w:rPr>
                <w:rStyle w:val="IndexLink"/>
                <w:rtl w:val="true"/>
              </w:rPr>
              <w:t xml:space="preserve">- </w:t>
            </w:r>
            <w:r>
              <w:rPr>
                <w:rStyle w:val="IndexLink"/>
                <w:rtl w:val="true"/>
              </w:rPr>
              <w:t>نامه‌نگاری و مکاتبه</w:t>
            </w:r>
            <w:r>
              <w:rPr>
                <w:rStyle w:val="IndexLink"/>
                <w:rtl w:val="true"/>
              </w:rPr>
              <w:tab/>
            </w:r>
            <w:r>
              <w:rPr>
                <w:rStyle w:val="IndexLink"/>
              </w:rPr>
              <w:t>117</w:t>
            </w:r>
          </w:hyperlink>
        </w:p>
        <w:p>
          <w:pPr>
            <w:pStyle w:val="Contents3"/>
            <w:tabs>
              <w:tab w:val="clear" w:pos="8459"/>
              <w:tab w:val="right" w:pos="9026" w:leader="dot"/>
            </w:tabs>
            <w:rPr/>
          </w:pPr>
          <w:hyperlink w:anchor="__RefHeading___Toc569436_1395250215">
            <w:r>
              <w:rPr>
                <w:webHidden/>
                <w:rStyle w:val="IndexLink"/>
              </w:rPr>
              <w:t>2</w:t>
            </w:r>
            <w:r>
              <w:rPr>
                <w:rStyle w:val="IndexLink"/>
                <w:rtl w:val="true"/>
              </w:rPr>
              <w:t xml:space="preserve">- </w:t>
            </w:r>
            <w:r>
              <w:rPr>
                <w:rStyle w:val="IndexLink"/>
                <w:rtl w:val="true"/>
              </w:rPr>
              <w:t xml:space="preserve">پاسخ به شبهات </w:t>
            </w:r>
            <w:r>
              <w:rPr>
                <w:rStyle w:val="IndexLink"/>
                <w:rtl w:val="true"/>
              </w:rPr>
              <w:t>(</w:t>
            </w:r>
            <w:r>
              <w:rPr>
                <w:rStyle w:val="IndexLink"/>
                <w:rtl w:val="true"/>
              </w:rPr>
              <w:t>در قالب مناظره و مکاتبه</w:t>
            </w:r>
            <w:r>
              <w:rPr>
                <w:rStyle w:val="IndexLink"/>
                <w:rtl w:val="true"/>
              </w:rPr>
              <w:t>)</w:t>
              <w:tab/>
            </w:r>
            <w:r>
              <w:rPr>
                <w:rStyle w:val="IndexLink"/>
              </w:rPr>
              <w:t>117</w:t>
            </w:r>
          </w:hyperlink>
        </w:p>
        <w:p>
          <w:pPr>
            <w:pStyle w:val="Contents3"/>
            <w:tabs>
              <w:tab w:val="clear" w:pos="8459"/>
              <w:tab w:val="right" w:pos="9026" w:leader="dot"/>
            </w:tabs>
            <w:rPr/>
          </w:pPr>
          <w:hyperlink w:anchor="__RefHeading___Toc569438_1395250215">
            <w:r>
              <w:rPr>
                <w:webHidden/>
                <w:rStyle w:val="IndexLink"/>
              </w:rPr>
              <w:t>3</w:t>
            </w:r>
            <w:r>
              <w:rPr>
                <w:rStyle w:val="IndexLink"/>
                <w:rtl w:val="true"/>
              </w:rPr>
              <w:t xml:space="preserve">- </w:t>
            </w:r>
            <w:r>
              <w:rPr>
                <w:rStyle w:val="IndexLink"/>
                <w:rtl w:val="true"/>
              </w:rPr>
              <w:t>پاکسازیِ احادیث از جعل و تحریف</w:t>
            </w:r>
            <w:r>
              <w:rPr>
                <w:rStyle w:val="IndexLink"/>
                <w:rtl w:val="true"/>
              </w:rPr>
              <w:tab/>
            </w:r>
            <w:r>
              <w:rPr>
                <w:rStyle w:val="IndexLink"/>
              </w:rPr>
              <w:t>119</w:t>
            </w:r>
          </w:hyperlink>
        </w:p>
        <w:p>
          <w:pPr>
            <w:pStyle w:val="Contents3"/>
            <w:tabs>
              <w:tab w:val="clear" w:pos="8459"/>
              <w:tab w:val="right" w:pos="9026" w:leader="dot"/>
            </w:tabs>
            <w:rPr/>
          </w:pPr>
          <w:hyperlink w:anchor="__RefHeading___Toc569440_1395250215">
            <w:r>
              <w:rPr>
                <w:webHidden/>
                <w:rStyle w:val="IndexLink"/>
              </w:rPr>
              <w:t>4</w:t>
            </w:r>
            <w:r>
              <w:rPr>
                <w:rStyle w:val="IndexLink"/>
                <w:rtl w:val="true"/>
              </w:rPr>
              <w:t xml:space="preserve">- </w:t>
            </w:r>
            <w:r>
              <w:rPr>
                <w:rStyle w:val="IndexLink"/>
                <w:rtl w:val="true"/>
              </w:rPr>
              <w:t>معرفی ماهیت واقفیان و بیان عاقبت آنان</w:t>
            </w:r>
            <w:r>
              <w:rPr>
                <w:rStyle w:val="IndexLink"/>
                <w:rtl w:val="true"/>
              </w:rPr>
              <w:tab/>
            </w:r>
            <w:r>
              <w:rPr>
                <w:rStyle w:val="IndexLink"/>
              </w:rPr>
              <w:t>120</w:t>
            </w:r>
          </w:hyperlink>
        </w:p>
        <w:p>
          <w:pPr>
            <w:pStyle w:val="Contents3"/>
            <w:tabs>
              <w:tab w:val="clear" w:pos="8459"/>
              <w:tab w:val="right" w:pos="9026" w:leader="dot"/>
            </w:tabs>
            <w:rPr/>
          </w:pPr>
          <w:hyperlink w:anchor="__RefHeading___Toc569442_1395250215">
            <w:r>
              <w:rPr>
                <w:webHidden/>
                <w:rStyle w:val="IndexLink"/>
              </w:rPr>
              <w:t>5</w:t>
            </w:r>
            <w:r>
              <w:rPr>
                <w:rStyle w:val="IndexLink"/>
                <w:rtl w:val="true"/>
              </w:rPr>
              <w:t xml:space="preserve">- </w:t>
            </w:r>
            <w:r>
              <w:rPr>
                <w:rStyle w:val="IndexLink"/>
                <w:rtl w:val="true"/>
              </w:rPr>
              <w:t>تحریم اجتماعی و اقتصادی واقفیان</w:t>
            </w:r>
            <w:r>
              <w:rPr>
                <w:rStyle w:val="IndexLink"/>
                <w:rtl w:val="true"/>
              </w:rPr>
              <w:tab/>
            </w:r>
            <w:r>
              <w:rPr>
                <w:rStyle w:val="IndexLink"/>
              </w:rPr>
              <w:t>121</w:t>
            </w:r>
          </w:hyperlink>
        </w:p>
        <w:p>
          <w:pPr>
            <w:pStyle w:val="Contents3"/>
            <w:tabs>
              <w:tab w:val="clear" w:pos="8459"/>
              <w:tab w:val="right" w:pos="9026" w:leader="dot"/>
            </w:tabs>
            <w:rPr/>
          </w:pPr>
          <w:hyperlink w:anchor="__RefHeading___Toc569444_1395250215">
            <w:r>
              <w:rPr>
                <w:webHidden/>
                <w:rStyle w:val="IndexLink"/>
              </w:rPr>
              <w:t>6</w:t>
            </w:r>
            <w:r>
              <w:rPr>
                <w:rStyle w:val="IndexLink"/>
                <w:rtl w:val="true"/>
              </w:rPr>
              <w:t xml:space="preserve">- </w:t>
            </w:r>
            <w:r>
              <w:rPr>
                <w:rStyle w:val="IndexLink"/>
                <w:rtl w:val="true"/>
              </w:rPr>
              <w:t xml:space="preserve">مورد لعن و نفرین قرار دادن واقفیان </w:t>
            </w:r>
            <w:r>
              <w:rPr>
                <w:rStyle w:val="IndexLink"/>
                <w:rtl w:val="true"/>
              </w:rPr>
              <w:t>(</w:t>
            </w:r>
            <w:r>
              <w:rPr>
                <w:rStyle w:val="IndexLink"/>
                <w:rtl w:val="true"/>
              </w:rPr>
              <w:t>طرد زبانی</w:t>
            </w:r>
            <w:r>
              <w:rPr>
                <w:rStyle w:val="IndexLink"/>
                <w:rtl w:val="true"/>
              </w:rPr>
              <w:t>)</w:t>
              <w:tab/>
            </w:r>
            <w:r>
              <w:rPr>
                <w:rStyle w:val="IndexLink"/>
              </w:rPr>
              <w:t>122</w:t>
            </w:r>
          </w:hyperlink>
        </w:p>
        <w:p>
          <w:pPr>
            <w:pStyle w:val="Contents3"/>
            <w:tabs>
              <w:tab w:val="clear" w:pos="8459"/>
              <w:tab w:val="right" w:pos="9026" w:leader="dot"/>
            </w:tabs>
            <w:rPr/>
          </w:pPr>
          <w:hyperlink w:anchor="__RefHeading___Toc569446_1395250215">
            <w:r>
              <w:rPr>
                <w:webHidden/>
                <w:rStyle w:val="IndexLink"/>
              </w:rPr>
              <w:t>7</w:t>
            </w:r>
            <w:r>
              <w:rPr>
                <w:rStyle w:val="IndexLink"/>
                <w:rtl w:val="true"/>
              </w:rPr>
              <w:t xml:space="preserve">- </w:t>
            </w:r>
            <w:r>
              <w:rPr>
                <w:rStyle w:val="IndexLink"/>
                <w:rtl w:val="true"/>
              </w:rPr>
              <w:t>ارائة کرامات علمی</w:t>
            </w:r>
            <w:r>
              <w:rPr>
                <w:rStyle w:val="IndexLink"/>
                <w:rtl w:val="true"/>
              </w:rPr>
              <w:tab/>
            </w:r>
            <w:r>
              <w:rPr>
                <w:rStyle w:val="IndexLink"/>
              </w:rPr>
              <w:t>123</w:t>
            </w:r>
          </w:hyperlink>
        </w:p>
        <w:p>
          <w:pPr>
            <w:pStyle w:val="Contents2"/>
            <w:tabs>
              <w:tab w:val="clear" w:pos="8743"/>
              <w:tab w:val="right" w:pos="9026" w:leader="dot"/>
            </w:tabs>
            <w:rPr/>
          </w:pPr>
          <w:hyperlink w:anchor="__RefHeading___Toc569448_1395250215">
            <w:r>
              <w:rPr>
                <w:webHidden/>
                <w:rStyle w:val="IndexLink"/>
                <w:rtl w:val="true"/>
              </w:rPr>
              <w:t xml:space="preserve">تعامل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با غالیان</w:t>
            </w:r>
            <w:r>
              <w:rPr>
                <w:rStyle w:val="IndexLink"/>
                <w:rtl w:val="true"/>
              </w:rPr>
              <w:tab/>
            </w:r>
            <w:r>
              <w:rPr>
                <w:rStyle w:val="IndexLink"/>
              </w:rPr>
              <w:t>125</w:t>
            </w:r>
          </w:hyperlink>
        </w:p>
        <w:p>
          <w:pPr>
            <w:pStyle w:val="Contents3"/>
            <w:tabs>
              <w:tab w:val="clear" w:pos="8459"/>
              <w:tab w:val="right" w:pos="9026" w:leader="dot"/>
            </w:tabs>
            <w:rPr/>
          </w:pPr>
          <w:hyperlink w:anchor="__RefHeading___Toc569450_1395250215">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569452_1395250215">
            <w:r>
              <w:rPr>
                <w:webHidden/>
                <w:rStyle w:val="IndexLink"/>
                <w:rtl w:val="true"/>
              </w:rPr>
              <w:t xml:space="preserve">- </w:t>
            </w:r>
            <w:r>
              <w:rPr>
                <w:rStyle w:val="IndexLink"/>
                <w:rtl w:val="true"/>
              </w:rPr>
              <w:t xml:space="preserve">شناخت جریان غلو در زمان امام رضا </w:t>
            </w:r>
            <w:r>
              <w:rPr>
                <w:rStyle w:val="IndexLink"/>
                <w:rtl w:val="true"/>
              </w:rPr>
              <w:t>(</w:t>
            </w:r>
            <w:r>
              <w:rPr>
                <w:rStyle w:val="IndexLink"/>
                <w:rtl w:val="true"/>
              </w:rPr>
              <w:t>علیه السلام</w:t>
            </w:r>
            <w:r>
              <w:rPr>
                <w:rStyle w:val="IndexLink"/>
                <w:rtl w:val="true"/>
              </w:rPr>
              <w:t>):</w:t>
              <w:tab/>
            </w:r>
            <w:r>
              <w:rPr>
                <w:rStyle w:val="IndexLink"/>
              </w:rPr>
              <w:t>127</w:t>
            </w:r>
          </w:hyperlink>
        </w:p>
        <w:p>
          <w:pPr>
            <w:pStyle w:val="Contents3"/>
            <w:tabs>
              <w:tab w:val="clear" w:pos="8459"/>
              <w:tab w:val="right" w:pos="9026" w:leader="dot"/>
            </w:tabs>
            <w:rPr/>
          </w:pPr>
          <w:hyperlink w:anchor="__RefHeading___Toc569454_1395250215">
            <w:r>
              <w:rPr>
                <w:webHidden/>
                <w:rStyle w:val="IndexLink"/>
                <w:rtl w:val="true"/>
              </w:rPr>
              <w:t xml:space="preserve">- </w:t>
            </w:r>
            <w:r>
              <w:rPr>
                <w:rStyle w:val="IndexLink"/>
                <w:rtl w:val="true"/>
              </w:rPr>
              <w:t xml:space="preserve">عقاید و آموزه های مورد تبلیغ غلات </w:t>
            </w:r>
            <w:r>
              <w:rPr>
                <w:rStyle w:val="IndexLink"/>
                <w:rtl w:val="true"/>
              </w:rPr>
              <w:t>:</w:t>
              <w:tab/>
            </w:r>
            <w:r>
              <w:rPr>
                <w:rStyle w:val="IndexLink"/>
              </w:rPr>
              <w:t>130</w:t>
            </w:r>
          </w:hyperlink>
        </w:p>
        <w:p>
          <w:pPr>
            <w:pStyle w:val="Contents3"/>
            <w:tabs>
              <w:tab w:val="clear" w:pos="8459"/>
              <w:tab w:val="right" w:pos="9026" w:leader="dot"/>
            </w:tabs>
            <w:rPr/>
          </w:pPr>
          <w:hyperlink w:anchor="__RefHeading___Toc569456_1395250215">
            <w:r>
              <w:rPr>
                <w:webHidden/>
                <w:rStyle w:val="IndexLink"/>
                <w:rtl w:val="true"/>
              </w:rPr>
              <w:t xml:space="preserve">- </w:t>
            </w:r>
            <w:r>
              <w:rPr>
                <w:rStyle w:val="IndexLink"/>
                <w:rtl w:val="true"/>
              </w:rPr>
              <w:t>اقدامات و فعالیت‌های غالیان</w:t>
            </w:r>
            <w:r>
              <w:rPr>
                <w:rStyle w:val="IndexLink"/>
                <w:rtl w:val="true"/>
              </w:rPr>
              <w:t>:</w:t>
              <w:tab/>
            </w:r>
            <w:r>
              <w:rPr>
                <w:rStyle w:val="IndexLink"/>
              </w:rPr>
              <w:t>131</w:t>
            </w:r>
          </w:hyperlink>
        </w:p>
        <w:p>
          <w:pPr>
            <w:pStyle w:val="Contents4"/>
            <w:tabs>
              <w:tab w:val="clear" w:pos="8176"/>
              <w:tab w:val="right" w:pos="9026" w:leader="dot"/>
            </w:tabs>
            <w:rPr/>
          </w:pPr>
          <w:hyperlink w:anchor="__RefHeading___Toc569458_1395250215">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569460_1395250215">
            <w:r>
              <w:rPr>
                <w:webHidden/>
                <w:rStyle w:val="IndexLink"/>
              </w:rPr>
              <w:t>1</w:t>
            </w:r>
            <w:r>
              <w:rPr>
                <w:rStyle w:val="IndexLink"/>
                <w:rtl w:val="true"/>
              </w:rPr>
              <w:t>.</w:t>
            </w:r>
            <w:r>
              <w:rPr>
                <w:rStyle w:val="IndexLink"/>
                <w:rtl w:val="true"/>
              </w:rPr>
              <w:t>جعل حدیث</w:t>
            </w:r>
            <w:r>
              <w:rPr>
                <w:rStyle w:val="IndexLink"/>
                <w:rtl w:val="true"/>
              </w:rPr>
              <w:tab/>
            </w:r>
            <w:r>
              <w:rPr>
                <w:rStyle w:val="IndexLink"/>
              </w:rPr>
              <w:t>131</w:t>
            </w:r>
          </w:hyperlink>
        </w:p>
        <w:p>
          <w:pPr>
            <w:pStyle w:val="Contents4"/>
            <w:tabs>
              <w:tab w:val="clear" w:pos="8176"/>
              <w:tab w:val="right" w:pos="9026" w:leader="dot"/>
            </w:tabs>
            <w:rPr/>
          </w:pPr>
          <w:hyperlink w:anchor="__RefHeading___Toc569462_1395250215">
            <w:r>
              <w:rPr>
                <w:webHidden/>
                <w:rStyle w:val="IndexLink"/>
              </w:rPr>
              <w:t>2</w:t>
            </w:r>
            <w:r>
              <w:rPr>
                <w:rStyle w:val="IndexLink"/>
                <w:rtl w:val="true"/>
              </w:rPr>
              <w:t>.</w:t>
            </w:r>
            <w:r>
              <w:rPr>
                <w:rStyle w:val="IndexLink"/>
                <w:rtl w:val="true"/>
              </w:rPr>
              <w:t>شعبده بازی</w:t>
            </w:r>
            <w:r>
              <w:rPr>
                <w:rStyle w:val="IndexLink"/>
                <w:rtl w:val="true"/>
              </w:rPr>
              <w:tab/>
            </w:r>
            <w:r>
              <w:rPr>
                <w:rStyle w:val="IndexLink"/>
              </w:rPr>
              <w:t>131</w:t>
            </w:r>
          </w:hyperlink>
        </w:p>
        <w:p>
          <w:pPr>
            <w:pStyle w:val="Contents4"/>
            <w:tabs>
              <w:tab w:val="clear" w:pos="8176"/>
              <w:tab w:val="right" w:pos="9026" w:leader="dot"/>
            </w:tabs>
            <w:rPr/>
          </w:pPr>
          <w:hyperlink w:anchor="__RefHeading___Toc569464_1395250215">
            <w:r>
              <w:rPr>
                <w:webHidden/>
                <w:rStyle w:val="IndexLink"/>
              </w:rPr>
              <w:t>3</w:t>
            </w:r>
            <w:r>
              <w:rPr>
                <w:rStyle w:val="IndexLink"/>
                <w:rtl w:val="true"/>
              </w:rPr>
              <w:t xml:space="preserve">. </w:t>
            </w:r>
            <w:r>
              <w:rPr>
                <w:rStyle w:val="IndexLink"/>
                <w:rtl w:val="true"/>
              </w:rPr>
              <w:t>اباحی گری</w:t>
            </w:r>
            <w:r>
              <w:rPr>
                <w:rStyle w:val="IndexLink"/>
                <w:rtl w:val="true"/>
              </w:rPr>
              <w:tab/>
            </w:r>
            <w:r>
              <w:rPr>
                <w:rStyle w:val="IndexLink"/>
              </w:rPr>
              <w:t>132</w:t>
            </w:r>
          </w:hyperlink>
        </w:p>
        <w:p>
          <w:pPr>
            <w:pStyle w:val="Contents3"/>
            <w:tabs>
              <w:tab w:val="clear" w:pos="8459"/>
              <w:tab w:val="right" w:pos="9026" w:leader="dot"/>
            </w:tabs>
            <w:rPr/>
          </w:pPr>
          <w:hyperlink w:anchor="__RefHeading___Toc569466_1395250215">
            <w:r>
              <w:rPr>
                <w:webHidden/>
                <w:rStyle w:val="IndexLink"/>
                <w:rtl w:val="true"/>
              </w:rPr>
              <w:t xml:space="preserve">- </w:t>
            </w:r>
            <w:r>
              <w:rPr>
                <w:rStyle w:val="IndexLink"/>
                <w:rtl w:val="true"/>
              </w:rPr>
              <w:t>اهداف رهبران غلات</w:t>
            </w:r>
            <w:r>
              <w:rPr>
                <w:rStyle w:val="IndexLink"/>
                <w:rtl w:val="true"/>
              </w:rPr>
              <w:t>:</w:t>
              <w:tab/>
            </w:r>
            <w:r>
              <w:rPr>
                <w:rStyle w:val="IndexLink"/>
              </w:rPr>
              <w:t>133</w:t>
            </w:r>
          </w:hyperlink>
        </w:p>
        <w:p>
          <w:pPr>
            <w:pStyle w:val="Contents2"/>
            <w:tabs>
              <w:tab w:val="clear" w:pos="8743"/>
              <w:tab w:val="right" w:pos="9026" w:leader="dot"/>
            </w:tabs>
            <w:rPr/>
          </w:pPr>
          <w:hyperlink w:anchor="__RefHeading___Toc569468_1395250215">
            <w:r>
              <w:rPr>
                <w:webHidden/>
                <w:rStyle w:val="IndexLink"/>
                <w:rtl w:val="true"/>
              </w:rPr>
              <w:t xml:space="preserve">مواضع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در برابر غلات</w:t>
            </w:r>
            <w:r>
              <w:rPr>
                <w:rStyle w:val="IndexLink"/>
                <w:rtl w:val="true"/>
              </w:rPr>
              <w:t>:</w:t>
              <w:tab/>
            </w:r>
            <w:r>
              <w:rPr>
                <w:rStyle w:val="IndexLink"/>
              </w:rPr>
              <w:t>135</w:t>
            </w:r>
          </w:hyperlink>
        </w:p>
        <w:p>
          <w:pPr>
            <w:pStyle w:val="Contents3"/>
            <w:tabs>
              <w:tab w:val="clear" w:pos="8459"/>
              <w:tab w:val="right" w:pos="9026" w:leader="dot"/>
            </w:tabs>
            <w:rPr/>
          </w:pPr>
          <w:hyperlink w:anchor="__RefHeading___Toc569470_1395250215">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569472_1395250215">
            <w:r>
              <w:rPr>
                <w:webHidden/>
                <w:rStyle w:val="IndexLink"/>
              </w:rPr>
              <w:t>1</w:t>
            </w:r>
            <w:r>
              <w:rPr>
                <w:rStyle w:val="IndexLink"/>
                <w:rtl w:val="true"/>
              </w:rPr>
              <w:t xml:space="preserve">. </w:t>
            </w:r>
            <w:r>
              <w:rPr>
                <w:rStyle w:val="IndexLink"/>
                <w:rtl w:val="true"/>
              </w:rPr>
              <w:t>بیان ضرورت پرداختن به مسألۀ غالیان</w:t>
            </w:r>
            <w:r>
              <w:rPr>
                <w:rStyle w:val="IndexLink"/>
                <w:rtl w:val="true"/>
              </w:rPr>
              <w:tab/>
            </w:r>
            <w:r>
              <w:rPr>
                <w:rStyle w:val="IndexLink"/>
              </w:rPr>
              <w:t>136</w:t>
            </w:r>
          </w:hyperlink>
        </w:p>
        <w:p>
          <w:pPr>
            <w:pStyle w:val="Contents3"/>
            <w:tabs>
              <w:tab w:val="clear" w:pos="8459"/>
              <w:tab w:val="right" w:pos="9026" w:leader="dot"/>
            </w:tabs>
            <w:rPr/>
          </w:pPr>
          <w:hyperlink w:anchor="__RefHeading___Toc569474_1395250215">
            <w:r>
              <w:rPr>
                <w:webHidden/>
                <w:rStyle w:val="IndexLink"/>
              </w:rPr>
              <w:t>2</w:t>
            </w:r>
            <w:r>
              <w:rPr>
                <w:rStyle w:val="IndexLink"/>
                <w:rtl w:val="true"/>
              </w:rPr>
              <w:t xml:space="preserve">. </w:t>
            </w:r>
            <w:r>
              <w:rPr>
                <w:rStyle w:val="IndexLink"/>
                <w:rtl w:val="true"/>
              </w:rPr>
              <w:t>معرفی ماهیت غالیان و بیان عقاید آنها</w:t>
            </w:r>
            <w:r>
              <w:rPr>
                <w:rStyle w:val="IndexLink"/>
                <w:rtl w:val="true"/>
              </w:rPr>
              <w:tab/>
            </w:r>
            <w:r>
              <w:rPr>
                <w:rStyle w:val="IndexLink"/>
              </w:rPr>
              <w:t>138</w:t>
            </w:r>
          </w:hyperlink>
        </w:p>
        <w:p>
          <w:pPr>
            <w:pStyle w:val="Contents3"/>
            <w:tabs>
              <w:tab w:val="clear" w:pos="8459"/>
              <w:tab w:val="right" w:pos="9026" w:leader="dot"/>
            </w:tabs>
            <w:rPr/>
          </w:pPr>
          <w:hyperlink w:anchor="__RefHeading___Toc569476_1395250215">
            <w:r>
              <w:rPr>
                <w:webHidden/>
                <w:rStyle w:val="IndexLink"/>
              </w:rPr>
              <w:t>3</w:t>
            </w:r>
            <w:r>
              <w:rPr>
                <w:rStyle w:val="IndexLink"/>
                <w:rtl w:val="true"/>
              </w:rPr>
              <w:t xml:space="preserve">. </w:t>
            </w:r>
            <w:r>
              <w:rPr>
                <w:rStyle w:val="IndexLink"/>
                <w:rtl w:val="true"/>
              </w:rPr>
              <w:t>ردّ عقاید غالیان و بیان عقاید صحیح</w:t>
            </w:r>
            <w:r>
              <w:rPr>
                <w:rStyle w:val="IndexLink"/>
                <w:rtl w:val="true"/>
              </w:rPr>
              <w:tab/>
            </w:r>
            <w:r>
              <w:rPr>
                <w:rStyle w:val="IndexLink"/>
              </w:rPr>
              <w:t>141</w:t>
            </w:r>
          </w:hyperlink>
        </w:p>
        <w:p>
          <w:pPr>
            <w:pStyle w:val="Contents3"/>
            <w:tabs>
              <w:tab w:val="clear" w:pos="8459"/>
              <w:tab w:val="right" w:pos="9026" w:leader="dot"/>
            </w:tabs>
            <w:rPr/>
          </w:pPr>
          <w:hyperlink w:anchor="__RefHeading___Toc569478_1395250215">
            <w:r>
              <w:rPr>
                <w:webHidden/>
                <w:rStyle w:val="IndexLink"/>
              </w:rPr>
              <w:t>4</w:t>
            </w:r>
            <w:r>
              <w:rPr>
                <w:rStyle w:val="IndexLink"/>
                <w:rtl w:val="true"/>
              </w:rPr>
              <w:t xml:space="preserve">. </w:t>
            </w:r>
            <w:r>
              <w:rPr>
                <w:rStyle w:val="IndexLink"/>
                <w:rtl w:val="true"/>
              </w:rPr>
              <w:t>بیان علل غلو و عاقبت غالی</w:t>
            </w:r>
            <w:r>
              <w:rPr>
                <w:rStyle w:val="IndexLink"/>
                <w:rtl w:val="true"/>
              </w:rPr>
              <w:tab/>
            </w:r>
            <w:r>
              <w:rPr>
                <w:rStyle w:val="IndexLink"/>
              </w:rPr>
              <w:t>142</w:t>
            </w:r>
          </w:hyperlink>
        </w:p>
        <w:p>
          <w:pPr>
            <w:pStyle w:val="Contents3"/>
            <w:tabs>
              <w:tab w:val="clear" w:pos="8459"/>
              <w:tab w:val="right" w:pos="9026" w:leader="dot"/>
            </w:tabs>
            <w:rPr/>
          </w:pPr>
          <w:hyperlink w:anchor="__RefHeading___Toc569480_1395250215">
            <w:r>
              <w:rPr>
                <w:webHidden/>
                <w:rStyle w:val="IndexLink"/>
              </w:rPr>
              <w:t>5</w:t>
            </w:r>
            <w:r>
              <w:rPr>
                <w:rStyle w:val="IndexLink"/>
                <w:rtl w:val="true"/>
              </w:rPr>
              <w:t xml:space="preserve">. </w:t>
            </w:r>
            <w:r>
              <w:rPr>
                <w:rStyle w:val="IndexLink"/>
                <w:rtl w:val="true"/>
              </w:rPr>
              <w:t>ردّ برخی از احادیث و بیان چگونگی تشخیص احادیث صحیح از سقیم</w:t>
            </w:r>
            <w:r>
              <w:rPr>
                <w:rStyle w:val="IndexLink"/>
                <w:rtl w:val="true"/>
              </w:rPr>
              <w:tab/>
            </w:r>
            <w:r>
              <w:rPr>
                <w:rStyle w:val="IndexLink"/>
              </w:rPr>
              <w:t>143</w:t>
            </w:r>
          </w:hyperlink>
        </w:p>
        <w:p>
          <w:pPr>
            <w:pStyle w:val="Contents3"/>
            <w:tabs>
              <w:tab w:val="clear" w:pos="8459"/>
              <w:tab w:val="right" w:pos="9026" w:leader="dot"/>
            </w:tabs>
            <w:rPr/>
          </w:pPr>
          <w:hyperlink w:anchor="__RefHeading___Toc569482_1395250215">
            <w:r>
              <w:rPr>
                <w:webHidden/>
                <w:rStyle w:val="IndexLink"/>
              </w:rPr>
              <w:t>6</w:t>
            </w:r>
            <w:r>
              <w:rPr>
                <w:rStyle w:val="IndexLink"/>
                <w:rtl w:val="true"/>
              </w:rPr>
              <w:t xml:space="preserve">. </w:t>
            </w:r>
            <w:r>
              <w:rPr>
                <w:rStyle w:val="IndexLink"/>
                <w:rtl w:val="true"/>
              </w:rPr>
              <w:t>اظهار تنفر و بیزاری از غلات و لعن آنها</w:t>
            </w:r>
            <w:r>
              <w:rPr>
                <w:rStyle w:val="IndexLink"/>
                <w:rtl w:val="true"/>
              </w:rPr>
              <w:tab/>
            </w:r>
            <w:r>
              <w:rPr>
                <w:rStyle w:val="IndexLink"/>
              </w:rPr>
              <w:t>145</w:t>
            </w:r>
          </w:hyperlink>
        </w:p>
        <w:p>
          <w:pPr>
            <w:pStyle w:val="Contents3"/>
            <w:tabs>
              <w:tab w:val="clear" w:pos="8459"/>
              <w:tab w:val="right" w:pos="9026" w:leader="dot"/>
            </w:tabs>
            <w:rPr/>
          </w:pPr>
          <w:hyperlink w:anchor="__RefHeading___Toc569484_1395250215">
            <w:r>
              <w:rPr>
                <w:webHidden/>
                <w:rStyle w:val="IndexLink"/>
              </w:rPr>
              <w:t>7</w:t>
            </w:r>
            <w:r>
              <w:rPr>
                <w:rStyle w:val="IndexLink"/>
                <w:rtl w:val="true"/>
              </w:rPr>
              <w:t xml:space="preserve">. </w:t>
            </w:r>
            <w:r>
              <w:rPr>
                <w:rStyle w:val="IndexLink"/>
                <w:rtl w:val="true"/>
              </w:rPr>
              <w:t>فرمان قطع رابطة همه جانبه با غلات</w:t>
            </w:r>
            <w:r>
              <w:rPr>
                <w:rStyle w:val="IndexLink"/>
                <w:rtl w:val="true"/>
              </w:rPr>
              <w:tab/>
            </w:r>
            <w:r>
              <w:rPr>
                <w:rStyle w:val="IndexLink"/>
              </w:rPr>
              <w:t>146</w:t>
            </w:r>
          </w:hyperlink>
        </w:p>
        <w:p>
          <w:pPr>
            <w:pStyle w:val="Contents2"/>
            <w:tabs>
              <w:tab w:val="clear" w:pos="8743"/>
              <w:tab w:val="right" w:pos="9026" w:leader="dot"/>
            </w:tabs>
            <w:rPr/>
          </w:pPr>
          <w:hyperlink w:anchor="__RefHeading___Toc569486_1395250215">
            <w:r>
              <w:rPr>
                <w:webHidden/>
                <w:rStyle w:val="IndexLink"/>
                <w:rtl w:val="true"/>
              </w:rPr>
              <w:t>جمع بندی ونتیجه گیری</w:t>
            </w:r>
            <w:r>
              <w:rPr>
                <w:rStyle w:val="IndexLink"/>
                <w:rtl w:val="true"/>
              </w:rPr>
              <w:tab/>
            </w:r>
            <w:r>
              <w:rPr>
                <w:rStyle w:val="IndexLink"/>
              </w:rPr>
              <w:t>148</w:t>
            </w:r>
          </w:hyperlink>
        </w:p>
        <w:p>
          <w:pPr>
            <w:pStyle w:val="Contents2"/>
            <w:tabs>
              <w:tab w:val="clear" w:pos="8743"/>
              <w:tab w:val="right" w:pos="9026" w:leader="dot"/>
            </w:tabs>
            <w:rPr/>
          </w:pPr>
          <w:hyperlink w:anchor="__RefHeading___Toc569488_1395250215">
            <w:r>
              <w:rPr>
                <w:webHidden/>
                <w:rStyle w:val="IndexLink"/>
                <w:rtl w:val="true"/>
              </w:rPr>
              <w:t>فهرست منابع ومآخذ</w:t>
            </w:r>
            <w:r>
              <w:rPr>
                <w:rStyle w:val="IndexLink"/>
                <w:rtl w:val="true"/>
              </w:rPr>
              <w:tab/>
            </w:r>
            <w:r>
              <w:rPr>
                <w:rStyle w:val="IndexLink"/>
              </w:rPr>
              <w:t>152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33_17995"/>
      <w:bookmarkStart w:id="1" w:name="pg2633_17995"/>
      <w:bookmarkEnd w:id="1"/>
    </w:p>
    <w:p>
      <w:pPr>
        <w:pStyle w:val="Heading2"/>
        <w:numPr>
          <w:ilvl w:val="1"/>
          <w:numId w:val="1"/>
        </w:numPr>
        <w:rPr/>
      </w:pPr>
      <w:bookmarkStart w:id="2" w:name="pg2633_17995"/>
      <w:bookmarkStart w:id="3" w:name="__RefHeading___Toc569316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صفری فروشانی، نعمت‌الله،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رفتارشناسی امام رضا علیه السلام و فرقه‌های درون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نوشته‌ی نعمت‌الله صفری، زهرا بختیاری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فرقه‌های شیعه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سیاست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بختیاری، زهرا،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BP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۲۷۵۳۶۸۳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9318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رفتارشناسی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فرقه های درون شیعی</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تلاش ناچیز</w:t>
      </w:r>
    </w:p>
    <w:p>
      <w:pPr>
        <w:pStyle w:val="BookText"/>
        <w:rPr/>
      </w:pPr>
      <w:r>
        <w:rPr>
          <w:rFonts w:ascii="IRNazanin" w:hAnsi="IRNazanin" w:eastAsia="IRNazanin"/>
          <w:color w:val="111111"/>
          <w:sz w:val="28"/>
          <w:sz w:val="28"/>
          <w:szCs w:val="28"/>
          <w:rtl w:val="true"/>
          <w:lang w:bidi="fa-IR"/>
        </w:rPr>
        <w:t>تقدیم به؛</w:t>
      </w:r>
    </w:p>
    <w:p>
      <w:pPr>
        <w:pStyle w:val="BookText"/>
        <w:rPr/>
      </w:pPr>
      <w:r>
        <w:rPr>
          <w:rFonts w:ascii="IRNazanin" w:hAnsi="IRNazanin" w:eastAsia="IRNazanin"/>
          <w:color w:val="111111"/>
          <w:sz w:val="28"/>
          <w:sz w:val="28"/>
          <w:szCs w:val="28"/>
          <w:rtl w:val="true"/>
          <w:lang w:bidi="fa-IR"/>
        </w:rPr>
        <w:t>ثامن الحجج،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تلاش عظیم خود، در مقابل انحرافات مسلمین و به خصوص شیعیان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تقدیم به؛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پیشگاه و ساحت مقدس سرور شیعیان و عدالت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 جهان،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انوار لطفش همواره روشنگر راه است</w:t>
      </w:r>
      <w:r>
        <w:rPr>
          <w:rFonts w:eastAsia="IRNazanin" w:cs="IRNazanin"/>
          <w:color w:val="111111"/>
          <w:sz w:val="28"/>
          <w:szCs w:val="28"/>
          <w:rtl w:val="true"/>
          <w:lang w:bidi="fa-IR"/>
        </w:rPr>
        <w:t>.</w:t>
      </w:r>
      <w:bookmarkStart w:id="7" w:name="pg2633_17999"/>
    </w:p>
    <w:p>
      <w:pPr>
        <w:pStyle w:val="Heading2"/>
        <w:numPr>
          <w:ilvl w:val="1"/>
          <w:numId w:val="1"/>
        </w:numPr>
        <w:rPr/>
      </w:pPr>
      <w:bookmarkStart w:id="8" w:name="__RefHeading___Toc569320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فرقه‌ها و جریان‌های مختلف شیعی از آغاز تشیع تا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غالیان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باقریه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ناووسیه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اسماعیلیة خالصه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مبارکیه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سمیطیه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فطحیه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سیاسی و فرهنگی شیعیان در دوره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سیاسی جامعة اسلامی معاصر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ـ امین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ـ مأمون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فرهنگی جامعة اسلامی معاصر امامت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سیاسی شیعیان در دورة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فرهنگی شیعیان در زمان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فرقه زیدیه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تعامل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زیدیه پیش از ولایت عهدی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ابن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محمد دیباج</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حسین بن حسن افطس</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ابراهیم فرزند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زید فرزند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تعامل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زیدیه، پس از ولایت عهدی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زید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فرقۀ زیدیه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فرقة اسماعیلیه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فرقه فطحیه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فرقة واقفیه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انحراف واقفیه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راهیابی جریان غلو به وقف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تلاش‌های واقفیان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آموزه‌ها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شاگرد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تحریف احادیث و پراکندن شایعات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تطمیع</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افکنی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مواضع و پاسخ‌های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واقفیه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نامه‌نگاری و مکاتبه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مناظره و مکاتبه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احادیث از جعل و تحریف</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ماهیت واقفیان و بیان عاقبت آنان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اجتماعی و اقتصادی واقفیان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لعن و نفرین قرار دادن واقفیان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ارائة کرامات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تعامل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غالیان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جریان غلو در زمان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عقاید و آموزه های مورد تبلیغ غلات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و فعالیتهای غالیان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شعبده بازی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اباحیگری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رهبران غلات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مواضع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غلات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ضرورت پرداختن به مسألۀ غالیان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ماهیت غالیان و بیان عقاید آنها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عقاید غالیان و بیان عقاید صحیح</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علل غلو و عاقبت غالی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برخی از احادیث و بیان چگونگی تشخیص احادیث صحیح از سقیم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 تنفر و بیزاری از غلات و لعن آنها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فرمان قطع رابطة همه جانبه با غلات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جمع بندی ونتیجه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ومآخذ</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bookmarkStart w:id="10" w:name="pg2633_18003"/>
    </w:p>
    <w:p>
      <w:pPr>
        <w:pStyle w:val="BookText"/>
        <w:rPr/>
      </w:pPr>
      <w:bookmarkEnd w:id="1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 w:name="__RefHeading___Toc569322_1395250215"/>
      <w:bookmarkStart w:id="12" w:name="_Toc4"/>
      <w:bookmarkEnd w:id="11"/>
      <w:r>
        <w:rPr>
          <w:rtl w:val="true"/>
        </w:rPr>
        <w:t>مقدمه</w:t>
      </w:r>
      <w:r>
        <w:rPr>
          <w:rtl w:val="true"/>
        </w:rPr>
        <w:t>:</w:t>
      </w:r>
      <w:bookmarkEnd w:id="12"/>
    </w:p>
    <w:p>
      <w:pPr>
        <w:pStyle w:val="BookText"/>
        <w:rPr/>
      </w:pPr>
      <w:r>
        <w:rPr>
          <w:rFonts w:ascii="IRNazanin" w:hAnsi="IRNazanin" w:eastAsia="IRNazanin"/>
          <w:color w:val="111111"/>
          <w:sz w:val="28"/>
          <w:sz w:val="28"/>
          <w:szCs w:val="28"/>
          <w:rtl w:val="true"/>
          <w:lang w:bidi="fa-IR"/>
        </w:rPr>
        <w:t xml:space="preserve">دوران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طلایی‌ترین دوره‌های امامت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سبب گسترش اسلام ناب، شناساندن و ارتقای جایگاه امامت در میان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دوران با انگیزه کم حکومت هارون برای مبارزه با امام و جنگ‌های داخلی خاندان عباسی مصادف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از آغاز حکومت مامون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طلایی‌ترین فرصت را برای تبیین اهداف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ایشان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حداکثری از این دوران نام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امامت جاویدان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نوادگان حضرت تا زمان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ابناء الرضا شناخته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دوره‌ی امامت، آن حضرت با مشکلاتی مواجه بودند که نقش خود را به عنوان بازدارنده‌های قوی در مقابل امام ایفا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به دو دسته‌ی عوامل درون مذهبی و برون مذهبی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اگر فشار حکومت عباسی را برون مذهبی به حساب آوریم، بیشترین نقش بازدارنده را عوامل درون مذهبی ایفا کرده‌اند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گروه‌ها و جریان‌های شیعه ی زمان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فطحیه، زیدیه، واقفیه و برخی جریان‌های انحرافی منتسب به شیعه مانند غالیان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جریان‌ها به ویژه غالیان مسیری غیر از مسیر</w:t>
      </w:r>
    </w:p>
    <w:p>
      <w:pPr>
        <w:pStyle w:val="BookText"/>
        <w:rPr/>
      </w:pPr>
      <w:r>
        <w:rPr>
          <w:rFonts w:ascii="IRNazanin" w:hAnsi="IRNazanin" w:eastAsia="IRNazanin"/>
          <w:color w:val="111111"/>
          <w:sz w:val="28"/>
          <w:sz w:val="28"/>
          <w:szCs w:val="28"/>
          <w:rtl w:val="true"/>
          <w:lang w:bidi="fa-IR"/>
        </w:rPr>
        <w:t>امام را طی می‌کردند ایستادگی آنها در برابر امام موجبات دغدغه امام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این جریانات در می‌یابیم که بیشترین موضع‌گیری در برابر امام از جانب واقفیه و غالیان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تحقیقات امام شناسی جریان واقفیه به عنوان یک موضوع، عبرت‌ها و درس آموزی‌های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گروه واقفیه این بود که سران آن از نزدیک‌ترین افراد به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به شدت مورد اطمینان حضرت بوده و می‌توان آنها را خاص الخواص امام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جایی رسیده بودند که در راس سازمانی با عنوان وکالت از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سازمان علاوه بر آگاهی از عمده اسرار امامت، بسیار از اموال آن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واقفیه در زمان زندانی شدن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همه کاره شیعه می‌دانستند چرا که علاوه بر جایگاه اجرایی از جایگاه علمی متناسبی نیز برخوردار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اجتماعی این گروه نیز قابل انکار نیست و با استفاده از همین جایگاه توانستند در انحراف بخش عمده‌ای از شیعیان از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علل انحراف این گروه از مقام ولایت و امامت، بسیاری از نقاط مبهم این دوره را رمزگشایی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بررسی روشن می‌شود که مال‌طلبی، جاه‌طلبی، راحت طلبی و در یک کلام دنیا طلبی سهم مهمی در انحراف این گروه ایفا کرده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و رهبران منحرف و تیزهوش، از تمامی ابزارها در مقابله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او بهره بردند این ابزارها عمدتاً در</w:t>
      </w:r>
    </w:p>
    <w:p>
      <w:pPr>
        <w:pStyle w:val="BookText"/>
        <w:rPr/>
      </w:pPr>
      <w:r>
        <w:rPr>
          <w:rFonts w:ascii="IRNazanin" w:hAnsi="IRNazanin" w:eastAsia="IRNazanin"/>
          <w:color w:val="111111"/>
          <w:sz w:val="28"/>
          <w:sz w:val="28"/>
          <w:szCs w:val="28"/>
          <w:rtl w:val="true"/>
          <w:lang w:bidi="fa-IR"/>
        </w:rPr>
        <w:t>مسیر تطمیع یاران خاص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تحمیق توده‌های شیعی کم معرفت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توده‌هایی که به علل مختلف همچون بعد جغرافیایی، عدم تعمیق معرفتی آنها نسبت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ولایت و نیز ترجیح شخصیت محوری بر حق محوری به ورطه‌ی هولناک فریب آنها می‌افتادند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جریان خطرناک، جریان غالیان بود؛ جریانی که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فعالیت خود رسید سپس در دوران همان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اوج به حضیض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اما در دوران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پوست‌اندازی کرده و شروع به فعالیت‌های تند روانه نمود و در مقاطعی با گروه اوّل نیز دست اتحاد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اوّل را به عنوان گروه‌های کندرو و مقصّر بشناسیم، این گروه به عنوان گروه تندرو شناخته شده که آگاهانه یا ناآگاهانه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حدّ خود بالاتر برده و بدین ترتیب شدیدترین ضربات را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وارد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گرچه از حیث ظاهری در طیف مقابل گروه اول بودند، امّا در بررسی علّت انحراف آنها می‌توان نقاط مشترک فراوانی را مانند دنیا طلبی، انحرافات اعتقادی و نبود یا کمبود معرفت یافت که به خیال خود، محبّت فراوان خود را نسبت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قرار داده و به فعالیت‌های مغرضانه‌ی خود علیه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سرتاسر دوران امامت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دیگر رهبران برحق، می‌توان هر دو سر این طیف منحرف را مشاهده کرد، اما در این دوران این دو طیف خود را به صورت شفاف‌تر نشان</w:t>
      </w:r>
    </w:p>
    <w:p>
      <w:pPr>
        <w:pStyle w:val="BookText"/>
        <w:rPr/>
      </w:pPr>
      <w:r>
        <w:rPr>
          <w:rFonts w:ascii="IRNazanin" w:hAnsi="IRNazanin" w:eastAsia="IRNazanin"/>
          <w:color w:val="111111"/>
          <w:sz w:val="28"/>
          <w:sz w:val="28"/>
          <w:szCs w:val="28"/>
          <w:rtl w:val="true"/>
          <w:lang w:bidi="fa-IR"/>
        </w:rPr>
        <w:t>دادند و علناً و عملاً مبارزه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دو بُعد کندروی و تندروی اعلام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جریان‌ها باعث پدید آمدن مشکلات فراوانی برای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گونه‌ای که عمده عمر شریف خود را صرف مبارزه با آنان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خوشبختانه میراث گران‌بهایی برای شیعیان برجای گذاشت؛ میراثی که از تأمل در شیوه‌های مختلف برخورد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گروه‌های مختلف به تناسب عقاید و نیز جایگاه آنها، شیوه استدلال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ساحت‌های برخورد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ساحت‌های اجتماعی، علمی و اقتصادی به دست آمده است و می‌تواند الگوی بسیار مناسبی برای پیروان آن حضرت در شرایط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بررسی به این نتیجه می‌رسیم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مبارزه و تلاش خود در دو جبهه‌ی داخلی و خارجی توانست عمده‌ی این تهدیدها راتبدیل به فرصت نموده و از هر یک در جای خود به نفع گسترش معارف ناب اسلامی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سیره‌ی عملی، سیاسی و اجتماعی آن حضرت به عنوان یکی از ذی‌قیمت‌ترین سیره‌های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ما قرار گرفته است تا ما بتوانیم با الگوگیری از آن امام همام در مقابل جریانات انحرافی در همه‌ی قالب‌های آن به ویژه در دو بُعد تندروی و کندروی به شناخت صحیح رسیده و موضع‌گیری درست را برگزینیم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کتاب می‌تواند به لایه‌های مختلف جریانات انحرافی زمان امام رضا نفوذ کرده و آنها را به خوانندگان بشناساند، کاری که تا کنون به صورت مجموعی و در این سطح، کمتر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مطالعة آن می‌تواند در</w:t>
      </w:r>
    </w:p>
    <w:p>
      <w:pPr>
        <w:pStyle w:val="BookText"/>
        <w:rPr/>
      </w:pPr>
      <w:r>
        <w:rPr>
          <w:rFonts w:ascii="IRNazanin" w:hAnsi="IRNazanin" w:eastAsia="IRNazanin"/>
          <w:color w:val="111111"/>
          <w:sz w:val="28"/>
          <w:sz w:val="28"/>
          <w:szCs w:val="28"/>
          <w:rtl w:val="true"/>
          <w:lang w:bidi="fa-IR"/>
        </w:rPr>
        <w:t>روشنگری به ویژه برای نسل جوان و دانشجو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خوبی می‌تواند عرصه‌ای از مظلومیت امام به ویژه در مقابل گروه‌های درونی را عرضه کند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الله صفری</w:t>
      </w:r>
      <w:bookmarkStart w:id="13" w:name="pg2633_18009"/>
    </w:p>
    <w:p>
      <w:pPr>
        <w:pStyle w:val="Heading2"/>
        <w:numPr>
          <w:ilvl w:val="1"/>
          <w:numId w:val="1"/>
        </w:numPr>
        <w:rPr/>
      </w:pPr>
      <w:bookmarkStart w:id="14" w:name="__RefHeading___Toc569324_1395250215"/>
      <w:bookmarkStart w:id="15" w:name="_Toc5"/>
      <w:bookmarkEnd w:id="13"/>
      <w:bookmarkEnd w:id="14"/>
      <w:r>
        <w:rPr>
          <w:rtl w:val="true"/>
        </w:rPr>
        <w:t>مروری بر فرقه‌ها و جریان‌های مختلف شیعی</w:t>
      </w:r>
      <w:bookmarkEnd w:id="15"/>
    </w:p>
    <w:p>
      <w:pPr>
        <w:pStyle w:val="Heading3"/>
        <w:numPr>
          <w:ilvl w:val="2"/>
          <w:numId w:val="1"/>
        </w:numPr>
        <w:rPr/>
      </w:pPr>
      <w:bookmarkStart w:id="16" w:name="__RefHeading___Toc569326_1395250215"/>
      <w:bookmarkStart w:id="17" w:name="_Toc6"/>
      <w:bookmarkEnd w:id="16"/>
      <w:r>
        <w:rPr>
          <w:rtl w:val="true"/>
        </w:rPr>
        <w:t>اشاره</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آغاز تشیع تا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8" w:name="pg2633_18010"/>
    </w:p>
    <w:p>
      <w:pPr>
        <w:pStyle w:val="BookText"/>
        <w:rPr/>
      </w:pPr>
      <w:bookmarkEnd w:id="18"/>
      <w:r>
        <w:rPr>
          <w:rFonts w:ascii="IRNazanin" w:hAnsi="IRNazanin" w:eastAsia="IRNazanin"/>
          <w:color w:val="111111"/>
          <w:sz w:val="28"/>
          <w:sz w:val="28"/>
          <w:szCs w:val="28"/>
          <w:rtl w:val="true"/>
          <w:lang w:bidi="fa-IR"/>
        </w:rPr>
        <w:t>در این قسمت، سعی بر آن است تا مروری بر فرقه‌ها و جریان‌های مختلف شیعی از ابتدای این جریان‌ها – جریان‌های منجر شده به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گیرد و طبیعتاً در این مرور، فرقی که تا زمان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رنگ و بی‌اهمیت و یا حتی مضمحل و نابود شده بودند، مورد بررسی قرار می‌گیرند</w:t>
      </w:r>
      <w:r>
        <w:rPr>
          <w:rFonts w:eastAsia="IRNazanin" w:cs="IRNazanin"/>
          <w:color w:val="111111"/>
          <w:sz w:val="28"/>
          <w:szCs w:val="28"/>
          <w:rtl w:val="true"/>
          <w:lang w:bidi="fa-IR"/>
        </w:rPr>
        <w:t>.</w:t>
      </w:r>
    </w:p>
    <w:p>
      <w:pPr>
        <w:pStyle w:val="Heading3"/>
        <w:numPr>
          <w:ilvl w:val="2"/>
          <w:numId w:val="1"/>
        </w:numPr>
        <w:rPr/>
      </w:pPr>
      <w:bookmarkStart w:id="19" w:name="__RefHeading___Toc569328_1395250215"/>
      <w:bookmarkStart w:id="20" w:name="_Toc7"/>
      <w:bookmarkEnd w:id="19"/>
      <w:r>
        <w:rPr>
          <w:rtl w:val="true"/>
        </w:rPr>
        <w:t xml:space="preserve">- </w:t>
      </w:r>
      <w:r>
        <w:rPr>
          <w:rtl w:val="true"/>
        </w:rPr>
        <w:t>غالیان</w:t>
      </w:r>
      <w:bookmarkEnd w:id="20"/>
    </w:p>
    <w:p>
      <w:pPr>
        <w:pStyle w:val="BookText"/>
        <w:rPr/>
      </w:pP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دورة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در مورد غلو دربارة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می‌توان آنها را در سه بخش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از این گزارش‌ها، مربوط به شخصیتی جنجالی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کتاب‌های تاریخی و همچنین کتاب‌های فرقه‌شناسی، نقش بزرگی برای او در تحولات سیاسی و عقیدتی اواخر حکومت عثمان و دوران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کتاب‌های تاریخی، توطئه علیه عثمان در مصر، تحریک عمار یاسر برای مخالفت با عثمان</w:t>
      </w:r>
      <w:r>
        <w:rPr>
          <w:rStyle w:val="FootnoteAnchor"/>
          <w:rtl w:val="true"/>
        </w:rPr>
        <w:footnoteReference w:id="3"/>
      </w:r>
      <w:r>
        <w:rPr>
          <w:rFonts w:ascii="IRNazanin" w:hAnsi="IRNazanin" w:eastAsia="IRNazanin"/>
          <w:color w:val="111111"/>
          <w:sz w:val="28"/>
          <w:sz w:val="28"/>
          <w:szCs w:val="28"/>
          <w:rtl w:val="true"/>
          <w:lang w:bidi="fa-IR"/>
        </w:rPr>
        <w:t xml:space="preserve">، و بالاخره طرح برخی مسائل کلامی مثل رجعت و وصایت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نسبت داده‌اند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
      </w:r>
      <w:r>
        <w:rPr>
          <w:rFonts w:ascii="IRNazanin" w:hAnsi="IRNazanin" w:eastAsia="IRNazanin"/>
          <w:color w:val="111111"/>
          <w:sz w:val="28"/>
          <w:sz w:val="28"/>
          <w:szCs w:val="28"/>
          <w:rtl w:val="true"/>
          <w:lang w:bidi="fa-IR"/>
        </w:rPr>
        <w:t xml:space="preserve">امّا آنچه جالب توجه است این که معمولاً در این نوع کتاب‌های، سخنی از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الوهیت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رواج این اعتقاد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سوم نام ابن سبا به کتاب‌های فرقه‌شناسی راه یافت و از آنجا به روایات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فرقه‌شناسی، عقایدی همچون الوهیت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مهدویت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تناسخ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نسبت داده شده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آنجا که برخی، پیشینة عمیقی برای وی در یهودیت قائل بودند، اسلام او را صوری و انگیزه‌ای برای ضربه به اسلام از راه طرح عقاید انحرافی دانسته و از این راه ارتباطی بین تشیع و یهودیت برقرار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طول تاریخ اسلام بسیاری از مخالفان و معاندان شیعه، اصل تشیع و یا نفوذ عقاید مخالف عامه در این مذهب را ساخته و پرداخته ابن سبا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قرن چهاردهم هجری، مورخان و تحلیل‌گران تاریخ اسلام با استفاده از مطالعات روشمند، برای اولین بار در وجود تاریخی چنین شخصیتی تشکیک کردند، چنان‌که در ادامة این جریان، ضربة اساسی بر پیکرة این افسانه از سوی دانشمند معاصر شیعی علامه سید مرتضی عسکری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طرق مختلف، افسانه و ساختگی بودن ماجرای ابن سبا را ثابت می‌کند</w:t>
      </w:r>
      <w:r>
        <w:rPr>
          <w:rFonts w:eastAsia="IRNazanin" w:cs="IRNazanin"/>
          <w:color w:val="111111"/>
          <w:sz w:val="28"/>
          <w:szCs w:val="28"/>
          <w:rtl w:val="true"/>
          <w:lang w:bidi="fa-IR"/>
        </w:rPr>
        <w:t>.</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گزارش‌های رسیده در مورد زطهاست که قومی از کولی‌های هندی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هفتاد نفر از آنها پس از ماجرایی</w:t>
      </w:r>
      <w:r>
        <w:rPr>
          <w:rStyle w:val="FootnoteAnchor"/>
          <w:rtl w:val="true"/>
        </w:rPr>
        <w:footnoteReference w:id="7"/>
      </w:r>
      <w:r>
        <w:rPr>
          <w:rFonts w:ascii="IRNazanin" w:hAnsi="IRNazanin" w:eastAsia="IRNazanin"/>
          <w:color w:val="111111"/>
          <w:sz w:val="28"/>
          <w:sz w:val="28"/>
          <w:szCs w:val="28"/>
          <w:rtl w:val="true"/>
          <w:lang w:bidi="fa-IR"/>
        </w:rPr>
        <w:t xml:space="preserve">نزد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 او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آنها جواب داد و با آنها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آنان ادعای الوهیت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در مقابل آنان ایستاده و چون توبه نکردند، آنها را مجازات کرد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دسته سوم، احادیثی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سخن از عقاید غالیانه گروهی از افراد در مورد خود گفته است و مردم را از اعتقاد به چنین باورهایی بازداشته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از این روایات می‌توان اجمالاً چنین استنباط کرد که گروه‌هایی با عقاید غالیانه در زمان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دوران امامت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هیچ نوع غلوی دربارة ائمه یا شخصیت‌های دیگر شیعی بر نمی‌خوریم که می‌توان علت آن را در شدت اختناق حاکم به وسیلة امویان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دوران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قیام مختار – که به عقیدة برخی بتوان آن را از نقاط آغازین غلو شیعی دانست</w:t>
      </w:r>
      <w:r>
        <w:rPr>
          <w:rStyle w:val="FootnoteAnchor"/>
          <w:rtl w:val="true"/>
        </w:rPr>
        <w:footnoteReference w:id="10"/>
      </w:r>
      <w:r>
        <w:rPr>
          <w:rFonts w:ascii="IRNazanin" w:hAnsi="IRNazanin" w:eastAsia="IRNazanin"/>
          <w:color w:val="111111"/>
          <w:sz w:val="28"/>
          <w:sz w:val="28"/>
          <w:szCs w:val="28"/>
          <w:rtl w:val="true"/>
          <w:lang w:bidi="fa-IR"/>
        </w:rPr>
        <w:t xml:space="preserve">– بگذریم، حدیث روایت شده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احتمالاً شاهدی بر وجود افراد غالی در این زمان می‌باشد؛ قسمتی از حدیث مذکور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بنان بر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می‌بست، پس خدا داغی آهن را به او چشاند، و مغیرة بن سعید بر أبی‌جعفر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می‌بست</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غلو در زمان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دوره شاهد دو نقطه عطف</w:t>
      </w:r>
      <w:bookmarkStart w:id="21" w:name="pg2633_18013"/>
    </w:p>
    <w:p>
      <w:pPr>
        <w:pStyle w:val="BookText"/>
        <w:rPr/>
      </w:pPr>
      <w:bookmarkEnd w:id="21"/>
      <w:r>
        <w:rPr>
          <w:rFonts w:ascii="IRNazanin" w:hAnsi="IRNazanin" w:eastAsia="IRNazanin"/>
          <w:color w:val="111111"/>
          <w:sz w:val="28"/>
          <w:sz w:val="28"/>
          <w:szCs w:val="28"/>
          <w:rtl w:val="true"/>
          <w:lang w:bidi="fa-IR"/>
        </w:rPr>
        <w:t>مهم در تاریخ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عقیدة الوهیت اشخاص در میان عقاید برخی از غالیان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در برخی از جریان‌های غالی، امامان شیعه یعنی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محور بیان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افراد غالی در این زمان، حمزة بن عمارة بربری، مغیرة بن سعید عجلی و ابومنصور عجلی بودند و البته از مهم‌ترین و خطرناک‌ترین غالیان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مقلاص اسدی کوفی معروف به ابوالخطاب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دورة غلوّ از زمان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غیبت صغری را می‌توان دورة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زیرا غالیان این دوره یا خود را پیرو فرقه‌های پیشین می‌دانستند و یا آن‌که در صورت تشکیل فرقه، چندان اهمیتی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مشهورترین غالیان دوران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 از محمد بن بشیر اسدی و از غالیان زمان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یونس بن ظبیان نام برد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2" w:name="__RefHeading___Toc569330_1395250215"/>
      <w:bookmarkStart w:id="23" w:name="_Toc8"/>
      <w:bookmarkEnd w:id="22"/>
      <w:r>
        <w:rPr>
          <w:rtl w:val="true"/>
        </w:rPr>
        <w:t xml:space="preserve">- </w:t>
      </w:r>
      <w:r>
        <w:rPr>
          <w:rtl w:val="true"/>
        </w:rPr>
        <w:t>کیسانیه</w:t>
      </w:r>
      <w:r>
        <w:rPr>
          <w:rtl w:val="true"/>
        </w:rPr>
        <w:t>:</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مذهب شیعه در زمان سه امام اول شیعه، هیچ گونه انشعابی نیافت، ولی پس از ماجرای کربلا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فرقه‌های مختلف شیعی آغاز شد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نخستین فرقه‌ای</w:t>
      </w:r>
    </w:p>
    <w:p>
      <w:pPr>
        <w:pStyle w:val="BookText"/>
        <w:rPr/>
      </w:pPr>
      <w:r>
        <w:rPr>
          <w:rFonts w:ascii="IRNazanin" w:hAnsi="IRNazanin" w:eastAsia="IRNazanin"/>
          <w:color w:val="111111"/>
          <w:sz w:val="28"/>
          <w:sz w:val="28"/>
          <w:szCs w:val="28"/>
          <w:rtl w:val="true"/>
          <w:lang w:bidi="fa-IR"/>
        </w:rPr>
        <w:t>که در شیعه پدید آمد، فرقة کیسانیه بود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مورد نامیده شدن آنها به کیسانیه اقوال مختلفی وجود دارد</w:t>
      </w:r>
      <w:r>
        <w:rPr>
          <w:rStyle w:val="FootnoteAnchor"/>
          <w:rtl w:val="true"/>
        </w:rPr>
        <w:footnoteReference w:id="15"/>
      </w:r>
      <w:r>
        <w:rPr>
          <w:rFonts w:ascii="IRNazanin" w:hAnsi="IRNazanin" w:eastAsia="IRNazanin"/>
          <w:color w:val="111111"/>
          <w:sz w:val="28"/>
          <w:sz w:val="28"/>
          <w:szCs w:val="28"/>
          <w:rtl w:val="true"/>
          <w:lang w:bidi="fa-IR"/>
        </w:rPr>
        <w:t>که بنابر قرائن به نظر می‌رسد که قول صحیح آن است که کیسان، رئیس پلیس مختار بن ابی‌عبید ثقفی بوده که بعد از قتل مختار، طرفداران او را سامان داد</w:t>
      </w:r>
      <w:r>
        <w:rPr>
          <w:rFonts w:eastAsia="IRNazanin" w:cs="IRNazanin"/>
          <w:color w:val="111111"/>
          <w:sz w:val="28"/>
          <w:szCs w:val="28"/>
          <w:rtl w:val="true"/>
          <w:lang w:bidi="fa-IR"/>
        </w:rPr>
        <w:t>.</w:t>
      </w:r>
      <w:r>
        <w:rPr>
          <w:rStyle w:val="FootnoteAnchor"/>
          <w:rtl w:val="true"/>
        </w:rPr>
        <w:footnoteReference w:id="1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کیسانیه قائل به امامت محمد بن حنفیه بودند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که گروهی از ایشان، محمد بن حنفیه را پس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می‌دانستند و گروهی دیگر از ایشان، محمد بن حنفیه را جانشین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مهدی موعود می‌دانستند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چنان که ملاحظه می‌شود کیسانیه امامت را از فرزندان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حنفیه که فرزند</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منتقل کردند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پیدایش فرقة کیسانیه پیامد حرکت شیعی مختار بود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مختار مردم را به انتقام‌گیری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فرامی‌خواند و ادعا داشت که از سوی محمد بن حنفیه اعزام شده است تا وزیر امین او گردد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شاید مهم‌ترین مسأله‌ای که نویسندگان کتاب‌های ملل و نحل به کیسانیّه نسبت داده‌اند، عقیده به مهدویت محمّد بن حنفیه است و چنین گفته‌اند که مختار طرفداران خود را به مهدویت محمّد حنفیه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احادیثی که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مهدی رسیده و در جامعه نشر یافته بود، وجه مشخّص و مهمّ عقیده به مهدویت، گرفتن انتقام از ستمکاران و ایجاد حکومت حق و عدالت بود و اوضاع اجتماعی حاکم بر جامعة اسلامی، زمینة رشد چنین تفکّری را تقویت، و پیوستن به مختار را توجیه کرد؛ زیرا مختار موفّق شده بود از کشندگان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طرفدارانشان انتقام بگیرد و حاکمان ستمگر اموی نیز پس از فاجعة کربلا، خشونت و ستم را به نهایت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حضور نداشتن محمّد بن حنفیه در کوفه و تبعید او از مکه به طائف و رفتن وی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زمینة چنین تفکری را بیشتر تقویت می‌کرد</w:t>
      </w:r>
      <w:r>
        <w:rPr>
          <w:rFonts w:eastAsia="IRNazanin" w:cs="IRNazanin"/>
          <w:color w:val="111111"/>
          <w:sz w:val="28"/>
          <w:szCs w:val="28"/>
          <w:rtl w:val="true"/>
          <w:lang w:bidi="fa-IR"/>
        </w:rPr>
        <w:t>.</w:t>
      </w:r>
      <w:r>
        <w:rPr>
          <w:rStyle w:val="FootnoteAnchor"/>
          <w:rtl w:val="true"/>
        </w:rPr>
        <w:footnoteReference w:id="2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پس از رحلت محمد بن حنفیه، کیسانیه به دسته‌هایی</w:t>
      </w:r>
      <w:bookmarkStart w:id="24" w:name="pg2633_18016"/>
    </w:p>
    <w:p>
      <w:pPr>
        <w:pStyle w:val="BookText"/>
        <w:rPr/>
      </w:pPr>
      <w:bookmarkEnd w:id="24"/>
      <w:r>
        <w:rPr>
          <w:rFonts w:ascii="IRNazanin" w:hAnsi="IRNazanin" w:eastAsia="IRNazanin"/>
          <w:color w:val="111111"/>
          <w:sz w:val="28"/>
          <w:sz w:val="28"/>
          <w:szCs w:val="28"/>
          <w:rtl w:val="true"/>
          <w:lang w:bidi="fa-IR"/>
        </w:rPr>
        <w:t>تقسیم شده و انشعاباتی یافتند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کیسانیه، تیره‌های زیادی بودند که همة آنها از دو دسته ایجاد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معتقد به زنده بودن محمد بن حنفیه بوده و او را مهدی موعود می‌دانستند و گروه دیگر به وفات او اقرار کرده ولی در جانشینی او اختلاف داشتند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25" w:name="__RefHeading___Toc569332_1395250215"/>
      <w:bookmarkStart w:id="26" w:name="_Toc9"/>
      <w:bookmarkEnd w:id="25"/>
      <w:r>
        <w:rPr>
          <w:rtl w:val="true"/>
        </w:rPr>
        <w:t xml:space="preserve">- </w:t>
      </w:r>
      <w:r>
        <w:rPr>
          <w:rtl w:val="true"/>
        </w:rPr>
        <w:t>زیدیه</w:t>
      </w:r>
      <w:r>
        <w:rPr>
          <w:rtl w:val="true"/>
        </w:rPr>
        <w:t>:</w:t>
      </w:r>
      <w:bookmarkEnd w:id="26"/>
    </w:p>
    <w:p>
      <w:pPr>
        <w:pStyle w:val="BookText"/>
        <w:rPr/>
      </w:pPr>
      <w:r>
        <w:rPr>
          <w:rFonts w:ascii="IRNazanin" w:hAnsi="IRNazanin" w:eastAsia="IRNazanin"/>
          <w:color w:val="111111"/>
          <w:sz w:val="28"/>
          <w:sz w:val="28"/>
          <w:szCs w:val="28"/>
          <w:rtl w:val="true"/>
          <w:lang w:bidi="fa-IR"/>
        </w:rPr>
        <w:t xml:space="preserve">بنا به روایتی، زید 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رفته و شیعیان را به شورش علیه امویان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شورش وی علیه خلیفه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شکست انجامید و وی کشته شد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پس از زید، فرزندش یحیی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خلیفة اموی قیام کرده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ملاحظه می‌شود قیام‌های زیدیه در دورة بنی‌امیّه توسط شاخة حسینیان انجام می‌گرفته امّا در اواخر این دوره، محوریت این قیام‌ها به شاخة حسنیان انتقال یافت که تعداد زیادی از علویان، اطراف محمد بن عبدالله بن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و با او علیه بنی‌امیه بیعت کردند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آغازگر این انتقال رهبری در زیدیه را عبدالله بن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نفس زکیه – دانست، چرا که گفته</w:t>
      </w:r>
    </w:p>
    <w:p>
      <w:pPr>
        <w:pStyle w:val="BookText"/>
        <w:rPr/>
      </w:pPr>
      <w:r>
        <w:rPr>
          <w:rFonts w:ascii="IRNazanin" w:hAnsi="IRNazanin" w:eastAsia="IRNazanin"/>
          <w:color w:val="111111"/>
          <w:sz w:val="28"/>
          <w:sz w:val="28"/>
          <w:szCs w:val="28"/>
          <w:rtl w:val="true"/>
          <w:lang w:bidi="fa-IR"/>
        </w:rPr>
        <w:t>شده وی فرزندش محمد را، مهدی نامیده</w:t>
      </w:r>
      <w:r>
        <w:rPr>
          <w:rStyle w:val="FootnoteAnchor"/>
          <w:rtl w:val="true"/>
        </w:rPr>
        <w:footnoteReference w:id="27"/>
      </w:r>
      <w:r>
        <w:rPr>
          <w:rFonts w:ascii="IRNazanin" w:hAnsi="IRNazanin" w:eastAsia="IRNazanin"/>
          <w:color w:val="111111"/>
          <w:sz w:val="28"/>
          <w:sz w:val="28"/>
          <w:szCs w:val="28"/>
          <w:rtl w:val="true"/>
          <w:lang w:bidi="fa-IR"/>
        </w:rPr>
        <w:t xml:space="preserve">و نیز در مورد انحصار امامت در میان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و جدل می‌پرداخته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به هر حال، قیام محمد بن عبدالله و برادرش ابراهیم که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عباسیان صورت گرفت، به کشته شدن و شکست آن دو و پیروانشان منتهی شد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ولی این شکست، حسنیان را از اندیشة قیام بازنداشت و همچنان قیام‌های آنان ادامه یافت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همزمان با اوج‌گیری مبارزات سیاسی زیدیه در قرن دوم، برخی نظریه‌پردازان و متکلمان زیدی با تأثیرپذیری از جو حاکم بر آن دوره به طرح مباحث مختلف کلامی روی آورده و نظریات آنان سبب پیدایش نخستین دسته‌بندی‌ها در میان زیدیه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انشعابات آنان بیش از هر چیز، به بحث امامت و رهبری جامعه بازمی‌گشت</w:t>
      </w:r>
      <w:r>
        <w:rPr>
          <w:rFonts w:eastAsia="IRNazanin" w:cs="IRNazanin"/>
          <w:color w:val="111111"/>
          <w:sz w:val="28"/>
          <w:szCs w:val="28"/>
          <w:rtl w:val="true"/>
          <w:lang w:bidi="fa-IR"/>
        </w:rPr>
        <w:t>.</w:t>
      </w:r>
      <w:r>
        <w:rPr>
          <w:rStyle w:val="FootnoteAnchor"/>
          <w:rtl w:val="true"/>
        </w:rPr>
        <w:footnoteReference w:id="3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انشعابات و فرق زیدیه، شهرستانی آنها را سه گروه جارودیّه، سلیمانیّه و بَتریّه می‌داند و سپس صالحیه را اضافه می‌کند و متذکّر می‌شود که بتریّه و صالحیّه هر دو بر یک مذهبند</w:t>
      </w:r>
      <w:r>
        <w:rPr>
          <w:rFonts w:eastAsia="IRNazanin" w:cs="IRNazanin"/>
          <w:color w:val="111111"/>
          <w:sz w:val="28"/>
          <w:szCs w:val="28"/>
          <w:rtl w:val="true"/>
          <w:lang w:bidi="fa-IR"/>
        </w:rPr>
        <w:t>.</w:t>
      </w:r>
      <w:r>
        <w:rPr>
          <w:rStyle w:val="FootnoteAnchor"/>
          <w:rtl w:val="true"/>
        </w:rPr>
        <w:footnoteReference w:id="32"/>
      </w:r>
      <w:bookmarkStart w:id="27" w:name="pg2633_18018"/>
    </w:p>
    <w:p>
      <w:pPr>
        <w:pStyle w:val="Heading3"/>
        <w:numPr>
          <w:ilvl w:val="2"/>
          <w:numId w:val="1"/>
        </w:numPr>
        <w:rPr/>
      </w:pPr>
      <w:bookmarkStart w:id="28" w:name="__RefHeading___Toc569334_1395250215"/>
      <w:bookmarkStart w:id="29" w:name="_Toc10"/>
      <w:bookmarkEnd w:id="27"/>
      <w:bookmarkEnd w:id="28"/>
      <w:r>
        <w:rPr>
          <w:rtl w:val="true"/>
        </w:rPr>
        <w:t xml:space="preserve">- </w:t>
      </w:r>
      <w:r>
        <w:rPr>
          <w:rtl w:val="true"/>
        </w:rPr>
        <w:t>باقریه</w:t>
      </w:r>
      <w:r>
        <w:rPr>
          <w:rtl w:val="true"/>
        </w:rPr>
        <w:t>:</w:t>
      </w:r>
      <w:bookmarkEnd w:id="29"/>
    </w:p>
    <w:p>
      <w:pPr>
        <w:pStyle w:val="BookText"/>
        <w:rPr/>
      </w:pPr>
      <w:r>
        <w:rPr>
          <w:rFonts w:ascii="IRNazanin" w:hAnsi="IRNazanin" w:eastAsia="IRNazanin"/>
          <w:color w:val="111111"/>
          <w:sz w:val="28"/>
          <w:sz w:val="28"/>
          <w:szCs w:val="28"/>
          <w:rtl w:val="true"/>
          <w:lang w:bidi="fa-IR"/>
        </w:rPr>
        <w:t xml:space="preserve">گروهی بودند که به امامت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بوده و معتقد بودند که امامت از وی تجاوز نمی‌کند و به رجعت او معتقد بودند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عبارت بغدادی در این مورد،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گروهی هستند که امامت را از علی بن ابیطالب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تا محمد بن علی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باقر رسانیده‌اند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پندارند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آینده است</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این گروه، همان کیسانیه سابق باشند که ابوهاشم را ترک کرده و به پیروی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نهاده بودند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طبق گفتة نوبختی، پس از شهادت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یارانش به دو دسته تقسیم شدند که گروهی از اینان، پس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پسرش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پس از شهادت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و یارانش به شش دسته تقسیم شدند</w:t>
      </w:r>
      <w:r>
        <w:rPr>
          <w:rStyle w:val="FootnoteAnchor"/>
          <w:rtl w:val="true"/>
        </w:rPr>
        <w:footnoteReference w:id="37"/>
      </w:r>
      <w:r>
        <w:rPr>
          <w:rFonts w:ascii="IRNazanin" w:hAnsi="IRNazanin" w:eastAsia="IRNazanin"/>
          <w:color w:val="111111"/>
          <w:sz w:val="28"/>
          <w:sz w:val="28"/>
          <w:szCs w:val="28"/>
          <w:rtl w:val="true"/>
          <w:lang w:bidi="fa-IR"/>
        </w:rPr>
        <w:t xml:space="preserve">، که یک دسته از آنها پس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 و اینها در واقع، همان زنجیرة امامیه بودند</w:t>
      </w:r>
      <w:r>
        <w:rPr>
          <w:rStyle w:val="FootnoteAnchor"/>
          <w:rtl w:val="true"/>
        </w:rPr>
        <w:footnoteReference w:id="38"/>
      </w:r>
      <w:r>
        <w:rPr>
          <w:rFonts w:ascii="IRNazanin" w:hAnsi="IRNazanin" w:eastAsia="IRNazanin"/>
          <w:color w:val="111111"/>
          <w:sz w:val="28"/>
          <w:sz w:val="28"/>
          <w:szCs w:val="28"/>
          <w:rtl w:val="true"/>
          <w:lang w:bidi="fa-IR"/>
        </w:rPr>
        <w:t>و امّا پنج دستة دیگر عبارت بودند از</w:t>
      </w:r>
      <w:r>
        <w:rPr>
          <w:rFonts w:eastAsia="IRNazanin" w:cs="IRNazanin"/>
          <w:color w:val="111111"/>
          <w:sz w:val="28"/>
          <w:szCs w:val="28"/>
          <w:rtl w:val="true"/>
          <w:lang w:bidi="fa-IR"/>
        </w:rPr>
        <w:t>:</w:t>
      </w:r>
    </w:p>
    <w:p>
      <w:pPr>
        <w:pStyle w:val="Heading3"/>
        <w:numPr>
          <w:ilvl w:val="2"/>
          <w:numId w:val="1"/>
        </w:numPr>
        <w:rPr/>
      </w:pPr>
      <w:bookmarkStart w:id="30" w:name="__RefHeading___Toc569336_1395250215"/>
      <w:bookmarkStart w:id="31" w:name="_Toc11"/>
      <w:bookmarkEnd w:id="30"/>
      <w:r>
        <w:rPr>
          <w:rtl w:val="true"/>
        </w:rPr>
        <w:t xml:space="preserve">- </w:t>
      </w:r>
      <w:r>
        <w:rPr>
          <w:rtl w:val="true"/>
        </w:rPr>
        <w:t>ناووسیه</w:t>
      </w:r>
      <w:r>
        <w:rPr>
          <w:rtl w:val="true"/>
        </w:rPr>
        <w:t>:</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گروهی بودند که وفات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کرده و او</w:t>
      </w:r>
      <w:bookmarkStart w:id="32" w:name="pg2633_18019"/>
    </w:p>
    <w:p>
      <w:pPr>
        <w:pStyle w:val="BookText"/>
        <w:rPr/>
      </w:pPr>
      <w:bookmarkEnd w:id="32"/>
      <w:r>
        <w:rPr>
          <w:rFonts w:ascii="IRNazanin" w:hAnsi="IRNazanin" w:eastAsia="IRNazanin"/>
          <w:color w:val="111111"/>
          <w:sz w:val="28"/>
          <w:sz w:val="28"/>
          <w:szCs w:val="28"/>
          <w:rtl w:val="true"/>
          <w:lang w:bidi="fa-IR"/>
        </w:rPr>
        <w:t>را مهدی موعود می‌دانستند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این فرقه، به نام پیشوایشان که فردی ناووس نام</w:t>
      </w:r>
      <w:r>
        <w:rPr>
          <w:rStyle w:val="FootnoteAnchor"/>
          <w:rtl w:val="true"/>
        </w:rPr>
        <w:footnoteReference w:id="40"/>
      </w:r>
      <w:r>
        <w:rPr>
          <w:rFonts w:ascii="IRNazanin" w:hAnsi="IRNazanin" w:eastAsia="IRNazanin"/>
          <w:color w:val="111111"/>
          <w:sz w:val="28"/>
          <w:sz w:val="28"/>
          <w:szCs w:val="28"/>
          <w:rtl w:val="true"/>
          <w:lang w:bidi="fa-IR"/>
        </w:rPr>
        <w:t>و از بصره بوده است، به ناووسیه مشهور شده‌اند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محققان معاصر، اعتقاداتی که در مورد این گروه گفته شده را ساخته و پرداختۀ ملل و نحل نگاران می‌داند و در این مورد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نگارندگان کتب ملل و نحل، با این وجود، از این گروه مذهب خاصی ساخته و گفته‌اند که آنان معتقد بودند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رحلت نفرموده، بلکه در غایب شده و در آینده به عنوان قائم بازخواهد گشت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 سپس اضافه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مؤلفان، این گروه را به نام ناووسیّه نامگذاری کرده‌اند</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دلایلی را بر ردّ این اعتقاد برای این گروه می‌آورد و باور و تفکّر آنها را به گونه‌ای دیگر گزارش می‌کند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33" w:name="__RefHeading___Toc569338_1395250215"/>
      <w:bookmarkStart w:id="34" w:name="_Toc12"/>
      <w:bookmarkEnd w:id="33"/>
      <w:r>
        <w:rPr>
          <w:rtl w:val="true"/>
        </w:rPr>
        <w:t xml:space="preserve">- </w:t>
      </w:r>
      <w:r>
        <w:rPr>
          <w:rtl w:val="true"/>
        </w:rPr>
        <w:t>اسماعیلیة خالصه</w:t>
      </w:r>
      <w:r>
        <w:rPr>
          <w:rtl w:val="true"/>
        </w:rPr>
        <w:t>:</w:t>
      </w:r>
      <w:bookmarkEnd w:id="3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گروهی بودند که مرگ اسماعیل را در زمان حیات</w:t>
      </w:r>
      <w:bookmarkStart w:id="35" w:name="pg2633_18020"/>
    </w:p>
    <w:p>
      <w:pPr>
        <w:pStyle w:val="BookText"/>
        <w:rPr/>
      </w:pPr>
      <w:bookmarkEnd w:id="35"/>
      <w:r>
        <w:rPr>
          <w:rFonts w:ascii="IRNazanin" w:hAnsi="IRNazanin" w:eastAsia="IRNazanin"/>
          <w:color w:val="111111"/>
          <w:sz w:val="28"/>
          <w:sz w:val="28"/>
          <w:szCs w:val="28"/>
          <w:rtl w:val="true"/>
          <w:lang w:bidi="fa-IR"/>
        </w:rPr>
        <w:t xml:space="preserve">پدرش انکار کرده و معتقد بودند که او، پس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است و گمان می‌کردند که اسماعیل همان مهدی موعود و امام قائم است</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36" w:name="__RefHeading___Toc569340_1395250215"/>
      <w:bookmarkStart w:id="37" w:name="_Toc13"/>
      <w:bookmarkEnd w:id="36"/>
      <w:r>
        <w:rPr>
          <w:rtl w:val="true"/>
        </w:rPr>
        <w:t xml:space="preserve">- </w:t>
      </w:r>
      <w:r>
        <w:rPr>
          <w:rtl w:val="true"/>
        </w:rPr>
        <w:t>مبارکیه</w:t>
      </w:r>
      <w:r>
        <w:rPr>
          <w:rtl w:val="true"/>
        </w:rPr>
        <w:t>:</w:t>
      </w:r>
      <w:bookmarkEnd w:id="37"/>
    </w:p>
    <w:p>
      <w:pPr>
        <w:pStyle w:val="BookText"/>
        <w:rPr/>
      </w:pPr>
      <w:r>
        <w:rPr>
          <w:rFonts w:ascii="IRNazanin" w:hAnsi="IRNazanin" w:eastAsia="IRNazanin"/>
          <w:color w:val="111111"/>
          <w:sz w:val="28"/>
          <w:sz w:val="28"/>
          <w:szCs w:val="28"/>
          <w:rtl w:val="true"/>
          <w:lang w:bidi="fa-IR"/>
        </w:rPr>
        <w:t xml:space="preserve">گروه سوم بر این باور بودند که پس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نوة او محمد بن اسماعیل،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را به نام پیشوایشان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غلام اسماعیل بن جعفر بود، مبارکیه نامیدند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38" w:name="__RefHeading___Toc569342_1395250215"/>
      <w:bookmarkStart w:id="39" w:name="_Toc14"/>
      <w:bookmarkEnd w:id="38"/>
      <w:r>
        <w:rPr>
          <w:rtl w:val="true"/>
        </w:rPr>
        <w:t xml:space="preserve">- </w:t>
      </w:r>
      <w:r>
        <w:rPr>
          <w:rtl w:val="true"/>
        </w:rPr>
        <w:t>سمیطیه</w:t>
      </w:r>
      <w:r>
        <w:rPr>
          <w:rtl w:val="true"/>
        </w:rPr>
        <w:t>:</w:t>
      </w:r>
      <w:bookmarkEnd w:id="39"/>
    </w:p>
    <w:p>
      <w:pPr>
        <w:pStyle w:val="BookText"/>
        <w:rPr/>
      </w:pPr>
      <w:r>
        <w:rPr>
          <w:rFonts w:ascii="IRNazanin" w:hAnsi="IRNazanin" w:eastAsia="IRNazanin"/>
          <w:color w:val="111111"/>
          <w:sz w:val="28"/>
          <w:sz w:val="28"/>
          <w:szCs w:val="28"/>
          <w:rtl w:val="true"/>
          <w:lang w:bidi="fa-IR"/>
        </w:rPr>
        <w:t xml:space="preserve">گروه چهارم معتقد بودند که پس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دیگرش محمد – ملقب به دیباج –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امامت را در محمد و فرزندانش می‌دانستند و به خاطر نام پیشوایشان، یحیی بن ابی‌سمیط به سمیطیه نامیده شده‌اند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40" w:name="__RefHeading___Toc569344_1395250215"/>
      <w:bookmarkStart w:id="41" w:name="_Toc15"/>
      <w:bookmarkEnd w:id="40"/>
      <w:r>
        <w:rPr>
          <w:rtl w:val="true"/>
        </w:rPr>
        <w:t xml:space="preserve">- </w:t>
      </w:r>
      <w:r>
        <w:rPr>
          <w:rtl w:val="true"/>
        </w:rPr>
        <w:t>فطحیه</w:t>
      </w:r>
      <w:r>
        <w:rPr>
          <w:rtl w:val="true"/>
        </w:rPr>
        <w:t>:</w:t>
      </w:r>
      <w:bookmarkEnd w:id="4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بر این اعتقاد بودند که پس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پسرش عبدالله افطح،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بزرگ‌ترین فرزند بازماندة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دعوی امامت می‌کرد، پس بیشتر پیروان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گرویدند؛ اما به دلایلی بیشتر آنان پس</w:t>
      </w:r>
      <w:bookmarkStart w:id="42" w:name="pg2633_18021"/>
    </w:p>
    <w:p>
      <w:pPr>
        <w:pStyle w:val="BookText"/>
        <w:rPr/>
      </w:pPr>
      <w:bookmarkEnd w:id="42"/>
      <w:r>
        <w:rPr>
          <w:rFonts w:ascii="IRNazanin" w:hAnsi="IRNazanin" w:eastAsia="IRNazanin"/>
          <w:color w:val="111111"/>
          <w:sz w:val="28"/>
          <w:sz w:val="28"/>
          <w:szCs w:val="28"/>
          <w:rtl w:val="true"/>
          <w:lang w:bidi="fa-IR"/>
        </w:rPr>
        <w:t xml:space="preserve">از مدتی به امامت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شایان توجه است که از میان  انشعابات یاد شده پس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فرقه‌ای که توانست به هر دلیلی، ادامه حیات بدهد و اسباب ماندگاری خود را فراهم کند، اسماعیلیه – خالصه و مبارکیه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43" w:name="__RefHeading___Toc569346_1395250215"/>
      <w:bookmarkStart w:id="44" w:name="_Toc16"/>
      <w:bookmarkEnd w:id="43"/>
      <w:r>
        <w:rPr>
          <w:rtl w:val="true"/>
        </w:rPr>
        <w:t xml:space="preserve">- </w:t>
      </w:r>
      <w:r>
        <w:rPr>
          <w:rtl w:val="true"/>
        </w:rPr>
        <w:t>واقفیه</w:t>
      </w:r>
      <w:r>
        <w:rPr>
          <w:rtl w:val="true"/>
        </w:rPr>
        <w:t>:</w:t>
      </w:r>
      <w:bookmarkEnd w:id="44"/>
    </w:p>
    <w:p>
      <w:pPr>
        <w:pStyle w:val="BookText"/>
        <w:rPr/>
      </w:pPr>
      <w:r>
        <w:rPr>
          <w:rFonts w:ascii="IRNazanin" w:hAnsi="IRNazanin" w:eastAsia="IRNazanin"/>
          <w:color w:val="111111"/>
          <w:sz w:val="28"/>
          <w:sz w:val="28"/>
          <w:szCs w:val="28"/>
          <w:rtl w:val="true"/>
          <w:lang w:bidi="fa-IR"/>
        </w:rPr>
        <w:t xml:space="preserve">پس از شهادت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عواملی دست به دست هم داده تا عده‌ای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آخرین امام و مهدی موعود دانسته و بر این اساس، بر او توقف نموده و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توقف‌کنندگان بر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به گروه‌هایی از حیث چگونگی رحلت و غیبت و ظهور و قیام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شدند و مسألة وقف بر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خواهد آمد توسط عده‌ای از اصحاب برجسته و وکلای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راه انداخته و تبلیغ و حمایت می‌شد و با توجه به این که مبلغان آن، از جایگاه علمی و اجتماعی بالایی برخوردار بودند، مشکلات فراوانی را برای جامعة شیعه به وجود آوردند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مدت دوام و زمان انقراض این فرقه گفته شده که بر خلاف پندار برخی از دانشمندان شیعه در قرن پنجم که تصور می‌کردند که این گروه تا آن زمان منقرض شده‌اند، پیروان این مذهب حداقل تا اواسط قرن ششم وجود داشته‌اند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امّا با گذشت زمان، بیشتر شیعیان، فرزند ارشد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امام و جانشین ایشان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شیعیان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قطعیّه</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آغاز قرن سوم هجری، اکثریت شیعیان امامی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مفترض الطاعة خود اطاعت می‌نموده‌اند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گذشت تا زمان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به فرقه‌های بسیاری تقسیم شد که در این پژوهش برآنیم که به فرقه‌های موجود و مهم‌تر در زمان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تعامل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بپردازیم</w:t>
      </w:r>
      <w:r>
        <w:rPr>
          <w:rFonts w:eastAsia="IRNazanin" w:cs="IRNazanin"/>
          <w:color w:val="111111"/>
          <w:sz w:val="28"/>
          <w:szCs w:val="28"/>
          <w:rtl w:val="true"/>
          <w:lang w:bidi="fa-IR"/>
        </w:rPr>
        <w:t>.</w:t>
      </w:r>
      <w:bookmarkStart w:id="45" w:name="pg2633_18023"/>
    </w:p>
    <w:p>
      <w:pPr>
        <w:pStyle w:val="Heading2"/>
        <w:numPr>
          <w:ilvl w:val="1"/>
          <w:numId w:val="1"/>
        </w:numPr>
        <w:rPr/>
      </w:pPr>
      <w:bookmarkStart w:id="46" w:name="__RefHeading___Toc569348_1395250215"/>
      <w:bookmarkStart w:id="47" w:name="_Toc17"/>
      <w:bookmarkEnd w:id="45"/>
      <w:bookmarkEnd w:id="46"/>
      <w:r>
        <w:rPr>
          <w:rtl w:val="true"/>
        </w:rPr>
        <w:t xml:space="preserve">وضعیت سیاسی و فرهنگی شیعیان در دوره امامت امام رضا </w:t>
      </w:r>
      <w:r>
        <w:rPr>
          <w:rtl w:val="true"/>
        </w:rPr>
        <w:t>(</w:t>
      </w:r>
      <w:r>
        <w:rPr>
          <w:rtl w:val="true"/>
        </w:rPr>
        <w:t>علیه السلام</w:t>
      </w:r>
      <w:r>
        <w:rPr>
          <w:rtl w:val="true"/>
        </w:rPr>
        <w:t>)</w:t>
      </w:r>
      <w:bookmarkEnd w:id="4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569350_1395250215"/>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 xml:space="preserve">بسترشناسی و شناخت وضعیت دورۀ هر کدام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فواید چندی را در بر دارد که شناخت و تحلیل سیرۀ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توانایی توجیه و تشخیص تفاوت سیره‌های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به ویژه در مسائل سیاسی ، اقتصادی و اجتماعی و حتی توانایی توجیه چگونگی و چرایی تفاوت برخوردهای یک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جریان‌های مختلف، از آن جمله‌اند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بررسی و شناخت وضعیت سیاسی و فرهنگی شیعیان در دورة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باعث روشن شدن زاویه‌ای مهم از دورة امامت و زندگی آن بزرگوار است که می‌تواند راهنمای ارزشمندی در شناخت و تحلیل سیرة ایشان، به طور عام، و تعامل و مناسبات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شیعیان ـ در اینجا فرقه‌های شیعی ـ به طور خاص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بررسی وضعیت سیاسی و فرهنگی شیعیان در دورة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ناگزیریم که محدودة زمانی و مکانی این دوره را کاملاً بشناسیم؛ یعنی بدانیم که از نظر زمانی در این دوره،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با کدام خلفای عباسی است و از نظر مکانی، محل استقرار و فعالیت شیعیان، بیشتر در چه مناطقی می‌باشد، و از طرفی وضعیت کلی آن زمان را بشناسیم، چرا که شیعیان جزئی از آن کل، و در ارتباط با آن و مسلماً تحت تأثیر آن بوده‌اند؛ لذا بررسی وضعیت شیعه در زمان مورد بحث، نیازمند مروری هرچند اجمالی به وضعیت کلی جهان اسلام در آن روزگار می‌باشد</w:t>
      </w:r>
      <w:r>
        <w:rPr>
          <w:rFonts w:eastAsia="IRNazanin" w:cs="IRNazanin"/>
          <w:color w:val="111111"/>
          <w:sz w:val="28"/>
          <w:szCs w:val="28"/>
          <w:rtl w:val="true"/>
          <w:lang w:bidi="fa-IR"/>
        </w:rPr>
        <w:t>.</w:t>
      </w:r>
      <w:bookmarkStart w:id="50" w:name="pg2633_18025"/>
    </w:p>
    <w:p>
      <w:pPr>
        <w:pStyle w:val="Heading3"/>
        <w:numPr>
          <w:ilvl w:val="2"/>
          <w:numId w:val="1"/>
        </w:numPr>
        <w:rPr/>
      </w:pPr>
      <w:bookmarkStart w:id="51" w:name="__RefHeading___Toc569352_1395250215"/>
      <w:bookmarkStart w:id="52" w:name="_Toc19"/>
      <w:bookmarkEnd w:id="50"/>
      <w:bookmarkEnd w:id="51"/>
      <w:r>
        <w:rPr>
          <w:rtl w:val="true"/>
        </w:rPr>
        <w:t xml:space="preserve">- </w:t>
      </w:r>
      <w:r>
        <w:rPr>
          <w:rtl w:val="true"/>
        </w:rPr>
        <w:t xml:space="preserve">وضعیت سیاسی جامعة اسلامی معاصر امامت امام رضا </w:t>
      </w:r>
      <w:r>
        <w:rPr>
          <w:rtl w:val="true"/>
        </w:rPr>
        <w:t>(</w:t>
      </w:r>
      <w:r>
        <w:rPr>
          <w:rtl w:val="true"/>
        </w:rPr>
        <w:t>علیه السلام</w:t>
      </w:r>
      <w:r>
        <w:rPr>
          <w:rtl w:val="true"/>
        </w:rPr>
        <w:t>)</w:t>
      </w:r>
      <w:bookmarkEnd w:id="5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دورة بیست سالۀ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دوران حکومت سه خلیفة عباسی یعنی هارون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مأمون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بود که در ادامه به آنها پرداخته می‌شود</w:t>
      </w:r>
      <w:r>
        <w:rPr>
          <w:rFonts w:eastAsia="IRNazanin" w:cs="IRNazanin"/>
          <w:color w:val="111111"/>
          <w:sz w:val="28"/>
          <w:szCs w:val="28"/>
          <w:rtl w:val="true"/>
          <w:lang w:bidi="fa-IR"/>
        </w:rPr>
        <w:t>.</w:t>
      </w:r>
      <w:bookmarkStart w:id="53" w:name="pg2633_18026"/>
    </w:p>
    <w:p>
      <w:pPr>
        <w:pStyle w:val="Heading3"/>
        <w:numPr>
          <w:ilvl w:val="2"/>
          <w:numId w:val="1"/>
        </w:numPr>
        <w:rPr/>
      </w:pPr>
      <w:bookmarkStart w:id="54" w:name="__RefHeading___Toc569354_1395250215"/>
      <w:bookmarkStart w:id="55" w:name="_Toc20"/>
      <w:bookmarkEnd w:id="53"/>
      <w:bookmarkEnd w:id="54"/>
      <w:r>
        <w:rPr>
          <w:rtl w:val="true"/>
        </w:rPr>
        <w:t xml:space="preserve">- </w:t>
      </w:r>
      <w:r>
        <w:rPr>
          <w:rtl w:val="true"/>
        </w:rPr>
        <w:t xml:space="preserve">هارون </w:t>
      </w:r>
      <w:r>
        <w:rPr>
          <w:rtl w:val="true"/>
        </w:rPr>
        <w:t>(</w:t>
      </w:r>
      <w:r>
        <w:rPr/>
        <w:t>170</w:t>
      </w:r>
      <w:r>
        <w:rPr>
          <w:rtl w:val="true"/>
        </w:rPr>
        <w:t xml:space="preserve"> </w:t>
      </w:r>
      <w:r>
        <w:rPr>
          <w:rtl w:val="true"/>
        </w:rPr>
        <w:t xml:space="preserve">ـ </w:t>
      </w:r>
      <w:r>
        <w:rPr/>
        <w:t>193</w:t>
      </w:r>
      <w:r>
        <w:rPr>
          <w:rtl w:val="true"/>
        </w:rPr>
        <w:t xml:space="preserve"> </w:t>
      </w:r>
      <w:r>
        <w:rPr>
          <w:rtl w:val="true"/>
        </w:rPr>
        <w:t>هـ</w:t>
      </w:r>
      <w:r>
        <w:rPr>
          <w:rtl w:val="true"/>
        </w:rPr>
        <w:t>.</w:t>
      </w:r>
      <w:r>
        <w:rPr>
          <w:rtl w:val="true"/>
        </w:rPr>
        <w:t>ق</w:t>
      </w:r>
      <w:r>
        <w:rPr>
          <w:rtl w:val="true"/>
        </w:rPr>
        <w:t>)</w:t>
      </w:r>
      <w:bookmarkEnd w:id="55"/>
    </w:p>
    <w:p>
      <w:pPr>
        <w:pStyle w:val="BookText"/>
        <w:rPr/>
      </w:pPr>
      <w:r>
        <w:rPr>
          <w:rFonts w:ascii="IRNazanin" w:hAnsi="IRNazanin" w:eastAsia="IRNazanin"/>
          <w:color w:val="111111"/>
          <w:sz w:val="28"/>
          <w:sz w:val="28"/>
          <w:szCs w:val="28"/>
          <w:rtl w:val="true"/>
          <w:lang w:bidi="fa-IR"/>
        </w:rPr>
        <w:t xml:space="preserve">هارون، پنجمین خلیفة عباسی بود که در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حکومت رسید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علاقة او به جنگ چنان بود که دربارۀ او گفته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 جنگ را دوست می‌داشت و عادت داشت یک سال به حج و یک سال به جنگ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زرهی بر تن می‌کرد که بر پشت آن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جلوی آن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دوران وی، شاهد ناآرامی‌هایی در نقاط مختلف حکومتی بود، از جمله در دوران وی، قیام دو برادر علوی به نام‌های یحیی وادریس، فرزندان عبدالله بن حسن رخ داد که یحیی در مشرق و برادرش ادریس در سرزمین مغرب قیام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توانست یحیی را فریفته و با وعدة امان، او را به بغداد کشانیده و به قتل برساند، </w:t>
      </w:r>
      <w:r>
        <w:rPr>
          <w:rStyle w:val="FootnoteAnchor"/>
          <w:rtl w:val="true"/>
        </w:rPr>
        <w:footnoteReference w:id="55"/>
      </w:r>
      <w:r>
        <w:rPr>
          <w:rFonts w:ascii="IRNazanin" w:hAnsi="IRNazanin" w:eastAsia="IRNazanin"/>
          <w:color w:val="111111"/>
          <w:sz w:val="28"/>
          <w:sz w:val="28"/>
          <w:szCs w:val="28"/>
          <w:rtl w:val="true"/>
          <w:lang w:bidi="fa-IR"/>
        </w:rPr>
        <w:t>اما ادریس بن عبدالله که به شمال آفریقا و سرزمین مغرب گریخته بود، توانست در آنجا با کمک قبایل بربر در مقابل حکومت هارون ایستادگی کند و هرچند هارون با خدعه توانست وی را نیز با سم به قتل برساند، اما غلام وفادار ادریس یعنی راشد، سرپرستی خانواده‌اش را به عهده گرفته</w:t>
      </w:r>
    </w:p>
    <w:p>
      <w:pPr>
        <w:pStyle w:val="BookText"/>
        <w:rPr/>
      </w:pPr>
      <w:r>
        <w:rPr>
          <w:rFonts w:ascii="IRNazanin" w:hAnsi="IRNazanin" w:eastAsia="IRNazanin"/>
          <w:color w:val="111111"/>
          <w:sz w:val="28"/>
          <w:sz w:val="28"/>
          <w:szCs w:val="28"/>
          <w:rtl w:val="true"/>
          <w:lang w:bidi="fa-IR"/>
        </w:rPr>
        <w:t>و با کمک او، فرزند ادریس – که در زمان قتل پدرش هنوز متولد نشده بود و پس از تولد، او را به نام پدرش، ادریس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حد حکومت و سلطنت جانشین پدر شد و حکومت بربر را به دست آورد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در واقع ادریس دوم، بنیانگذار واقعی دولت ادریسیان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استقلال کامل ادریسیان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ناامیدی عباسیان از سرکوب آنان، هارون برای آنکه از خطر حملات آل ادریس به قلمرو خلافت در امان بماند، به ابراهیم بن اغلب اجازه داد تا با اختیارات بسیار، برافریقیه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پس در دوران هارون، تشکیل نخستین دولت مستقل شیعی یعنی ادارسه، و در پی آن تأسیس دولت نیمه مستقل اغالبه ـ به منظور خنثی کردن اثر دولت ادارسه ـ را شاهدیم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برخی محققان ونویسندگان معاصر، هارون پس از رهایی یافتن از این دو نهضت بزرگ علوی، با دیدة ترس و نگرانی به فرزندان بیت علوی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نگریست و از این رو پیشوایان آنها را دستگیر و به حیاتشان پایان داد که در رأس آنها عبدالله بن حسن و محمدبن یحیی و عباس بن محمد و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چهار سال</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شریفش را در زندان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هارون الرشید سپری نمود</w:t>
      </w:r>
      <w:r>
        <w:rPr>
          <w:rStyle w:val="FootnoteAnchor"/>
          <w:rtl w:val="true"/>
        </w:rPr>
        <w:footnoteReference w:id="59"/>
      </w:r>
      <w:r>
        <w:rPr>
          <w:rFonts w:ascii="IRNazanin" w:hAnsi="IRNazanin" w:eastAsia="IRNazanin"/>
          <w:color w:val="111111"/>
          <w:sz w:val="28"/>
          <w:sz w:val="28"/>
          <w:szCs w:val="28"/>
          <w:rtl w:val="true"/>
          <w:lang w:bidi="fa-IR"/>
        </w:rPr>
        <w:t>و سرانجام</w:t>
      </w:r>
    </w:p>
    <w:p>
      <w:pPr>
        <w:pStyle w:val="BookText"/>
        <w:rPr/>
      </w:pPr>
      <w:r>
        <w:rPr>
          <w:rFonts w:ascii="IRNazanin" w:hAnsi="IRNazanin" w:eastAsia="IRNazanin"/>
          <w:color w:val="111111"/>
          <w:sz w:val="28"/>
          <w:sz w:val="28"/>
          <w:szCs w:val="28"/>
          <w:rtl w:val="true"/>
          <w:lang w:bidi="fa-IR"/>
        </w:rPr>
        <w:t xml:space="preserve">هارون فرمان قتل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w:t>
      </w:r>
      <w:r>
        <w:rPr>
          <w:rStyle w:val="FootnoteAnchor"/>
          <w:rtl w:val="true"/>
        </w:rPr>
        <w:footnoteReference w:id="60"/>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شهادت رسید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سرکوب گرانة هارون در این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علویان، شدت تقیۀ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به دنبال داشت که این امر باعث توسعة سازمان وکالت</w:t>
      </w:r>
      <w:r>
        <w:rPr>
          <w:rStyle w:val="FootnoteAnchor"/>
          <w:rtl w:val="true"/>
        </w:rPr>
        <w:footnoteReference w:id="62"/>
      </w:r>
      <w:r>
        <w:rPr>
          <w:rFonts w:ascii="IRNazanin" w:hAnsi="IRNazanin" w:eastAsia="IRNazanin"/>
          <w:color w:val="111111"/>
          <w:sz w:val="28"/>
          <w:sz w:val="28"/>
          <w:szCs w:val="28"/>
          <w:rtl w:val="true"/>
          <w:lang w:bidi="fa-IR"/>
        </w:rPr>
        <w:t xml:space="preserve">در زمان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تا ازآن طریق،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باهم در ارتباط باشند، اما این شدت تقیه و از آن طرف زندان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طولانی مدت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شهادت ایشان در زندان، آثار سویی برای شیعه و جامعة شیعی به جای گذاشت که از آن جمله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ایجاد بزرگترین انشقاق در جامعة شیعی یعنی تشکیل فرقة واقفه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هم بیان شد،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پیروان و شیعیان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سودجویان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دنباله روان نادان آنها، </w:t>
      </w:r>
      <w:r>
        <w:rPr>
          <w:rStyle w:val="FootnoteAnchor"/>
          <w:rtl w:val="true"/>
        </w:rPr>
        <w:footnoteReference w:id="63"/>
      </w:r>
      <w:r>
        <w:rPr>
          <w:rFonts w:ascii="IRNazanin" w:hAnsi="IRNazanin" w:eastAsia="IRNazanin"/>
          <w:color w:val="111111"/>
          <w:sz w:val="28"/>
          <w:sz w:val="28"/>
          <w:szCs w:val="28"/>
          <w:rtl w:val="true"/>
          <w:lang w:bidi="fa-IR"/>
        </w:rPr>
        <w:t>برای این غیبت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حیاتش و سپس شهادت ایشان، دلایل وروایات مختلف آورده، و ایشان را مهدی موعود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شرایط سیاسی دورة هارون مقارن با زمان امامت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بسزایی در به وجود آمدن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مهم از درون شیعه به نام واقفیه ایفا کرد و اگر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وقفة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تا تشیع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ناآرامی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حاکم بر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حکومت عباسی، تنها ناشی از حرکت‌های علویان نبود بلکه دوران خلافت هارون شاهد شورش‌هایی از قبیل شورش حمزۀ بن عبدالله خارجی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معروف به حمزه آذرک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نظامی شاید بتوان گفت که خطرناک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عملیات نظامی خوارج در زمان مورد بحث یعنی دورۀ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ـ بود، و نیز شورش مردم خراسان که سرانجام وقتی رشید، شخصاً در سال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برای ساماندهی به اوضاع و فرونشاندن شورش مذکور که به رهبری رافع بن لیث انجام گرفته بود، راهی خراسان شد، </w:t>
      </w:r>
      <w:r>
        <w:rPr>
          <w:rStyle w:val="FootnoteAnchor"/>
          <w:rtl w:val="true"/>
        </w:rPr>
        <w:footnoteReference w:id="65"/>
      </w:r>
      <w:r>
        <w:rPr>
          <w:rFonts w:ascii="IRNazanin" w:hAnsi="IRNazanin" w:eastAsia="IRNazanin"/>
          <w:color w:val="111111"/>
          <w:sz w:val="28"/>
          <w:sz w:val="28"/>
          <w:szCs w:val="28"/>
          <w:rtl w:val="true"/>
          <w:lang w:bidi="fa-IR"/>
        </w:rPr>
        <w:t xml:space="preserve">در راه به علت بیماری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توس درگذشت</w:t>
      </w:r>
      <w:r>
        <w:rPr>
          <w:rFonts w:eastAsia="IRNazanin" w:cs="IRNazanin"/>
          <w:color w:val="111111"/>
          <w:sz w:val="28"/>
          <w:szCs w:val="28"/>
          <w:rtl w:val="true"/>
          <w:lang w:bidi="fa-IR"/>
        </w:rPr>
        <w:t>.</w:t>
      </w:r>
      <w:r>
        <w:rPr>
          <w:rStyle w:val="FootnoteAnchor"/>
          <w:rtl w:val="true"/>
        </w:rPr>
        <w:footnoteReference w:id="6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شورش مردم خراسان، ظلم و ستم فراوان حاکم آنجا یعنی علی بن عیسی بن ماهان گزارش شده است</w:t>
      </w:r>
      <w:r>
        <w:rPr>
          <w:rFonts w:eastAsia="IRNazanin" w:cs="IRNazanin"/>
          <w:color w:val="111111"/>
          <w:sz w:val="28"/>
          <w:szCs w:val="28"/>
          <w:rtl w:val="true"/>
          <w:lang w:bidi="fa-IR"/>
        </w:rPr>
        <w:t xml:space="preserve">. </w:t>
      </w:r>
      <w:r>
        <w:rPr>
          <w:rStyle w:val="FootnoteAnchor"/>
          <w:rtl w:val="true"/>
        </w:rPr>
        <w:footnoteReference w:id="67"/>
      </w:r>
      <w:bookmarkStart w:id="56" w:name="pg2633_18030"/>
    </w:p>
    <w:p>
      <w:pPr>
        <w:pStyle w:val="Heading3"/>
        <w:numPr>
          <w:ilvl w:val="2"/>
          <w:numId w:val="1"/>
        </w:numPr>
        <w:rPr/>
      </w:pPr>
      <w:bookmarkStart w:id="57" w:name="__RefHeading___Toc569356_1395250215"/>
      <w:bookmarkStart w:id="58" w:name="_Toc21"/>
      <w:bookmarkEnd w:id="56"/>
      <w:bookmarkEnd w:id="57"/>
      <w:r>
        <w:rPr>
          <w:rtl w:val="true"/>
        </w:rPr>
        <w:t xml:space="preserve">ـ امین </w:t>
      </w:r>
      <w:r>
        <w:rPr>
          <w:rtl w:val="true"/>
        </w:rPr>
        <w:t>(</w:t>
      </w:r>
      <w:r>
        <w:rPr/>
        <w:t>193</w:t>
      </w:r>
      <w:r>
        <w:rPr>
          <w:rtl w:val="true"/>
        </w:rPr>
        <w:t xml:space="preserve"> </w:t>
      </w:r>
      <w:r>
        <w:rPr>
          <w:rtl w:val="true"/>
        </w:rPr>
        <w:t xml:space="preserve">ـ </w:t>
      </w:r>
      <w:r>
        <w:rPr/>
        <w:t>198</w:t>
      </w:r>
      <w:r>
        <w:rPr>
          <w:rtl w:val="true"/>
        </w:rPr>
        <w:t xml:space="preserve"> </w:t>
      </w:r>
      <w:r>
        <w:rPr>
          <w:rtl w:val="true"/>
        </w:rPr>
        <w:t>هـ</w:t>
      </w:r>
      <w:r>
        <w:rPr>
          <w:rtl w:val="true"/>
        </w:rPr>
        <w:t>.</w:t>
      </w:r>
      <w:r>
        <w:rPr>
          <w:rtl w:val="true"/>
        </w:rPr>
        <w:t>ق</w:t>
      </w:r>
      <w:r>
        <w:rPr>
          <w:rtl w:val="true"/>
        </w:rPr>
        <w:t>)</w:t>
      </w:r>
      <w:bookmarkEnd w:id="58"/>
    </w:p>
    <w:p>
      <w:pPr>
        <w:pStyle w:val="BookText"/>
        <w:rPr/>
      </w:pPr>
      <w:r>
        <w:rPr>
          <w:rFonts w:ascii="IRNazanin" w:hAnsi="IRNazanin" w:eastAsia="IRNazanin"/>
          <w:color w:val="111111"/>
          <w:sz w:val="28"/>
          <w:sz w:val="28"/>
          <w:szCs w:val="28"/>
          <w:rtl w:val="true"/>
          <w:lang w:bidi="fa-IR"/>
        </w:rPr>
        <w:t xml:space="preserve">محمد بن هارون، ملقب به امین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او در تاریخ، به عنوان فردی خوشگذران، هوسران، مسرف و سست رأی معرفی شده که حتی در کارهای مهم به دیگران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در مورد رفتار و صفات امین، همین بس که ابن العبری بعد از ذکر صفات و رفتار او، در پایان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خلاصه آنکه در سیرت او چیزی که در خور ذکر باشد، یافت نشد </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خلافت امین با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ناآرامی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همراه بود که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این نابسامانی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درگیری شدید بین او و برادرش، عبدالله مأمون بود، همچنین این نابسامانی نتیجة نزاع بین ایرانیان و اعراب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درگیری شدید این دو برادر، آتش قیام دیگری در سرزمین شام با حرکت سفیانی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به خاندان سفیانیان اموی منسوب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نام خود دعوت کرد و بر شام و مناطق اطراف آن چیره شد، و اگر اختلاف و درگیری بین یمانیان و مصریان 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نیروی او به ضعف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گرایید، هر آینه حکومتی در شام تأسیس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پس از دو سال تلاش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وقفه توانست به قیام وی خاتمه بخشد</w:t>
      </w:r>
      <w:r>
        <w:rPr>
          <w:rFonts w:eastAsia="IRNazanin" w:cs="IRNazanin"/>
          <w:color w:val="111111"/>
          <w:sz w:val="28"/>
          <w:szCs w:val="28"/>
          <w:rtl w:val="true"/>
          <w:lang w:bidi="fa-IR"/>
        </w:rPr>
        <w:t>.</w:t>
      </w:r>
      <w:r>
        <w:rPr>
          <w:rStyle w:val="FootnoteAnchor"/>
          <w:rtl w:val="true"/>
        </w:rPr>
        <w:footnoteReference w:id="7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تقریباً تمام دوران حکومت وی، صرف درگیری با برادرش مأمون شد که این درگیری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نهایت منجر به کشته شدن امین و به حکومت رسیدن مأمون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گردید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به گفته یکی از محققان معاصر، دوران حکومت او بر مردم، دوران جنگ و بلیات و غصب و ویرانی و رواج اموری بود که هیچ شریعتی آنها را مجاز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و هیچ اخلاق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آنها را روا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r>
        <w:rPr>
          <w:rStyle w:val="FootnoteAnchor"/>
          <w:rtl w:val="true"/>
        </w:rPr>
        <w:footnoteReference w:id="73"/>
      </w:r>
      <w:bookmarkStart w:id="59" w:name="pg2633_18032"/>
    </w:p>
    <w:p>
      <w:pPr>
        <w:pStyle w:val="Heading3"/>
        <w:numPr>
          <w:ilvl w:val="2"/>
          <w:numId w:val="1"/>
        </w:numPr>
        <w:rPr/>
      </w:pPr>
      <w:bookmarkStart w:id="60" w:name="__RefHeading___Toc569358_1395250215"/>
      <w:bookmarkStart w:id="61" w:name="_Toc22"/>
      <w:bookmarkEnd w:id="59"/>
      <w:bookmarkEnd w:id="60"/>
      <w:r>
        <w:rPr>
          <w:rtl w:val="true"/>
        </w:rPr>
        <w:t xml:space="preserve">ـ مأمون </w:t>
      </w:r>
      <w:r>
        <w:rPr>
          <w:rtl w:val="true"/>
        </w:rPr>
        <w:t>(</w:t>
      </w:r>
      <w:r>
        <w:rPr/>
        <w:t>198</w:t>
      </w:r>
      <w:r>
        <w:rPr>
          <w:rtl w:val="true"/>
        </w:rPr>
        <w:t xml:space="preserve"> </w:t>
      </w:r>
      <w:r>
        <w:rPr>
          <w:rtl w:val="true"/>
        </w:rPr>
        <w:t xml:space="preserve">ـ </w:t>
      </w:r>
      <w:r>
        <w:rPr/>
        <w:t>218</w:t>
      </w:r>
      <w:r>
        <w:rPr>
          <w:rtl w:val="true"/>
        </w:rPr>
        <w:t xml:space="preserve"> </w:t>
      </w:r>
      <w:r>
        <w:rPr>
          <w:rtl w:val="true"/>
        </w:rPr>
        <w:t>هـ</w:t>
      </w:r>
      <w:r>
        <w:rPr>
          <w:rtl w:val="true"/>
        </w:rPr>
        <w:t>.</w:t>
      </w:r>
      <w:r>
        <w:rPr>
          <w:rtl w:val="true"/>
        </w:rPr>
        <w:t>ق</w:t>
      </w:r>
      <w:r>
        <w:rPr>
          <w:rtl w:val="true"/>
        </w:rPr>
        <w:t>)</w:t>
      </w:r>
      <w:bookmarkEnd w:id="61"/>
    </w:p>
    <w:p>
      <w:pPr>
        <w:pStyle w:val="BookText"/>
        <w:rPr/>
      </w:pPr>
      <w:r>
        <w:rPr>
          <w:rFonts w:ascii="IRNazanin" w:hAnsi="IRNazanin" w:eastAsia="IRNazanin"/>
          <w:color w:val="111111"/>
          <w:sz w:val="28"/>
          <w:sz w:val="28"/>
          <w:szCs w:val="28"/>
          <w:rtl w:val="true"/>
          <w:lang w:bidi="fa-IR"/>
        </w:rPr>
        <w:t xml:space="preserve">از دوران بیست سالة حکومت مأمون، فقط پنج سال آغازین حکومت وی که مصادف با سالهای آخر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در بحث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گنجد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مأمون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دنیا آمد</w:t>
      </w:r>
      <w:r>
        <w:rPr>
          <w:rStyle w:val="FootnoteAnchor"/>
          <w:rtl w:val="true"/>
        </w:rPr>
        <w:footnoteReference w:id="74"/>
      </w:r>
      <w:r>
        <w:rPr>
          <w:rFonts w:ascii="IRNazanin" w:hAnsi="IRNazanin" w:eastAsia="IRNazanin"/>
          <w:color w:val="111111"/>
          <w:sz w:val="28"/>
          <w:sz w:val="28"/>
          <w:szCs w:val="28"/>
          <w:rtl w:val="true"/>
          <w:lang w:bidi="fa-IR"/>
        </w:rPr>
        <w:t>و مادرش کنیزی باد غیسی به نام مراجل بود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مأمون بر خلاف برادرش امین، در تاریخ به عنوان فردی با شهامت و بلند همت و از لحاظ علم و حکمت، ستارة درخشان بنی عباس معرفی شده که از همة فنون و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بسزا داشته است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دربارة دانایی و علم دوستی او مطالب فراوانی گفته شده است، از جمله اینکه در جایی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خلفا در فقه و کلام بود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 یا اینکه سیوطی، وی را برترین و داناترین خلیفة عباسی معرفی کرده است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حتی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شده است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پیشگویی در قسمتی از توصیف خلفای عباسی چنین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سابعهم اعلمهم </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یعنی هفتمین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داناترین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گواهی مهم در این باره اعترافات پدرش هارون بر این مسأله است، که بارها بر دور اندیشی و حسن سیاست مأمون و</w:t>
      </w:r>
    </w:p>
    <w:p>
      <w:pPr>
        <w:pStyle w:val="BookText"/>
        <w:rPr/>
      </w:pPr>
      <w:r>
        <w:rPr>
          <w:rFonts w:ascii="IRNazanin" w:hAnsi="IRNazanin" w:eastAsia="IRNazanin"/>
          <w:color w:val="111111"/>
          <w:sz w:val="28"/>
          <w:sz w:val="28"/>
          <w:szCs w:val="28"/>
          <w:rtl w:val="true"/>
          <w:lang w:bidi="fa-IR"/>
        </w:rPr>
        <w:t>از آن طرف بر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لیاقتی و هوسبازی امین تأکید کرده بود، </w:t>
      </w:r>
      <w:r>
        <w:rPr>
          <w:rStyle w:val="FootnoteAnchor"/>
          <w:rtl w:val="true"/>
        </w:rPr>
        <w:footnoteReference w:id="80"/>
      </w:r>
      <w:r>
        <w:rPr>
          <w:rFonts w:ascii="IRNazanin" w:hAnsi="IRNazanin" w:eastAsia="IRNazanin"/>
          <w:color w:val="111111"/>
          <w:sz w:val="28"/>
          <w:sz w:val="28"/>
          <w:szCs w:val="28"/>
          <w:rtl w:val="true"/>
          <w:lang w:bidi="fa-IR"/>
        </w:rPr>
        <w:t>ولی علی‌رغم این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مأمون نسبت به امین و نیز اینکه وی از برادرش امین بزرگتر بود، </w:t>
      </w:r>
      <w:r>
        <w:rPr>
          <w:rStyle w:val="FootnoteAnchor"/>
          <w:rtl w:val="true"/>
        </w:rPr>
        <w:footnoteReference w:id="81"/>
      </w:r>
      <w:r>
        <w:rPr>
          <w:rFonts w:ascii="IRNazanin" w:hAnsi="IRNazanin" w:eastAsia="IRNazanin"/>
          <w:color w:val="111111"/>
          <w:sz w:val="28"/>
          <w:sz w:val="28"/>
          <w:szCs w:val="28"/>
          <w:rtl w:val="true"/>
          <w:lang w:bidi="fa-IR"/>
        </w:rPr>
        <w:t xml:space="preserve">او به عنوان ولیعهد دوم انتخاب شد؛ </w:t>
      </w:r>
      <w:r>
        <w:rPr>
          <w:rStyle w:val="FootnoteAnchor"/>
          <w:rtl w:val="true"/>
        </w:rPr>
        <w:footnoteReference w:id="82"/>
      </w:r>
      <w:r>
        <w:rPr>
          <w:rFonts w:ascii="IRNazanin" w:hAnsi="IRNazanin" w:eastAsia="IRNazanin"/>
          <w:color w:val="111111"/>
          <w:sz w:val="28"/>
          <w:sz w:val="28"/>
          <w:szCs w:val="28"/>
          <w:rtl w:val="true"/>
          <w:lang w:bidi="fa-IR"/>
        </w:rPr>
        <w:t>که از مهمترین علل نادیده گرفتن این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مأمون نسبت به امین، هواداری عباسیان و به ویژه زبیده معروف به ام جعفر ـ مادر امین – و نیز دایی وی، عیسی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جعفر از امین بود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 به هر حال، با آنکه پایگاه امین بسیار نیرومند بود و هوادارانی محکم داشت،</w:t>
      </w:r>
      <w:r>
        <w:rPr>
          <w:rStyle w:val="FootnoteAnchor"/>
          <w:rtl w:val="true"/>
        </w:rPr>
        <w:footnoteReference w:id="84"/>
      </w:r>
      <w:r>
        <w:rPr>
          <w:rFonts w:ascii="IRNazanin" w:hAnsi="IRNazanin" w:eastAsia="IRNazanin"/>
          <w:color w:val="111111"/>
          <w:sz w:val="28"/>
          <w:sz w:val="28"/>
          <w:szCs w:val="28"/>
          <w:rtl w:val="true"/>
          <w:lang w:bidi="fa-IR"/>
        </w:rPr>
        <w:t>زیرکی و هوشیاری و سعی و تلاش مأمون، و استفاده به موقع از عناصر تحت فرمانش از جمله ایرانیان، باعث پیروزی‌َش بر امین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دورة بیست سالة حکومت مأمون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توجه به مرکزیت حکومت به دو بخش ایران و بغداد تقسیم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دورة اول، شامل حضور مأمون در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ایران همچون ری، سرخس، طوس و مرو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این دوره مرکزیت حکومت، شهر مرو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سالهای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 در این دوره دانست؛ و این نوشته در همین دوره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دورة دوم که از ورود وی به بغداد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تا مرگ او در نزدیکی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شهر طرسوس در مرز روم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شامل فراز و نشیب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از جهات مختلف سیاسی، اداری، علمی و کلامی است که خود بحث مستقلی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اوضاع سیاسی در دورة اول حکومت مأمون، اوضاعی ناآرام و تثبیت نشده بود، و این ناآرامی ریشه در درگیری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میان امین و مأمون، و به تبع آن درگیری و اختلاف وابستگان و هواداران آن دو ـ که از دو طیف و دو حزب متفاوت ایرانی و عربی تشکیل شده بودند و در رأس این دو طیف، فضل بن ربیع، نمایندة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عربی و فضل بن سهل، نمایندة افکار و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ایرانی قرار داشتند که امور دو برادر را تحت تأثیر افکار و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قرار داده بودند</w:t>
      </w:r>
      <w:r>
        <w:rPr>
          <w:rStyle w:val="FootnoteAnchor"/>
          <w:rtl w:val="true"/>
        </w:rPr>
        <w:footnoteReference w:id="85"/>
      </w:r>
      <w:r>
        <w:rPr>
          <w:rFonts w:ascii="IRNazanin" w:hAnsi="IRNazanin" w:eastAsia="IRNazanin"/>
          <w:color w:val="111111"/>
          <w:sz w:val="28"/>
          <w:sz w:val="28"/>
          <w:szCs w:val="28"/>
          <w:rtl w:val="true"/>
          <w:lang w:bidi="fa-IR"/>
        </w:rPr>
        <w:t>ـ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مأمون که با انبوهی از مشکلات آغاز شده بود، ناراضیان بسیار از طیف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مختلفی را داشت که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عبارت بودند از</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عباسیانی بودند که از قتل امین و به حکومت رسیدن مأمون، ناراضی و خشمگین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انتقال پایتخت از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واگذاری اداره و اجرای امور مهم کشوری، آن هم در نقاط مهم و کلیدی به ایرانیان که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حامیان مأمون بودند، و مخصوصاً سپردن وزارت و دادن لقب ذوالریاستین به فضل بن سهل ایرانی و نیز فرستادن</w:t>
      </w:r>
    </w:p>
    <w:p>
      <w:pPr>
        <w:pStyle w:val="BookText"/>
        <w:rPr/>
      </w:pPr>
      <w:r>
        <w:rPr>
          <w:rFonts w:ascii="IRNazanin" w:hAnsi="IRNazanin" w:eastAsia="IRNazanin"/>
          <w:color w:val="111111"/>
          <w:sz w:val="28"/>
          <w:sz w:val="28"/>
          <w:szCs w:val="28"/>
          <w:rtl w:val="true"/>
          <w:lang w:bidi="fa-IR"/>
        </w:rPr>
        <w:t>حسن بن سهل، به حکومت عراق</w:t>
      </w:r>
      <w:r>
        <w:rPr>
          <w:rStyle w:val="FootnoteAnchor"/>
          <w:rtl w:val="true"/>
        </w:rPr>
        <w:footnoteReference w:id="86"/>
      </w:r>
      <w:r>
        <w:rPr>
          <w:rFonts w:ascii="IRNazanin" w:hAnsi="IRNazanin" w:eastAsia="IRNazanin"/>
          <w:color w:val="111111"/>
          <w:sz w:val="28"/>
          <w:sz w:val="28"/>
          <w:szCs w:val="28"/>
          <w:rtl w:val="true"/>
          <w:lang w:bidi="fa-IR"/>
        </w:rPr>
        <w:t>از جمله عللی بودند که باعث نارضایتی و خشم عناصر عربی و به ویژه عباسیان شده بود که برای نمونه، از عواقب این نارضایتی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بیعت بغدادیان با منصور بن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بیرون راندن حسن بن سهل از عراق، بیعت با ابراهیم بن مهدی به عنوان خلیفه و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متعاقب این بیعت، </w:t>
      </w:r>
      <w:r>
        <w:rPr>
          <w:rStyle w:val="FootnoteAnchor"/>
          <w:rtl w:val="true"/>
        </w:rPr>
        <w:footnoteReference w:id="87"/>
      </w:r>
      <w:r>
        <w:rPr>
          <w:rFonts w:ascii="IRNazanin" w:hAnsi="IRNazanin" w:eastAsia="IRNazanin"/>
          <w:color w:val="111111"/>
          <w:sz w:val="28"/>
          <w:sz w:val="28"/>
          <w:szCs w:val="28"/>
          <w:rtl w:val="true"/>
          <w:lang w:bidi="fa-IR"/>
        </w:rPr>
        <w:t>و نیز شورش نصر بن شبث</w:t>
      </w:r>
      <w:r>
        <w:rPr>
          <w:rStyle w:val="FootnoteAnchor"/>
          <w:rtl w:val="true"/>
        </w:rPr>
        <w:footnoteReference w:id="88"/>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شبث، رهبری عربی بود که در کیسوم در شمال حلب سکونت و دربارة امین تعصب داشت؛ زیرا او عنصر عربی را نمایندگی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مأمون که به خراسانی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تمایل داشت، کینه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اواخر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شورش کرد و بسیاری از اعراب او را همراهی نمودند و کار او بالا گرفت تا جایی که خلیفه از او وحشت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حرکت او در برابر حکومت عباسی نبود، بلکه قیامی در برابر نفوذ ایرانی بود که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خلافت را در چنگ خود داشت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چنانچه خود نصر بن شبث، علت جنگ و شورش خود را برتری و مقدم دانستن عجم بر عرب توسط حکومت بیان کرده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ناراضیان، علویانی بودند که حکومت را حق خود دانسته و حکومت عباسیان را نامشروع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و در راستای به دست آوردن این حق خود، به قیام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گسترده و زیادی دست</w:t>
      </w:r>
    </w:p>
    <w:p>
      <w:pPr>
        <w:pStyle w:val="BookText"/>
        <w:rPr/>
      </w:pP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قیام ابن طباطبا در کوفه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خروج و قیام محمد بن علی بن حسن معروف به ابن افطس در مکه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البته گماردن افراد نالایق و ضعیفی مثل حسن بن سهل در نقاط کلیدی و اصلی مملکتی نیز باعث گسترش ناآرامی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افزایش نارضایتی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مردم از وضع جامعه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دادن اختیارات فراوان و تفویض ادارة امور حکومتی به فضل بن سهل</w:t>
      </w:r>
      <w:r>
        <w:rPr>
          <w:rStyle w:val="FootnoteAnchor"/>
          <w:rtl w:val="true"/>
        </w:rPr>
        <w:footnoteReference w:id="92"/>
      </w:r>
      <w:r>
        <w:rPr>
          <w:rFonts w:ascii="IRNazanin" w:hAnsi="IRNazanin" w:eastAsia="IRNazanin"/>
          <w:color w:val="111111"/>
          <w:sz w:val="28"/>
          <w:sz w:val="28"/>
          <w:szCs w:val="28"/>
          <w:rtl w:val="true"/>
          <w:lang w:bidi="fa-IR"/>
        </w:rPr>
        <w:t>باعث شده بود که وی از رسیدن اخبار به مأمون ممانعت نماید و او را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اخبار و اطلاعات از جمله آشوب بغداد و خلع مأمون از حکومت توسط آنها و موارد دیگر محروم کند، تا جایی که جنگ خانگی در بغداد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و کارهای حکومتی و اداری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روستاهای جنوب عراق در معرض دستبرد مزدوران قرار گرفت و اوضاع بغداد بعد از اینکه خیابان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راهزنان پر شد،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تحمل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گشت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طرح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اهداف مختلفی انجام شده بود، </w:t>
      </w:r>
      <w:r>
        <w:rPr>
          <w:rStyle w:val="FootnoteAnchor"/>
          <w:rtl w:val="true"/>
        </w:rPr>
        <w:footnoteReference w:id="94"/>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ترین تدبیر و سیاست مأمون در جهت ساماندهی اوضاع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گرچه با این سیاست، مأمون توانست تا حدی بر اوضاع مسلط شود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راضی کند ولی این سیاست نیز، ناراضیان و مخالفان خاص خود را داشت</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این مردم بودند که مثل دیگر ادوار حکومت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 و اموی، زیر چکمة حکومت خواهی و سلطنت طلبی حکام، قربانی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bookmarkStart w:id="62" w:name="pg2633_18038"/>
    </w:p>
    <w:p>
      <w:pPr>
        <w:pStyle w:val="Heading3"/>
        <w:numPr>
          <w:ilvl w:val="2"/>
          <w:numId w:val="1"/>
        </w:numPr>
        <w:rPr/>
      </w:pPr>
      <w:bookmarkStart w:id="63" w:name="__RefHeading___Toc569360_1395250215"/>
      <w:bookmarkStart w:id="64" w:name="_Toc23"/>
      <w:bookmarkEnd w:id="62"/>
      <w:bookmarkEnd w:id="63"/>
      <w:r>
        <w:rPr>
          <w:rtl w:val="true"/>
        </w:rPr>
        <w:t xml:space="preserve">- </w:t>
      </w:r>
      <w:r>
        <w:rPr>
          <w:rtl w:val="true"/>
        </w:rPr>
        <w:t xml:space="preserve">وضعیت فرهنگی جامعة اسلامی معاصر امامت امام </w:t>
      </w:r>
      <w:r>
        <w:rPr>
          <w:rtl w:val="true"/>
        </w:rPr>
        <w:t>(</w:t>
      </w:r>
      <w:r>
        <w:rPr>
          <w:rtl w:val="true"/>
        </w:rPr>
        <w:t>علیه السلام</w:t>
      </w:r>
      <w:r>
        <w:rPr>
          <w:rtl w:val="true"/>
        </w:rPr>
        <w:t>)</w:t>
      </w:r>
      <w:bookmarkEnd w:id="64"/>
    </w:p>
    <w:p>
      <w:pPr>
        <w:pStyle w:val="BookText"/>
        <w:rPr/>
      </w:pPr>
      <w:r>
        <w:rPr>
          <w:rFonts w:ascii="IRNazanin" w:hAnsi="IRNazanin" w:eastAsia="IRNazanin"/>
          <w:color w:val="111111"/>
          <w:sz w:val="28"/>
          <w:sz w:val="28"/>
          <w:szCs w:val="28"/>
          <w:rtl w:val="true"/>
          <w:lang w:bidi="fa-IR"/>
        </w:rPr>
        <w:t>طبیعت علم دوستی اسلام سبب شده بود که علوم و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کشورهای مختلف جهان به جامعه اسلامی راه یابد، و کتب علمی دیگران از یونان گرفته تا مصر و از هند تا ایران و روم به زبان تازی که زبان اسلامی بود ترجمه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 آثار علمی دیگران که از اواخر زمان امویان شروع شده بود، در عصر عباسیان مخصوصاً زمان هارون و مأمون به اوج خود رسید، همانگونه که در این زمان وسعت کشورهای اسلامی به بالاترین حدّ خود در طول تاریخ ارتقاء یافت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به طوریکه عصر هارون الرشید دوران طلایی حکومت عباسی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البته این حرکت علمی چیزی نبود که به وسیلة امویان یا عباسیان پایه گذاری شده باشد، بلکه نتیجة مستقیم تعلیمات اسلام در زمینة علم بود که برای علم و دانش، وطنی قائل نبود</w:t>
      </w:r>
      <w:r>
        <w:rPr>
          <w:rFonts w:eastAsia="IRNazanin" w:cs="IRNazanin"/>
          <w:color w:val="111111"/>
          <w:sz w:val="28"/>
          <w:szCs w:val="28"/>
          <w:rtl w:val="true"/>
          <w:lang w:bidi="fa-IR"/>
        </w:rPr>
        <w:t>.</w:t>
      </w:r>
      <w:r>
        <w:rPr>
          <w:rStyle w:val="FootnoteAnchor"/>
          <w:rtl w:val="true"/>
        </w:rPr>
        <w:footnoteReference w:id="9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مأمون، از پیشرفته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دوران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عصر اول عباسی</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فرهنگی به اوج خود رسید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مأمون با حکما خلوت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از معاشرت با آنها اظهار خشنودی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درترجمۀ کتاب‌های یونانی بسیار کوشش نمود و پول زیادی در این راه صرف کرد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تا جایی که هیأت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علمی را در جستجوی کتاب‌های یونانی و انتقال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نمود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بیت الحکمه محلی برای مطالعه، نسخه برداری، ترجمه وتألیف کتب بود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این بیت، تراث فرهنگی اسلامی را در کنار تراث فرهنگی خارجی جمع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کرد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به این ترتیب نشر علوم و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دیگران در کنار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مسألۀ مطلوب روز شد، و در نتیجه مترجمان بسیاری از عراق، شام و ایران به بغداد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مایة نگرانی بود، این بود که در بین این مترجمان، افرادی از پیروان متعصب و سرسخت مذاهب دیگر مانند زردشتیان، صابئان، نسطوریان، رومیان و برهمن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هند بودند که آثار علمی بیگانه را از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یونانی، فارسی، سریانی، هندی، لاتین و غیره به عربی ترجمه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 البته نگاهی کوتاه به مترجمان برجستۀ آن دوران،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یهود و</w:t>
      </w:r>
    </w:p>
    <w:p>
      <w:pPr>
        <w:pStyle w:val="BookText"/>
        <w:rPr/>
      </w:pPr>
      <w:r>
        <w:rPr>
          <w:rFonts w:ascii="IRNazanin" w:hAnsi="IRNazanin" w:eastAsia="IRNazanin"/>
          <w:color w:val="111111"/>
          <w:sz w:val="28"/>
          <w:sz w:val="28"/>
          <w:szCs w:val="28"/>
          <w:rtl w:val="true"/>
          <w:lang w:bidi="fa-IR"/>
        </w:rPr>
        <w:t>نصاری در امر ترجمة کتاب‌های، نقش بسزایی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Style w:val="FootnoteAnchor"/>
          <w:rtl w:val="true"/>
        </w:rPr>
        <w:footnoteReference w:id="106"/>
      </w:r>
      <w:r>
        <w:rPr>
          <w:rFonts w:ascii="IRNazanin" w:hAnsi="IRNazanin" w:eastAsia="IRNazanin"/>
          <w:color w:val="111111"/>
          <w:sz w:val="28"/>
          <w:sz w:val="28"/>
          <w:szCs w:val="28"/>
          <w:rtl w:val="true"/>
          <w:lang w:bidi="fa-IR"/>
        </w:rPr>
        <w:t>و یقیناً همة آنها در کار خود حسن نیت نداشتند و گروهی از آنان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آب را گل آلود کرده و ماهی بگیرند، و از این بازار داغ انتقال علوم بیگانه به محیط اسلام، برای نشر عقاید فاسد و مسموم خود فرصتی به دست آورند و درست به همین علت عقاید خرافی و افکار انحرافی و غیر اسلامی در لابلای این کتاب‌های به ظاهر علمی، به محیط اسلام راه یافت، و به سرعت در افکار گروهی از جوانان و افراد ساده دل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آن زمان، یک هیأت نیرومند علمی که از تقوا و دلسوزی برخوردار باشد، در دربار عباسیان وجود نداشت که آثار علمی بیگانگان را مورد نقد و بررسی قراردهد و آن را با فیلتر جهان بینی اسلامی تصفیه کند، و ناخالصی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بگیرد و آنچه صاف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غل و غش است در اختیارجامعه اسلامی بگذارد</w:t>
      </w:r>
      <w:r>
        <w:rPr>
          <w:rFonts w:eastAsia="IRNazanin" w:cs="IRNazanin"/>
          <w:color w:val="111111"/>
          <w:sz w:val="28"/>
          <w:szCs w:val="28"/>
          <w:rtl w:val="true"/>
          <w:lang w:bidi="fa-IR"/>
        </w:rPr>
        <w:t>.</w:t>
      </w:r>
      <w:r>
        <w:rPr>
          <w:rStyle w:val="FootnoteAnchor"/>
          <w:rtl w:val="true"/>
        </w:rPr>
        <w:footnoteReference w:id="10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از خصوصیات قرن دوم هجری که زمان مورد بحث را نیز دربر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پدید آمدن مذاهب فقهی گوناگون است که بسیاری از آنها تا چند دهه و بلکه چند قرن، نقش عظیمی در تاریخ فقه اهل سنت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دانستن اهمیت این دوره همین بس که سه مذهب از مذاهب فقهی چهارگانة اهل سنت، یعنی مذاهب فقهی حنفی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مالکی و شافعی، دراین دوره پدید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کنار مذاهب فقهی که باید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مکاتب نقلی دانست مکاتب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کلام و فلسفه در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ممالک اسلامی فعالیت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معتزلیان، جبهة مقابل سنت گرایان اهل حدیث بودند و عقیده داشتند در شناخت دین و اصول آن علاوه برنقل آیات و روایات از عنصر عقل وخرد نیز بایستی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معتزلیان تأثیر بسزایی در تکوین و تکوّن علم کلام داشتند و مبدع نظریاتی بودند که با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حدیث تعارض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مشهورترین متکلمان معتزلی، ابوالهذیل علاف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نظریات مشهوری در کلام داشته و پیروانش به هُذیله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شدند و از شاگردان برجستۀ او، ابوعمرو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نیز به او منتسب هستند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معتزله در ایام بین خلافت مأمون ومتوکل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اقتدار و اعتلای خود رسیدند، چنانچه مأمون غالب ایام خویش را با ابواسحق ابراهیم بن سیار نطّام و ابوالهذیل علاف و ثمامۀ بن اشرس و ابوعبدالله احمد بن ابی دواد ایادی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رؤسای بزرگ معتزله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گذراند و در نتیجة این معاشرت، به فرقة معتزله تعلق قلبی پیدا کرده و طرفدار عقاید ایشان گردیده بود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در این راستا،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خلافت خود مجالسی برای مناظره میان ادیان و مذاهب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استاد او در این مسائل ابوهذیل محمد بن هذیل علاف بود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در ادامة معاشرت مأمون با سران معتزله و نفوذ آنها در دستگاه حکومت عباسی، </w:t>
      </w:r>
      <w:r>
        <w:rPr>
          <w:rStyle w:val="FootnoteAnchor"/>
          <w:rtl w:val="true"/>
        </w:rPr>
        <w:footnoteReference w:id="112"/>
      </w: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محنت قرآن مجید را به راه انداخت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65" w:name="pg2633_18043"/>
    </w:p>
    <w:p>
      <w:pPr>
        <w:pStyle w:val="Heading3"/>
        <w:numPr>
          <w:ilvl w:val="2"/>
          <w:numId w:val="1"/>
        </w:numPr>
        <w:rPr/>
      </w:pPr>
      <w:bookmarkStart w:id="66" w:name="__RefHeading___Toc569362_1395250215"/>
      <w:bookmarkStart w:id="67" w:name="_Toc24"/>
      <w:bookmarkEnd w:id="65"/>
      <w:bookmarkEnd w:id="66"/>
      <w:r>
        <w:rPr>
          <w:rtl w:val="true"/>
        </w:rPr>
        <w:t xml:space="preserve">- </w:t>
      </w:r>
      <w:r>
        <w:rPr>
          <w:rtl w:val="true"/>
        </w:rPr>
        <w:t xml:space="preserve">وضعیت سیاسی شیعیان در دورة امامت امام رضا </w:t>
      </w:r>
      <w:r>
        <w:rPr>
          <w:rtl w:val="true"/>
        </w:rPr>
        <w:t>(</w:t>
      </w:r>
      <w:r>
        <w:rPr>
          <w:rtl w:val="true"/>
        </w:rPr>
        <w:t>علیه السلام</w:t>
      </w:r>
      <w:r>
        <w:rPr>
          <w:rtl w:val="true"/>
        </w:rPr>
        <w:t>)</w:t>
      </w:r>
      <w:bookmarkEnd w:id="67"/>
    </w:p>
    <w:p>
      <w:pPr>
        <w:pStyle w:val="BookText"/>
        <w:rPr/>
      </w:pPr>
      <w:r>
        <w:rPr>
          <w:rFonts w:ascii="IRNazanin" w:hAnsi="IRNazanin" w:eastAsia="IRNazanin"/>
          <w:color w:val="111111"/>
          <w:sz w:val="28"/>
          <w:sz w:val="28"/>
          <w:szCs w:val="28"/>
          <w:rtl w:val="true"/>
          <w:lang w:bidi="fa-IR"/>
        </w:rPr>
        <w:t xml:space="preserve">چنانکه گفته شد، نیمة اول امامت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پایانی خلافت هارون الرشید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فضای سیاسی این دوره برای شیعیان، نسبت به دورة قبل از آن، یعنی دوران امامت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شیعیان تقریباً به طور کامل در فشار و اختناق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فضایی نسبتاً آرام بود؛ البته این به معنای آزادی صددرصد شیعیان در این دهه نیست، بلکه به دلایلی هارون از شدت عمل خود نسبت به شیعیان کاسته بود، از جمله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به دلیل به شهادت رساندن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دستخوش بیم و هراس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 مبادا عکس العمل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مسلحانه از سوی وابستگان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کند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از این رو پس از شهادت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دبیران، بنی هاشم و قضات و هرکس از طالبیان که در بغداد بود را فراخوانده، با باز کردن چهرة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اثری و چیزی که دلیل بر کشته شدن باشد، در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چنین 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هارون سعی بر آن داشت تا خود را مشغول زندگانی عادی و روزمره نشان دهد تا توجه هارون از او منصرف</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گزارشی چنین آمده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پدر بزرگوارش ـ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بازار رفته و گوسفند، خروس و سگ خریداری کرده بود، </w:t>
      </w:r>
      <w:r>
        <w:rPr>
          <w:rStyle w:val="FootnoteAnchor"/>
          <w:rtl w:val="true"/>
        </w:rPr>
        <w:footnoteReference w:id="116"/>
      </w:r>
      <w:r>
        <w:rPr>
          <w:rFonts w:ascii="IRNazanin" w:hAnsi="IRNazanin" w:eastAsia="IRNazanin"/>
          <w:color w:val="111111"/>
          <w:sz w:val="28"/>
          <w:sz w:val="28"/>
          <w:szCs w:val="28"/>
          <w:rtl w:val="true"/>
          <w:lang w:bidi="fa-IR"/>
        </w:rPr>
        <w:t xml:space="preserve">بطوریکه وقتی این خبر به گوش هارون رسید، وی احساس ایمنی و رفع خطر از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ابراز و اظهار داشت، عبارت وی در این مورد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أمنا جانبه</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این تقیۀ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موارد دیگری نیز شاهدیم از جمله اینکه؛ در دیداری که با بزنطی دارد، از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شب را در آنجا بماند تا از دید مأموران حکومتی در امان باشد</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دیگر مبنی بر عدم آزادی کامل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شیعیانش،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نامة احمد بن أبی نصر بزنطی است که وقتی احمد بزنطی، طی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پاسخ به سؤالات وی، زمان ملاقات را به وقت دیگری موکول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زیرا در آن زمان، حکومت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گرفته بوده است و رجوع مردم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بوده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همچنین ماجرای دستگیری احمد بن عیسی بن زید توسط هارون در سال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گریختن وی از زندان</w:t>
      </w:r>
      <w:r>
        <w:rPr>
          <w:rStyle w:val="FootnoteAnchor"/>
          <w:rtl w:val="true"/>
        </w:rPr>
        <w:footnoteReference w:id="120"/>
      </w:r>
      <w:r>
        <w:rPr>
          <w:rFonts w:ascii="IRNazanin" w:hAnsi="IRNazanin" w:eastAsia="IRNazanin"/>
          <w:color w:val="111111"/>
          <w:sz w:val="28"/>
          <w:sz w:val="28"/>
          <w:szCs w:val="28"/>
          <w:rtl w:val="true"/>
          <w:lang w:bidi="fa-IR"/>
        </w:rPr>
        <w:t>و حوادث متعاقب آن نیز، دلیل دیگری بر عدم آزادی کامل شیعیان ـ به طور عام یعنی همه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ـ در زمان هارون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این قرار بود که در سال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هارون، احمد بن عیسی بن زید علوی را دستگیر کرد، ولی او از زندان گریخت و به بصره رفت و در آنجا شیعیان را به خود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برای دستگیری او جاسوسانی گمارد و همچنین جایزه تعیین کرد، اما بر او دست نیافتند، پس ملازم او را که پیرمردی بالای نود سال بود را گرفته و نزد هارون بردند، ولی او حاضر به نشان دادن محل اختفای احمد بن عیسی نشد و سرانجام در اثر تازیانه به قتل رسید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فعالیت شیعیان، در پوشش سازمان وکالت نیز دلیل دیگری بر عدم آزادی کامل شیعیان در دورة مذکور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از جمله وکلای امام رضا</w:t>
      </w:r>
      <w:r>
        <w:rPr>
          <w:rFonts w:eastAsia="IRNazanin" w:cs="IRNazanin"/>
          <w:color w:val="111111"/>
          <w:sz w:val="28"/>
          <w:szCs w:val="28"/>
          <w:lang w:bidi="fa-IR"/>
        </w:rPr>
        <w:softHyphen/>
        <w:t>7</w:t>
      </w:r>
      <w:r>
        <w:rPr>
          <w:rFonts w:ascii="IRNazanin" w:hAnsi="IRNazanin" w:eastAsia="IRNazanin"/>
          <w:color w:val="111111"/>
          <w:sz w:val="28"/>
          <w:sz w:val="28"/>
          <w:szCs w:val="28"/>
          <w:rtl w:val="true"/>
          <w:lang w:bidi="fa-IR"/>
        </w:rPr>
        <w:t>، عزیز بن مهتدی، صفوان بن یحیی، عبدالله بن جندب و عبدالرحمن بن حجاج بودند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شیعیان در سالهای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آزادی نسبی، و نه مطلق برخوردار بودند ولی در زمان حکومت امین، به دلیل اختلاف و درگیری شدید بین او و مأمون، ونیز سرگرم شدن بیش از حدّ امین به خوشگذرانی و هوسرانی، شیعیان از آزادی بیشتر و تقریباً کاملی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گفتة اصفهانی مؤید این 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وی دو علت سرگرم بودن امین به عیاشی و خوشگذرانی و لهو و لعب، و نیز جنگ بین او و مأمون که در</w:t>
      </w:r>
    </w:p>
    <w:p>
      <w:pPr>
        <w:pStyle w:val="BookText"/>
        <w:rPr/>
      </w:pPr>
      <w:r>
        <w:rPr>
          <w:rFonts w:ascii="IRNazanin" w:hAnsi="IRNazanin" w:eastAsia="IRNazanin"/>
          <w:color w:val="111111"/>
          <w:sz w:val="28"/>
          <w:sz w:val="28"/>
          <w:szCs w:val="28"/>
          <w:rtl w:val="true"/>
          <w:lang w:bidi="fa-IR"/>
        </w:rPr>
        <w:t>نهایت منجر به قتل امین شد، را از علل عدم برخورد و آسیب به هیچ یک از علویان در دورة امین دانسته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پس از قتل امین و به خلافت رسیدن مأمون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هنوز یکسال از حکومت تثبیت نشدة مأمون نگذشته بود که قیام‌های علویان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منطقة عراق و در کوفه آغاز شد و به سرعت عمده نقاط مرکزی همانند کوفه، بصره، حجاز و یمن و برخی از نقاط شرقی همانند فارس و اهواز را دربرگرفت</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حکومت مأمون، چنانکه قبلاً هم گفته شد با انبوهی از مشکلات آغاز شد، و اوضاع سیاسی در آغاز حکومتش آشفته بود و ناراضیان و مخالفان بسیاری داشت؛ مأمون که زیرک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خلیفة عباسی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خود و خلافتش را در برابر تندباد حوادث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دریافت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همزمان در دو جبهة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 و 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کند، پس ابتدا با علویان از در صلح و سازش درآمد و به دنبال راه حلی برای غلبه بر مشکلات ناشی از آنان، با توجه به گستردگی قیام‌های علویان، که خلافت عباسی را نامشروع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دانستند و نیز گرایش اکثرمردم تحت حکومتش به ویژه ایرانیان و بالأخص خراسانیان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توجه به پایگاه و جایگاه مردمی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مسائلی از این دست، مسألۀ ولایت عهدی</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 حتی به نقلی خلافت ایشان</w:t>
      </w:r>
      <w:r>
        <w:rPr>
          <w:rStyle w:val="FootnoteAnchor"/>
          <w:rtl w:val="true"/>
        </w:rPr>
        <w:footnoteReference w:id="126"/>
      </w:r>
      <w:r>
        <w:rPr>
          <w:rFonts w:ascii="IRNazanin" w:hAnsi="IRNazanin" w:eastAsia="IRNazanin"/>
          <w:color w:val="111111"/>
          <w:sz w:val="28"/>
          <w:sz w:val="28"/>
          <w:szCs w:val="28"/>
          <w:rtl w:val="true"/>
          <w:lang w:bidi="fa-IR"/>
        </w:rPr>
        <w:t xml:space="preserve">را مطرح کرد، البته طرح مسألۀ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توانسته اخطاری هم برای عباسیان طرفدار امین، و ناراضی از مأمون بوده باشد که در صورت ادامۀ این وضع، یعنی ادامۀ درگیری بین او و خاندان پدری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ممکن است خلافت از عباسیان به علویان انتقال یابد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مأمون در ادامة سیاست صلح و سازش با علویان، و نشان دادن اخلاص خود در دوستی با علویان، اقداماتی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از جمله اینکه؛ لباس سیاه که نشانه و شعار عباسیان بود را کنار گذارده و لباس سبزکه لباس علویان بود</w:t>
      </w:r>
      <w:r>
        <w:rPr>
          <w:rStyle w:val="FootnoteAnchor"/>
          <w:rtl w:val="true"/>
        </w:rPr>
        <w:footnoteReference w:id="128"/>
      </w:r>
      <w:r>
        <w:rPr>
          <w:rFonts w:ascii="IRNazanin" w:hAnsi="IRNazanin" w:eastAsia="IRNazanin"/>
          <w:color w:val="111111"/>
          <w:sz w:val="28"/>
          <w:sz w:val="28"/>
          <w:szCs w:val="28"/>
          <w:rtl w:val="true"/>
          <w:lang w:bidi="fa-IR"/>
        </w:rPr>
        <w:t>، را برتن نمود و دستور داد که دیگران نیز چنین رفتار نمایند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همچنین از آنجا که علویان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نمودند ـ و البته خود عباسیان نیز با همین شعار به پیروزی و غلبه بر بنی امیه دست یافته بودند ـ مأمون،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 واقعی این شعار دانست</w:t>
      </w:r>
      <w:r>
        <w:rPr>
          <w:rStyle w:val="FootnoteAnchor"/>
          <w:rtl w:val="true"/>
        </w:rPr>
        <w:footnoteReference w:id="130"/>
      </w:r>
      <w:r>
        <w:rPr>
          <w:rFonts w:ascii="IRNazanin" w:hAnsi="IRNazanin" w:eastAsia="IRNazanin"/>
          <w:color w:val="111111"/>
          <w:sz w:val="28"/>
          <w:sz w:val="28"/>
          <w:szCs w:val="28"/>
          <w:rtl w:val="true"/>
          <w:lang w:bidi="fa-IR"/>
        </w:rPr>
        <w:t>و البته او از این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تقریباً بر همۀ قیام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 این شعار،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غلبه یابد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در پنج سال دوم و پایانی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سال‌های آغازین حکومت مأمون معاصر بود، وضعیت سیاسی</w:t>
      </w:r>
    </w:p>
    <w:p>
      <w:pPr>
        <w:pStyle w:val="BookText"/>
        <w:rPr/>
      </w:pPr>
      <w:r>
        <w:rPr>
          <w:rFonts w:ascii="IRNazanin" w:hAnsi="IRNazanin" w:eastAsia="IRNazanin"/>
          <w:color w:val="111111"/>
          <w:sz w:val="28"/>
          <w:sz w:val="28"/>
          <w:szCs w:val="28"/>
          <w:rtl w:val="true"/>
          <w:lang w:bidi="fa-IR"/>
        </w:rPr>
        <w:t>برای شیعیان، وضعیتی نسبتاً مطلوب و آزاد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درزمان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وقت ـ به خصوص مأمون ـ به دلایل مختلف که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بالارفتن توان و قدرت علویان وشیعیان، و ترس حکومت از قدرت آنان وخطری که برای حکومت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بوده است، به شیعیان رو کرده واین دوران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هرچند مقطعی به نفع شیعیان بوده است و نسبت به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قبلی، فضایی نسبتاً آزاد و باز برای فعالیت شیعیان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در واقع، این فضا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بوده است که برخی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مأمون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 و محمد جواد فضل الله از کسانی هستند که وی را شیعه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Style w:val="FootnoteAnchor"/>
          <w:rtl w:val="true"/>
        </w:rPr>
        <w:footnoteReference w:id="132"/>
      </w:r>
      <w:r>
        <w:rPr>
          <w:rFonts w:ascii="IRNazanin" w:hAnsi="IRNazanin" w:eastAsia="IRNazanin"/>
          <w:color w:val="111111"/>
          <w:sz w:val="28"/>
          <w:sz w:val="28"/>
          <w:szCs w:val="28"/>
          <w:rtl w:val="true"/>
          <w:lang w:bidi="fa-IR"/>
        </w:rPr>
        <w:t>اما آنچه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معتزلی بودن مأمون است که به دلایل مختلف از جمله الزام مردم به قبول و قائل شدن به خلق قرآن</w:t>
      </w:r>
      <w:r>
        <w:rPr>
          <w:rStyle w:val="FootnoteAnchor"/>
          <w:rtl w:val="true"/>
        </w:rPr>
        <w:footnoteReference w:id="133"/>
      </w:r>
      <w:r>
        <w:rPr>
          <w:rFonts w:ascii="IRNazanin" w:hAnsi="IRNazanin" w:eastAsia="IRNazanin"/>
          <w:color w:val="111111"/>
          <w:sz w:val="28"/>
          <w:sz w:val="28"/>
          <w:szCs w:val="28"/>
          <w:rtl w:val="true"/>
          <w:lang w:bidi="fa-IR"/>
        </w:rPr>
        <w:t>که از عقاید معتزله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نیز رسیدن معتزله به اوج اقتدار و اعتلا در زمان وی</w:t>
      </w:r>
      <w:r>
        <w:rPr>
          <w:rStyle w:val="FootnoteAnchor"/>
          <w:rtl w:val="true"/>
        </w:rPr>
        <w:footnoteReference w:id="134"/>
      </w:r>
      <w:r>
        <w:rPr>
          <w:rFonts w:ascii="IRNazanin" w:hAnsi="IRNazanin" w:eastAsia="IRNazanin"/>
          <w:color w:val="111111"/>
          <w:sz w:val="28"/>
          <w:sz w:val="28"/>
          <w:szCs w:val="28"/>
          <w:rtl w:val="true"/>
          <w:lang w:bidi="fa-IR"/>
        </w:rPr>
        <w:t>که قبلاً بیان شد، این نظر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تشیعِ افراد حکومتی از جمله مربیان امین و مأمون در زمان هارون، </w:t>
      </w:r>
      <w:r>
        <w:rPr>
          <w:rStyle w:val="FootnoteAnchor"/>
          <w:rtl w:val="true"/>
        </w:rPr>
        <w:footnoteReference w:id="135"/>
      </w:r>
      <w:r>
        <w:rPr>
          <w:rFonts w:ascii="IRNazanin" w:hAnsi="IRNazanin" w:eastAsia="IRNazanin"/>
          <w:color w:val="111111"/>
          <w:sz w:val="28"/>
          <w:sz w:val="28"/>
          <w:szCs w:val="28"/>
          <w:rtl w:val="true"/>
          <w:lang w:bidi="fa-IR"/>
        </w:rPr>
        <w:t>تشیع</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سهل، </w:t>
      </w:r>
      <w:r>
        <w:rPr>
          <w:rStyle w:val="FootnoteAnchor"/>
          <w:rtl w:val="true"/>
        </w:rPr>
        <w:footnoteReference w:id="136"/>
      </w:r>
      <w:r>
        <w:rPr>
          <w:rFonts w:ascii="IRNazanin" w:hAnsi="IRNazanin" w:eastAsia="IRNazanin"/>
          <w:color w:val="111111"/>
          <w:sz w:val="28"/>
          <w:sz w:val="28"/>
          <w:szCs w:val="28"/>
          <w:rtl w:val="true"/>
          <w:lang w:bidi="fa-IR"/>
        </w:rPr>
        <w:t>طاهر بن حسین</w:t>
      </w:r>
      <w:r>
        <w:rPr>
          <w:rStyle w:val="FootnoteAnchor"/>
          <w:rtl w:val="true"/>
        </w:rPr>
        <w:footnoteReference w:id="137"/>
      </w:r>
      <w:r>
        <w:rPr>
          <w:rFonts w:ascii="IRNazanin" w:hAnsi="IRNazanin" w:eastAsia="IRNazanin"/>
          <w:color w:val="111111"/>
          <w:sz w:val="28"/>
          <w:sz w:val="28"/>
          <w:szCs w:val="28"/>
          <w:rtl w:val="true"/>
          <w:lang w:bidi="fa-IR"/>
        </w:rPr>
        <w:t>در دورة مأمون را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پیرامون تشیع آنان بحث‌های ضدّ و نقیضی وجود دارد؛ که البته ما در صدد بررسی صحت و سقم این موارد نیستیم، بلکه آنچه برای ما مهم است، نفوذ گستردة تشیع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باعث شده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افراد مهم حکومتی و حتی خود خلیفه را شیعه معرفی نمایند</w:t>
      </w:r>
      <w:r>
        <w:rPr>
          <w:rFonts w:eastAsia="IRNazanin" w:cs="IRNazanin"/>
          <w:color w:val="111111"/>
          <w:sz w:val="28"/>
          <w:szCs w:val="28"/>
          <w:rtl w:val="true"/>
          <w:lang w:bidi="fa-IR"/>
        </w:rPr>
        <w:t>.</w:t>
      </w:r>
      <w:bookmarkStart w:id="68" w:name="pg2633_18050"/>
    </w:p>
    <w:p>
      <w:pPr>
        <w:pStyle w:val="Heading3"/>
        <w:numPr>
          <w:ilvl w:val="2"/>
          <w:numId w:val="1"/>
        </w:numPr>
        <w:rPr/>
      </w:pPr>
      <w:bookmarkStart w:id="69" w:name="__RefHeading___Toc569364_1395250215"/>
      <w:bookmarkStart w:id="70" w:name="_Toc25"/>
      <w:bookmarkEnd w:id="68"/>
      <w:bookmarkEnd w:id="69"/>
      <w:r>
        <w:rPr>
          <w:rtl w:val="true"/>
        </w:rPr>
        <w:t xml:space="preserve">- </w:t>
      </w:r>
      <w:r>
        <w:rPr>
          <w:rtl w:val="true"/>
        </w:rPr>
        <w:t xml:space="preserve">وضعیت فرهنگی شیعیان در زمان امامت امام رضا </w:t>
      </w:r>
      <w:r>
        <w:rPr>
          <w:rtl w:val="true"/>
        </w:rPr>
        <w:t>(</w:t>
      </w:r>
      <w:r>
        <w:rPr>
          <w:rtl w:val="true"/>
        </w:rPr>
        <w:t>علیه السلام</w:t>
      </w:r>
      <w:r>
        <w:rPr>
          <w:rtl w:val="true"/>
        </w:rPr>
        <w:t>)</w:t>
      </w:r>
      <w:bookmarkEnd w:id="70"/>
    </w:p>
    <w:p>
      <w:pPr>
        <w:pStyle w:val="BookText"/>
        <w:rPr/>
      </w:pPr>
      <w:r>
        <w:rPr>
          <w:rFonts w:ascii="IRNazanin" w:hAnsi="IRNazanin" w:eastAsia="IRNazanin"/>
          <w:color w:val="111111"/>
          <w:sz w:val="28"/>
          <w:sz w:val="28"/>
          <w:szCs w:val="28"/>
          <w:rtl w:val="true"/>
          <w:lang w:bidi="fa-IR"/>
        </w:rPr>
        <w:t xml:space="preserve">از منظر مسائل فرهنگی،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سال از دورة امامت خود را در مدینه سپری کرده و با آزادی نسبی به نشر معارف اسلامی و مذهبی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هارون عمدتاً گرفتار درگیری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سیاسی و نظامی در شرق یعنی خراسان بوده و پس از وی دوران درگیری میان پسران او، امین و مأمون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در آغاز حکومت مأمون، وی به تثبیت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حکومت خود و مبارزه با مدعیان در نقاط مختلف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از این رو در این هفده سال، حکومت مرکزی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توجه چندانی به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دنبال آن ممانعت از ادامة آن داشته باشد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جایگاه والای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که پیشتر آورده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مؤید این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حکومت پنج سالة امین، مدینه نیز درگیر مناقشات سیاسی بین دو برادر بوده و از توجه به مسائل دیگر و ازجمله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فرهنگی شخصیتی مانند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بودند و در طی این مدت،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بخش عظیمی از معارف اسلامی و شیعی را در میان مردم منتشر سازد که بخش مهمی از روایات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مسند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در دورة حکومت امین،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بصره رفته و به درس و تعلیم و تربیت پرداخت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سرشماری تعداد راویان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تعداد کسانی که از این بزرگوار کسب حدیث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بیش از تعداد کسانی هستند که از سه امام بعد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سه امام بعد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امر با توجه به اینکه ایشان غالب عمر خود را در مدینه سپری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نشانگر پویایی و تحرک و نشاط مدرسة مدینه در این دوران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شیخ طوسی تعداد راویان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برشمرده است، این در حالی است که تعداد راویان سه امام پس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ترتیب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راویان سه امام پس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ترتیب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کرده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محل تحدیث، تدریس و افاضات علمی وحدیثی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مسجد نبوی بود و همچنین مجالس دیگری نیز در بیت شریف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چنانکه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نشستم و شهر مدینه آکنده از عالمان بود، اما هرگاه یکی از آنان در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دچار مشکل و سرگشتگی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همگان او را به سوی من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ومسأله را نزد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فرستادند و من پاسخ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r>
        <w:rPr>
          <w:rStyle w:val="FootnoteAnchor"/>
          <w:rtl w:val="true"/>
        </w:rPr>
        <w:footnoteReference w:id="14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شایان ذکر دربارة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حاکم بر مدرسة حدیثی شیعه</w:t>
      </w:r>
    </w:p>
    <w:p>
      <w:pPr>
        <w:pStyle w:val="BookText"/>
        <w:rPr/>
      </w:pPr>
      <w:r>
        <w:rPr>
          <w:rFonts w:ascii="IRNazanin" w:hAnsi="IRNazanin" w:eastAsia="IRNazanin"/>
          <w:color w:val="111111"/>
          <w:sz w:val="28"/>
          <w:sz w:val="28"/>
          <w:szCs w:val="28"/>
          <w:rtl w:val="true"/>
          <w:lang w:bidi="fa-IR"/>
        </w:rPr>
        <w:t>در مدینه آن که، پس از عصر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کار تبویب و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همراه با کتابت احادیث در کتب و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حدیثی رو به آغاز و انجام گرفتن نهاد؛ و لذا در بررسی فهرست مؤلفات اصحاب امام کاظم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تبویب و دسته بندی احادیث به وضوح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حیثیت علمی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عامل در توسعةمذهب شیعه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که مبانی فکری شیعه نیز در آن شرایط، مشخص شده بود و طبعاً مرجعیت علمی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توسعۀ فکر شیعی را دربرداشت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چنانچه آثار متعددی با عناوین کتاب، نسخۀ، مسائل، نسخۀ مبوّبۀ کبیرۀ،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دورة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فرهنگی، حضور چند ساله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دنیای اسلام آن روز ـ که به خراسان مشهور بود ـ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حضوری که در طول سلسله امامت دربارة هیچ یک از دیگر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نشد واین خود فرصتی گرانبها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معارف شیعی را مستقیماً و بدون واسطه برای خراسانیان که به صورت کلی دوستدار خاندان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هنوز تفکیک چندانی میان مصادیق این خاندان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بیان کند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خراسان از قرن دوم هجری بدین سو، محلی مناسب برای حضور و رشد و گسترش تشیع بوده و حضور هرچند کوتاه مدت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نیز موجب تعمیق و تقویت این زمینه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منابع مربوط به تاریخ تشیع در خراسان، قراین متعددی بر گرایش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شیعی در نقاط مختلف آن دلالت دارند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روی اکراه و اجبار راهی خراسان شده بود</w:t>
      </w:r>
      <w:r>
        <w:rPr>
          <w:rStyle w:val="FootnoteAnchor"/>
          <w:rtl w:val="true"/>
        </w:rPr>
        <w:footnoteReference w:id="148"/>
      </w:r>
      <w:r>
        <w:rPr>
          <w:rFonts w:ascii="IRNazanin" w:hAnsi="IRNazanin" w:eastAsia="IRNazanin"/>
          <w:color w:val="111111"/>
          <w:sz w:val="28"/>
          <w:sz w:val="28"/>
          <w:szCs w:val="28"/>
          <w:rtl w:val="true"/>
          <w:lang w:bidi="fa-IR"/>
        </w:rPr>
        <w:t>، در این سفر هم، از تلاش و فعالیت برای هدایت و ارشاد جامعه و بخصوص شیعیان فروگذار نکردند واز هر فرصتی برای ارشاد آنان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چنانکه در طول مسیر، همواره و از طرق مختلف و حتی با بجاگذاشتن آثار و معجزاتی، به ارشاد و هدایت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پرداختند</w:t>
      </w:r>
      <w:r>
        <w:rPr>
          <w:rStyle w:val="FootnoteAnchor"/>
          <w:rtl w:val="true"/>
        </w:rPr>
        <w:footnoteReference w:id="149"/>
      </w:r>
      <w:r>
        <w:rPr>
          <w:rFonts w:ascii="IRNazanin" w:hAnsi="IRNazanin" w:eastAsia="IRNazanin"/>
          <w:color w:val="111111"/>
          <w:sz w:val="28"/>
          <w:sz w:val="28"/>
          <w:szCs w:val="28"/>
          <w:rtl w:val="true"/>
          <w:lang w:bidi="fa-IR"/>
        </w:rPr>
        <w:t xml:space="preserve">و با اینکه مأمون دستور داده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مسیر کوفه و قم که شیعه نشین بودند، عبور ندهند بلکه از راه بصره و اهواز و فارس به مرو بیاورند، </w:t>
      </w:r>
      <w:r>
        <w:rPr>
          <w:rStyle w:val="FootnoteAnchor"/>
          <w:rtl w:val="true"/>
        </w:rPr>
        <w:footnoteReference w:id="150"/>
      </w:r>
      <w:r>
        <w:rPr>
          <w:rFonts w:ascii="IRNazanin" w:hAnsi="IRNazanin" w:eastAsia="IRNazanin"/>
          <w:color w:val="111111"/>
          <w:sz w:val="28"/>
          <w:sz w:val="28"/>
          <w:szCs w:val="28"/>
          <w:rtl w:val="true"/>
          <w:lang w:bidi="fa-IR"/>
        </w:rPr>
        <w:t xml:space="preserve">ولی با این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تلاش خود را برای گسترش معارف شیعی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چنانکه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نیشابور که شمار بسیاری از مردم به استقبال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شتافته بودند و چند هزار قلم به دست مشغول نوشتن روایت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Style w:val="FootnoteAnchor"/>
          <w:rtl w:val="true"/>
        </w:rPr>
        <w:footnoteReference w:id="151"/>
      </w:r>
      <w:r>
        <w:rPr>
          <w:rFonts w:ascii="IRNazanin" w:hAnsi="IRNazanin" w:eastAsia="IRNazanin"/>
          <w:color w:val="111111"/>
          <w:sz w:val="28"/>
          <w:sz w:val="28"/>
          <w:szCs w:val="28"/>
          <w:rtl w:val="true"/>
          <w:lang w:bidi="fa-IR"/>
        </w:rPr>
        <w:t xml:space="preserve">وقتی علماء نیشابور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نمودند که حدیثی از پدران بزرگوارش بیان</w:t>
      </w:r>
    </w:p>
    <w:p>
      <w:pPr>
        <w:pStyle w:val="BookText"/>
        <w:rPr/>
      </w:pPr>
      <w:r>
        <w:rPr>
          <w:rFonts w:ascii="IRNazanin" w:hAnsi="IRNazanin" w:eastAsia="IRNazanin"/>
          <w:color w:val="111111"/>
          <w:sz w:val="28"/>
          <w:sz w:val="28"/>
          <w:szCs w:val="28"/>
          <w:rtl w:val="true"/>
          <w:lang w:bidi="fa-IR"/>
        </w:rPr>
        <w:t xml:space="preserve">نماید،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حدیثی که سلسله سند آن را از طریق پدر بزرگوارش تا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نمود، از قول جبرئیل و او از قول خداوند متعال چنین فرمود</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دژ من است، پس هرکس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و دژمن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از عذاب من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بعد از آنکه مرکب امام به حرکت درآمد،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بشروطها، وأنا من شروطها</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البته شروطی دارد و من از شروط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روایتی مشابه در پایان چنین آمده است که؛ و جبرئیل از قول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خدایی که نیست خدایی جز من، پس عبادت کنید مرا، و هرکس از شما با اخلاص به لا إله الا الله شهادت دهد، همانا او وارد قلعه و دژ من شده است، و هرکس وارد دژ من شود، از عذابم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که اخلاص در شهادت چیست؟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طاعۀ الله و طاعۀ رسول الله و ولایۀ أهل بیته علیهم السلام</w:t>
      </w:r>
      <w:r>
        <w:rPr>
          <w:rFonts w:eastAsia="IRNazanin" w:cs="IRNazanin"/>
          <w:color w:val="111111"/>
          <w:sz w:val="28"/>
          <w:szCs w:val="28"/>
          <w:rtl w:val="true"/>
          <w:lang w:bidi="fa-IR"/>
        </w:rPr>
        <w:t>».</w:t>
      </w:r>
      <w:r>
        <w:rPr>
          <w:rStyle w:val="FootnoteAnchor"/>
          <w:rtl w:val="true"/>
        </w:rPr>
        <w:footnoteReference w:id="15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واقعة تاریخی، حاوی نکات فراوانی است از جمله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لحظة حساس و فرصت طلایی، اساسی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مسأله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وآن مسألۀ توحید است و در ادامه و در پیوند با مسألۀ توحید، مسألۀ امامت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مسألۀ امامت و ارتباط آن با توحید، از یک طرف مشروعیت حکومت را زیر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از طرفی پاسخی محکم و دندان شکن به همة کسانی بود که به هر طریق و به هر دلیلی، در حلقات</w:t>
      </w:r>
    </w:p>
    <w:p>
      <w:pPr>
        <w:pStyle w:val="BookText"/>
        <w:rPr/>
      </w:pPr>
      <w:r>
        <w:rPr>
          <w:rFonts w:ascii="IRNazanin" w:hAnsi="IRNazanin" w:eastAsia="IRNazanin"/>
          <w:color w:val="111111"/>
          <w:sz w:val="28"/>
          <w:sz w:val="28"/>
          <w:szCs w:val="28"/>
          <w:rtl w:val="true"/>
          <w:lang w:bidi="fa-IR"/>
        </w:rPr>
        <w:t>سلسلة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برده و جامعة شیعه را دچار سرگردانی و چالش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امامت،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مهم و کلیدی بود که اختلاف بر سر آن، باعث ایجاد بحران در جامعه و بخصوص در بین شیعیان شده بود تا جایی که میان آنها تفرقه انداخته بود؛ و طرح آن، در این فرصت طلایی، نشان دهندة اوج بحران در این دوره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حدیث از طریق پدران بزرگوارش، امامان قبل از خود را به طور واضح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خط بطلانی بر تمام فرق به وجود آمده تا آن زمان،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تکیة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طریق اباء خود، در نقل روایت، بهترین علامت برای توسعۀ فکر شیعی بوده است</w:t>
      </w:r>
      <w:r>
        <w:rPr>
          <w:rFonts w:eastAsia="IRNazanin" w:cs="IRNazanin"/>
          <w:color w:val="111111"/>
          <w:sz w:val="28"/>
          <w:szCs w:val="28"/>
          <w:rtl w:val="true"/>
          <w:lang w:bidi="fa-IR"/>
        </w:rPr>
        <w:t>.</w:t>
      </w:r>
      <w:r>
        <w:rPr>
          <w:rStyle w:val="FootnoteAnchor"/>
          <w:rtl w:val="true"/>
        </w:rPr>
        <w:footnoteReference w:id="15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و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بعدی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دورة ولایت عهدی، نیزبا همة مراقبت ها و محدودیت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ایشان و شیعیانشان از سوی دستگاه خلافت وجود داشت، در جهت تعلیم و تربیت و نشر معارف ناب اسلامی ادامه یافت، چنانکه از عبدالسلام بن صالح هروی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به مأمون رسید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کلام منعقد کرده و مردم جذب دانش او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مأمون به حاجب خود محمد بن عمرو طوسی دستور داد که مردم را از مجلس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کرده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مأمون حاضر سازد؛ سپس مأمون وقتی نظرش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سخنان درشت به ایشان گفت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زجر و استخفاف کرد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غضبناک از نزد مأمون بیرون</w:t>
      </w:r>
    </w:p>
    <w:p>
      <w:pPr>
        <w:pStyle w:val="BookText"/>
        <w:rPr/>
      </w:pPr>
      <w:r>
        <w:rPr>
          <w:rFonts w:ascii="IRNazanin" w:hAnsi="IRNazanin" w:eastAsia="IRNazanin"/>
          <w:color w:val="111111"/>
          <w:sz w:val="28"/>
          <w:sz w:val="28"/>
          <w:szCs w:val="28"/>
          <w:rtl w:val="true"/>
          <w:lang w:bidi="fa-IR"/>
        </w:rPr>
        <w:t>رفت، و او را نفرین سختی نمود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حتی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عبادات اسلامی نیز سعی در احیاء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داشتند، چنانچه وقتی مأمون با اصرار و پافشاری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نماز عید را بخواند،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خارج شدن برای نماز به شیوة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را قبول کردند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که این خود، مشروعیت عباسیان را که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و حکومت رسیده بودند، زیر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نیز حقانیت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إحیاء کنندگان واقعی سنت جدشان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را به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تأثیر این گونه نماز خواندن و آن هم توسط نوادة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مردم به حدی بود که مأمون دستور داد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خواندن نماز، برگردانند</w:t>
      </w:r>
      <w:r>
        <w:rPr>
          <w:rFonts w:eastAsia="IRNazanin" w:cs="IRNazanin"/>
          <w:color w:val="111111"/>
          <w:sz w:val="28"/>
          <w:szCs w:val="28"/>
          <w:rtl w:val="true"/>
          <w:lang w:bidi="fa-IR"/>
        </w:rPr>
        <w:t>.</w:t>
      </w:r>
      <w:r>
        <w:rPr>
          <w:rStyle w:val="FootnoteAnchor"/>
          <w:rtl w:val="true"/>
        </w:rPr>
        <w:footnoteReference w:id="15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بر اهمیت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ـ که چنانکه گفته شد به درخواست خود حکومت وقت نیز صورت گرفته بود ـ در بعد فرهنگی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افزود، شخصیت خاص و ویژۀ مأمون بود که به عنوان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علم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خلفای بنی عباس معرفی شده است، و همو بود که به هر دلیل کم نظیرترین مجالس مناظره و احتجاج را در مرو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دانشمندان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مذاهب مختلف، دیدگاههای خود را بیان کرده و برای اثبات باورهای خود به تلاش بپردازند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در این راستا، مأمون به طرق مختلف کوشش داشت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معرکه مناظرات و</w:t>
      </w:r>
    </w:p>
    <w:p>
      <w:pPr>
        <w:pStyle w:val="BookText"/>
        <w:rPr/>
      </w:pPr>
      <w:r>
        <w:rPr>
          <w:rFonts w:ascii="IRNazanin" w:hAnsi="IRNazanin" w:eastAsia="IRNazanin"/>
          <w:color w:val="111111"/>
          <w:sz w:val="28"/>
          <w:sz w:val="28"/>
          <w:szCs w:val="28"/>
          <w:rtl w:val="true"/>
          <w:lang w:bidi="fa-IR"/>
        </w:rPr>
        <w:t>مباحثاتی که با سایر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صاحبان ادیان و مذاهب مختلف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وارد گرداند، او مجالسی برای بحث دربارة مسائل علمی و مشکلات فکری ترتیب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دانشمندان و برترین متفکران زمان و همچنین سران زندیقان و اصحاب جدل ومناظره را در این مجالس 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اینها کسانی بودند که سطوت و قدرت علمی آنها بیم انگیز و مغالطه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پیچیده و خصمانة آنها که راه را بر دلیل و حجت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 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بود، و تشکیکات تند آنها دلیل و برهان را سست و ناچیز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تملک نیروی عظیم علمی، در تمام این مجالس بر حریفان و دشمنانش پیروز بود، بدون اینکه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وارد مغالطات جدلی کند، چنانکه برخی از مناظره کنندگان برای اینکه بنای حجت خصم را ویران کنند، و قوت استدلال او را از میان ببرند، بدان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ولی آن حضرت با بیانی معجزه آسا و روشی روشن و راهگشا، به دلائل مطمئن خود در اثبات حق،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Style w:val="FootnoteAnchor"/>
          <w:rtl w:val="true"/>
        </w:rPr>
        <w:footnoteReference w:id="16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چنین بود که مأمون، خود مصداق این بیان گردید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شود سبب خیر، 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وجود همة این تلاشهای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همة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مساعد در زمان امامت ایشان، اینکه چرا دورة امامت ایشان، مثل دورة امامت جد بزرگوارش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نقاط عطف دوران تشیع امامی تبدیل نشد،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عمدة مشکل به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درون شیعی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به دیگر عبارت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ویژگی دوران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ظهور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پرقدرت درون شیعی و مقابلۀ شدید برخی از آنها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اینگونه مقابله را در دوران امامت امامان دیگر، کمتر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ویژگی را با اهمیت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آن بود که سردمداران برخی از این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امامت هفت امام قبلی را پذیرفته و بلکه خود به عنوان مورد اطمینان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اشخاص امام قبلی یعنی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بودند، و از منظر علمی جزو دانشمندان و راویان برجسته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آمدند و البته طبیعی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اینگونه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در آن زمان، کیان سلسله وار امامت را به شدت در معرض خطر قرار داده بودند، ایستادگی کرده و عمدۀ همت خود را صرف محکوم کردن و از بین بردن آنها بنماید، به ویژه آنکه به علت جایگاه سردمداران آنها ونیز وارد شدن آنها از راه مناظره و استدلال ممکن بود که شیعیان فراوانی تحت تأثیر قرار گرفته و انسجام درون شیعی، ضربات جبران ناپذیری را تحمل نماید</w:t>
      </w:r>
      <w:r>
        <w:rPr>
          <w:rFonts w:eastAsia="IRNazanin" w:cs="IRNazanin"/>
          <w:color w:val="111111"/>
          <w:sz w:val="28"/>
          <w:szCs w:val="28"/>
          <w:rtl w:val="true"/>
          <w:lang w:bidi="fa-IR"/>
        </w:rPr>
        <w:t>.</w:t>
      </w:r>
      <w:r>
        <w:rPr>
          <w:rStyle w:val="FootnoteAnchor"/>
          <w:rtl w:val="true"/>
        </w:rPr>
        <w:footnoteReference w:id="16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بسیار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اینگونه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بالأخره پیروزی نسبی بر آنها،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بود که در پایان امامت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انسجام نسبی در میان شیعیان امامیه پدید آمده بود و زیرساخت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انسجام به قدری قدرتمند بودکه حتی بحران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بعدی همچون کودکی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امامتشان نیز نتوانست این یکپارچگی را از بین ببرد و از</w:t>
      </w:r>
    </w:p>
    <w:p>
      <w:pPr>
        <w:pStyle w:val="BookText"/>
        <w:rPr/>
      </w:pPr>
      <w:r>
        <w:rPr>
          <w:rFonts w:ascii="IRNazanin" w:hAnsi="IRNazanin" w:eastAsia="IRNazanin"/>
          <w:color w:val="111111"/>
          <w:sz w:val="28"/>
          <w:sz w:val="28"/>
          <w:szCs w:val="28"/>
          <w:rtl w:val="true"/>
          <w:lang w:bidi="fa-IR"/>
        </w:rPr>
        <w:t xml:space="preserve">این رو در دوران آن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شاهد پدید آمدن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 شیعی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باشیم، و از اینجاست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تلاش و جایگاه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توانست بر این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 شیعی فائق آید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واقع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روشنگری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اصحاب خاص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مختلف، موجب شد که معارف و احادیث شیعی تا حدّ زیادی از دستبرد تحریف و جعل، در امان بماند و همچنین باعث نجات بسیاری از شیعیان از افتادن در دام گمراهی و ضلالت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اصحاب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و محمد بن ابی عمیر بودند که در شمار اصحاب اجماعند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از جمله راویان از امام هفتم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دارای تألیفات بسیار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عنوان نمونه، ابن ابی عمیر علاوه بر تألیفات شخصی، نزدیک به صد اصل از اصول روایی شیعه را نیز حدیث کرده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یونس بن عبدالرحمن نیز، هزاران جلد کتاب در رد مخالفان نگاشته است، </w:t>
      </w:r>
      <w:r>
        <w:rPr>
          <w:rStyle w:val="FootnoteAnchor"/>
          <w:rtl w:val="true"/>
        </w:rPr>
        <w:footnoteReference w:id="165"/>
      </w:r>
      <w:r>
        <w:rPr>
          <w:rFonts w:ascii="IRNazanin" w:hAnsi="IRNazanin" w:eastAsia="IRNazanin"/>
          <w:color w:val="111111"/>
          <w:sz w:val="28"/>
          <w:sz w:val="28"/>
          <w:szCs w:val="28"/>
          <w:rtl w:val="true"/>
          <w:lang w:bidi="fa-IR"/>
        </w:rPr>
        <w:t xml:space="preserve">درجات علمی وی تا آنجا بوده که وقتی عبدالعزیز بن مهتدی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عرض کرده بود که در هر زمان و همه وقت،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در این صورت برای فراگیری معالم و معارف 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چه 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مراجعه به نزد یونس بن عبدالرحمن</w:t>
      </w:r>
    </w:p>
    <w:p>
      <w:pPr>
        <w:pStyle w:val="BookText"/>
        <w:rPr/>
      </w:pPr>
      <w:r>
        <w:rPr>
          <w:rFonts w:ascii="IRNazanin" w:hAnsi="IRNazanin" w:eastAsia="IRNazanin"/>
          <w:color w:val="111111"/>
          <w:sz w:val="28"/>
          <w:sz w:val="28"/>
          <w:szCs w:val="28"/>
          <w:rtl w:val="true"/>
          <w:lang w:bidi="fa-IR"/>
        </w:rPr>
        <w:t>راهنمایی کرد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میزان فقاهت او به حدی بوده که فضل بن شاذان دربارۀ او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کسی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سلمان فارسی نیامده و پس از وی، کسی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یونس بن عبدالرحمن ظاهر نشده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همچنین در روایت دیگری به سلمان در عصر خودش، تشبیه شده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از دیگر اصحاب برجستة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زکریابن آدم قمی بود که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ثقۀ، جلیل، عظیم القدر و کان له وجه عندالرضا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جزء وکلای ممدوح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r>
        <w:rPr>
          <w:rStyle w:val="FootnoteAnchor"/>
          <w:rtl w:val="true"/>
        </w:rPr>
        <w:footnoteReference w:id="17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کارگزاران سازمان وکالت که نمایندگان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مرجع و ملجأ در حل معضلات علمی و اعتقادی شیعیان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گاه این وظیفه را شخصاً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وجود شرایط لازم علمی و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 از طریق اخذ و ارسال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حاوی سؤالات شیعیان به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متقابلاً تحویل پاسخ آنها به شیعیان؛ و از آنجا که برخی از وکلای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خوبی برخوردار بودند، با اصرار و تأکید 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مسند افتا و یا بحث و مناظره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چنانکه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علی بن مسیّب که اظهار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 به دلیل دوری محل سکونتش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توان ملاقات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در این صورت معارف و معالم 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از چه کسی فراگیرد؟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زکریا بن آدم، که بر دین و دنیا امین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جایگاه و مقام علمی والای برخی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به چند تن آنها اشاره شد ـ نشان دهندة رشد و توسعۀ تفکر شیعی در دورة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که البته این به معنای رشد وتوسعه صحیح تفکر شیعی و آن هم در بین همة شیعیان نیست، چنانکه در روایتی آمده که زکریا بن آدم به علت ازدیاد و کثرت نادانان در بین خاندانش، قصد خروج از میان آنها را داشت و زمانی که این مسأله را به اطلاع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 زیرا که از اهل بیت تو، به واسطۀ تو دفع بلا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چنان که از اهل بغداد به واسطة ابی الحسن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از شواهد دیگر انحراف در تفکر شیعی در این زمان، وجود و فعالیت گستردة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درون شیعی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یادآور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شویم که در زمان مأمون که به علما و دانشمندان توجه بسیار شد،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ولیعهد به دربار خلافت آورده شد، شعرای شیعی از جمله دعبل خزاعی که در مدح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ذمّ دشمنانشان، شعرهایی در خور ستایش سروده بودند، به عرصة اجتماع آمده و در ملأ عام، از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ظلم و جور فراوانی که بر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پرده برداشته و از ظلم و جور بنی عباس که گناهشان بیشتر از بنی امیه بود، سخن راندند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از دیگر شاعران برجستة این زمان،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ابراهیم</w:t>
      </w:r>
    </w:p>
    <w:p>
      <w:pPr>
        <w:pStyle w:val="BookText"/>
        <w:rPr/>
      </w:pPr>
      <w:r>
        <w:rPr>
          <w:rFonts w:ascii="IRNazanin" w:hAnsi="IRNazanin" w:eastAsia="IRNazanin"/>
          <w:color w:val="111111"/>
          <w:sz w:val="28"/>
          <w:sz w:val="28"/>
          <w:szCs w:val="28"/>
          <w:rtl w:val="true"/>
          <w:lang w:bidi="fa-IR"/>
        </w:rPr>
        <w:t>بن عباس صولی که نابغة زمان خود در نظم ونثربود، ونیز ادیب و شاعر بزرگ رزین بن علی که دوست دعبل خزاعی بود، اشاره کرد</w:t>
      </w:r>
      <w:r>
        <w:rPr>
          <w:rFonts w:eastAsia="IRNazanin" w:cs="IRNazanin"/>
          <w:color w:val="111111"/>
          <w:sz w:val="28"/>
          <w:szCs w:val="28"/>
          <w:rtl w:val="true"/>
          <w:lang w:bidi="fa-IR"/>
        </w:rPr>
        <w:t>.</w:t>
      </w:r>
      <w:r>
        <w:rPr>
          <w:rStyle w:val="FootnoteAnchor"/>
          <w:rtl w:val="true"/>
        </w:rPr>
        <w:footnoteReference w:id="17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وجود آزادی و آسایش نسبی در دهة آخر حکومت هارون، چنانکه گذشت و نیز آزادی عمل بیشتر از آن، در دورة بعدی یعنی در زمان حکومت امین، و همچنین سیاست صلح و سازش و مسالمت آمیز مأمون با علویان و شیعیان در دورة مورد بحث، و نیز علم دوستی مأمون و حمایت وی از علما و دانشمندان؛ همه نشان دهندة شرایط بسیار مساعد و مناسب سیاسی و در نتیجه فرهنگی در زمان مذکور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که در صورت اتحاد بین شیعیان و جمع شدن زیر پرچم امامت اصیل یعنی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شرایط مساعد و فرصت طلایی و ارزشمند به عنوان نقطة اوج و عطفی مهم، وحتی عصری طلایی برای شیعۀ امامی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اثراتی گران‌بها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تلاش والای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خاص و خالص ایشان، این نقطة عطف را به وجود آورد؛ ولی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بیشترین توان وتلاش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خالص سازی و پاکسازی شیعه و تشیع از غبار انحرافات و کژی‌ها صرف شد؛ و ایشان تمام تلاش خود را برای تعمیق سازی و رشد کیفی تشیع، و از سویی هشدارها و برحذر داشتن دیگر شیعیان از این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انحرافات و انشعابات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اگرچه در زمان جدّ بزرگوارشان،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شیعه و ایجاد مکتب شیعی را شاهدیم؛ در این زمان، پاکسازی و نگهداری شیعیان را که در ورطة نابودی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را مرهون مجاهدت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bookmarkStart w:id="71" w:name="pg2633_18063"/>
    </w:p>
    <w:p>
      <w:pPr>
        <w:pStyle w:val="Heading2"/>
        <w:numPr>
          <w:ilvl w:val="1"/>
          <w:numId w:val="1"/>
        </w:numPr>
        <w:rPr/>
      </w:pPr>
      <w:bookmarkStart w:id="72" w:name="__RefHeading___Toc569366_1395250215"/>
      <w:bookmarkStart w:id="73" w:name="_Toc26"/>
      <w:bookmarkEnd w:id="71"/>
      <w:bookmarkEnd w:id="72"/>
      <w:r>
        <w:rPr>
          <w:rtl w:val="true"/>
        </w:rPr>
        <w:t xml:space="preserve">تعامل امام رضا </w:t>
      </w:r>
      <w:r>
        <w:rPr>
          <w:rtl w:val="true"/>
        </w:rPr>
        <w:t>(</w:t>
      </w:r>
      <w:r>
        <w:rPr>
          <w:rtl w:val="true"/>
        </w:rPr>
        <w:t>علیه السلام</w:t>
      </w:r>
      <w:r>
        <w:rPr>
          <w:rtl w:val="true"/>
        </w:rPr>
        <w:t xml:space="preserve">) </w:t>
      </w:r>
      <w:r>
        <w:rPr>
          <w:rtl w:val="true"/>
        </w:rPr>
        <w:t>با فرقه زیدیه</w:t>
      </w:r>
      <w:bookmarkEnd w:id="7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569368_1395250215"/>
      <w:bookmarkStart w:id="75" w:name="_Toc27"/>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زیدیه گروهی بودند که پس از قیام زیدبن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و حداقل تا زمان مورد بحث، بیش از آنکه به امور فرهنگی و اعتقادی بپردازند به کارهای سیاسی رو آورده و در واقع، مشخصۀ اصلی آنها و آنچه که بدان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قیام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قیام و جهاد را نه صرفاً به جهت مبارزه با حاکم جائر، بلکه به این جهت که حکومت را حقّ علویان فاطمی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آن را واجب دانسته و در راه رسیدن به آن،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معتقد به امامتِ فرزندانی 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به جای تقیه، قیام به سیف نموده و مردم را به امامت خویش دعوت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اینان در سیر تاریخی خود، در مواجهه و رویارویی با ائمۀ پس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دچار مشکلات و تناقضاتی چه در عقیده و چه در عمل گردیدند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در این قسمت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کوشیم تا در حدّ امکان برخوردهای زیدیه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متقابلاً مواضع و برخوردهای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آنان مورد بررسی و کنکاش قرار دهیم</w:t>
      </w:r>
      <w:r>
        <w:rPr>
          <w:rFonts w:eastAsia="IRNazanin" w:cs="IRNazanin"/>
          <w:color w:val="111111"/>
          <w:sz w:val="28"/>
          <w:szCs w:val="28"/>
          <w:rtl w:val="true"/>
          <w:lang w:bidi="fa-IR"/>
        </w:rPr>
        <w:t>.</w:t>
      </w:r>
      <w:bookmarkStart w:id="76" w:name="pg2633_18065"/>
    </w:p>
    <w:p>
      <w:pPr>
        <w:pStyle w:val="Heading3"/>
        <w:numPr>
          <w:ilvl w:val="2"/>
          <w:numId w:val="1"/>
        </w:numPr>
        <w:rPr/>
      </w:pPr>
      <w:bookmarkStart w:id="77" w:name="__RefHeading___Toc569370_1395250215"/>
      <w:bookmarkStart w:id="78" w:name="_Toc28"/>
      <w:bookmarkEnd w:id="76"/>
      <w:bookmarkEnd w:id="77"/>
      <w:r>
        <w:rPr>
          <w:rtl w:val="true"/>
        </w:rPr>
        <w:t xml:space="preserve">- </w:t>
      </w:r>
      <w:r>
        <w:rPr>
          <w:rtl w:val="true"/>
        </w:rPr>
        <w:t xml:space="preserve">تعامل امام رضا </w:t>
      </w:r>
      <w:r>
        <w:rPr>
          <w:rtl w:val="true"/>
        </w:rPr>
        <w:t>(</w:t>
      </w:r>
      <w:r>
        <w:rPr>
          <w:rtl w:val="true"/>
        </w:rPr>
        <w:t>علیه السلام</w:t>
      </w:r>
      <w:r>
        <w:rPr>
          <w:rtl w:val="true"/>
        </w:rPr>
        <w:t xml:space="preserve">) </w:t>
      </w:r>
      <w:r>
        <w:rPr>
          <w:rtl w:val="true"/>
        </w:rPr>
        <w:t>با زیدیه پیش از ولایت عهدی</w:t>
      </w:r>
      <w:r>
        <w:rPr>
          <w:rtl w:val="true"/>
        </w:rPr>
        <w:t>:</w:t>
      </w:r>
      <w:bookmarkEnd w:id="78"/>
    </w:p>
    <w:p>
      <w:pPr>
        <w:pStyle w:val="Heading4"/>
        <w:numPr>
          <w:ilvl w:val="3"/>
          <w:numId w:val="1"/>
        </w:numPr>
        <w:rPr/>
      </w:pPr>
      <w:bookmarkStart w:id="79" w:name="__RefHeading___Toc569372_1395250215"/>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 xml:space="preserve">حدود هفده سال از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دوران ـ پیش از ولایت عهدی ـ قرار دارد که عمدة برخوردهای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زیدیان، مربوط به سالهای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در ادامه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تعامل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زیدیه در این سالها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مربوط به مواضع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قیام‌های علویان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با توجه به عقاید زیدیه در مورد شرایط امام و امامت، و همچنین حضور گستردۀ زیدیه</w:t>
      </w:r>
      <w:r>
        <w:rPr>
          <w:rStyle w:val="FootnoteAnchor"/>
          <w:rtl w:val="true"/>
        </w:rPr>
        <w:footnoteReference w:id="176"/>
      </w:r>
      <w:r>
        <w:rPr>
          <w:rFonts w:ascii="IRNazanin" w:hAnsi="IRNazanin" w:eastAsia="IRNazanin"/>
          <w:color w:val="111111"/>
          <w:sz w:val="28"/>
          <w:sz w:val="28"/>
          <w:szCs w:val="28"/>
          <w:rtl w:val="true"/>
          <w:lang w:bidi="fa-IR"/>
        </w:rPr>
        <w:t>به ویژه جارودیه</w:t>
      </w:r>
      <w:r>
        <w:rPr>
          <w:rStyle w:val="FootnoteAnchor"/>
          <w:rtl w:val="true"/>
        </w:rPr>
        <w:footnoteReference w:id="177"/>
      </w:r>
      <w:r>
        <w:rPr>
          <w:rFonts w:ascii="IRNazanin" w:hAnsi="IRNazanin" w:eastAsia="IRNazanin"/>
          <w:color w:val="111111"/>
          <w:sz w:val="28"/>
          <w:sz w:val="28"/>
          <w:szCs w:val="28"/>
          <w:rtl w:val="true"/>
          <w:lang w:bidi="fa-IR"/>
        </w:rPr>
        <w:t>در این قیام‌ها،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این قیام‌ها با عنوان قیام‌های زیدی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قیام‌های این دوره، فردی از علویان به نام محمدبن ابراهیم بن اسماعیل معروف به ابن طباطبا بود که چنانکه گفته شده، انگیزش قیام در وی، به تحریک شخصی از اهالی جزیره به نام نصربن شبیب بوده است</w:t>
      </w:r>
      <w:r>
        <w:rPr>
          <w:rStyle w:val="FootnoteAnchor"/>
          <w:rtl w:val="true"/>
        </w:rPr>
        <w:footnoteReference w:id="178"/>
      </w:r>
      <w:r>
        <w:rPr>
          <w:rFonts w:ascii="IRNazanin" w:hAnsi="IRNazanin" w:eastAsia="IRNazanin"/>
          <w:color w:val="111111"/>
          <w:sz w:val="28"/>
          <w:sz w:val="28"/>
          <w:szCs w:val="28"/>
          <w:rtl w:val="true"/>
          <w:lang w:bidi="fa-IR"/>
        </w:rPr>
        <w:t>که در ادامه به این قیام مهم و قیام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منشعب از آن در این مدت، پرداخته خواهد شد</w:t>
      </w:r>
      <w:r>
        <w:rPr>
          <w:rFonts w:eastAsia="IRNazanin" w:cs="IRNazanin"/>
          <w:color w:val="111111"/>
          <w:sz w:val="28"/>
          <w:szCs w:val="28"/>
          <w:rtl w:val="true"/>
          <w:lang w:bidi="fa-IR"/>
        </w:rPr>
        <w:t>.</w:t>
      </w:r>
      <w:bookmarkStart w:id="81" w:name="pg2633_18066"/>
    </w:p>
    <w:p>
      <w:pPr>
        <w:pStyle w:val="Heading4"/>
        <w:numPr>
          <w:ilvl w:val="3"/>
          <w:numId w:val="1"/>
        </w:numPr>
        <w:rPr/>
      </w:pPr>
      <w:bookmarkStart w:id="82" w:name="__RefHeading___Toc569374_1395250215"/>
      <w:bookmarkStart w:id="83" w:name="_Toc30"/>
      <w:bookmarkEnd w:id="81"/>
      <w:bookmarkEnd w:id="82"/>
      <w:r>
        <w:rPr/>
        <w:t>1</w:t>
      </w:r>
      <w:r>
        <w:rPr>
          <w:rtl w:val="true"/>
        </w:rPr>
        <w:t xml:space="preserve">. </w:t>
      </w:r>
      <w:r>
        <w:rPr>
          <w:rtl w:val="true"/>
        </w:rPr>
        <w:t>قیام ابن طباطبا</w:t>
      </w:r>
      <w:bookmarkEnd w:id="8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ابراهیم طباطبا یکی از امامان زیدیه است</w:t>
      </w:r>
      <w:r>
        <w:rPr>
          <w:rStyle w:val="FootnoteAnchor"/>
          <w:rtl w:val="true"/>
        </w:rPr>
        <w:footnoteReference w:id="179"/>
      </w:r>
      <w:r>
        <w:rPr>
          <w:rFonts w:ascii="IRNazanin" w:hAnsi="IRNazanin" w:eastAsia="IRNazanin"/>
          <w:color w:val="111111"/>
          <w:sz w:val="28"/>
          <w:sz w:val="28"/>
          <w:szCs w:val="28"/>
          <w:rtl w:val="true"/>
          <w:lang w:bidi="fa-IR"/>
        </w:rPr>
        <w:t xml:space="preserve">، که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قیام خود را در کوفه،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کتاب و سنّت آغاز کرد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فرماندهی نظامی این قیام بر عهدۀ ابوالسرایا سری بن منصور بود</w:t>
      </w:r>
      <w:r>
        <w:rPr>
          <w:rStyle w:val="FootnoteAnchor"/>
          <w:rtl w:val="true"/>
        </w:rPr>
        <w:footnoteReference w:id="181"/>
      </w:r>
      <w:r>
        <w:rPr>
          <w:rFonts w:ascii="IRNazanin" w:hAnsi="IRNazanin" w:eastAsia="IRNazanin"/>
          <w:color w:val="111111"/>
          <w:sz w:val="28"/>
          <w:sz w:val="28"/>
          <w:szCs w:val="28"/>
          <w:rtl w:val="true"/>
          <w:lang w:bidi="fa-IR"/>
        </w:rPr>
        <w:t>ماجرای پیوستن این فرد غیر علوی به این قیام علوی و به دست گرفتن رهبری نظامی قیام، از این قرار است که در زمان جنگ بین امین و مأمون، ابوالسرایا که به شجاعت و دلیری مشهور شده بود، به درخواست هرثمة بن اعین به سپاه وی پیوست، ولی پس از قتل امین، هرثمه از مواجب او و یارانش کاست</w:t>
      </w:r>
      <w:r>
        <w:rPr>
          <w:rStyle w:val="FootnoteAnchor"/>
          <w:rtl w:val="true"/>
        </w:rPr>
        <w:footnoteReference w:id="182"/>
      </w:r>
      <w:r>
        <w:rPr>
          <w:rFonts w:ascii="IRNazanin" w:hAnsi="IRNazanin" w:eastAsia="IRNazanin"/>
          <w:color w:val="111111"/>
          <w:sz w:val="28"/>
          <w:sz w:val="28"/>
          <w:szCs w:val="28"/>
          <w:rtl w:val="true"/>
          <w:lang w:bidi="fa-IR"/>
        </w:rPr>
        <w:t>و این امر موجب جدا شدن ابوالسرایا از سپاه هرثمه و درگیری با وی شد، چنانکه پس از آن، ابوالسرایا به یکی از آشوبگران حکومتی تبدیل شده و به هر شهر و دیاری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با حاکم آنجا درگیر شده و مال و اموالی به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Style w:val="FootnoteAnchor"/>
          <w:rtl w:val="true"/>
        </w:rPr>
        <w:footnoteReference w:id="183"/>
      </w:r>
      <w:r>
        <w:rPr>
          <w:rFonts w:ascii="IRNazanin" w:hAnsi="IRNazanin" w:eastAsia="IRNazanin"/>
          <w:color w:val="111111"/>
          <w:sz w:val="28"/>
          <w:sz w:val="28"/>
          <w:szCs w:val="28"/>
          <w:rtl w:val="true"/>
          <w:lang w:bidi="fa-IR"/>
        </w:rPr>
        <w:t>، و در این گیرودار با ابن طباطبا آشنا شده و به او پیوست و این دو، قرار ملاقات و ابتدای قیام خود را در کوفه گذاشتند</w:t>
      </w:r>
      <w:r>
        <w:rPr>
          <w:rStyle w:val="FootnoteAnchor"/>
          <w:rtl w:val="true"/>
        </w:rPr>
        <w:footnoteReference w:id="184"/>
      </w:r>
      <w:r>
        <w:rPr>
          <w:rFonts w:ascii="IRNazanin" w:hAnsi="IRNazanin" w:eastAsia="IRNazanin"/>
          <w:color w:val="111111"/>
          <w:sz w:val="28"/>
          <w:sz w:val="28"/>
          <w:szCs w:val="28"/>
          <w:rtl w:val="true"/>
          <w:lang w:bidi="fa-IR"/>
        </w:rPr>
        <w:t>، و به این ترتیب ابن طباطبا رهبری معنوی قیام و ابوالسرایا رهبری نظامی آن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ابن</w:t>
      </w:r>
    </w:p>
    <w:p>
      <w:pPr>
        <w:pStyle w:val="BookText"/>
        <w:rPr/>
      </w:pPr>
      <w:r>
        <w:rPr>
          <w:rFonts w:ascii="IRNazanin" w:hAnsi="IRNazanin" w:eastAsia="IRNazanin"/>
          <w:color w:val="111111"/>
          <w:sz w:val="28"/>
          <w:sz w:val="28"/>
          <w:szCs w:val="28"/>
          <w:rtl w:val="true"/>
          <w:lang w:bidi="fa-IR"/>
        </w:rPr>
        <w:t>طباطبا و ابوالسرایا در ابتدا پیروزی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چشمگیری را به بار آورد، اما از آنجا که محمدبن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نظرات و عقاید خاصی برای جنگ و شروع و انجام آن بود</w:t>
      </w:r>
      <w:r>
        <w:rPr>
          <w:rStyle w:val="FootnoteAnchor"/>
          <w:rtl w:val="true"/>
        </w:rPr>
        <w:footnoteReference w:id="185"/>
      </w:r>
      <w:r>
        <w:rPr>
          <w:rFonts w:ascii="IRNazanin" w:hAnsi="IRNazanin" w:eastAsia="IRNazanin"/>
          <w:color w:val="111111"/>
          <w:sz w:val="28"/>
          <w:sz w:val="28"/>
          <w:szCs w:val="28"/>
          <w:rtl w:val="true"/>
          <w:lang w:bidi="fa-IR"/>
        </w:rPr>
        <w:t>، و در این راستا به ابوالسرایا سفارشاتی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گرچه در ابتدا ابوالسرایا گوش به فرمان وی بود</w:t>
      </w:r>
      <w:r>
        <w:rPr>
          <w:rStyle w:val="FootnoteAnchor"/>
          <w:rtl w:val="true"/>
        </w:rPr>
        <w:footnoteReference w:id="186"/>
      </w:r>
      <w:r>
        <w:rPr>
          <w:rFonts w:ascii="IRNazanin" w:hAnsi="IRNazanin" w:eastAsia="IRNazanin"/>
          <w:color w:val="111111"/>
          <w:sz w:val="28"/>
          <w:sz w:val="28"/>
          <w:szCs w:val="28"/>
          <w:rtl w:val="true"/>
          <w:lang w:bidi="fa-IR"/>
        </w:rPr>
        <w:t>ولی پس از مدتی این اختلاف عقیده باعث ایجاد کدورت بین آنها شد</w:t>
      </w:r>
      <w:r>
        <w:rPr>
          <w:rStyle w:val="FootnoteAnchor"/>
          <w:rtl w:val="true"/>
        </w:rPr>
        <w:footnoteReference w:id="187"/>
      </w:r>
      <w:r>
        <w:rPr>
          <w:rFonts w:ascii="IRNazanin" w:hAnsi="IRNazanin" w:eastAsia="IRNazanin"/>
          <w:color w:val="111111"/>
          <w:sz w:val="28"/>
          <w:sz w:val="28"/>
          <w:szCs w:val="28"/>
          <w:rtl w:val="true"/>
          <w:lang w:bidi="fa-IR"/>
        </w:rPr>
        <w:t>، و هر چند صاحب مقاتل، مرگ محمدبن ابراهیم را در اثر بیماری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Style w:val="FootnoteAnchor"/>
          <w:rtl w:val="true"/>
        </w:rPr>
        <w:footnoteReference w:id="188"/>
      </w:r>
      <w:r>
        <w:rPr>
          <w:rFonts w:ascii="IRNazanin" w:hAnsi="IRNazanin" w:eastAsia="IRNazanin"/>
          <w:color w:val="111111"/>
          <w:sz w:val="28"/>
          <w:sz w:val="28"/>
          <w:szCs w:val="28"/>
          <w:rtl w:val="true"/>
          <w:lang w:bidi="fa-IR"/>
        </w:rPr>
        <w:t>ولی در برخی منابع، مرگ ناگهانی و زودهنگام محمدبن ابراهیم را در اثر زهری که ابوالسرایا به او داده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مورد علت قتل محمدبن ابراهیم به دست ابوالسرایا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ابوالسرایا دانست که با بودن محمد قدرتی نخواهد داشت، بنابراین او را زهر داد و کشت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چنانکه گفته شده، پس از وفات ابن طباطبا، ابوالسرایا محمدبن محمدبن زید را که در اوان جوانی بود، به عنوان رهبر معنوی قیام انتخاب کرد و در واقع، خود، قدرت را به دست گرفت</w:t>
      </w:r>
      <w:r>
        <w:rPr>
          <w:rStyle w:val="FootnoteAnchor"/>
          <w:rtl w:val="true"/>
        </w:rPr>
        <w:footnoteReference w:id="191"/>
      </w:r>
      <w:r>
        <w:rPr>
          <w:rFonts w:ascii="IRNazanin" w:hAnsi="IRNazanin" w:eastAsia="IRNazanin"/>
          <w:color w:val="111111"/>
          <w:sz w:val="28"/>
          <w:sz w:val="28"/>
          <w:szCs w:val="28"/>
          <w:rtl w:val="true"/>
          <w:lang w:bidi="fa-IR"/>
        </w:rPr>
        <w:t>و لشکریانش را به سوی بصره و واسط و اطراف آن دو، فرستاد</w:t>
      </w:r>
      <w:r>
        <w:rPr>
          <w:rFonts w:eastAsia="IRNazanin" w:cs="IRNazanin"/>
          <w:color w:val="111111"/>
          <w:sz w:val="28"/>
          <w:szCs w:val="28"/>
          <w:rtl w:val="true"/>
          <w:lang w:bidi="fa-IR"/>
        </w:rPr>
        <w:t>.</w:t>
      </w:r>
      <w:r>
        <w:rPr>
          <w:rStyle w:val="FootnoteAnchor"/>
          <w:rtl w:val="true"/>
        </w:rPr>
        <w:footnoteReference w:id="19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حاکمانی که برای شهرهای مختلف انتخاب و فرستاده شدند، اکثراً علوی و از فرزندان امام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برادران امام</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ولی نامی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اما نام حاکمان تعیین شده برای حکومت ایالات مختلف که تعدادی از آنها از برادران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بدین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اسماعیل و زید از فرزندان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ترتیب برای حکومت بر سه ایالت یمن، فارس و اهواز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نواحی بصره، مکه، مدائن به ترتیب سه فرد علوی به نامهای عباس بن محمد، حسین بن حسن و محمدبن سلیمان برای حکومت بر این نواحی انتخاب و فرستاده شدند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حاکمان منصوب به محل حکومت خود رفته و بر حاکمان عباسی فائق آمده و حکومت نواحی مذکور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آوازۀ این فتوحات به مناطق دیگر نیز رسید و مردم شام و جزیره را به نوشتن نامه به محمدبن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معنوی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مبنی بر اینکه منتظر رسول و حاکمی برای اطاعت از ایشان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نتیجۀ این امور، و شکست‌های قبلی که فرمانداران حسن بن سهل از سپاهیان و فرمانداران ابوالسرایا خورده بودند، حسن بن سهل به دنبال راه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این مشکل عظیم، هرثمة بن اعین را به مبارزه با ابوالسرایا فراخواند</w:t>
      </w:r>
      <w:r>
        <w:rPr>
          <w:rFonts w:eastAsia="IRNazanin" w:cs="IRNazanin"/>
          <w:color w:val="111111"/>
          <w:sz w:val="28"/>
          <w:szCs w:val="28"/>
          <w:rtl w:val="true"/>
          <w:lang w:bidi="fa-IR"/>
        </w:rPr>
        <w:t>.</w:t>
      </w:r>
      <w:r>
        <w:rPr>
          <w:rStyle w:val="FootnoteAnchor"/>
          <w:rtl w:val="true"/>
        </w:rPr>
        <w:footnoteReference w:id="19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مبارزة هرثمه و ابوالسرایا به شکست ابوالسرایا انجامید که شاید یکی از دلایل شکست ابوالسرایا در مبارزه با وی این بوده باشد که ابوالسرایا قبلاً در رکاب و سپاه هرثمه مبارزه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و همراه</w:t>
      </w:r>
    </w:p>
    <w:p>
      <w:pPr>
        <w:pStyle w:val="BookText"/>
        <w:rPr/>
      </w:pPr>
      <w:r>
        <w:rPr>
          <w:rFonts w:ascii="IRNazanin" w:hAnsi="IRNazanin" w:eastAsia="IRNazanin"/>
          <w:color w:val="111111"/>
          <w:sz w:val="28"/>
          <w:sz w:val="28"/>
          <w:szCs w:val="28"/>
          <w:rtl w:val="true"/>
          <w:lang w:bidi="fa-IR"/>
        </w:rPr>
        <w:t>وی بوده و در نتیجه هرثمه به فنون و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مبارزاتی ابوالسرایا آشنا بوده است و 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توانسته بر او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مقابلۀ این فرماندۀ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هرثمة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روزی به جای حسن بن سهل، فرماندۀ مقتدر و والی عراق بود، و اینک ضعف و ناتوانی حسن بن سهل عراق را به چنان آشفتگی دچار کرده بود که با بیچارگی و درماندگی دست نیاز به سوی فرماندار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دراز کرده و از او تقاضای کمک نموده بود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با ابوالسرایا، حکومت عباسی را از خطر جدی و عظیم رهانید، و در جنگی طاقت فرسا که بین علویان و عباسیان برپا شده بود، با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تزویرهایی که هرثمه برای طرف مقابل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 سرانجام ابوالسرایا شکست خورد و به همراه محمدبن محمدبن زید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شبانه کوفه را ترک گفته و آوارۀ شهرها شدند، تا اینکه سرانجام توسط فردی به نام حماد کندغوش که فرماندار دهکده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آنها وعدۀ امان داده بود، اسیر گشته و به نزد حسن بن سهل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که در ابتدا تصمیم به کشتن هر دو رهبر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ابوالسرایا و محمدبن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پس از شنیدن نصیحت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یارانش، از کشتن محمد منصرف شد و وی را به نزد مأمون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از سن کم و جوانی محمد، تعجب کرده بود پس از چهل روز او را مسموم کرد</w:t>
      </w:r>
      <w:r>
        <w:rPr>
          <w:rStyle w:val="FootnoteAnchor"/>
          <w:rtl w:val="true"/>
        </w:rPr>
        <w:footnoteReference w:id="196"/>
      </w:r>
      <w:r>
        <w:rPr>
          <w:rFonts w:ascii="IRNazanin" w:hAnsi="IRNazanin" w:eastAsia="IRNazanin"/>
          <w:color w:val="111111"/>
          <w:sz w:val="28"/>
          <w:sz w:val="28"/>
          <w:szCs w:val="28"/>
          <w:rtl w:val="true"/>
          <w:lang w:bidi="fa-IR"/>
        </w:rPr>
        <w:t>و به این ترتیب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قیام علویان در زمان مأمون با کشته شدن دو رهبر اصلی قیام، به پایان رسید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تعامل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ابن طباطبا و موضع و نحوۀ</w:t>
      </w:r>
    </w:p>
    <w:p>
      <w:pPr>
        <w:pStyle w:val="BookText"/>
        <w:rPr/>
      </w:pPr>
      <w:r>
        <w:rPr>
          <w:rFonts w:ascii="IRNazanin" w:hAnsi="IRNazanin" w:eastAsia="IRNazanin"/>
          <w:color w:val="111111"/>
          <w:sz w:val="28"/>
          <w:sz w:val="28"/>
          <w:szCs w:val="28"/>
          <w:rtl w:val="true"/>
          <w:lang w:bidi="fa-IR"/>
        </w:rPr>
        <w:t xml:space="preserve">برخورد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قیام، تنها یک گزارش که ناقل آن محمدبن اثرم است، در منابع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ماجرا را چنین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زمانی که محمدبن سلیمان علوی از سوی ابوالسرایا، حاکم بر مدینه شده بود، خاندانش و دیگر قریشیان، با او بیعت کردند و به او گفتند که اگر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بیعت گرفته شود، و او هم با ما باشد، امر ما 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پیشنهاد، محمدبن سلیمان پیکی را به سوی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ملحق شدن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موکول به گذشت بیست روز دیگر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بیست روز به نزد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هجده روز پس از این تاریخ، سپاهیان جلودی که برای سرکوب این قیام به مدینه فرستاده شده بودند، قیام‌گران مدینه را شکست داده و مجبور به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ناقل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اثرم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همان پیک و فرستادۀ محمدبن سلیمان به سوی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در حال فرار بوده که با صدای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ایشان شده که به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گذشت یا نه؟</w:t>
      </w:r>
      <w:r>
        <w:rPr>
          <w:rFonts w:eastAsia="IRNazanin" w:cs="IRNazanin"/>
          <w:color w:val="111111"/>
          <w:sz w:val="28"/>
          <w:szCs w:val="28"/>
          <w:rtl w:val="true"/>
          <w:lang w:bidi="fa-IR"/>
        </w:rPr>
        <w:t>!</w:t>
      </w:r>
      <w:r>
        <w:rPr>
          <w:rStyle w:val="FootnoteAnchor"/>
          <w:rtl w:val="true"/>
        </w:rPr>
        <w:footnoteReference w:id="19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گزارش در صورت صحّت، حکایت از تیزبینی و پیش بینی یا پیشگویی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نتیجۀ این قیام خام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موضع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گونه قیام‌های زیدیه، همان موضع پدران گرامیشان بود، یعنی اطلاع غیبی و یا تحلیل آنها این بود که این نوع حرکت‌ها و قیام‌ها نافرجام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نتیجه است</w:t>
      </w:r>
      <w:r>
        <w:rPr>
          <w:rFonts w:eastAsia="IRNazanin" w:cs="IRNazanin"/>
          <w:color w:val="111111"/>
          <w:sz w:val="28"/>
          <w:szCs w:val="28"/>
          <w:rtl w:val="true"/>
          <w:lang w:bidi="fa-IR"/>
        </w:rPr>
        <w:t>.</w:t>
      </w:r>
      <w:r>
        <w:rPr>
          <w:rStyle w:val="FootnoteAnchor"/>
          <w:rtl w:val="true"/>
        </w:rPr>
        <w:footnoteReference w:id="198"/>
      </w:r>
      <w:bookmarkStart w:id="84" w:name="pg2633_18071"/>
    </w:p>
    <w:p>
      <w:pPr>
        <w:pStyle w:val="Heading4"/>
        <w:numPr>
          <w:ilvl w:val="3"/>
          <w:numId w:val="1"/>
        </w:numPr>
        <w:rPr/>
      </w:pPr>
      <w:bookmarkStart w:id="85" w:name="__RefHeading___Toc569376_1395250215"/>
      <w:bookmarkStart w:id="86" w:name="_Toc31"/>
      <w:bookmarkEnd w:id="84"/>
      <w:bookmarkEnd w:id="85"/>
      <w:r>
        <w:rPr/>
        <w:t>2</w:t>
      </w:r>
      <w:r>
        <w:rPr>
          <w:rtl w:val="true"/>
        </w:rPr>
        <w:t xml:space="preserve">. </w:t>
      </w:r>
      <w:r>
        <w:rPr>
          <w:rtl w:val="true"/>
        </w:rPr>
        <w:t>قیام محمد دیباج</w:t>
      </w:r>
      <w:bookmarkEnd w:id="86"/>
    </w:p>
    <w:p>
      <w:pPr>
        <w:pStyle w:val="BookText"/>
        <w:rPr/>
      </w:pPr>
      <w:r>
        <w:rPr>
          <w:rFonts w:ascii="IRNazanin" w:hAnsi="IRNazanin" w:eastAsia="IRNazanin"/>
          <w:color w:val="111111"/>
          <w:sz w:val="28"/>
          <w:sz w:val="28"/>
          <w:szCs w:val="28"/>
          <w:rtl w:val="true"/>
          <w:lang w:bidi="fa-IR"/>
        </w:rPr>
        <w:t xml:space="preserve">محمد دیباج فرزند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گفته شده به علت زیبایی و جمال و کمالی که داشته، به دیباج مشهور شده است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وی فردی عابد و فاضل</w:t>
      </w:r>
      <w:r>
        <w:rPr>
          <w:rStyle w:val="FootnoteAnchor"/>
          <w:rtl w:val="true"/>
        </w:rPr>
        <w:footnoteReference w:id="200"/>
      </w:r>
      <w:r>
        <w:rPr>
          <w:rFonts w:ascii="IRNazanin" w:hAnsi="IRNazanin" w:eastAsia="IRNazanin"/>
          <w:color w:val="111111"/>
          <w:sz w:val="28"/>
          <w:sz w:val="28"/>
          <w:szCs w:val="28"/>
          <w:rtl w:val="true"/>
          <w:lang w:bidi="fa-IR"/>
        </w:rPr>
        <w:t>و شجاع</w:t>
      </w:r>
      <w:r>
        <w:rPr>
          <w:rStyle w:val="FootnoteAnchor"/>
          <w:rtl w:val="true"/>
        </w:rPr>
        <w:footnoteReference w:id="201"/>
      </w:r>
      <w:r>
        <w:rPr>
          <w:rFonts w:ascii="IRNazanin" w:hAnsi="IRNazanin" w:eastAsia="IRNazanin"/>
          <w:color w:val="111111"/>
          <w:sz w:val="28"/>
          <w:sz w:val="28"/>
          <w:szCs w:val="28"/>
          <w:rtl w:val="true"/>
          <w:lang w:bidi="fa-IR"/>
        </w:rPr>
        <w:t>و سخی</w:t>
      </w:r>
      <w:r>
        <w:rPr>
          <w:rStyle w:val="FootnoteAnchor"/>
          <w:rtl w:val="true"/>
        </w:rPr>
        <w:footnoteReference w:id="202"/>
      </w:r>
      <w:r>
        <w:rPr>
          <w:rFonts w:ascii="IRNazanin" w:hAnsi="IRNazanin" w:eastAsia="IRNazanin"/>
          <w:color w:val="111111"/>
          <w:sz w:val="28"/>
          <w:sz w:val="28"/>
          <w:szCs w:val="28"/>
          <w:rtl w:val="true"/>
          <w:lang w:bidi="fa-IR"/>
        </w:rPr>
        <w:t>بود که گفته شده که وی در مورد خروج و قیام با شمشیر با زیدیه هم رأی بوده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در مورد قیام محمدبن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او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در مکه قیام کرد، و زیدیۀ جارودیه نیز او را همراهی کرده و به او پیوستند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گفته شده که وی در ابتدا فردی عزلت نشین بود که با سیاست، کاری نداشت، </w:t>
      </w:r>
      <w:r>
        <w:rPr>
          <w:rStyle w:val="FootnoteAnchor"/>
          <w:rtl w:val="true"/>
        </w:rPr>
        <w:footnoteReference w:id="205"/>
      </w:r>
      <w:r>
        <w:rPr>
          <w:rFonts w:ascii="IRNazanin" w:hAnsi="IRNazanin" w:eastAsia="IRNazanin"/>
          <w:color w:val="111111"/>
          <w:sz w:val="28"/>
          <w:sz w:val="28"/>
          <w:szCs w:val="28"/>
          <w:rtl w:val="true"/>
          <w:lang w:bidi="fa-IR"/>
        </w:rPr>
        <w:t>و در علت ورودش به سیاست و شمشیر بستنش، دلایل متفاوتی ذکر شده</w:t>
      </w:r>
      <w:r>
        <w:rPr>
          <w:rStyle w:val="FootnoteAnchor"/>
          <w:rtl w:val="true"/>
        </w:rPr>
        <w:footnoteReference w:id="206"/>
      </w:r>
      <w:r>
        <w:rPr>
          <w:rFonts w:ascii="IRNazanin" w:hAnsi="IRNazanin" w:eastAsia="IRNazanin"/>
          <w:color w:val="111111"/>
          <w:sz w:val="28"/>
          <w:sz w:val="28"/>
          <w:szCs w:val="28"/>
          <w:rtl w:val="true"/>
          <w:lang w:bidi="fa-IR"/>
        </w:rPr>
        <w:t>که در اینجا مجال بحث در مورد آنها 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نقل برخی منابع، او در آغاز قیامش، مردم را به امامت محمدبن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پس از وفات او،</w:t>
      </w:r>
    </w:p>
    <w:p>
      <w:pPr>
        <w:pStyle w:val="BookText"/>
        <w:rPr/>
      </w:pPr>
      <w:r>
        <w:rPr>
          <w:rFonts w:ascii="IRNazanin" w:hAnsi="IRNazanin" w:eastAsia="IRNazanin"/>
          <w:color w:val="111111"/>
          <w:sz w:val="28"/>
          <w:sz w:val="28"/>
          <w:szCs w:val="28"/>
          <w:rtl w:val="true"/>
          <w:lang w:bidi="fa-IR"/>
        </w:rPr>
        <w:t>خود دعوی امامت نمود</w:t>
      </w:r>
      <w:r>
        <w:rPr>
          <w:rStyle w:val="FootnoteAnchor"/>
          <w:rtl w:val="true"/>
        </w:rPr>
        <w:footnoteReference w:id="207"/>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وی به عنوان امیرالمومنین بیعت شد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در مورد مواضع و برخوردهای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قیام عمویش محمدبن جعفر، چند روایت وجود دارد که حاکی از نهی و عدم موافقت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قیام بوده، ولی علی رغم نهی مستقیم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عمویش محمد و نیز نهی غیر مستقیم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یکی از یارانش، محمد به قیام و جنگش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طبق پیش بینی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خورده و یارانش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روایات وارده در این زمینه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هنگامی که محمدبن جعفر در مکه قیام کرد و مردم را به سوی خود دعوت کرد و امیرالمومنین نامیده شد و با او به خلافت بیعت شد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پدر و برادر خود را تکذیب مکن که این امر تمام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علی رغم توصیۀ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جعفر قیام کرد و پس از مدت کوتاهی جلودی او را شکست داده و محمدبن جعفر از او امان خواست و لباس سیاه پوشید و به منبر رفته و خود را خلع کرد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خود را تکذیب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از آن مأمون است و من، در آن حقی ندارم</w:t>
      </w:r>
      <w:r>
        <w:rPr>
          <w:rFonts w:eastAsia="IRNazanin" w:cs="IRNazanin"/>
          <w:color w:val="111111"/>
          <w:sz w:val="28"/>
          <w:szCs w:val="28"/>
          <w:rtl w:val="true"/>
          <w:lang w:bidi="fa-IR"/>
        </w:rPr>
        <w:t>.</w:t>
      </w:r>
      <w:r>
        <w:rPr>
          <w:rStyle w:val="FootnoteAnchor"/>
          <w:rtl w:val="true"/>
        </w:rPr>
        <w:footnoteReference w:id="20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وی را از اقدام به این قیام برحذر داشته و ناکامی و تمام نشدن آن را به او گوشزد</w:t>
      </w:r>
    </w:p>
    <w:p>
      <w:pPr>
        <w:pStyle w:val="BookText"/>
        <w:rPr/>
      </w:pPr>
      <w:r>
        <w:rPr>
          <w:rFonts w:ascii="IRNazanin" w:hAnsi="IRNazanin" w:eastAsia="IRNazanin"/>
          <w:color w:val="111111"/>
          <w:sz w:val="28"/>
          <w:sz w:val="28"/>
          <w:szCs w:val="28"/>
          <w:rtl w:val="true"/>
          <w:lang w:bidi="fa-IR"/>
        </w:rPr>
        <w:t xml:space="preserve">نموده، و این رویه را مخالف رویۀ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جنگی که بین محمدبن جعفر و هارون بن مسیّب درگرفت، هارون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میانجی به سوی عمویش محمد فرستاد، ولی محمد این وساطت را نپذیرفت و جنگ را ادامه داد، ولی نتیجۀ جنگ به نفع هارون رقم خورد و محمد به نزد هارون رفته و از وی برای خود و یارانش امان خواست</w:t>
      </w:r>
      <w:r>
        <w:rPr>
          <w:rFonts w:eastAsia="IRNazanin" w:cs="IRNazanin"/>
          <w:color w:val="111111"/>
          <w:sz w:val="28"/>
          <w:szCs w:val="28"/>
          <w:rtl w:val="true"/>
          <w:lang w:bidi="fa-IR"/>
        </w:rPr>
        <w:t>.</w:t>
      </w:r>
      <w:r>
        <w:rPr>
          <w:rStyle w:val="FootnoteAnchor"/>
          <w:rtl w:val="true"/>
        </w:rPr>
        <w:footnoteReference w:id="21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یکی از یاران</w:t>
      </w:r>
      <w:r>
        <w:rPr>
          <w:rStyle w:val="FootnoteAnchor"/>
          <w:rtl w:val="true"/>
        </w:rPr>
        <w:footnoteReference w:id="212"/>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هنگامی که هارون بن مسیّب قصد جنگ و نبرد با محمدبن جعفر را داشت،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که به نزد محمدبن جعفر برود و به او بگوید که فردا قیام نکند زیرا در صورت قیام، شکست خورده و یارانش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این مطلب را به عرض محمد رساند ولی با جواب نامناسب وی مواجه شد، و محمد علی‌رغم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شکست خورد و یارانش کشته شدند</w:t>
      </w:r>
      <w:r>
        <w:rPr>
          <w:rFonts w:eastAsia="IRNazanin" w:cs="IRNazanin"/>
          <w:color w:val="111111"/>
          <w:sz w:val="28"/>
          <w:szCs w:val="28"/>
          <w:rtl w:val="true"/>
          <w:lang w:bidi="fa-IR"/>
        </w:rPr>
        <w:t>.</w:t>
      </w:r>
      <w:r>
        <w:rPr>
          <w:rStyle w:val="FootnoteAnchor"/>
          <w:rtl w:val="true"/>
        </w:rPr>
        <w:footnoteReference w:id="213"/>
      </w:r>
      <w:bookmarkStart w:id="87" w:name="pg2633_18074"/>
    </w:p>
    <w:p>
      <w:pPr>
        <w:pStyle w:val="Heading4"/>
        <w:numPr>
          <w:ilvl w:val="3"/>
          <w:numId w:val="1"/>
        </w:numPr>
        <w:rPr/>
      </w:pPr>
      <w:bookmarkStart w:id="88" w:name="__RefHeading___Toc569378_1395250215"/>
      <w:bookmarkStart w:id="89" w:name="_Toc32"/>
      <w:bookmarkEnd w:id="87"/>
      <w:bookmarkEnd w:id="88"/>
      <w:r>
        <w:rPr/>
        <w:t>3</w:t>
      </w:r>
      <w:r>
        <w:rPr>
          <w:rtl w:val="true"/>
        </w:rPr>
        <w:t xml:space="preserve">. </w:t>
      </w:r>
      <w:r>
        <w:rPr>
          <w:rtl w:val="true"/>
        </w:rPr>
        <w:t>قیام حسین بن حسن افطس</w:t>
      </w:r>
      <w:bookmarkEnd w:id="89"/>
    </w:p>
    <w:p>
      <w:pPr>
        <w:pStyle w:val="BookText"/>
        <w:rPr/>
      </w:pPr>
      <w:r>
        <w:rPr>
          <w:rFonts w:ascii="IRNazanin" w:hAnsi="IRNazanin" w:eastAsia="IRNazanin"/>
          <w:color w:val="111111"/>
          <w:sz w:val="28"/>
          <w:sz w:val="28"/>
          <w:szCs w:val="28"/>
          <w:rtl w:val="true"/>
          <w:lang w:bidi="fa-IR"/>
        </w:rPr>
        <w:t xml:space="preserve">حسین بن حسن که از نوادگان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از جانب ابوالسرایا به عنوان امیرالحاج و حاکم بر مکه انتخاب شد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گرچه وی بدون درگیری و به راحتی وارد شهر مکه شده بود، </w:t>
      </w:r>
      <w:r>
        <w:rPr>
          <w:rStyle w:val="FootnoteAnchor"/>
          <w:rtl w:val="true"/>
        </w:rPr>
        <w:footnoteReference w:id="215"/>
      </w:r>
      <w:r>
        <w:rPr>
          <w:rFonts w:ascii="IRNazanin" w:hAnsi="IRNazanin" w:eastAsia="IRNazanin"/>
          <w:color w:val="111111"/>
          <w:sz w:val="28"/>
          <w:sz w:val="28"/>
          <w:szCs w:val="28"/>
          <w:rtl w:val="true"/>
          <w:lang w:bidi="fa-IR"/>
        </w:rPr>
        <w:t>اما طبق گفتۀ برخی منابع، به خاطر اقدامات ناشایست او و یارانش، مردم از وی رویگردان شده و از رفتارش به ستوه آمدند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نارضایتی مردم و نیز اطلاع وی از خبر قتل ابوالسرایا، باعث شد که او و یارانش به نزد محمدبن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او را که نزد مردم، محترم و آبرودار بود، تحریک به قیام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در ابتدا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با اصرار فرزندش علی و حسین بن حسن افطس، راضی به بیعت شد</w:t>
      </w:r>
      <w:r>
        <w:rPr>
          <w:rStyle w:val="FootnoteAnchor"/>
          <w:rtl w:val="true"/>
        </w:rPr>
        <w:footnoteReference w:id="216"/>
      </w:r>
      <w:r>
        <w:rPr>
          <w:rFonts w:ascii="IRNazanin" w:hAnsi="IRNazanin" w:eastAsia="IRNazanin"/>
          <w:color w:val="111111"/>
          <w:sz w:val="28"/>
          <w:sz w:val="28"/>
          <w:szCs w:val="28"/>
          <w:rtl w:val="true"/>
          <w:lang w:bidi="fa-IR"/>
        </w:rPr>
        <w:t>و بدین ترتیب، حسین به قیام محمد پیوست</w:t>
      </w:r>
      <w:r>
        <w:rPr>
          <w:rFonts w:eastAsia="IRNazanin" w:cs="IRNazanin"/>
          <w:color w:val="111111"/>
          <w:sz w:val="28"/>
          <w:szCs w:val="28"/>
          <w:rtl w:val="true"/>
          <w:lang w:bidi="fa-IR"/>
        </w:rPr>
        <w:t>.</w:t>
      </w:r>
      <w:bookmarkStart w:id="90" w:name="pg2633_18075"/>
    </w:p>
    <w:p>
      <w:pPr>
        <w:pStyle w:val="Heading4"/>
        <w:numPr>
          <w:ilvl w:val="3"/>
          <w:numId w:val="1"/>
        </w:numPr>
        <w:rPr/>
      </w:pPr>
      <w:bookmarkStart w:id="91" w:name="__RefHeading___Toc569380_1395250215"/>
      <w:bookmarkStart w:id="92" w:name="_Toc33"/>
      <w:bookmarkEnd w:id="90"/>
      <w:bookmarkEnd w:id="91"/>
      <w:r>
        <w:rPr/>
        <w:t>4</w:t>
      </w:r>
      <w:r>
        <w:rPr>
          <w:rtl w:val="true"/>
        </w:rPr>
        <w:t xml:space="preserve">. </w:t>
      </w:r>
      <w:r>
        <w:rPr>
          <w:rtl w:val="true"/>
        </w:rPr>
        <w:t>قیام ابراهیم</w:t>
      </w:r>
      <w:bookmarkEnd w:id="92"/>
    </w:p>
    <w:p>
      <w:pPr>
        <w:pStyle w:val="BookText"/>
        <w:rPr/>
      </w:pPr>
      <w:r>
        <w:rPr>
          <w:rStyle w:val="FootnoteAnchor"/>
          <w:rtl w:val="true"/>
        </w:rPr>
        <w:footnoteReference w:id="217"/>
      </w:r>
      <w:r>
        <w:rPr>
          <w:rFonts w:ascii="IRNazanin" w:hAnsi="IRNazanin" w:eastAsia="IRNazanin"/>
          <w:color w:val="111111"/>
          <w:sz w:val="28"/>
          <w:sz w:val="28"/>
          <w:szCs w:val="28"/>
          <w:rtl w:val="true"/>
          <w:lang w:bidi="fa-IR"/>
        </w:rPr>
        <w:t xml:space="preserve">فرزند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نقل برخی منابع، ابراهیم فردی شجاع، سخی و بخشنده بود که در زمان مأمون از طرف محمدبن زید بن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حکومت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ابراهیم به همراه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یارانش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مکه را به قصد یمن ترک گفته و راهی آن سامان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والی یمن از طرف مأمون، اسحاق بن موسی بود که با اطلاع از خبر نزدیک شدن ابراهیم به صنعا، از راه نجدیه از آنجا بیرون رفته و یمن را برای ابراهیم خالی گذاشت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و بدین ترتیب شهر بدون جنگ و درگیری در اختیار ابراهیم قرار گرفت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ازمدتی، حمدویه بن علی بن عیسی بن ماهان از طرف حکومت عباسی برای مقابله با ابراهیم عازم یمن شد و ابراهیم با یارانش، به جنگ با وی پرداخته و نبردهای سختی بین آنها روی داد که سرانجام ابراهیم از یمن به طرف مکه حرکت کرد و در رویارویی بین یزید بن محمد ـ جانشین حمدویه در مکه ـ 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یزید بن محمد شکست خورده و ابراهیم وارد مکه شد و بر آن غلبه یافت؛</w:t>
      </w:r>
      <w:r>
        <w:rPr>
          <w:rStyle w:val="FootnoteAnchor"/>
          <w:rtl w:val="true"/>
        </w:rPr>
        <w:footnoteReference w:id="220"/>
      </w:r>
      <w:r>
        <w:rPr>
          <w:rFonts w:ascii="IRNazanin" w:hAnsi="IRNazanin" w:eastAsia="IRNazanin"/>
          <w:color w:val="111111"/>
          <w:sz w:val="28"/>
          <w:sz w:val="28"/>
          <w:szCs w:val="28"/>
          <w:rtl w:val="true"/>
          <w:lang w:bidi="fa-IR"/>
        </w:rPr>
        <w:t xml:space="preserve">تااینکه پس از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مأمون فرمان بیعت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عیسی جلودی به مکه فرستاد و در این زمان، ابراهیم بن موسی در مکه اقامت داشت و به نام مأمون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با ورود جلودی به مکه، ابراهیم به استقبال وی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حمدویه، حاکم عباسی یمن نافرمان شده بود، پس مأمون فرمان حکومت یمن را برای ابراهیم نوشت و ابراهیم طبق فرمان مأمون راهی یمن شد و در مقابله با پسر حمدویه، توانست وی را شکست دهد و راهی صنعا شود ولی در جنگ سختی که بین سپاه او و حمدویه روی داد، ابراهیم شکست خورده و به طرف مکه فرارکرد</w:t>
      </w:r>
      <w:r>
        <w:rPr>
          <w:rFonts w:eastAsia="IRNazanin" w:cs="IRNazanin"/>
          <w:color w:val="111111"/>
          <w:sz w:val="28"/>
          <w:szCs w:val="28"/>
          <w:rtl w:val="true"/>
          <w:lang w:bidi="fa-IR"/>
        </w:rPr>
        <w:t>.</w:t>
      </w:r>
      <w:r>
        <w:rPr>
          <w:rStyle w:val="FootnoteAnchor"/>
          <w:rtl w:val="true"/>
        </w:rPr>
        <w:footnoteReference w:id="221"/>
      </w:r>
      <w:bookmarkStart w:id="93" w:name="pg2633_18077"/>
    </w:p>
    <w:p>
      <w:pPr>
        <w:pStyle w:val="Heading4"/>
        <w:numPr>
          <w:ilvl w:val="3"/>
          <w:numId w:val="1"/>
        </w:numPr>
        <w:rPr/>
      </w:pPr>
      <w:bookmarkStart w:id="94" w:name="__RefHeading___Toc569382_1395250215"/>
      <w:bookmarkStart w:id="95" w:name="_Toc34"/>
      <w:bookmarkEnd w:id="93"/>
      <w:bookmarkEnd w:id="94"/>
      <w:r>
        <w:rPr/>
        <w:t>5</w:t>
      </w:r>
      <w:r>
        <w:rPr>
          <w:rtl w:val="true"/>
        </w:rPr>
        <w:t xml:space="preserve">. </w:t>
      </w:r>
      <w:r>
        <w:rPr>
          <w:rtl w:val="true"/>
        </w:rPr>
        <w:t xml:space="preserve">قیام زید فرزند امام موسی بن جعفر </w:t>
      </w:r>
      <w:r>
        <w:rPr>
          <w:rtl w:val="true"/>
        </w:rPr>
        <w:t>(</w:t>
      </w:r>
      <w:r>
        <w:rPr>
          <w:rtl w:val="true"/>
        </w:rPr>
        <w:t>علیه السلام</w:t>
      </w:r>
      <w:r>
        <w:rPr>
          <w:rtl w:val="true"/>
        </w:rPr>
        <w:t>)</w:t>
      </w:r>
      <w:bookmarkEnd w:id="9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دیگر برادر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سوی ابوالسرایا به حکمرانی اهواز فرستاده شد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وی به همراه عباس بن محمد جعفری ـ که از طرف ابوالسرایا برای حکومت بر بصره فرستاده شده بود</w:t>
      </w:r>
      <w:r>
        <w:rPr>
          <w:rStyle w:val="FootnoteAnchor"/>
          <w:rtl w:val="true"/>
        </w:rPr>
        <w:footnoteReference w:id="223"/>
      </w:r>
      <w:r>
        <w:rPr>
          <w:rFonts w:ascii="IRNazanin" w:hAnsi="IRNazanin" w:eastAsia="IRNazanin"/>
          <w:color w:val="111111"/>
          <w:sz w:val="28"/>
          <w:sz w:val="28"/>
          <w:szCs w:val="28"/>
          <w:rtl w:val="true"/>
          <w:lang w:bidi="fa-IR"/>
        </w:rPr>
        <w:t>ـ و یکی دیگر از علویان، توانستند با حسن بن علی مأمونی که والی بنی عباس بر بصره بود، پیکار کرده و وی را شکست داده و بصره را به تصرف درآورند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زید در بصره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 عباس را به آتش کشید و به زیدالنار شهرت یافت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جلودی، فرماندة عباسی برای سرکوبی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اموال بسیاری را از مردم غارت کرده بود ـ راهی بصره شد و پس از یک روز نبرد، زید را شکست داده و او را اسیر کرده و به نزد مأمون فرستاد</w:t>
      </w:r>
      <w:r>
        <w:rPr>
          <w:rFonts w:eastAsia="IRNazanin" w:cs="IRNazanin"/>
          <w:color w:val="111111"/>
          <w:sz w:val="28"/>
          <w:szCs w:val="28"/>
          <w:rtl w:val="true"/>
          <w:lang w:bidi="fa-IR"/>
        </w:rPr>
        <w:t>.</w:t>
      </w:r>
      <w:r>
        <w:rPr>
          <w:rStyle w:val="FootnoteAnchor"/>
          <w:rtl w:val="true"/>
        </w:rPr>
        <w:footnoteReference w:id="226"/>
      </w:r>
      <w:bookmarkStart w:id="96" w:name="pg2633_18078"/>
    </w:p>
    <w:p>
      <w:pPr>
        <w:pStyle w:val="Heading3"/>
        <w:numPr>
          <w:ilvl w:val="2"/>
          <w:numId w:val="1"/>
        </w:numPr>
        <w:rPr/>
      </w:pPr>
      <w:bookmarkStart w:id="97" w:name="__RefHeading___Toc569384_1395250215"/>
      <w:bookmarkStart w:id="98" w:name="_Toc35"/>
      <w:bookmarkEnd w:id="96"/>
      <w:bookmarkEnd w:id="97"/>
      <w:r>
        <w:rPr>
          <w:rtl w:val="true"/>
        </w:rPr>
        <w:t xml:space="preserve">- </w:t>
      </w:r>
      <w:r>
        <w:rPr>
          <w:rtl w:val="true"/>
        </w:rPr>
        <w:t xml:space="preserve">تعامل امام رضا </w:t>
      </w:r>
      <w:r>
        <w:rPr>
          <w:rtl w:val="true"/>
        </w:rPr>
        <w:t>(</w:t>
      </w:r>
      <w:r>
        <w:rPr>
          <w:rtl w:val="true"/>
        </w:rPr>
        <w:t>علیه السلام</w:t>
      </w:r>
      <w:r>
        <w:rPr>
          <w:rtl w:val="true"/>
        </w:rPr>
        <w:t xml:space="preserve">) </w:t>
      </w:r>
      <w:r>
        <w:rPr>
          <w:rtl w:val="true"/>
        </w:rPr>
        <w:t>با زیدیه، پس از ولایت عهدی</w:t>
      </w:r>
      <w:r>
        <w:rPr>
          <w:rtl w:val="true"/>
        </w:rPr>
        <w:t>:</w:t>
      </w:r>
      <w:bookmarkEnd w:id="98"/>
    </w:p>
    <w:p>
      <w:pPr>
        <w:pStyle w:val="Heading4"/>
        <w:numPr>
          <w:ilvl w:val="3"/>
          <w:numId w:val="1"/>
        </w:numPr>
        <w:rPr/>
      </w:pPr>
      <w:bookmarkStart w:id="99" w:name="__RefHeading___Toc569386_1395250215"/>
      <w:bookmarkStart w:id="100" w:name="_Toc36"/>
      <w:bookmarkEnd w:id="99"/>
      <w:r>
        <w:rPr>
          <w:rtl w:val="true"/>
        </w:rPr>
        <w:t>اشاره</w:t>
      </w:r>
      <w:bookmarkEnd w:id="10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سه سال از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دوران پس از ولایت عهدی ایشان قرار دارد که برای بررسی آن، به دو مبحث تعامل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قیام زیدالنار و نیز آثار ولایت عهدی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فرقۀ زیدیه پرداخته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bookmarkStart w:id="101" w:name="pg2633_18079"/>
    </w:p>
    <w:p>
      <w:pPr>
        <w:pStyle w:val="Heading4"/>
        <w:numPr>
          <w:ilvl w:val="3"/>
          <w:numId w:val="1"/>
        </w:numPr>
        <w:rPr/>
      </w:pPr>
      <w:bookmarkStart w:id="102" w:name="__RefHeading___Toc569388_1395250215"/>
      <w:bookmarkStart w:id="103" w:name="_Toc37"/>
      <w:bookmarkEnd w:id="101"/>
      <w:bookmarkEnd w:id="102"/>
      <w:r>
        <w:rPr>
          <w:rtl w:val="true"/>
        </w:rPr>
        <w:t>الف</w:t>
      </w:r>
      <w:r>
        <w:rPr>
          <w:rtl w:val="true"/>
        </w:rPr>
        <w:t xml:space="preserve">) </w:t>
      </w:r>
      <w:r>
        <w:rPr>
          <w:rtl w:val="true"/>
        </w:rPr>
        <w:t xml:space="preserve">تعامل امام رضا </w:t>
      </w:r>
      <w:r>
        <w:rPr>
          <w:rtl w:val="true"/>
        </w:rPr>
        <w:t>(</w:t>
      </w:r>
      <w:r>
        <w:rPr>
          <w:rtl w:val="true"/>
        </w:rPr>
        <w:t>علیه السلام</w:t>
      </w:r>
      <w:r>
        <w:rPr>
          <w:rtl w:val="true"/>
        </w:rPr>
        <w:t xml:space="preserve">) </w:t>
      </w:r>
      <w:r>
        <w:rPr>
          <w:rtl w:val="true"/>
        </w:rPr>
        <w:t>با قیام زید النار</w:t>
      </w:r>
      <w:bookmarkEnd w:id="103"/>
    </w:p>
    <w:p>
      <w:pPr>
        <w:pStyle w:val="Heading5"/>
        <w:numPr>
          <w:ilvl w:val="4"/>
          <w:numId w:val="1"/>
        </w:numPr>
        <w:rPr/>
      </w:pPr>
      <w:bookmarkStart w:id="104" w:name="__RefHeading___Toc569390_1395250215"/>
      <w:bookmarkStart w:id="105" w:name="_Toc38"/>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 xml:space="preserve">مواضع و نحوة برخورد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برادرش زید، به زمان پس از ولایت عهدی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قیام ابن طباطبا و ابوالسرایا قبل از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شد، ولی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انشعابات و آثار آن، تا پس از ولایت عهدی نیز ادامه داشت به طوری که پس از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زید را که توسط جلودی دستگیر شده و به نزد مأمون فرستاده شده بود، </w:t>
      </w:r>
      <w:r>
        <w:rPr>
          <w:rStyle w:val="FootnoteAnchor"/>
          <w:rtl w:val="true"/>
        </w:rPr>
        <w:footnoteReference w:id="227"/>
      </w:r>
      <w:r>
        <w:rPr>
          <w:rFonts w:ascii="IRNazanin" w:hAnsi="IRNazanin" w:eastAsia="IRNazanin"/>
          <w:color w:val="111111"/>
          <w:sz w:val="28"/>
          <w:sz w:val="28"/>
          <w:szCs w:val="28"/>
          <w:rtl w:val="true"/>
          <w:lang w:bidi="fa-IR"/>
        </w:rPr>
        <w:t xml:space="preserve">را به دستور مأمون به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ماجرای پس از دستگیری زید و تعامل و نحوة برخورد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قیام، و در واقع دیدگاه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این قیام، از دو زاویۀ گفتگوی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مأمون و گفتگوی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زید قابل بررسی است</w:t>
      </w:r>
      <w:r>
        <w:rPr>
          <w:rFonts w:eastAsia="IRNazanin" w:cs="IRNazanin"/>
          <w:color w:val="111111"/>
          <w:sz w:val="28"/>
          <w:szCs w:val="28"/>
          <w:rtl w:val="true"/>
          <w:lang w:bidi="fa-IR"/>
        </w:rPr>
        <w:t>:</w:t>
      </w:r>
    </w:p>
    <w:p>
      <w:pPr>
        <w:pStyle w:val="Heading5"/>
        <w:numPr>
          <w:ilvl w:val="4"/>
          <w:numId w:val="1"/>
        </w:numPr>
        <w:rPr/>
      </w:pPr>
      <w:bookmarkStart w:id="106" w:name="__RefHeading___Toc569392_1395250215"/>
      <w:bookmarkStart w:id="107" w:name="_Toc39"/>
      <w:bookmarkEnd w:id="106"/>
      <w:r>
        <w:rPr/>
        <w:t>1</w:t>
      </w:r>
      <w:r>
        <w:rPr>
          <w:rtl w:val="true"/>
        </w:rPr>
        <w:t xml:space="preserve">. </w:t>
      </w:r>
      <w:r>
        <w:rPr>
          <w:rtl w:val="true"/>
        </w:rPr>
        <w:t xml:space="preserve">گفتگوی امام </w:t>
      </w:r>
      <w:r>
        <w:rPr>
          <w:rtl w:val="true"/>
        </w:rPr>
        <w:t>(</w:t>
      </w:r>
      <w:r>
        <w:rPr>
          <w:rtl w:val="true"/>
        </w:rPr>
        <w:t>علیه السلام</w:t>
      </w:r>
      <w:r>
        <w:rPr>
          <w:rtl w:val="true"/>
        </w:rPr>
        <w:t xml:space="preserve">) </w:t>
      </w:r>
      <w:r>
        <w:rPr>
          <w:rtl w:val="true"/>
        </w:rPr>
        <w:t>با مأمون</w:t>
      </w:r>
      <w:bookmarkEnd w:id="10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 که زید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اعمال ناشایستش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و با گوشه و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که اگر این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 قیام کرده و این اعمال ناشایست را انجام داده، پیش از او زید بن علی هم قیام کرده و کشته شده است و دلیل کشته نشدن این زید ـ با اینکه عملش کوچک نبوده ـ را مقام و منزلت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پاسخی محکم،</w:t>
      </w:r>
    </w:p>
    <w:p>
      <w:pPr>
        <w:pStyle w:val="BookText"/>
        <w:rPr/>
      </w:pPr>
      <w:r>
        <w:rPr>
          <w:rFonts w:ascii="IRNazanin" w:hAnsi="IRNazanin" w:eastAsia="IRNazanin"/>
          <w:color w:val="111111"/>
          <w:sz w:val="28"/>
          <w:sz w:val="28"/>
          <w:szCs w:val="28"/>
          <w:rtl w:val="true"/>
          <w:lang w:bidi="fa-IR"/>
        </w:rPr>
        <w:t xml:space="preserve">این مقایسة مأمون را رد کرده و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علمای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برای خدا جهاد کرده و در راه خدا نیز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روایتی را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که زید،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اگر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البته به آنچه مردم را به آن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ادعای امامت توسط زید را رد کرده و زید را از مخاطبان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وجاهدوا فی الله حق جهاده هو اجتباکم</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گفتگوی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مأمون، حاوی نکات مهمی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سخنان</w:t>
      </w:r>
      <w:r>
        <w:rPr>
          <w:rStyle w:val="FootnoteAnchor"/>
          <w:rtl w:val="true"/>
        </w:rPr>
        <w:footnoteReference w:id="231"/>
      </w:r>
      <w:r>
        <w:rPr>
          <w:rFonts w:ascii="IRNazanin" w:hAnsi="IRNazanin" w:eastAsia="IRNazanin"/>
          <w:color w:val="111111"/>
          <w:sz w:val="28"/>
          <w:sz w:val="28"/>
          <w:szCs w:val="28"/>
          <w:rtl w:val="true"/>
          <w:lang w:bidi="fa-IR"/>
        </w:rPr>
        <w:t>را در مقابل و در حضور مأمون که مخالف علویان است،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تمجید از زیدبن علی را در مقایسۀ با زیدالنار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زیدبن علی را – که فردی عالم و دانشمند و حلیف قرآن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Style w:val="FootnoteAnchor"/>
          <w:rtl w:val="true"/>
        </w:rPr>
        <w:footnoteReference w:id="232"/>
      </w:r>
      <w:r>
        <w:rPr>
          <w:rFonts w:ascii="IRNazanin" w:hAnsi="IRNazanin" w:eastAsia="IRNazanin"/>
          <w:color w:val="111111"/>
          <w:sz w:val="28"/>
          <w:sz w:val="28"/>
          <w:szCs w:val="28"/>
          <w:rtl w:val="true"/>
          <w:lang w:bidi="fa-IR"/>
        </w:rPr>
        <w:t xml:space="preserve">، را در مقایسه با زیدبن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سواد و تندرو و پر مدّعا بوده</w:t>
      </w:r>
      <w:r>
        <w:rPr>
          <w:rStyle w:val="FootnoteAnchor"/>
          <w:rtl w:val="true"/>
        </w:rPr>
        <w:footnoteReference w:id="233"/>
      </w:r>
      <w:r>
        <w:rPr>
          <w:rFonts w:ascii="IRNazanin" w:hAnsi="IRNazanin" w:eastAsia="IRNazanin"/>
          <w:color w:val="111111"/>
          <w:sz w:val="28"/>
          <w:sz w:val="28"/>
          <w:szCs w:val="28"/>
          <w:rtl w:val="true"/>
          <w:lang w:bidi="fa-IR"/>
        </w:rPr>
        <w:t xml:space="preserve">و آن اعمال ناشایست را در ضمن قیامش انجام داده بود – از علمای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او را مورد تمجید قرار داده و مقایسۀ مأمون</w:t>
      </w:r>
    </w:p>
    <w:p>
      <w:pPr>
        <w:pStyle w:val="BookText"/>
        <w:rPr/>
      </w:pPr>
      <w:r>
        <w:rPr>
          <w:rFonts w:ascii="IRNazanin" w:hAnsi="IRNazanin" w:eastAsia="IRNazanin"/>
          <w:color w:val="111111"/>
          <w:sz w:val="28"/>
          <w:sz w:val="28"/>
          <w:szCs w:val="28"/>
          <w:rtl w:val="true"/>
          <w:lang w:bidi="fa-IR"/>
        </w:rPr>
        <w:t>را اشتباه خوانده و آن را رد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تمجید قرار داده، ولی امامت و ادعای امامت را از او نفی کرده است و قیامش را جهادی در راه خدا خوانده که هدفش رضای خداوند متعال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سخنان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ابطالی بزرگ بر فرقة زیدیه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زید به امامت خود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او را جهاد در راه خدا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گفته شد، برخی شرایط امامت از نظر زیدیه، دعوی امامت و قیام به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با توجه به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زید قیامی برای دعوت به خود و امامت خودش نبوده، چه اینکه بخواهد قیام به سیف، اصل و مبنای امامت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که زید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اگر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آنچه که مردم را به آن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روایتی قابل تأمل است و خود دارای نکاتی است از جمله اینکه، در اینجا آمده که زید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یعنی منتخبی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و نه دقیقاً و مشخصاً شخص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شده که مراد از</w:t>
      </w:r>
      <w:bookmarkStart w:id="108" w:name="pg2633_18082"/>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مردم یا بزرگان هاشمی و علوی و یا بزرگان بلاد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اجتماع نموده و به او راضی شوند؛ هر فردی که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معین و مشخصی مراد نبوده 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نکتۀ فوق الذکّر، به علاوۀ توجه به این مطلب که مسلّماً اگر زیدبن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بهتر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بود؛ چرا که او به کتاب خدا و سنت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ما را به عمق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Heading5"/>
        <w:numPr>
          <w:ilvl w:val="4"/>
          <w:numId w:val="1"/>
        </w:numPr>
        <w:rPr/>
      </w:pPr>
      <w:bookmarkStart w:id="109" w:name="__RefHeading___Toc569394_1395250215"/>
      <w:bookmarkStart w:id="110" w:name="_Toc40"/>
      <w:bookmarkEnd w:id="109"/>
      <w:r>
        <w:rPr/>
        <w:t>2</w:t>
      </w:r>
      <w:r>
        <w:rPr>
          <w:rtl w:val="true"/>
        </w:rPr>
        <w:t xml:space="preserve">. </w:t>
      </w:r>
      <w:r>
        <w:rPr>
          <w:rtl w:val="true"/>
        </w:rPr>
        <w:t xml:space="preserve">گفتگوی امام </w:t>
      </w:r>
      <w:r>
        <w:rPr>
          <w:rtl w:val="true"/>
        </w:rPr>
        <w:t>(</w:t>
      </w:r>
      <w:r>
        <w:rPr>
          <w:rtl w:val="true"/>
        </w:rPr>
        <w:t>علیه السلام</w:t>
      </w:r>
      <w:r>
        <w:rPr>
          <w:rtl w:val="true"/>
        </w:rPr>
        <w:t xml:space="preserve">) </w:t>
      </w:r>
      <w:r>
        <w:rPr>
          <w:rtl w:val="true"/>
        </w:rPr>
        <w:t>با زید</w:t>
      </w:r>
      <w:bookmarkEnd w:id="11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 و رفتار و افکار برادرش زید را به شدت مورد نکوهش و انتقاد قرار داده</w:t>
      </w:r>
      <w:r>
        <w:rPr>
          <w:rStyle w:val="FootnoteAnchor"/>
          <w:rtl w:val="true"/>
        </w:rPr>
        <w:footnoteReference w:id="237"/>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اگر گفتار برخی کوفیان، مبنی بر اینکه خداوند آتش جهنم را بر فرزندان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نموده است، او را مغرور ساخته، باید بداند که این شأن، فقط مخصوص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38"/>
      </w:r>
      <w:r>
        <w:rPr>
          <w:rFonts w:ascii="IRNazanin" w:hAnsi="IRNazanin" w:eastAsia="IRNazanin"/>
          <w:color w:val="111111"/>
          <w:sz w:val="28"/>
          <w:sz w:val="28"/>
          <w:szCs w:val="28"/>
          <w:rtl w:val="true"/>
          <w:lang w:bidi="fa-IR"/>
        </w:rPr>
        <w:t>و شامل حال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یادآوری عبادات بسیار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شرط رسیدن به پاداش نیکویی که در نزد خداست، همانا اطاعت از خداوند است و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که با معصیتش به اجر و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سخت در اشتباه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این هنگام، زید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تو و پسر پدر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وقتی برادر من هستی که خدا را اطاعت نمایی، </w:t>
      </w:r>
      <w:r>
        <w:rPr>
          <w:rStyle w:val="FootnoteAnchor"/>
          <w:rtl w:val="true"/>
        </w:rPr>
        <w:footnoteReference w:id="242"/>
      </w:r>
      <w:r>
        <w:rPr>
          <w:rFonts w:ascii="IRNazanin" w:hAnsi="IRNazanin" w:eastAsia="IRNazanin"/>
          <w:color w:val="111111"/>
          <w:sz w:val="28"/>
          <w:sz w:val="28"/>
          <w:szCs w:val="28"/>
          <w:rtl w:val="true"/>
          <w:lang w:bidi="fa-IR"/>
        </w:rPr>
        <w:t>و اگر خدا را نافرمانی کنی، بین من و تو برادری نیست</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آیة شریفه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استناد نمود که در آن، خداوند متعال پسر نوح را به خاطر معصیت و عمل ناشایستش، از اهل نوح خارج ساخت</w:t>
      </w:r>
      <w:r>
        <w:rPr>
          <w:rFonts w:eastAsia="IRNazanin" w:cs="IRNazanin"/>
          <w:color w:val="111111"/>
          <w:sz w:val="28"/>
          <w:szCs w:val="28"/>
          <w:rtl w:val="true"/>
          <w:lang w:bidi="fa-IR"/>
        </w:rPr>
        <w:t>.</w:t>
      </w:r>
      <w:r>
        <w:rPr>
          <w:rStyle w:val="FootnoteAnchor"/>
          <w:rtl w:val="true"/>
        </w:rPr>
        <w:footnoteReference w:id="24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غلط زید را رد نموده و افکار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صحیح را جایگزین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شرط برادری زید را با خود، اطاعت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bookmarkStart w:id="111" w:name="pg2633_18084"/>
    </w:p>
    <w:p>
      <w:pPr>
        <w:pStyle w:val="Heading4"/>
        <w:numPr>
          <w:ilvl w:val="3"/>
          <w:numId w:val="1"/>
        </w:numPr>
        <w:rPr/>
      </w:pPr>
      <w:bookmarkStart w:id="112" w:name="__RefHeading___Toc569396_1395250215"/>
      <w:bookmarkStart w:id="113" w:name="_Toc41"/>
      <w:bookmarkEnd w:id="111"/>
      <w:bookmarkEnd w:id="112"/>
      <w:r>
        <w:rPr>
          <w:rtl w:val="true"/>
        </w:rPr>
        <w:t>ب</w:t>
      </w:r>
      <w:r>
        <w:rPr>
          <w:rtl w:val="true"/>
        </w:rPr>
        <w:t xml:space="preserve">) </w:t>
      </w:r>
      <w:r>
        <w:rPr>
          <w:rtl w:val="true"/>
        </w:rPr>
        <w:t xml:space="preserve">آثار ولایت عهدی امام رضا </w:t>
      </w:r>
      <w:r>
        <w:rPr>
          <w:rtl w:val="true"/>
        </w:rPr>
        <w:t>(</w:t>
      </w:r>
      <w:r>
        <w:rPr>
          <w:rtl w:val="true"/>
        </w:rPr>
        <w:t>علیه السلام</w:t>
      </w:r>
      <w:r>
        <w:rPr>
          <w:rtl w:val="true"/>
        </w:rPr>
        <w:t xml:space="preserve">) </w:t>
      </w:r>
      <w:r>
        <w:rPr>
          <w:rtl w:val="true"/>
        </w:rPr>
        <w:t>بر فرقۀ زیدیه</w:t>
      </w:r>
      <w:bookmarkEnd w:id="113"/>
    </w:p>
    <w:p>
      <w:pPr>
        <w:pStyle w:val="BookText"/>
        <w:rPr/>
      </w:pPr>
      <w:r>
        <w:rPr>
          <w:rFonts w:ascii="IRNazanin" w:hAnsi="IRNazanin" w:eastAsia="IRNazanin"/>
          <w:color w:val="111111"/>
          <w:sz w:val="28"/>
          <w:sz w:val="28"/>
          <w:szCs w:val="28"/>
          <w:rtl w:val="true"/>
          <w:lang w:bidi="fa-IR"/>
        </w:rPr>
        <w:t xml:space="preserve">تأثیر مهم و کلّی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زیدیان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خاموش شدن قیام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در آن زمان دانست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زیدیان که یکی از علت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اصلی قیام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واگذاری حکومت به یکی از اولاد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وقتی دیدند که ولایت عهدی به یکی از علویان فاطمی یعنی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دیگر دلیلی برای قیام نداشتند و شاید با توجه به مشکلات و درگیری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مأمون با عباسیان و نیز واگذاری ولایت عهدی به یکی از علویان،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خلافت از عباسیان به علویان منتقل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نه تنها دست از قیام کشیده بلکه به یاری حکومت مأمون نیز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این مورد، وقتی به عباس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 موسی دستور داده شد که ابتدا برای مأمون و سپس برای برادرش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دعوت نماید، او طبق دستور عمل کرد ولی با نارضایتی و عدم موافقت عدۀ زیادی از شیعیان روبرو شد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که البته شاید بتوان این گونه افراد – منظور، عباس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موسی 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جمله افرادی دانست که بنا به گفتۀ برخی منابع، به خاطر جاه و مقام و رسیدن به اهداف دنیوی، اطراف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طور کلّی، مسألۀ ولایت عهدی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شد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گروهی از زیدیان، حداقل در زمان ولایت عهدی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ایشان رو آورده و مطیع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و از آثار این ولایت عهدی بر بسیاری از زیدیان جدید، این است که آنان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ائمۀ خود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نام ایشان را در فهرست اسامی امامان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آورند و استدلالشان برای این پذیرش امامت ایشان، ورود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عرصۀ سیاست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نظر آنان،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ولایت عهدی و ورود به عرصۀ سیاست، شرط آنان برای امامت را دارا بوده؛ زیرا قیام به سیف را اعم از شمشیر کشیدن ظاهری دانسته و ورود به عرصۀ سیاست را، نوعی از قیام به سیف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Style w:val="FootnoteAnchor"/>
          <w:rtl w:val="true"/>
        </w:rPr>
        <w:footnoteReference w:id="249"/>
      </w:r>
      <w:bookmarkStart w:id="114" w:name="pg2633_1808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5" w:name="__RefHeading___Toc569398_1395250215"/>
      <w:bookmarkStart w:id="116" w:name="_Toc42"/>
      <w:bookmarkEnd w:id="114"/>
      <w:bookmarkEnd w:id="115"/>
      <w:r>
        <w:rPr>
          <w:rtl w:val="true"/>
        </w:rPr>
        <w:t xml:space="preserve">تعامل امام رضا </w:t>
      </w:r>
      <w:r>
        <w:rPr>
          <w:rtl w:val="true"/>
        </w:rPr>
        <w:t>(</w:t>
      </w:r>
      <w:r>
        <w:rPr>
          <w:rtl w:val="true"/>
        </w:rPr>
        <w:t>علیه السلام</w:t>
      </w:r>
      <w:r>
        <w:rPr>
          <w:rtl w:val="true"/>
        </w:rPr>
        <w:t xml:space="preserve">) </w:t>
      </w:r>
      <w:r>
        <w:rPr>
          <w:rtl w:val="true"/>
        </w:rPr>
        <w:t>با فرقة اسماعیلیه</w:t>
      </w:r>
      <w:bookmarkEnd w:id="116"/>
    </w:p>
    <w:p>
      <w:pPr>
        <w:pStyle w:val="BookText"/>
        <w:rPr/>
      </w:pPr>
      <w:r>
        <w:rPr>
          <w:rFonts w:ascii="IRNazanin" w:hAnsi="IRNazanin" w:eastAsia="IRNazanin"/>
          <w:color w:val="111111"/>
          <w:sz w:val="28"/>
          <w:sz w:val="28"/>
          <w:szCs w:val="28"/>
          <w:rtl w:val="true"/>
          <w:lang w:bidi="fa-IR"/>
        </w:rPr>
        <w:t xml:space="preserve">پس از رحلت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انشعابات زیادی در بین شیعیان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معتقد به امامت اسماعیل فرزند ارشد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بنا به نقل مشهور در زمان حیات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بود –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 خالصه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گروهی معتقد به امامت عبدالله افطح – برادر تنی اسماعیل و نیز بزرگ‌ترین فرزند بر جای ماندۀ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شدند و گروهی نیز به امامت محمد بن جعفر، فرزند دیگر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عده‌ای به امامت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 که پس از مرگ افطح، این عده افزایش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مسألة مهم در این بحث، گروندگان به امامت محمد بن اسماعیل هستند که مرگ اسماعیل را پذیرفته و به امامت محمد، فرزند او معتقد بودند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گفته شده محمد بن اسماعیل که حدود هشت سال بزرگ‌تر از عمویش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251"/>
      </w:r>
      <w:r>
        <w:rPr>
          <w:rFonts w:ascii="IRNazanin" w:hAnsi="IRNazanin" w:eastAsia="IRNazanin"/>
          <w:color w:val="111111"/>
          <w:sz w:val="28"/>
          <w:sz w:val="28"/>
          <w:szCs w:val="28"/>
          <w:rtl w:val="true"/>
          <w:lang w:bidi="fa-IR"/>
        </w:rPr>
        <w:t xml:space="preserve">، احتمالاً پس از گرویدن عدة زیادی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را ترک گفت و به سوی مشرق رفت و اختفا گزید و از این رو، لقب مکتوم گرفت؛ و درنتیجه، هم ارتباط نزدیک خود با مبارکیه که در کوفه متمرکز بودند را حفظ کرد و هم از تعقیبِ عباسیان در امان ماند که بنا بر عقیدة اسماعیلیان بعدی، این هجرت، آغازگرِ دورة ستر در نهضت اسماعیلیه قدیم است که با روی کار آمدن و استقرار خلافت فاطمیان به پایان رسید</w:t>
      </w:r>
      <w:r>
        <w:rPr>
          <w:rFonts w:eastAsia="IRNazanin" w:cs="IRNazanin"/>
          <w:color w:val="111111"/>
          <w:sz w:val="28"/>
          <w:szCs w:val="28"/>
          <w:rtl w:val="true"/>
          <w:lang w:bidi="fa-IR"/>
        </w:rPr>
        <w:t>.</w:t>
      </w:r>
      <w:r>
        <w:rPr>
          <w:rStyle w:val="FootnoteAnchor"/>
          <w:rtl w:val="true"/>
        </w:rPr>
        <w:footnoteReference w:id="25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دورة ستر اسماعیلیه که طبیعتاً در این دوره، آموزه‌ها و فعالیت‌های آنان به صورت زیرزمینی و مخفیانه صورت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می‌گرفته، تعاملی بین این فرقه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پیروانش گزارش نشده، و به عبارت دقیق‌تر چنین گزارشی مشاهده نشد؛ و یا حداقل، تعامل آشکاری که اسماعیلیان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پیروانش داشته باشند، نبوده است؛ مگر این که بپذیریم که آنها در قالب فرق دیگر، به خصوص خطابیان،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برخورد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برخی منابع، اسماعیلیان را با خطابیان، یکی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53"/>
      </w:r>
      <w:bookmarkStart w:id="117" w:name="pg2633_1809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8" w:name="__RefHeading___Toc569400_1395250215"/>
      <w:bookmarkStart w:id="119" w:name="_Toc43"/>
      <w:bookmarkEnd w:id="117"/>
      <w:bookmarkEnd w:id="118"/>
      <w:r>
        <w:rPr>
          <w:rtl w:val="true"/>
        </w:rPr>
        <w:t xml:space="preserve">تعامل امام رضا </w:t>
      </w:r>
      <w:r>
        <w:rPr>
          <w:rtl w:val="true"/>
        </w:rPr>
        <w:t>(</w:t>
      </w:r>
      <w:r>
        <w:rPr>
          <w:rtl w:val="true"/>
        </w:rPr>
        <w:t>علیه السلام</w:t>
      </w:r>
      <w:r>
        <w:rPr>
          <w:rtl w:val="true"/>
        </w:rPr>
        <w:t xml:space="preserve">) </w:t>
      </w:r>
      <w:r>
        <w:rPr>
          <w:rtl w:val="true"/>
        </w:rPr>
        <w:t>با فرقه فطحیه</w:t>
      </w:r>
      <w:bookmarkEnd w:id="119"/>
    </w:p>
    <w:p>
      <w:pPr>
        <w:pStyle w:val="BookText"/>
        <w:rPr/>
      </w:pPr>
      <w:r>
        <w:rPr>
          <w:rFonts w:ascii="IRNazanin" w:hAnsi="IRNazanin" w:eastAsia="IRNazanin"/>
          <w:color w:val="111111"/>
          <w:sz w:val="28"/>
          <w:sz w:val="28"/>
          <w:szCs w:val="28"/>
          <w:rtl w:val="true"/>
          <w:lang w:bidi="fa-IR"/>
        </w:rPr>
        <w:t xml:space="preserve">پیشتر در مورد فطحیه توضیحاتی داده شد، از جمله این که فطحیان کسانی بودند که پس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قائل به امامت بزرگ‌ترین فرزند بازماندة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عبدالله افطح شده و او را امام خود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که در ابتدای رحلت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اکثریت را تشکیل می‌دادند، پس از چندی بنا به دلایلی در اعتقاد خود به امامت عبدالله، تجدید نظر کرده و به گروه‌هایی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کهن، مطلبی دالّ بر درگیری و یا برخورد تند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فطحیان یافت نشد، و حتی برخی منابع، از نوعی تعامل و معاشرت مثبت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این زمینه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گزارشی آمده که شخصی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تا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عبدالله بن جعفر سؤال کند، امّا قبل از آن که آن شخص سؤالش را بپرسد،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آدم، به درستی که عبدالله امام نبود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چنان که ملاحظه می‌شود، روایت فوق حاکی از رد امامت عبدالله افطح توسط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واقع نوعی هدایت و ارشاد می‌باشد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 در زمینة تعامل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فطحیان، خبر از کفن کردن یونس بن یعقوب که به قولی فطحی بوده است، توسط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از آن طرف، روایاتی مبنی بر رجوع و برگشت برخی فطحیان از مذهب خود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گفته شده که یونس بن یعقوب که فطحی بوده، توبه کرده و به امامت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گشته است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همچنین گفته شده که حسن بن علی بن فضال که فطحی بوده، در اواخر عمرش از عبدالله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کرده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روایاتی نیز وجود دارد که بیان می‌کند که فطحیان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روایت می‌کرده‌اند، مثلاً گفته شده که علی بن اسباط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می‌کرده است و در همین خبر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 الناس و أصدقهم لهجة</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اطمینان‌ترین مردم و راستگوترین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25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علل عدم درگیری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داشتن تعامل مثبت با فطحیان، به نظر می‌رسد از آنجا که بیشترین درگیری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فرقة نوبنیان واقفیه بوده، چنان که در فصل بعد خواهد آمد، این فرقه در زمان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شهادت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و علاوه بر انکار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مبارزاتی گسترده علیه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پرداخته و به خطری جدی برای جامعة شیعی تبدیل شدند، به طوری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طرد و حذف آنان و رفع اثرات سوء اقداماتشان به فعالیت‌های جدّی و گسترده‌ای دست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شرایط و همچنین با توجّه به شرایط کلّی جامعة آن روز که شمّه‌ای از آن قبلاً ذکر شد، و نیز با توجه به حضور فرق دیگر شیعی و نیز ویژگی‌های کلّی فطحیانِ زمانِ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علاوه بر این که اکثر آنان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داشتند، معمولاً از فقهای بزرگ و راویان ثقه بودند، شاید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را در مدارا و برخورد دوستانه با فطحیان می‌دید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شایان توجّه است که هرچند فرقة فطحیه به امامیه نزدیک‌تر، و کم‌خطرتر از واقفیه ذکر شده است</w:t>
      </w:r>
      <w:r>
        <w:rPr>
          <w:rStyle w:val="FootnoteAnchor"/>
          <w:rtl w:val="true"/>
        </w:rPr>
        <w:footnoteReference w:id="261"/>
      </w:r>
      <w:r>
        <w:rPr>
          <w:rFonts w:ascii="IRNazanin" w:hAnsi="IRNazanin" w:eastAsia="IRNazanin"/>
          <w:color w:val="111111"/>
          <w:sz w:val="28"/>
          <w:sz w:val="28"/>
          <w:szCs w:val="28"/>
          <w:rtl w:val="true"/>
          <w:lang w:bidi="fa-IR"/>
        </w:rPr>
        <w:t>، امّا این به معنای بی‌ضرری آنها برای جامعة شیعی نبوده است؛ چنان که در تاریخ حضور ائمة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انحراف شیعیان از مسیر اصلی خود، به دلیل و یا تحت تأثیر گفتار و عقاید فرقة فطحیه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پس از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پیروانش در مورد جانشین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اختلاف شده بودند، گروهی قائل به امامت برادر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احمد بن موسی شدند، با این توجیه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را جانشین خود قرار داده است و بدین ترتیب امامت دو برادر را جایز دانسته و به گفتاری مانند گفته‌های فطحیه پرداختند</w:t>
      </w:r>
      <w:r>
        <w:rPr>
          <w:rFonts w:eastAsia="IRNazanin" w:cs="IRNazanin"/>
          <w:color w:val="111111"/>
          <w:sz w:val="28"/>
          <w:szCs w:val="28"/>
          <w:rtl w:val="true"/>
          <w:lang w:bidi="fa-IR"/>
        </w:rPr>
        <w:t>.</w:t>
      </w:r>
      <w:r>
        <w:rPr>
          <w:rStyle w:val="FootnoteAnchor"/>
          <w:rtl w:val="true"/>
        </w:rPr>
        <w:footnoteReference w:id="26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دیگربار، این اتفاق پس از شهادت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در اختلافی که پیروانش در مورد جانشین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کرده بودند، عده‌ای برادر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جعفر را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 او دانسته و در این راستا مشکلاتی را برای جامعة شیعی به وجود آوردند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قابل ذکر است که برخی از آنان با عنوان نوفطحیه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الفطحیة الثانیة</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bookmarkStart w:id="120" w:name="pg2633_18097"/>
    </w:p>
    <w:p>
      <w:pPr>
        <w:pStyle w:val="Heading2"/>
        <w:numPr>
          <w:ilvl w:val="1"/>
          <w:numId w:val="1"/>
        </w:numPr>
        <w:rPr/>
      </w:pPr>
      <w:bookmarkStart w:id="121" w:name="__RefHeading___Toc569402_1395250215"/>
      <w:bookmarkStart w:id="122" w:name="_Toc44"/>
      <w:bookmarkEnd w:id="120"/>
      <w:bookmarkEnd w:id="121"/>
      <w:r>
        <w:rPr>
          <w:rtl w:val="true"/>
        </w:rPr>
        <w:t xml:space="preserve">تعامل امام رضا </w:t>
      </w:r>
      <w:r>
        <w:rPr>
          <w:rtl w:val="true"/>
        </w:rPr>
        <w:t>(</w:t>
      </w:r>
      <w:r>
        <w:rPr>
          <w:rtl w:val="true"/>
        </w:rPr>
        <w:t>علیه السلام</w:t>
      </w:r>
      <w:r>
        <w:rPr>
          <w:rtl w:val="true"/>
        </w:rPr>
        <w:t xml:space="preserve">) </w:t>
      </w:r>
      <w:r>
        <w:rPr>
          <w:rtl w:val="true"/>
        </w:rPr>
        <w:t>با فرقة واقفیه</w:t>
      </w:r>
      <w:bookmarkEnd w:id="12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569404_1395250215"/>
      <w:bookmarkStart w:id="124" w:name="_Toc45"/>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واقفه یا واقفیه در اصطلاح عام به تمام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 امامی از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قبل از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کرده و او را آخرین امام دانسته و امامت امامان بعدی را نپذیرفتند و امّا این واژه در معنای خاص خود، به گروهی گفته می‌شود که بر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کرده و او را آخرین امام دانسته و امامت امامان بعدی شیعه را نپذیرفتند و خود به گروه‌هایی تقسیم شدند که این گروه‌ها، گرچه در کیفیت وفات و حیات و غیبت و رجعت او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اختلاف داشتند، ولی همگی بر این عقیده بودند که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مهدی موعود بوده و پس از او، امام دیگری وجود ندارد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فرقه که پس از شهادت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وجود آمد، ویژگی‌های خاص و منحصر به فردی داشت که همین ویژگی‌ها هم باعث رواج سریع و دوام بیشتر آن، نسبت به دیگر فرقه‌های واقفیه در زمان دیگر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نیز همین ویژگی‌ها باعث برخورد و مبارزة سخت‌تر و جدی‌تر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فداکارش با این فرقه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پس از بررسی این ویژگی‌های خاص، به رابطه و تعامل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فرقه پرداخته می‌شود</w:t>
      </w:r>
      <w:r>
        <w:rPr>
          <w:rFonts w:eastAsia="IRNazanin" w:cs="IRNazanin"/>
          <w:color w:val="111111"/>
          <w:sz w:val="28"/>
          <w:szCs w:val="28"/>
          <w:rtl w:val="true"/>
          <w:lang w:bidi="fa-IR"/>
        </w:rPr>
        <w:t>.</w:t>
      </w:r>
      <w:bookmarkStart w:id="125" w:name="pg2633_18099"/>
    </w:p>
    <w:p>
      <w:pPr>
        <w:pStyle w:val="Heading3"/>
        <w:numPr>
          <w:ilvl w:val="2"/>
          <w:numId w:val="1"/>
        </w:numPr>
        <w:rPr/>
      </w:pPr>
      <w:bookmarkStart w:id="126" w:name="__RefHeading___Toc569406_1395250215"/>
      <w:bookmarkStart w:id="127" w:name="_Toc46"/>
      <w:bookmarkEnd w:id="125"/>
      <w:bookmarkEnd w:id="126"/>
      <w:r>
        <w:rPr>
          <w:rtl w:val="true"/>
        </w:rPr>
        <w:t xml:space="preserve">- </w:t>
      </w:r>
      <w:r>
        <w:rPr>
          <w:rtl w:val="true"/>
        </w:rPr>
        <w:t>ویژگی‌ها</w:t>
      </w:r>
      <w:r>
        <w:rPr>
          <w:rtl w:val="true"/>
        </w:rPr>
        <w:t>:</w:t>
      </w:r>
      <w:bookmarkEnd w:id="127"/>
    </w:p>
    <w:p>
      <w:pPr>
        <w:pStyle w:val="BookText"/>
        <w:rPr/>
      </w:pPr>
      <w:r>
        <w:rPr>
          <w:rFonts w:ascii="IRNazanin" w:hAnsi="IRNazanin" w:eastAsia="IRNazanin"/>
          <w:color w:val="111111"/>
          <w:sz w:val="28"/>
          <w:sz w:val="28"/>
          <w:szCs w:val="28"/>
          <w:rtl w:val="true"/>
          <w:lang w:bidi="fa-IR"/>
        </w:rPr>
        <w:t>فرقة واقفیه دارای خصوصیات و ویژگی‌هایی بود که بررسی و توجه به آن‌ها، بیانگر علل رشد سریع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ویژگیِ فرقة واقفیه، رهبران آن بودند که همین مورد نیز سهم بسزایی در گسترش و رشد سریع این فرقه در بین عامّة مردم و حتی در بین خواصّ شیعه داشت و افراد بسیاری را به خود جذب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این فرقه، از جایگاه علمی و اجتماعی و روایی بالایی در بین مردم برخوردار بودند</w:t>
      </w:r>
      <w:r>
        <w:rPr>
          <w:rStyle w:val="FootnoteAnchor"/>
          <w:rtl w:val="true"/>
        </w:rPr>
        <w:footnoteReference w:id="265"/>
      </w:r>
      <w:r>
        <w:rPr>
          <w:rFonts w:ascii="IRNazanin" w:hAnsi="IRNazanin" w:eastAsia="IRNazanin"/>
          <w:color w:val="111111"/>
          <w:sz w:val="28"/>
          <w:sz w:val="28"/>
          <w:szCs w:val="28"/>
          <w:rtl w:val="true"/>
          <w:lang w:bidi="fa-IR"/>
        </w:rPr>
        <w:t>، به طوری که رهبران این گروه و تعداد زیادی از کسانی که به آنان پیوستند، از فقهای بزرگ شیعه محسوب می‌شدند و جایگاه والایی در نزد شیعیان داشتند که این موضوع، تعداد زیادی از شیعیان را به آنان ملحق می‌کرد و یا حداقل در حالت شک و حیرت قرار می‌داد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جایگاه علمی برخی از واقفیان، به گونه‌ای بود که برای معرفی آنان واژه‌های فقیه، ثقه و مشهور به کار رفته است، مثلاً نجاشی در مورد عبدالله بن جبلة بن حیان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عبدالله واقفا، و کان فقیها ثقة مشهورا</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رهبران فرقة واقفه، از سران سازمان وکالت بوده و وکلای بزرگی بودند، و از آنجا که انتخاب وکلا از سوی ائمة 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شرایط خاصی بوده و افراد واجد شرایط خاصی، برای این امر خطیر برگزیده می‌شدند</w:t>
      </w:r>
      <w:r>
        <w:rPr>
          <w:rStyle w:val="FootnoteAnchor"/>
          <w:rtl w:val="true"/>
        </w:rPr>
        <w:footnoteReference w:id="268"/>
      </w:r>
      <w:r>
        <w:rPr>
          <w:rFonts w:ascii="IRNazanin" w:hAnsi="IRNazanin" w:eastAsia="IRNazanin"/>
          <w:color w:val="111111"/>
          <w:sz w:val="28"/>
          <w:sz w:val="28"/>
          <w:szCs w:val="28"/>
          <w:rtl w:val="true"/>
          <w:lang w:bidi="fa-IR"/>
        </w:rPr>
        <w:t xml:space="preserve">به نظر می‌رسد این امر نیز در سوق شیعیان به سوی واقفیان تأثیر بسزایی داشته، یعنی مردم با احتساب این که این افراد، افراد موثق و قابل اعتمادی برای امام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به سوی آنان کشیده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سومی که سران و رؤسای واقفیه را ویژه قرار داده بود، جایگاه روایی آنان بود، چرا که آنان روایت‌های زیادی در بخش‌های مختلف فقه، کلام، تفسیر و دیگر معارف اسلامی و شیعی را نقل می‌کردند که طبیعتاً امکان داشت، روایاتی موافق با گرایش‌های آنها و یا روایاتی دوپهلو نیز وجود داشته باشد و همین مسأله شیعیان امامیه را در برخورد با پذیرش روایات آنها دچار مشکل می‌کرد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پس رهبران فرقة واقفه که با عناوین فقیه، وکیل و راوی در بین مردم شناخته شده بودند و برای آنان معتمد و موثق بودند، نقش قابل توجهی در کشاندن مردم به سوی این فرقه داشتند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ویژگی‌های واقفیان، می‌توان به کیفیت حیات و شهادت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موضوع در قسمت‌های بعدی، ذیلِ موارد دیگر خواهد آمد، از توضیح آن در این قسمت صرف نظر می‌کنیم</w:t>
      </w:r>
      <w:r>
        <w:rPr>
          <w:rFonts w:eastAsia="IRNazanin" w:cs="IRNazanin"/>
          <w:color w:val="111111"/>
          <w:sz w:val="28"/>
          <w:szCs w:val="28"/>
          <w:rtl w:val="true"/>
          <w:lang w:bidi="fa-IR"/>
        </w:rPr>
        <w:t>.</w:t>
      </w:r>
      <w:bookmarkStart w:id="128" w:name="pg2633_18101"/>
    </w:p>
    <w:p>
      <w:pPr>
        <w:pStyle w:val="Heading3"/>
        <w:numPr>
          <w:ilvl w:val="2"/>
          <w:numId w:val="1"/>
        </w:numPr>
        <w:rPr/>
      </w:pPr>
      <w:bookmarkStart w:id="129" w:name="__RefHeading___Toc569408_1395250215"/>
      <w:bookmarkStart w:id="130" w:name="_Toc47"/>
      <w:bookmarkEnd w:id="128"/>
      <w:bookmarkEnd w:id="129"/>
      <w:r>
        <w:rPr>
          <w:rtl w:val="true"/>
        </w:rPr>
        <w:t xml:space="preserve">- </w:t>
      </w:r>
      <w:r>
        <w:rPr>
          <w:rtl w:val="true"/>
        </w:rPr>
        <w:t>علل انحراف واقفیه</w:t>
      </w:r>
      <w:r>
        <w:rPr>
          <w:rtl w:val="true"/>
        </w:rPr>
        <w:t>:</w:t>
      </w:r>
      <w:bookmarkEnd w:id="130"/>
    </w:p>
    <w:p>
      <w:pPr>
        <w:pStyle w:val="BookText"/>
        <w:rPr/>
      </w:pPr>
      <w:r>
        <w:rPr>
          <w:rFonts w:ascii="IRNazanin" w:hAnsi="IRNazanin" w:eastAsia="IRNazanin"/>
          <w:color w:val="111111"/>
          <w:sz w:val="28"/>
          <w:sz w:val="28"/>
          <w:szCs w:val="28"/>
          <w:rtl w:val="true"/>
          <w:lang w:bidi="fa-IR"/>
        </w:rPr>
        <w:t>در مورد پیدایش واقفیه و انحراف این فرقه، عامل برجسته‌ای که در منابع رجالی و روایی شیعی به آن برمی‌خوریم، انگیزه‌های مادی و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گرایش افراطی به دنیا، و دنیادوستی باعث شد که حتی عده‌ای از بزرگان اصحاب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انحراف رفته و باعث انشقاقی بزرگ در جامعة شیعه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مباحث پیشین اشاره شد، یکی از وظایف مهم سازمان وکالت و وکلا، اخذ وجوهات شرعی و هدایای مردم و فرستادن آن، نزد امام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طبق روایات و گزارش‌ها، هنگامی که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نزد وکلای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 زیادی از این وجوهات جمع شده بود که بنا به گفتة منابع، همین فراوانی اموال، سبب وقف وکلا و انکار وفات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آنان شد</w:t>
      </w:r>
      <w:r>
        <w:rPr>
          <w:rFonts w:eastAsia="IRNazanin" w:cs="IRNazanin"/>
          <w:color w:val="111111"/>
          <w:sz w:val="28"/>
          <w:szCs w:val="28"/>
          <w:rtl w:val="true"/>
          <w:lang w:bidi="fa-IR"/>
        </w:rPr>
        <w:t>.</w:t>
      </w:r>
      <w:r>
        <w:rPr>
          <w:rStyle w:val="FootnoteAnchor"/>
          <w:rtl w:val="true"/>
        </w:rPr>
        <w:footnoteReference w:id="27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و برداشت نادرست و اشتباه و یا به عبارت دیگر کج‌فهمی از روایات، یکی دیگر از علل مهم توقف و شاید یکی از ابزار مهم در دستِ بنیانگذارانِ وقف بر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باعث شده بود افراد زیادی را به تردید و یا گمراهی بیافکند که</w:t>
      </w:r>
    </w:p>
    <w:p>
      <w:pPr>
        <w:pStyle w:val="BookText"/>
        <w:rPr/>
      </w:pPr>
      <w:r>
        <w:rPr>
          <w:rFonts w:ascii="IRNazanin" w:hAnsi="IRNazanin" w:eastAsia="IRNazanin"/>
          <w:color w:val="111111"/>
          <w:sz w:val="28"/>
          <w:sz w:val="28"/>
          <w:szCs w:val="28"/>
          <w:rtl w:val="true"/>
          <w:lang w:bidi="fa-IR"/>
        </w:rPr>
        <w:t>شیخ مفید و شیخ طوسی،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این موارد را ذکر کرده و سپس نقد و رد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یکی دیگر از علل انحراف برخی از شیعیان پس از شهادت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فعالیت‌های گستردة سیاسی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تشکیلاتی کردن شیعه و در نتیجه سوء برداشت برخی شیعیان از این فعالیت‌ها بوده است؛ تا جایی که برخی از شیعیان گمان کرده‌اند که وی، مهدی موعود بوده و از این رو شهادت و رحلت او را قبل از تشکیل حکومت آرمانی و براندازی ظلم و جور، منتفی دانسته و معتقد به غیبت و سپس رجعت و قیام وی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اعتقاد را محکم‌تر می‌کرد، غیبت‌های طولانی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زندان‌های مکرّر ایشان در اواخر عمر و بالاخره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بود که این همه، یاری‌گر واقفیان در تعابیرشان شده بود</w:t>
      </w:r>
      <w:r>
        <w:rPr>
          <w:rFonts w:eastAsia="IRNazanin" w:cs="IRNazanin"/>
          <w:color w:val="111111"/>
          <w:sz w:val="28"/>
          <w:szCs w:val="28"/>
          <w:rtl w:val="true"/>
          <w:lang w:bidi="fa-IR"/>
        </w:rPr>
        <w:t>.</w:t>
      </w:r>
      <w:r>
        <w:rPr>
          <w:rStyle w:val="FootnoteAnchor"/>
          <w:rtl w:val="true"/>
        </w:rPr>
        <w:footnoteReference w:id="27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موارد یادشده، آنچه که در گسترش دامنة انحراف مؤثر و تأثیرگذار بود، دوری و عدم دسترسی آسان مردم به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به خاطر بعد مسافت و چه به خاطر اختناق و خفقان موجود – بود که باعث شده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وکلایی را از طرف خود به نزد مردم در شهرهای دور از سکونت خود بفرستد، چنان که به طور مثال عثمان بن عیسی رواسی وکیل ایشان در</w:t>
      </w:r>
    </w:p>
    <w:p>
      <w:pPr>
        <w:pStyle w:val="BookText"/>
        <w:rPr/>
      </w:pPr>
      <w:r>
        <w:rPr>
          <w:rFonts w:ascii="IRNazanin" w:hAnsi="IRNazanin" w:eastAsia="IRNazanin"/>
          <w:color w:val="111111"/>
          <w:sz w:val="28"/>
          <w:sz w:val="28"/>
          <w:szCs w:val="28"/>
          <w:rtl w:val="true"/>
          <w:lang w:bidi="fa-IR"/>
        </w:rPr>
        <w:t>مصر</w:t>
      </w:r>
      <w:r>
        <w:rPr>
          <w:rStyle w:val="FootnoteAnchor"/>
          <w:rtl w:val="true"/>
        </w:rPr>
        <w:footnoteReference w:id="274"/>
      </w:r>
      <w:r>
        <w:rPr>
          <w:rFonts w:ascii="IRNazanin" w:hAnsi="IRNazanin" w:eastAsia="IRNazanin"/>
          <w:color w:val="111111"/>
          <w:sz w:val="28"/>
          <w:sz w:val="28"/>
          <w:szCs w:val="28"/>
          <w:rtl w:val="true"/>
          <w:lang w:bidi="fa-IR"/>
        </w:rPr>
        <w:t xml:space="preserve">و حیان سراج، وکیل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بود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طبیعتاً این وکلا مورد اعتماد و وثوق مردم نیز واقع می‌شدند، چرا که از طرف امامشان تعیین شده بودند، در نتیجه پس از شهادت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عوامل پیش‌گفته، دوری مسافت مردم این شهرها از امام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اعتماد آنان بر وکلای امام قبلی، باعث تشدیدو گسترش جریان انحراف شده بود</w:t>
      </w:r>
      <w:r>
        <w:rPr>
          <w:rFonts w:eastAsia="IRNazanin" w:cs="IRNazanin"/>
          <w:color w:val="111111"/>
          <w:sz w:val="28"/>
          <w:szCs w:val="28"/>
          <w:rtl w:val="true"/>
          <w:lang w:bidi="fa-IR"/>
        </w:rPr>
        <w:t>.</w:t>
      </w:r>
      <w:bookmarkStart w:id="131" w:name="pg2633_18104"/>
    </w:p>
    <w:p>
      <w:pPr>
        <w:pStyle w:val="Heading3"/>
        <w:numPr>
          <w:ilvl w:val="2"/>
          <w:numId w:val="1"/>
        </w:numPr>
        <w:rPr/>
      </w:pPr>
      <w:bookmarkStart w:id="132" w:name="__RefHeading___Toc569410_1395250215"/>
      <w:bookmarkStart w:id="133" w:name="_Toc48"/>
      <w:bookmarkEnd w:id="131"/>
      <w:bookmarkEnd w:id="132"/>
      <w:r>
        <w:rPr>
          <w:rtl w:val="true"/>
        </w:rPr>
        <w:t xml:space="preserve">- </w:t>
      </w:r>
      <w:r>
        <w:rPr>
          <w:rtl w:val="true"/>
        </w:rPr>
        <w:t>راهیابی جریان غلو به وقف</w:t>
      </w:r>
      <w:r>
        <w:rPr>
          <w:rtl w:val="true"/>
        </w:rPr>
        <w:t>:</w:t>
      </w:r>
      <w:bookmarkEnd w:id="133"/>
    </w:p>
    <w:p>
      <w:pPr>
        <w:pStyle w:val="BookText"/>
        <w:rPr/>
      </w:pPr>
      <w:r>
        <w:rPr>
          <w:rFonts w:ascii="IRNazanin" w:hAnsi="IRNazanin" w:eastAsia="IRNazanin"/>
          <w:color w:val="111111"/>
          <w:sz w:val="28"/>
          <w:sz w:val="28"/>
          <w:szCs w:val="28"/>
          <w:rtl w:val="true"/>
          <w:lang w:bidi="fa-IR"/>
        </w:rPr>
        <w:t xml:space="preserve">جریان وقف بر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عده‌ای دیگر از سودجویان را نیز بر حلقة سودجویان واقفی افزود، به عبارت دیگر علاوه بر بنیانگذاران اولیة وقف که عمدتاً تحت تأثیر عوامل مادی این جریان را پدید آورده و به آن دامن می‌زدند، عده‌ای دیگر نیز با ورود به آن، بر آتش آن افزوده و آن را شعله‌ورتر و از طرفی بی‌اساس‌تر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شعله‌ورتر از آن جهت که بر تشویش و انحراف افکار افزوده بودند و بی‌اساس‌تر، از حیث نمایان و آشکارتر بودنِ سستی و فساد عقاید و اعمالشان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که از غالیان بودند، با مشاهدة این تفرقه و چندگانگی، خود را واقفی خوانده</w:t>
      </w:r>
      <w:r>
        <w:rPr>
          <w:rStyle w:val="FootnoteAnchor"/>
          <w:rtl w:val="true"/>
        </w:rPr>
        <w:footnoteReference w:id="276"/>
      </w:r>
      <w:r>
        <w:rPr>
          <w:rFonts w:ascii="IRNazanin" w:hAnsi="IRNazanin" w:eastAsia="IRNazanin"/>
          <w:color w:val="111111"/>
          <w:sz w:val="28"/>
          <w:sz w:val="28"/>
          <w:szCs w:val="28"/>
          <w:rtl w:val="true"/>
          <w:lang w:bidi="fa-IR"/>
        </w:rPr>
        <w:t xml:space="preserve">و با تخلیط عقاید غالیانة خود با عقاید واقفیان، سعی در سودجویی از این آب گل‌آلود داشتند؛ چنان که خود را جانشین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حتی پس از مرگ، برای خود جانشین تعیین می‌نمودند</w:t>
      </w:r>
      <w:r>
        <w:rPr>
          <w:rFonts w:eastAsia="IRNazanin" w:cs="IRNazanin"/>
          <w:color w:val="111111"/>
          <w:sz w:val="28"/>
          <w:szCs w:val="28"/>
          <w:rtl w:val="true"/>
          <w:lang w:bidi="fa-IR"/>
        </w:rPr>
        <w:t>.</w:t>
      </w:r>
      <w:r>
        <w:rPr>
          <w:rStyle w:val="FootnoteAnchor"/>
          <w:rtl w:val="true"/>
        </w:rPr>
        <w:footnoteReference w:id="27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بشیر که بنیانگذار فرقة بشیریه از غلات بود</w:t>
      </w:r>
      <w:r>
        <w:rPr>
          <w:rStyle w:val="FootnoteAnchor"/>
          <w:rtl w:val="true"/>
        </w:rPr>
        <w:footnoteReference w:id="278"/>
      </w:r>
      <w:r>
        <w:rPr>
          <w:rFonts w:ascii="IRNazanin" w:hAnsi="IRNazanin" w:eastAsia="IRNazanin"/>
          <w:color w:val="111111"/>
          <w:sz w:val="28"/>
          <w:sz w:val="28"/>
          <w:szCs w:val="28"/>
          <w:rtl w:val="true"/>
          <w:lang w:bidi="fa-IR"/>
        </w:rPr>
        <w:t xml:space="preserve">، در زمان حیات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افکار و گفتار غالیانه و منحرفش، بارها مورد لعن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بود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نفرین کرده و از او بیزاری جسته و حتی او را مهدور الدم خوانده بود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دعاهای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عباراتی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w:t>
      </w:r>
    </w:p>
    <w:p>
      <w:pPr>
        <w:pStyle w:val="BookText"/>
        <w:rPr/>
      </w:pPr>
      <w:r>
        <w:rPr>
          <w:rFonts w:ascii="IRNazanin" w:hAnsi="IRNazanin" w:eastAsia="IRNazanin"/>
          <w:color w:val="111111"/>
          <w:sz w:val="28"/>
          <w:sz w:val="28"/>
          <w:szCs w:val="28"/>
          <w:rtl w:val="true"/>
          <w:lang w:bidi="fa-IR"/>
        </w:rPr>
        <w:t>أسألک أن تخلصنی من هذا الرجس النجس محمد بن بشیر</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نشان دهندة اوج خشم و نفرت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بشیر و نیز نشانگر شدّت و عمق پلیدی افکار ابن بشیر می‌باشد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بشیر، پس از شهادتِ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خود را از توقف کنندگان، بلکه جانشینِ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غیبتش معرفی نمود</w:t>
      </w:r>
      <w:r>
        <w:rPr>
          <w:rStyle w:val="FootnoteAnchor"/>
          <w:rtl w:val="true"/>
        </w:rPr>
        <w:footnoteReference w:id="281"/>
      </w:r>
      <w:r>
        <w:rPr>
          <w:rFonts w:ascii="IRNazanin" w:hAnsi="IRNazanin" w:eastAsia="IRNazanin"/>
          <w:color w:val="111111"/>
          <w:sz w:val="28"/>
          <w:sz w:val="28"/>
          <w:szCs w:val="28"/>
          <w:rtl w:val="true"/>
          <w:lang w:bidi="fa-IR"/>
        </w:rPr>
        <w:t>، که اینها همه نشان از سوء استفادة غالیان، از فضای غبارآلود به وجود آمده، دارد</w:t>
      </w:r>
      <w:r>
        <w:rPr>
          <w:rFonts w:eastAsia="IRNazanin" w:cs="IRNazanin"/>
          <w:color w:val="111111"/>
          <w:sz w:val="28"/>
          <w:szCs w:val="28"/>
          <w:rtl w:val="true"/>
          <w:lang w:bidi="fa-IR"/>
        </w:rPr>
        <w:t>.</w:t>
      </w:r>
      <w:bookmarkStart w:id="134" w:name="pg2633_18106"/>
    </w:p>
    <w:p>
      <w:pPr>
        <w:pStyle w:val="Heading3"/>
        <w:numPr>
          <w:ilvl w:val="2"/>
          <w:numId w:val="1"/>
        </w:numPr>
        <w:rPr/>
      </w:pPr>
      <w:bookmarkStart w:id="135" w:name="__RefHeading___Toc569412_1395250215"/>
      <w:bookmarkStart w:id="136" w:name="_Toc49"/>
      <w:bookmarkEnd w:id="134"/>
      <w:bookmarkEnd w:id="135"/>
      <w:r>
        <w:rPr>
          <w:rtl w:val="true"/>
        </w:rPr>
        <w:t xml:space="preserve">- </w:t>
      </w:r>
      <w:r>
        <w:rPr>
          <w:rtl w:val="true"/>
        </w:rPr>
        <w:t>تلاش‌های واقفیان</w:t>
      </w:r>
      <w:r>
        <w:rPr>
          <w:rtl w:val="true"/>
        </w:rPr>
        <w:t>:</w:t>
      </w:r>
      <w:bookmarkEnd w:id="136"/>
    </w:p>
    <w:p>
      <w:pPr>
        <w:pStyle w:val="Heading4"/>
        <w:numPr>
          <w:ilvl w:val="3"/>
          <w:numId w:val="1"/>
        </w:numPr>
        <w:rPr/>
      </w:pPr>
      <w:bookmarkStart w:id="137" w:name="__RefHeading___Toc569414_1395250215"/>
      <w:bookmarkStart w:id="138" w:name="_Toc50"/>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واقفیان در جهت اثبات آراء و عقایدشان و نیز جذب افراد بیشتر، دست به اقداماتی زدند و در واقع مبارزاتی را شروع نمودند که این تلاش‌ها و مبارزات که در ابعاد و زوایای مختلفی انجام می‌گرفت، عبارت بودند از</w:t>
      </w:r>
      <w:r>
        <w:rPr>
          <w:rFonts w:eastAsia="IRNazanin" w:cs="IRNazanin"/>
          <w:color w:val="111111"/>
          <w:sz w:val="28"/>
          <w:szCs w:val="28"/>
          <w:rtl w:val="true"/>
          <w:lang w:bidi="fa-IR"/>
        </w:rPr>
        <w:t>:</w:t>
      </w:r>
    </w:p>
    <w:p>
      <w:pPr>
        <w:pStyle w:val="Heading4"/>
        <w:numPr>
          <w:ilvl w:val="3"/>
          <w:numId w:val="1"/>
        </w:numPr>
        <w:rPr/>
      </w:pPr>
      <w:bookmarkStart w:id="139" w:name="__RefHeading___Toc569416_1395250215"/>
      <w:bookmarkStart w:id="140" w:name="_Toc51"/>
      <w:bookmarkEnd w:id="139"/>
      <w:r>
        <w:rPr>
          <w:rtl w:val="true"/>
        </w:rPr>
        <w:t>الف</w:t>
      </w:r>
      <w:r>
        <w:rPr>
          <w:rtl w:val="true"/>
        </w:rPr>
        <w:t xml:space="preserve">) </w:t>
      </w:r>
      <w:r>
        <w:rPr>
          <w:rtl w:val="true"/>
        </w:rPr>
        <w:t>تبلیغ آموزه‌ها</w:t>
      </w:r>
      <w:r>
        <w:rPr>
          <w:rtl w:val="true"/>
        </w:rPr>
        <w:t>:</w:t>
      </w:r>
      <w:bookmarkEnd w:id="140"/>
    </w:p>
    <w:p>
      <w:pPr>
        <w:pStyle w:val="Heading5"/>
        <w:numPr>
          <w:ilvl w:val="4"/>
          <w:numId w:val="1"/>
        </w:numPr>
        <w:rPr/>
      </w:pPr>
      <w:bookmarkStart w:id="141" w:name="__RefHeading___Toc569418_1395250215"/>
      <w:bookmarkStart w:id="142" w:name="_Toc52"/>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یکی از شیوه‌های واقفیان در ترویج عقاید و اندیشه‌هایشان، انجام امور فرهنگی و تبلیغی بود که در این راستا به نوشتن کتاب، تعلیم و تربیت شاگرد و نیز جعل و تحریف احادیث روی آوردند، که در ادامه با آوردنِ نمونه‌هایی به شرح بیشتر آنها می‌پردازیم</w:t>
      </w:r>
      <w:r>
        <w:rPr>
          <w:rFonts w:eastAsia="IRNazanin" w:cs="IRNazanin"/>
          <w:color w:val="111111"/>
          <w:sz w:val="28"/>
          <w:szCs w:val="28"/>
          <w:rtl w:val="true"/>
          <w:lang w:bidi="fa-IR"/>
        </w:rPr>
        <w:t>:</w:t>
      </w:r>
    </w:p>
    <w:p>
      <w:pPr>
        <w:pStyle w:val="Heading5"/>
        <w:numPr>
          <w:ilvl w:val="4"/>
          <w:numId w:val="1"/>
        </w:numPr>
        <w:rPr/>
      </w:pPr>
      <w:bookmarkStart w:id="143" w:name="__RefHeading___Toc569420_1395250215"/>
      <w:bookmarkStart w:id="144" w:name="_Toc53"/>
      <w:bookmarkEnd w:id="143"/>
      <w:r>
        <w:rPr/>
        <w:t>1</w:t>
      </w:r>
      <w:r>
        <w:rPr>
          <w:rtl w:val="true"/>
        </w:rPr>
        <w:t xml:space="preserve">- </w:t>
      </w:r>
      <w:r>
        <w:rPr>
          <w:rtl w:val="true"/>
        </w:rPr>
        <w:t>نوشتن کتاب</w:t>
      </w:r>
      <w:bookmarkEnd w:id="144"/>
    </w:p>
    <w:p>
      <w:pPr>
        <w:pStyle w:val="BookText"/>
        <w:rPr/>
      </w:pPr>
      <w:r>
        <w:rPr>
          <w:rFonts w:ascii="IRNazanin" w:hAnsi="IRNazanin" w:eastAsia="IRNazanin"/>
          <w:color w:val="111111"/>
          <w:sz w:val="28"/>
          <w:sz w:val="28"/>
          <w:szCs w:val="28"/>
          <w:rtl w:val="true"/>
          <w:lang w:bidi="fa-IR"/>
        </w:rPr>
        <w:t xml:space="preserve">واقفیان برای اثبات آراء و اقوالشان کتاب‌های زیادی نوشتند، و نکته‌ای که بیشتر قابل ملاحظه است، تألیف کتاب‌هایی توسط آنها در موضوع غیبت مهدی می‌باشد؛ و جالب آن که، آنان در این کتاب‌ها به طور عمده به ذکر روایات نقل شده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مهدی و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سپس آنها را بر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داده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مهدی موعود معرفی می‌کردند</w:t>
      </w:r>
      <w:r>
        <w:rPr>
          <w:rFonts w:eastAsia="IRNazanin" w:cs="IRNazanin"/>
          <w:color w:val="111111"/>
          <w:sz w:val="28"/>
          <w:szCs w:val="28"/>
          <w:rtl w:val="true"/>
          <w:lang w:bidi="fa-IR"/>
        </w:rPr>
        <w:t>.</w:t>
      </w:r>
      <w:r>
        <w:rPr>
          <w:rStyle w:val="FootnoteAnchor"/>
          <w:rtl w:val="true"/>
        </w:rPr>
        <w:footnoteReference w:id="28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حسن طاطری کوفی که از او – به خاطر عقاید</w:t>
      </w:r>
      <w:bookmarkStart w:id="145" w:name="pg2633_18107"/>
    </w:p>
    <w:p>
      <w:pPr>
        <w:pStyle w:val="BookText"/>
        <w:rPr/>
      </w:pPr>
      <w:bookmarkEnd w:id="145"/>
      <w:r>
        <w:rPr>
          <w:rFonts w:ascii="IRNazanin" w:hAnsi="IRNazanin" w:eastAsia="IRNazanin"/>
          <w:color w:val="111111"/>
          <w:sz w:val="28"/>
          <w:sz w:val="28"/>
          <w:szCs w:val="28"/>
          <w:rtl w:val="true"/>
          <w:lang w:bidi="fa-IR"/>
        </w:rPr>
        <w:t>منتشره‌اش در اصول و مبانی اعتقادی واقفه – به عنوان دانشمندترین فرد در میان واقفیه یاد شده است</w:t>
      </w:r>
      <w:r>
        <w:rPr>
          <w:rStyle w:val="FootnoteAnchor"/>
          <w:rtl w:val="true"/>
        </w:rPr>
        <w:footnoteReference w:id="283"/>
      </w:r>
      <w:r>
        <w:rPr>
          <w:rFonts w:ascii="IRNazanin" w:hAnsi="IRNazanin" w:eastAsia="IRNazanin"/>
          <w:color w:val="111111"/>
          <w:sz w:val="28"/>
          <w:sz w:val="28"/>
          <w:szCs w:val="28"/>
          <w:rtl w:val="true"/>
          <w:lang w:bidi="fa-IR"/>
        </w:rPr>
        <w:t>، کتاب‌های زیادی در دفاع از مذهبش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کتاب‌هایش را بیش از سی کتاب ذکر کرده‌اند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که از جمله آنها کتابی تحت عنوان الغیبة می‌باشد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حسن بن محمد بن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که در واقفی‌گری متعصب خوانده شده است</w:t>
      </w:r>
      <w:r>
        <w:rPr>
          <w:rStyle w:val="FootnoteAnchor"/>
          <w:rtl w:val="true"/>
        </w:rPr>
        <w:footnoteReference w:id="287"/>
      </w:r>
      <w:r>
        <w:rPr>
          <w:rFonts w:ascii="IRNazanin" w:hAnsi="IRNazanin" w:eastAsia="IRNazanin"/>
          <w:color w:val="111111"/>
          <w:sz w:val="28"/>
          <w:sz w:val="28"/>
          <w:szCs w:val="28"/>
          <w:rtl w:val="true"/>
          <w:lang w:bidi="fa-IR"/>
        </w:rPr>
        <w:t>، یکی دیگر از فقها و شیوخ واقفیه بوده</w:t>
      </w:r>
      <w:r>
        <w:rPr>
          <w:rStyle w:val="FootnoteAnchor"/>
          <w:rtl w:val="true"/>
        </w:rPr>
        <w:footnoteReference w:id="288"/>
      </w:r>
      <w:r>
        <w:rPr>
          <w:rFonts w:ascii="IRNazanin" w:hAnsi="IRNazanin" w:eastAsia="IRNazanin"/>
          <w:color w:val="111111"/>
          <w:sz w:val="28"/>
          <w:sz w:val="28"/>
          <w:szCs w:val="28"/>
          <w:rtl w:val="true"/>
          <w:lang w:bidi="fa-IR"/>
        </w:rPr>
        <w:t>و تألیفات زیادی از جمله کتابی با نام الغیبة داشته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علی بن احمد علوی موسوی یکی از سران واقفیه بود که وی نیز در دفاع از مذهبش کتاب نوشته بود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ظاهراً کتاب‌های الغیبة که از نخستین روزهای به وجود آمدن واقفه، نگارش آنها آغاز شد، پایه‌های این فرقه را به شدت محکم کردند</w:t>
      </w:r>
      <w:r>
        <w:rPr>
          <w:rFonts w:eastAsia="IRNazanin" w:cs="IRNazanin"/>
          <w:color w:val="111111"/>
          <w:sz w:val="28"/>
          <w:szCs w:val="28"/>
          <w:rtl w:val="true"/>
          <w:lang w:bidi="fa-IR"/>
        </w:rPr>
        <w:t>.</w:t>
      </w:r>
      <w:r>
        <w:rPr>
          <w:rStyle w:val="FootnoteAnchor"/>
          <w:rtl w:val="true"/>
        </w:rPr>
        <w:footnoteReference w:id="291"/>
      </w:r>
    </w:p>
    <w:p>
      <w:pPr>
        <w:pStyle w:val="Heading5"/>
        <w:numPr>
          <w:ilvl w:val="4"/>
          <w:numId w:val="1"/>
        </w:numPr>
        <w:rPr/>
      </w:pPr>
      <w:bookmarkStart w:id="146" w:name="__RefHeading___Toc569422_1395250215"/>
      <w:bookmarkStart w:id="147" w:name="_Toc54"/>
      <w:bookmarkEnd w:id="146"/>
      <w:r>
        <w:rPr/>
        <w:t>2</w:t>
      </w:r>
      <w:r>
        <w:rPr>
          <w:rtl w:val="true"/>
        </w:rPr>
        <w:t xml:space="preserve">- </w:t>
      </w:r>
      <w:r>
        <w:rPr>
          <w:rtl w:val="true"/>
        </w:rPr>
        <w:t>تعلیم و تربیت شاگرد</w:t>
      </w:r>
      <w:bookmarkEnd w:id="14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گسترش و نیز بقای هر مذهبی، تعلیم و تربیت شاگرد است؛ که به نظر می‌رسد سران واقفه به این امر نیز توجه</w:t>
      </w:r>
      <w:bookmarkStart w:id="148" w:name="pg2633_18108"/>
    </w:p>
    <w:p>
      <w:pPr>
        <w:pStyle w:val="BookText"/>
        <w:rPr/>
      </w:pPr>
      <w:bookmarkEnd w:id="148"/>
      <w:r>
        <w:rPr>
          <w:rFonts w:ascii="IRNazanin" w:hAnsi="IRNazanin" w:eastAsia="IRNazanin"/>
          <w:color w:val="111111"/>
          <w:sz w:val="28"/>
          <w:sz w:val="28"/>
          <w:szCs w:val="28"/>
          <w:rtl w:val="true"/>
          <w:lang w:bidi="fa-IR"/>
        </w:rPr>
        <w:t xml:space="preserve">داشته و شاید یکی از دلایل ماندگاری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خطر بیشتر آنان هم، در همین مسأله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مسجدی در کوفه بود که زرعة بن محمد حضرمی، امام جماعت آن بود</w:t>
      </w:r>
      <w:r>
        <w:rPr>
          <w:rStyle w:val="FootnoteAnchor"/>
          <w:rtl w:val="true"/>
        </w:rPr>
        <w:footnoteReference w:id="292"/>
      </w:r>
      <w:r>
        <w:rPr>
          <w:rFonts w:ascii="IRNazanin" w:hAnsi="IRNazanin" w:eastAsia="IRNazanin"/>
          <w:color w:val="111111"/>
          <w:sz w:val="28"/>
          <w:sz w:val="28"/>
          <w:szCs w:val="28"/>
          <w:rtl w:val="true"/>
          <w:lang w:bidi="fa-IR"/>
        </w:rPr>
        <w:t>و احتمالاً از این مسجد برای تعلیم و تعلّم فرقة واقفه استفاده می‌شده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حسن بن محمد بن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فقها و شیوخ واقفه بود</w:t>
      </w:r>
      <w:r>
        <w:rPr>
          <w:rStyle w:val="FootnoteAnchor"/>
          <w:rtl w:val="true"/>
        </w:rPr>
        <w:footnoteReference w:id="294"/>
      </w:r>
      <w:r>
        <w:rPr>
          <w:rFonts w:ascii="IRNazanin" w:hAnsi="IRNazanin" w:eastAsia="IRNazanin"/>
          <w:color w:val="111111"/>
          <w:sz w:val="28"/>
          <w:sz w:val="28"/>
          <w:szCs w:val="28"/>
          <w:rtl w:val="true"/>
          <w:lang w:bidi="fa-IR"/>
        </w:rPr>
        <w:t>، شاگرد طاطری بوده و مذهبش را از او فرا گرفته بوده است</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149" w:name="__RefHeading___Toc569424_1395250215"/>
      <w:bookmarkStart w:id="150" w:name="_Toc55"/>
      <w:bookmarkEnd w:id="149"/>
      <w:r>
        <w:rPr/>
        <w:t>3</w:t>
      </w:r>
      <w:r>
        <w:rPr>
          <w:rtl w:val="true"/>
        </w:rPr>
        <w:t xml:space="preserve">- </w:t>
      </w:r>
      <w:r>
        <w:rPr>
          <w:rtl w:val="true"/>
        </w:rPr>
        <w:t>جعل و تحریف احادیث و پراکندن شایعات</w:t>
      </w:r>
      <w:bookmarkEnd w:id="150"/>
    </w:p>
    <w:p>
      <w:pPr>
        <w:pStyle w:val="BookText"/>
        <w:rPr/>
      </w:pPr>
      <w:r>
        <w:rPr>
          <w:rFonts w:ascii="IRNazanin" w:hAnsi="IRNazanin" w:eastAsia="IRNazanin"/>
          <w:color w:val="111111"/>
          <w:sz w:val="28"/>
          <w:sz w:val="28"/>
          <w:szCs w:val="28"/>
          <w:rtl w:val="true"/>
          <w:lang w:bidi="fa-IR"/>
        </w:rPr>
        <w:t>ظاهراً برخی از محدّثان واقفی با احادیث جعلی و نیز با تفسیرهای نادرست از روایات، در جهت حمایت از فرقة واقفه تلاش‌های زیادی انجام می‌دادند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زرعة بن محمد یکی از واقفیانی بود</w:t>
      </w:r>
      <w:r>
        <w:rPr>
          <w:rStyle w:val="FootnoteAnchor"/>
          <w:rtl w:val="true"/>
        </w:rPr>
        <w:footnoteReference w:id="297"/>
      </w:r>
      <w:r>
        <w:rPr>
          <w:rFonts w:ascii="IRNazanin" w:hAnsi="IRNazanin" w:eastAsia="IRNazanin"/>
          <w:color w:val="111111"/>
          <w:sz w:val="28"/>
          <w:sz w:val="28"/>
          <w:szCs w:val="28"/>
          <w:rtl w:val="true"/>
          <w:lang w:bidi="fa-IR"/>
        </w:rPr>
        <w:t xml:space="preserve">که چنانچه خواهد آمد، با جعل و تحریف قسمتی از روایت منسوب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عده‌ای را دچار شک و تردید و یا گمراهی نموده بود</w:t>
      </w:r>
      <w:r>
        <w:rPr>
          <w:rFonts w:eastAsia="IRNazanin" w:cs="IRNazanin"/>
          <w:color w:val="111111"/>
          <w:sz w:val="28"/>
          <w:szCs w:val="28"/>
          <w:rtl w:val="true"/>
          <w:lang w:bidi="fa-IR"/>
        </w:rPr>
        <w:t>.</w:t>
      </w:r>
      <w:r>
        <w:rPr>
          <w:rStyle w:val="FootnoteAnchor"/>
          <w:rtl w:val="true"/>
        </w:rPr>
        <w:footnoteReference w:id="29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واقفیانی که می‌توان به عنوان جاعل حدیث از آنها یاد کرد، قاسم بن اسماعیل قرشی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رباح دربارة او خبری بدین صورت آورده که به قاسم قرشی گفته که چند حدیث از محمد بن أبی‌حمزه شنیده است؟ قاسم بن اسماعیل در</w:t>
      </w:r>
    </w:p>
    <w:p>
      <w:pPr>
        <w:pStyle w:val="BookText"/>
        <w:rPr/>
      </w:pPr>
      <w:r>
        <w:rPr>
          <w:rFonts w:ascii="IRNazanin" w:hAnsi="IRNazanin" w:eastAsia="IRNazanin"/>
          <w:color w:val="111111"/>
          <w:sz w:val="28"/>
          <w:sz w:val="28"/>
          <w:szCs w:val="28"/>
          <w:rtl w:val="true"/>
          <w:lang w:bidi="fa-IR"/>
        </w:rPr>
        <w:t>پاسخ وی گفته است که فقط یک حدیث از وی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رباح در ادامة روایت نقل می‌کند که با وجود این گفته، وی پس از مدتی به نقل روایات زیادی از محمد بن ابی‌حمزه پرداخت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همچنین ابن رباح می‌گوید که از همین قاسم پرسیدم که چند روایت از حنان شنیده است؟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یا پنج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آن، احادیث فراوانی را از او نقل کرد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پراکندن شایعات، یکی دیگر از روش‌های مبارزاتی واقفیه بود، آنان در این روش، روایاتی را در مورد علت پذیرش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برخی از بزرگان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صفوان بن یحیی را از افرادی ناشناخته ذکر می‌کردند که این احادیث، ضعیف و ناقلان و راویانشان نیز مورد اعتماد نبودند</w:t>
      </w:r>
      <w:r>
        <w:rPr>
          <w:rStyle w:val="FootnoteAnchor"/>
          <w:rtl w:val="true"/>
        </w:rPr>
        <w:footnoteReference w:id="301"/>
      </w:r>
      <w:r>
        <w:rPr>
          <w:rFonts w:ascii="IRNazanin" w:hAnsi="IRNazanin" w:eastAsia="IRNazanin"/>
          <w:color w:val="111111"/>
          <w:sz w:val="28"/>
          <w:sz w:val="28"/>
          <w:szCs w:val="28"/>
          <w:rtl w:val="true"/>
          <w:lang w:bidi="fa-IR"/>
        </w:rPr>
        <w:t>و این گونه قصد کوبیدن سران و بزرگان شیعه و نیز اثبات عدم درستی عقاید آنها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آنان، روایتی را از علی بن معاذ نقل کردند که وی در مورد علت پذیرش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صفوان بن یحیی پرسیده و صفوان در پاسخش گفته است که پس از نماز و دعا و استخاره به امامت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کرده است</w:t>
      </w:r>
      <w:r>
        <w:rPr>
          <w:rFonts w:eastAsia="IRNazanin" w:cs="IRNazanin"/>
          <w:color w:val="111111"/>
          <w:sz w:val="28"/>
          <w:szCs w:val="28"/>
          <w:rtl w:val="true"/>
          <w:lang w:bidi="fa-IR"/>
        </w:rPr>
        <w:t>.</w:t>
      </w:r>
      <w:r>
        <w:rPr>
          <w:rStyle w:val="FootnoteAnchor"/>
          <w:rtl w:val="true"/>
        </w:rPr>
        <w:footnoteReference w:id="30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همچنین از علی بقباقه روایت کردند که وی از صفوان بن یحیی و جمعی دیگر از بزرگان شیعه پرسیده که چگونه به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پیدا کرده‌اند؟ همگی گفته‌اند که پذیرش امامت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آنان، برگرفته از گفتة بزنطی بوده و وی را به بزنطی</w:t>
      </w:r>
      <w:bookmarkStart w:id="151" w:name="pg2633_18110"/>
    </w:p>
    <w:p>
      <w:pPr>
        <w:pStyle w:val="BookText"/>
        <w:rPr/>
      </w:pPr>
      <w:bookmarkEnd w:id="151"/>
      <w:r>
        <w:rPr>
          <w:rFonts w:ascii="IRNazanin" w:hAnsi="IRNazanin" w:eastAsia="IRNazanin"/>
          <w:color w:val="111111"/>
          <w:sz w:val="28"/>
          <w:sz w:val="28"/>
          <w:szCs w:val="28"/>
          <w:rtl w:val="true"/>
          <w:lang w:bidi="fa-IR"/>
        </w:rPr>
        <w:t>که از نظر ناقل روایت، کودک و دروغگو بوده، احاله داده‌اند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تعارض در این دو روایت کاملاً مشهود است و در هر دو روایت قصد کوبیدن افرادی بزرگ مثل صفوان بن یحیی و در نتیجه کوبیدن طرفداران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روایت اول بیان شده که صفوان، پاسخ داده که در نتیجة نماز و نیایش و استخاره به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حاصل کرده است و در روایت دوم بیان شده که وی و چند تن از بزرگان گفته‌اند که در نتیجة گفتة بزنطی به امامت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پیدا کرده‌اند؛ که این گونه روایات نشان دهندة تلاش زیاد واقفیان، در جهت ناحق و بی‌اساس جلوه دادن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طرفدارانش بوده است</w:t>
      </w:r>
      <w:r>
        <w:rPr>
          <w:rFonts w:eastAsia="IRNazanin" w:cs="IRNazanin"/>
          <w:color w:val="111111"/>
          <w:sz w:val="28"/>
          <w:szCs w:val="28"/>
          <w:rtl w:val="true"/>
          <w:lang w:bidi="fa-IR"/>
        </w:rPr>
        <w:t>.</w:t>
      </w:r>
    </w:p>
    <w:p>
      <w:pPr>
        <w:pStyle w:val="Heading4"/>
        <w:numPr>
          <w:ilvl w:val="3"/>
          <w:numId w:val="1"/>
        </w:numPr>
        <w:rPr/>
      </w:pPr>
      <w:bookmarkStart w:id="152" w:name="__RefHeading___Toc569426_1395250215"/>
      <w:bookmarkStart w:id="153" w:name="_Toc56"/>
      <w:bookmarkEnd w:id="152"/>
      <w:r>
        <w:rPr>
          <w:rtl w:val="true"/>
        </w:rPr>
        <w:t>ب</w:t>
      </w:r>
      <w:r>
        <w:rPr>
          <w:rtl w:val="true"/>
        </w:rPr>
        <w:t xml:space="preserve">) </w:t>
      </w:r>
      <w:r>
        <w:rPr>
          <w:rtl w:val="true"/>
        </w:rPr>
        <w:t>تطمیع</w:t>
      </w:r>
      <w:r>
        <w:rPr>
          <w:rtl w:val="true"/>
        </w:rPr>
        <w:t>:</w:t>
      </w:r>
      <w:bookmarkEnd w:id="153"/>
    </w:p>
    <w:p>
      <w:pPr>
        <w:pStyle w:val="BookText"/>
        <w:rPr/>
      </w:pPr>
      <w:r>
        <w:rPr>
          <w:rFonts w:ascii="IRNazanin" w:hAnsi="IRNazanin" w:eastAsia="IRNazanin"/>
          <w:color w:val="111111"/>
          <w:sz w:val="28"/>
          <w:sz w:val="28"/>
          <w:szCs w:val="28"/>
          <w:rtl w:val="true"/>
          <w:lang w:bidi="fa-IR"/>
        </w:rPr>
        <w:t xml:space="preserve">سران اولیة وقف با طرح ادعای زنده بودن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بر امامت او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اموال زیادی را به دست آوردند و برای این که اهداف و انگیزه‌های اصلی آنان یعنی تصرف اموال، برای مردم آشکار نشود، به وسیلة همین اموال به ترویج عقاید بدعت‌آمیز خود پرداختند و کوشیدند تا از این طریق، عده‌ای از شیعیان و بزرگان اصحاب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خود هم‌داستان کنند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بزرگان اصحاب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سران واقفه با دادن رشوه، سعی در جلوگیری از دعوت او برای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یونس</w:t>
      </w:r>
      <w:bookmarkStart w:id="154" w:name="pg2633_18111"/>
    </w:p>
    <w:p>
      <w:pPr>
        <w:pStyle w:val="BookText"/>
        <w:rPr/>
      </w:pPr>
      <w:bookmarkEnd w:id="154"/>
      <w:r>
        <w:rPr>
          <w:rFonts w:ascii="IRNazanin" w:hAnsi="IRNazanin" w:eastAsia="IRNazanin"/>
          <w:color w:val="111111"/>
          <w:sz w:val="28"/>
          <w:sz w:val="28"/>
          <w:szCs w:val="28"/>
          <w:rtl w:val="true"/>
          <w:lang w:bidi="fa-IR"/>
        </w:rPr>
        <w:t>بن عبدالرحمن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عبدالرحمن، خود نقل می‌کند که وقتی مشغول تبلیغ و دعوت مردم به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زیاد بن مروان قندی و علی بن ابیحمزه بطائنی، برایش پیغام فرستاده و گفته‌اند که اگر از تبلیغ و دعوتش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بردارد، او را بی‌نیاز کرده و ده هزار دینار را برایش ضمانت کرده‌اند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امّا یونس با نقل روایتی از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که حاضر نیست در هیچ حالی جهاد در راه امر خدا را ترک کند، به آنان پاسخ رد می‌دهد که همین امر باعث دشمنی آن دو، با یونس می‌شود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سران واقفه سعی در اغفال افراد دیگری نیز داشتند که گرچه در مورد افرادی مثل صفوان بن یحیی که از اصحاب بزرگ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علی‌رغم صرف هزینه‌های زیاد موفق نشدند</w:t>
      </w:r>
      <w:r>
        <w:rPr>
          <w:rStyle w:val="FootnoteAnchor"/>
          <w:rtl w:val="true"/>
        </w:rPr>
        <w:footnoteReference w:id="307"/>
      </w:r>
      <w:r>
        <w:rPr>
          <w:rFonts w:ascii="IRNazanin" w:hAnsi="IRNazanin" w:eastAsia="IRNazanin"/>
          <w:color w:val="111111"/>
          <w:sz w:val="28"/>
          <w:sz w:val="28"/>
          <w:szCs w:val="28"/>
          <w:rtl w:val="true"/>
          <w:lang w:bidi="fa-IR"/>
        </w:rPr>
        <w:t>، ولی طبق گفتة شیخ طوسی، آنان با این اموال توانستند عده‌ای از مردم مثل حمزة بن بزیع، ابن مکاری و کرام خثعمی را به سوی خود بکشانند</w:t>
      </w:r>
      <w:r>
        <w:rPr>
          <w:rFonts w:eastAsia="IRNazanin" w:cs="IRNazanin"/>
          <w:color w:val="111111"/>
          <w:sz w:val="28"/>
          <w:szCs w:val="28"/>
          <w:rtl w:val="true"/>
          <w:lang w:bidi="fa-IR"/>
        </w:rPr>
        <w:t>.</w:t>
      </w:r>
      <w:r>
        <w:rPr>
          <w:rStyle w:val="FootnoteAnchor"/>
          <w:rtl w:val="true"/>
        </w:rPr>
        <w:footnoteReference w:id="308"/>
      </w:r>
    </w:p>
    <w:p>
      <w:pPr>
        <w:pStyle w:val="Heading4"/>
        <w:numPr>
          <w:ilvl w:val="3"/>
          <w:numId w:val="1"/>
        </w:numPr>
        <w:rPr/>
      </w:pPr>
      <w:bookmarkStart w:id="155" w:name="__RefHeading___Toc569428_1395250215"/>
      <w:bookmarkStart w:id="156" w:name="_Toc57"/>
      <w:bookmarkEnd w:id="155"/>
      <w:r>
        <w:rPr>
          <w:rtl w:val="true"/>
        </w:rPr>
        <w:t>ج</w:t>
      </w:r>
      <w:r>
        <w:rPr>
          <w:rtl w:val="true"/>
        </w:rPr>
        <w:t xml:space="preserve">) </w:t>
      </w:r>
      <w:r>
        <w:rPr>
          <w:rtl w:val="true"/>
        </w:rPr>
        <w:t>شبهه افکنی</w:t>
      </w:r>
      <w:r>
        <w:rPr>
          <w:rtl w:val="true"/>
        </w:rPr>
        <w:t>:</w:t>
      </w:r>
      <w:bookmarkEnd w:id="15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بزرگ‌ترین شبهه‌ای که واقفیه در بین شیعیان ایجاد کرده بودند، همان وقف بر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انکار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همان طور که پیش‌تر گفته شد، آنان برای اثبات این مسئله، از روایات فراوانی که در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مهدی موعود وجود داشت، بهره می‌گرفتند و آن روایات را در جهت خواست خود و نیز تقویت عقایدشان مبنی بر مهدویت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واقفه در جهت حمایت از این عقیدة خود، شبهات دیگری را ایجاد و یا به آن دامن می‌زدند و این گونه نقش غیر قابل انکاری در تشنّج اوضاع و تزلزل عقاید برخی شیعیان ایفا می‌کردند</w:t>
      </w:r>
      <w:r>
        <w:rPr>
          <w:rFonts w:eastAsia="IRNazanin" w:cs="IRNazanin"/>
          <w:color w:val="111111"/>
          <w:sz w:val="28"/>
          <w:szCs w:val="28"/>
          <w:rtl w:val="true"/>
          <w:lang w:bidi="fa-IR"/>
        </w:rPr>
        <w:t>.</w:t>
      </w:r>
      <w:bookmarkStart w:id="157" w:name="pg2633_18113"/>
    </w:p>
    <w:p>
      <w:pPr>
        <w:pStyle w:val="Heading2"/>
        <w:numPr>
          <w:ilvl w:val="1"/>
          <w:numId w:val="1"/>
        </w:numPr>
        <w:rPr/>
      </w:pPr>
      <w:bookmarkStart w:id="158" w:name="__RefHeading___Toc569430_1395250215"/>
      <w:bookmarkStart w:id="159" w:name="_Toc58"/>
      <w:bookmarkEnd w:id="157"/>
      <w:bookmarkEnd w:id="158"/>
      <w:r>
        <w:rPr>
          <w:rtl w:val="true"/>
        </w:rPr>
        <w:t xml:space="preserve">مواضع و پاسخ‌های امام رضا </w:t>
      </w:r>
      <w:r>
        <w:rPr>
          <w:rtl w:val="true"/>
        </w:rPr>
        <w:t>(</w:t>
      </w:r>
      <w:r>
        <w:rPr>
          <w:rtl w:val="true"/>
        </w:rPr>
        <w:t>علیه السلام</w:t>
      </w:r>
      <w:r>
        <w:rPr>
          <w:rtl w:val="true"/>
        </w:rPr>
        <w:t xml:space="preserve">) </w:t>
      </w:r>
      <w:r>
        <w:rPr>
          <w:rtl w:val="true"/>
        </w:rPr>
        <w:t>به واقفیه</w:t>
      </w:r>
      <w:r>
        <w:rPr>
          <w:rtl w:val="true"/>
        </w:rPr>
        <w:t>:</w:t>
      </w:r>
      <w:bookmarkEnd w:id="159"/>
    </w:p>
    <w:p>
      <w:pPr>
        <w:pStyle w:val="Heading3"/>
        <w:numPr>
          <w:ilvl w:val="2"/>
          <w:numId w:val="1"/>
        </w:numPr>
        <w:rPr/>
      </w:pPr>
      <w:bookmarkStart w:id="160" w:name="__RefHeading___Toc569432_1395250215"/>
      <w:bookmarkStart w:id="161" w:name="_Toc59"/>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 xml:space="preserve">دقت در روایات و گزارش‌های رسیده، نشان می‌دهد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این که در دوران حضور در مدینه، به پاسخ‌گویی و مبارزه با فرقة واقفیه می‌پرداخته است، حتی در مسیر راه خود از مدینه به مرو و همچنین  در خود مرو نیز به این مهم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گفته،روایتی است که بیان می‌کند که در مسیر راه مذکور، شخصی به نام جعفر بن محمد نوفلی، شبهة واقفیه مبنی بر زنده بودن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می‌کند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دروغگو نامیدن و لعن آنها، به ارائة پاسخ می‌پردازد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گزارشی از حسن بن علی وشاء وجود دارد که نشان می‌دهد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هم به مسألة واقفه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خبر،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علی وشاء را به مرو خوانده و مرگ علی بن ابی‌حمزه بطائنی در آن روز و چگونگی احوالاتش در قبر را به اطلاع وی رسانده است</w:t>
      </w:r>
      <w:r>
        <w:rPr>
          <w:rFonts w:eastAsia="IRNazanin" w:cs="IRNazanin"/>
          <w:color w:val="111111"/>
          <w:sz w:val="28"/>
          <w:szCs w:val="28"/>
          <w:rtl w:val="true"/>
          <w:lang w:bidi="fa-IR"/>
        </w:rPr>
        <w:t>.</w:t>
      </w:r>
      <w:r>
        <w:rPr>
          <w:rStyle w:val="FootnoteAnchor"/>
          <w:rtl w:val="true"/>
        </w:rPr>
        <w:footnoteReference w:id="31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در بحث‌های قبل، به پاره‌ای از مشکلات ایجاد شده توسط جریان وقف در زمان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کردیم، در این قسمت سعی داریم تا از میان احادیث و روایات وارده، گوشه‌ای از مبارزات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فرقة عالِمِ منحرف، به تصویر بکشیم</w:t>
      </w:r>
      <w:r>
        <w:rPr>
          <w:rFonts w:eastAsia="IRNazanin" w:cs="IRNazanin"/>
          <w:color w:val="111111"/>
          <w:sz w:val="28"/>
          <w:szCs w:val="28"/>
          <w:rtl w:val="true"/>
          <w:lang w:bidi="fa-IR"/>
        </w:rPr>
        <w:t>.</w:t>
      </w:r>
      <w:bookmarkStart w:id="162" w:name="pg2633_18114"/>
    </w:p>
    <w:p>
      <w:pPr>
        <w:pStyle w:val="Heading3"/>
        <w:numPr>
          <w:ilvl w:val="2"/>
          <w:numId w:val="1"/>
        </w:numPr>
        <w:rPr/>
      </w:pPr>
      <w:bookmarkStart w:id="163" w:name="__RefHeading___Toc569434_1395250215"/>
      <w:bookmarkStart w:id="164" w:name="_Toc60"/>
      <w:bookmarkEnd w:id="162"/>
      <w:bookmarkEnd w:id="163"/>
      <w:r>
        <w:rPr/>
        <w:t>1</w:t>
      </w:r>
      <w:r>
        <w:rPr>
          <w:rtl w:val="true"/>
        </w:rPr>
        <w:t xml:space="preserve">- </w:t>
      </w:r>
      <w:r>
        <w:rPr>
          <w:rtl w:val="true"/>
        </w:rPr>
        <w:t>نامه‌نگاری و مکاتبه</w:t>
      </w:r>
      <w:bookmarkEnd w:id="164"/>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در قسمت انگیزه‌های اقتصادی گفته شد، نامه‌هایی را به سران اولیة وقف یعنی علی بن ابی‌حمزه بطائنی و زیاد بن مروان قندی و عثمان بن عیسی رواسی نوشت و به آنها دستور داد تا اموال پدر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سران وقف اموال را برنگردانده و منکر فوت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پاسخ‌های روشن و قاطع خود، حجت را بر آنان تمام کرد</w:t>
      </w:r>
      <w:r>
        <w:rPr>
          <w:rStyle w:val="FootnoteAnchor"/>
          <w:rtl w:val="true"/>
        </w:rPr>
        <w:footnoteReference w:id="311"/>
      </w:r>
      <w:r>
        <w:rPr>
          <w:rFonts w:ascii="IRNazanin" w:hAnsi="IRNazanin" w:eastAsia="IRNazanin"/>
          <w:color w:val="111111"/>
          <w:sz w:val="28"/>
          <w:sz w:val="28"/>
          <w:szCs w:val="28"/>
          <w:rtl w:val="true"/>
          <w:lang w:bidi="fa-IR"/>
        </w:rPr>
        <w:t xml:space="preserve">و همچنین این نامه‌های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فرمانبری وکلا، باعث بی‌اعتبار شدن</w:t>
      </w:r>
      <w:r>
        <w:rPr>
          <w:rStyle w:val="FootnoteAnchor"/>
          <w:rtl w:val="true"/>
        </w:rPr>
        <w:footnoteReference w:id="312"/>
      </w:r>
      <w:r>
        <w:rPr>
          <w:rFonts w:ascii="IRNazanin" w:hAnsi="IRNazanin" w:eastAsia="IRNazanin"/>
          <w:color w:val="111111"/>
          <w:sz w:val="28"/>
          <w:sz w:val="28"/>
          <w:szCs w:val="28"/>
          <w:rtl w:val="true"/>
          <w:lang w:bidi="fa-IR"/>
        </w:rPr>
        <w:t xml:space="preserve">وکلا و نیز باعث شناسایی و تمایز پیروان و یاران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ادامة زنجیرة شیعیان اثنی عشری از بین آنان بود –  از واقفیان می‌گردید</w:t>
      </w:r>
      <w:r>
        <w:rPr>
          <w:rFonts w:eastAsia="IRNazanin" w:cs="IRNazanin"/>
          <w:color w:val="111111"/>
          <w:sz w:val="28"/>
          <w:szCs w:val="28"/>
          <w:rtl w:val="true"/>
          <w:lang w:bidi="fa-IR"/>
        </w:rPr>
        <w:t>.</w:t>
      </w:r>
    </w:p>
    <w:p>
      <w:pPr>
        <w:pStyle w:val="Heading3"/>
        <w:numPr>
          <w:ilvl w:val="2"/>
          <w:numId w:val="1"/>
        </w:numPr>
        <w:rPr/>
      </w:pPr>
      <w:bookmarkStart w:id="165" w:name="__RefHeading___Toc569436_1395250215"/>
      <w:bookmarkStart w:id="166" w:name="_Toc61"/>
      <w:bookmarkEnd w:id="165"/>
      <w:r>
        <w:rPr/>
        <w:t>2</w:t>
      </w:r>
      <w:r>
        <w:rPr>
          <w:rtl w:val="true"/>
        </w:rPr>
        <w:t xml:space="preserve">- </w:t>
      </w:r>
      <w:r>
        <w:rPr>
          <w:rtl w:val="true"/>
        </w:rPr>
        <w:t xml:space="preserve">پاسخ به شبهات </w:t>
      </w:r>
      <w:r>
        <w:rPr>
          <w:rtl w:val="true"/>
        </w:rPr>
        <w:t>(</w:t>
      </w:r>
      <w:r>
        <w:rPr>
          <w:rtl w:val="true"/>
        </w:rPr>
        <w:t>در قالب مناظره و مکاتبه</w:t>
      </w:r>
      <w:r>
        <w:rPr>
          <w:rtl w:val="true"/>
        </w:rPr>
        <w:t>)</w:t>
      </w:r>
      <w:bookmarkEnd w:id="166"/>
    </w:p>
    <w:p>
      <w:pPr>
        <w:pStyle w:val="BookText"/>
        <w:rPr/>
      </w:pPr>
      <w:r>
        <w:rPr>
          <w:rFonts w:ascii="IRNazanin" w:hAnsi="IRNazanin" w:eastAsia="IRNazanin"/>
          <w:color w:val="111111"/>
          <w:sz w:val="28"/>
          <w:sz w:val="28"/>
          <w:szCs w:val="28"/>
          <w:rtl w:val="true"/>
          <w:lang w:bidi="fa-IR"/>
        </w:rPr>
        <w:t xml:space="preserve">برخی از شبهات واقفیه را در قسمت‌های قبل برشمرده و در هر مورد به پاسخ‌های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کردیم، این شبهات معمولاً در قالب مناظره و گفتگو و نیز مکاتبه و نامه‌نگاری انجام می‌شد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و مهم‌ترین شبهه‌ای که واقفیان ایجاد کرده و به آن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زنده بودن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مهدویت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چنان که گفته شد، به دنبال این شبهة اولیه، شبهات دیگر نیز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مناسبات مختلف،</w:t>
      </w:r>
    </w:p>
    <w:p>
      <w:pPr>
        <w:pStyle w:val="BookText"/>
        <w:rPr/>
      </w:pPr>
      <w:r>
        <w:rPr>
          <w:rFonts w:ascii="IRNazanin" w:hAnsi="IRNazanin" w:eastAsia="IRNazanin"/>
          <w:color w:val="111111"/>
          <w:sz w:val="28"/>
          <w:sz w:val="28"/>
          <w:szCs w:val="28"/>
          <w:rtl w:val="true"/>
          <w:lang w:bidi="fa-IR"/>
        </w:rPr>
        <w:t xml:space="preserve">مسئلة زنده بودن پدر بزرگوارش را رد کرده و تأکید کردند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پدرانش از دنیا رفته و میراثش تقسیم شده است و همسرانش ازدواج کرده‌اند و مسلّماً اگر زنده می‌بود، میراثش تقسیم نمی‌گردید و زنانش ازدواج نمی‌کردند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در مورد مسئلة مهدویت نیز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احادیث وارده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چهارمین فرزند خود خواند</w:t>
      </w:r>
      <w:r>
        <w:rPr>
          <w:rStyle w:val="FootnoteAnchor"/>
          <w:rtl w:val="true"/>
        </w:rPr>
        <w:footnoteReference w:id="314"/>
      </w:r>
      <w:r>
        <w:rPr>
          <w:rFonts w:ascii="IRNazanin" w:hAnsi="IRNazanin" w:eastAsia="IRNazanin"/>
          <w:color w:val="111111"/>
          <w:sz w:val="28"/>
          <w:sz w:val="28"/>
          <w:szCs w:val="28"/>
          <w:rtl w:val="true"/>
          <w:lang w:bidi="fa-IR"/>
        </w:rPr>
        <w:t>و بدین ترتیب نه تنها مسئلة مهدویت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سؤال برخی از افراد بود</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 بلکه مهدویت پدرش را نیز 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احادیث فراوان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مسئلة امامت و اهمیت آن، علاوه بر این که پرده از بحران موجود در آن زمان در مورد این امر برمی‌دارد، نشان از فعالیت عمیق واقفیه در این راستا دارد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موقعیت‌های مختلف، آن را بیان و بر آن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محمد بن عیسی یقطینی روایت شده که وی گفته است که زمانی که مردم در مورد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اختلاف شده بودند، مسائلی را که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پاسخ داده بود را گرد آوردم، به پانزده هزار مسأله رسید</w:t>
      </w:r>
      <w:r>
        <w:rPr>
          <w:rFonts w:eastAsia="IRNazanin" w:cs="IRNazanin"/>
          <w:color w:val="111111"/>
          <w:sz w:val="28"/>
          <w:szCs w:val="28"/>
          <w:rtl w:val="true"/>
          <w:lang w:bidi="fa-IR"/>
        </w:rPr>
        <w:t>.</w:t>
      </w:r>
      <w:r>
        <w:rPr>
          <w:rStyle w:val="FootnoteAnchor"/>
          <w:rtl w:val="true"/>
        </w:rPr>
        <w:footnoteReference w:id="31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گفته، نشان دهندة وسعت و شدت بحران واقفیه است که</w:t>
      </w:r>
      <w:bookmarkStart w:id="167" w:name="pg2633_18116"/>
    </w:p>
    <w:p>
      <w:pPr>
        <w:pStyle w:val="BookText"/>
        <w:rPr/>
      </w:pPr>
      <w:bookmarkEnd w:id="167"/>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با آن درگیر بوده است و نیز نشان‌دهندة اهمیت مسأله است که باعث شده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بسیاری برای آن 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در نتیجة این مذاکرات و گفتگوها، افرادی به حق و حقیقت رهنمون شده و در صراط مستقیم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حسین بن بشار می‌گوید که پس از رحلت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اعتقاد به فوت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به 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پس از گفتگو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فوت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شده است</w:t>
      </w:r>
      <w:r>
        <w:rPr>
          <w:rStyle w:val="FootnoteAnchor"/>
          <w:rtl w:val="true"/>
        </w:rPr>
        <w:footnoteReference w:id="317"/>
      </w:r>
      <w:r>
        <w:rPr>
          <w:rFonts w:ascii="IRNazanin" w:hAnsi="IRNazanin" w:eastAsia="IRNazanin"/>
          <w:color w:val="111111"/>
          <w:sz w:val="28"/>
          <w:sz w:val="28"/>
          <w:szCs w:val="28"/>
          <w:rtl w:val="true"/>
          <w:lang w:bidi="fa-IR"/>
        </w:rPr>
        <w:t xml:space="preserve">و بدین ترتیب شبهة حیات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رفع گردیده است</w:t>
      </w:r>
      <w:r>
        <w:rPr>
          <w:rFonts w:eastAsia="IRNazanin" w:cs="IRNazanin"/>
          <w:color w:val="111111"/>
          <w:sz w:val="28"/>
          <w:szCs w:val="28"/>
          <w:rtl w:val="true"/>
          <w:lang w:bidi="fa-IR"/>
        </w:rPr>
        <w:t>.</w:t>
      </w:r>
    </w:p>
    <w:p>
      <w:pPr>
        <w:pStyle w:val="Heading3"/>
        <w:numPr>
          <w:ilvl w:val="2"/>
          <w:numId w:val="1"/>
        </w:numPr>
        <w:rPr/>
      </w:pPr>
      <w:bookmarkStart w:id="168" w:name="__RefHeading___Toc569438_1395250215"/>
      <w:bookmarkStart w:id="169" w:name="_Toc62"/>
      <w:bookmarkEnd w:id="168"/>
      <w:r>
        <w:rPr/>
        <w:t>3</w:t>
      </w:r>
      <w:r>
        <w:rPr>
          <w:rtl w:val="true"/>
        </w:rPr>
        <w:t xml:space="preserve">- </w:t>
      </w:r>
      <w:r>
        <w:rPr>
          <w:rtl w:val="true"/>
        </w:rPr>
        <w:t>پاکسازیِ احادیث از جعل و تحریف</w:t>
      </w:r>
      <w:bookmarkEnd w:id="169"/>
    </w:p>
    <w:p>
      <w:pPr>
        <w:pStyle w:val="BookText"/>
        <w:rPr/>
      </w:pPr>
      <w:r>
        <w:rPr>
          <w:rFonts w:ascii="IRNazanin" w:hAnsi="IRNazanin" w:eastAsia="IRNazanin"/>
          <w:color w:val="111111"/>
          <w:sz w:val="28"/>
          <w:sz w:val="28"/>
          <w:szCs w:val="28"/>
          <w:rtl w:val="true"/>
          <w:lang w:bidi="fa-IR"/>
        </w:rPr>
        <w:t xml:space="preserve">برخی احادیث توسط واقفیان مورد جعل و تحریف قرار گرفته بود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راویان و ناقلان این احادیث را دروغگو خوانده و صورت صحیح روایت را بیان می‌نمود، که اینک به نقل روایتی در این زمینه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پدرش پرسید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پس از شنیدن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حدیثی که زرعة بن محمد حضرمی از سماعة بن مهران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چه کنم؟ و آن حدیث چنین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پنج تن</w:t>
      </w:r>
      <w:bookmarkStart w:id="170" w:name="pg2633_18117"/>
    </w:p>
    <w:p>
      <w:pPr>
        <w:pStyle w:val="BookText"/>
        <w:rPr/>
      </w:pPr>
      <w:bookmarkEnd w:id="170"/>
      <w:r>
        <w:rPr>
          <w:rFonts w:ascii="IRNazanin" w:hAnsi="IRNazanin" w:eastAsia="IRNazanin"/>
          <w:color w:val="111111"/>
          <w:sz w:val="28"/>
          <w:sz w:val="28"/>
          <w:szCs w:val="28"/>
          <w:rtl w:val="true"/>
          <w:lang w:bidi="fa-IR"/>
        </w:rPr>
        <w:t xml:space="preserve">از پیامبران شباهت دارد؛ بر او حسد ورزیده می‌شود، همان طور که بر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ورزیده شد، و غایب می‌شود همان طور که یونس غایب شد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زرعه دروغ گفته، حدیث سماعه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یعنی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تن از پیامبران شباهت دارد و نفرمود، فرزندم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569440_1395250215"/>
      <w:bookmarkStart w:id="172" w:name="_Toc63"/>
      <w:bookmarkEnd w:id="171"/>
      <w:r>
        <w:rPr/>
        <w:t>4</w:t>
      </w:r>
      <w:r>
        <w:rPr>
          <w:rtl w:val="true"/>
        </w:rPr>
        <w:t xml:space="preserve">- </w:t>
      </w:r>
      <w:r>
        <w:rPr>
          <w:rtl w:val="true"/>
        </w:rPr>
        <w:t>معرفی ماهیت واقفیان و بیان عاقبت آنان</w:t>
      </w:r>
      <w:bookmarkEnd w:id="17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مواضع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چهرة واقعی واقفیان و بیان عاقبت و سرانجام آنان بود که این مورد ضربة محکمی بر اعتبار و سابقة خوب برخی سران وقف که از بزرگان اصحاب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وارد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گفته شد، سران وقف که معمولاً از وکلا بودند، برای انجام اموری از جمله پاسخگویی به مردم در غیاب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جمع‌آوری وجوهات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شهرهای دور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کوفه و مصر مستقر بودند و قاعدتاً مردم این شهرها هم به این وکلا و نمایندگان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داشتند و شاید در وهلة اول، سخنان آنان در باب مهدویت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یا به تردید افتاده باشند؛ ولی سخنانِ محکم و قاطع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پرده از ماهیت واقعی آنان برمی‌داشت، می‌توانسته راهگشای بسیار خوبی برای مردم آن سرزمین‌ها بوده باشد و آنان را از گمراهی و افتادن در دام واقفیان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دو مورد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واقفیان و یا بیان عاقبت آنان پرداخته را نقل می‌کنیم</w:t>
      </w:r>
      <w:r>
        <w:rPr>
          <w:rFonts w:eastAsia="IRNazanin" w:cs="IRNazanin"/>
          <w:color w:val="111111"/>
          <w:sz w:val="28"/>
          <w:szCs w:val="28"/>
          <w:rtl w:val="true"/>
          <w:lang w:bidi="fa-IR"/>
        </w:rPr>
        <w:t>.</w:t>
      </w:r>
      <w:bookmarkStart w:id="173" w:name="pg2633_18118"/>
    </w:p>
    <w:p>
      <w:pPr>
        <w:pStyle w:val="BookText"/>
        <w:rPr/>
      </w:pPr>
      <w:bookmarkEnd w:id="17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نامة علی بن عبدالله زبیری که در نامه‌اش از واقفیه سؤال کرده بود،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الواقف عاند عن الحق و مقیم علی سیئة ان مات بها کانت جهنم مأواه و بئس المصیر</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واقفی ستیزه‌گر و معاند حق و پایدار بر گناه است و اگر واقفی با این عقیده بمیرد، جایگاهش جهنم می‌باشد و جهنم بد جایگاهی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واقفیان را که بر امامت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کرده و معتقد بودند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نرفته، دروغگو و حتی کافر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 ما أشد کذبهم</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خدا آنها را لعنت کند چقدر دروغگویی آنان، شدید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کذبوا و هم کفار بما أنزل الله عزوجل علی محمّد صلی الله علیه و آله، </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آنان دروغ گفته‌اند و به آنچه که خداوند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کافر شده‌اند</w:t>
      </w:r>
      <w:r>
        <w:rPr>
          <w:rFonts w:eastAsia="IRNazanin" w:cs="IRNazanin"/>
          <w:color w:val="111111"/>
          <w:sz w:val="28"/>
          <w:szCs w:val="28"/>
          <w:rtl w:val="true"/>
          <w:lang w:bidi="fa-IR"/>
        </w:rPr>
        <w:t>.</w:t>
      </w:r>
    </w:p>
    <w:p>
      <w:pPr>
        <w:pStyle w:val="Heading3"/>
        <w:numPr>
          <w:ilvl w:val="2"/>
          <w:numId w:val="1"/>
        </w:numPr>
        <w:rPr/>
      </w:pPr>
      <w:bookmarkStart w:id="174" w:name="__RefHeading___Toc569442_1395250215"/>
      <w:bookmarkStart w:id="175" w:name="_Toc64"/>
      <w:bookmarkEnd w:id="174"/>
      <w:r>
        <w:rPr/>
        <w:t>5</w:t>
      </w:r>
      <w:r>
        <w:rPr>
          <w:rtl w:val="true"/>
        </w:rPr>
        <w:t xml:space="preserve">- </w:t>
      </w:r>
      <w:r>
        <w:rPr>
          <w:rtl w:val="true"/>
        </w:rPr>
        <w:t>تحریم اجتماعی و اقتصادی واقفیان</w:t>
      </w:r>
      <w:bookmarkEnd w:id="17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و یاران خود را از معاشرت با واقفیه و نیز از دادن زکات به آنان منع می‌نماید و چنانچه خواهد آمد، در این جا نیز به ذکر ماهیت و اعتقادات باطل آنان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وقتی یونس بن یعقوب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پرداخت زکات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تعطهم فانهم کفار مشرکون زنادقة</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به آنان زکات نده، زیرا که آنان از کافران، مشرکان و زنادقه هستند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معاشرت و مجالست با واقفیه، محمد بن عاصم نقل</w:t>
      </w:r>
      <w:bookmarkStart w:id="176" w:name="pg2633_18119"/>
    </w:p>
    <w:p>
      <w:pPr>
        <w:pStyle w:val="BookText"/>
        <w:rPr/>
      </w:pPr>
      <w:bookmarkEnd w:id="176"/>
      <w:r>
        <w:rPr>
          <w:rFonts w:ascii="IRNazanin" w:hAnsi="IRNazanin" w:eastAsia="IRNazanin"/>
          <w:color w:val="111111"/>
          <w:sz w:val="28"/>
          <w:sz w:val="28"/>
          <w:szCs w:val="28"/>
          <w:rtl w:val="true"/>
          <w:lang w:bidi="fa-IR"/>
        </w:rPr>
        <w:t xml:space="preserve">می‌کند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مورد خطاب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با واقفه، مجالست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عاصم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مجالست دارم ولی مخالف با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مجالست نداشته باش زیرا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کتاب خدا بر شما نازل شده که اگر آیات خدا را شنیدید، به آن کفر ورزیده و آن را به مسخره بگیرید؟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ننشینید تا در حدیث و گفتة دیگری وارد شوند، و اگر با آنان همنشین شوید، شما نیز مثل آنان خواهید بود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و در این جا منظور از آیات، اوصیاء و امامانی هستند که واقفه به آنان کفر ورزیده و کافر شده‌اند</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شدت عمل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واقفیان، نقل شده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یحیی بن مبارک امر می‌کند تا می‌تواند با واقفیان دشمنی ورزد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البته قابل توجه است که شدت عمل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متناسب با شدت خطر واقفیان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اساس امامت و تشیع امامی را هدف قرار داده بودند</w:t>
      </w:r>
      <w:r>
        <w:rPr>
          <w:rFonts w:eastAsia="IRNazanin" w:cs="IRNazanin"/>
          <w:color w:val="111111"/>
          <w:sz w:val="28"/>
          <w:szCs w:val="28"/>
          <w:rtl w:val="true"/>
          <w:lang w:bidi="fa-IR"/>
        </w:rPr>
        <w:t>.</w:t>
      </w:r>
    </w:p>
    <w:p>
      <w:pPr>
        <w:pStyle w:val="Heading3"/>
        <w:numPr>
          <w:ilvl w:val="2"/>
          <w:numId w:val="1"/>
        </w:numPr>
        <w:rPr/>
      </w:pPr>
      <w:bookmarkStart w:id="177" w:name="__RefHeading___Toc569444_1395250215"/>
      <w:bookmarkStart w:id="178" w:name="_Toc65"/>
      <w:bookmarkEnd w:id="177"/>
      <w:r>
        <w:rPr/>
        <w:t>6</w:t>
      </w:r>
      <w:r>
        <w:rPr>
          <w:rtl w:val="true"/>
        </w:rPr>
        <w:t xml:space="preserve">- </w:t>
      </w:r>
      <w:r>
        <w:rPr>
          <w:rtl w:val="true"/>
        </w:rPr>
        <w:t xml:space="preserve">مورد لعن و نفرین قرار دادن واقفیان </w:t>
      </w:r>
      <w:r>
        <w:rPr>
          <w:rtl w:val="true"/>
        </w:rPr>
        <w:t>(</w:t>
      </w:r>
      <w:r>
        <w:rPr>
          <w:rtl w:val="true"/>
        </w:rPr>
        <w:t>طرد زبانی</w:t>
      </w:r>
      <w:r>
        <w:rPr>
          <w:rtl w:val="true"/>
        </w:rPr>
        <w:t>)</w:t>
      </w:r>
      <w:bookmarkEnd w:id="17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واقفیه را مورد لعن قرار داده</w:t>
      </w:r>
      <w:r>
        <w:rPr>
          <w:rStyle w:val="FootnoteAnchor"/>
          <w:rtl w:val="true"/>
        </w:rPr>
        <w:footnoteReference w:id="326"/>
      </w:r>
      <w:r>
        <w:rPr>
          <w:rFonts w:ascii="IRNazanin" w:hAnsi="IRNazanin" w:eastAsia="IRNazanin"/>
          <w:color w:val="111111"/>
          <w:sz w:val="28"/>
          <w:sz w:val="28"/>
          <w:szCs w:val="28"/>
          <w:rtl w:val="true"/>
          <w:lang w:bidi="fa-IR"/>
        </w:rPr>
        <w:t>که به مواردی از آن قبلاً اشاره شد و اینک به چند روایت که حاوی نفرین‌های</w:t>
      </w:r>
      <w:bookmarkStart w:id="179" w:name="pg2633_18120"/>
    </w:p>
    <w:p>
      <w:pPr>
        <w:pStyle w:val="BookText"/>
        <w:rPr/>
      </w:pPr>
      <w:bookmarkEnd w:id="179"/>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واقفیه است،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محمد بن فضیل آمده که وی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ما روایت می‌کنیم که شما فرموده‌اید به ابن مهران که خدا نور را از قلبش ببرد و فقر را به خانه‌اش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چگونگی حالش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بدترین گرفتاران را دارد به طوری که حسین که در بغداد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به حج عمره برود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نامه‌ای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نفرین بر واقفه در قنوت نمازش می‌پرسد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را به او می‌دهد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ابوسعید مکاری را نفرین کرده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اطفأ الله نورک و ادخل الفقر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اخا لک تقبل منی و لست من غنمی</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نورت را خاموش گرداند و فقر را به خانه‌ات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برادر شوی، تو از گروه من نیستی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ابوسعید مکاری که در ابتدا از کوردلان بود، چشم سر را نیز از دست داده و کورچشم نیز گشت</w:t>
      </w:r>
      <w:r>
        <w:rPr>
          <w:rFonts w:eastAsia="IRNazanin" w:cs="IRNazanin"/>
          <w:color w:val="111111"/>
          <w:sz w:val="28"/>
          <w:szCs w:val="28"/>
          <w:rtl w:val="true"/>
          <w:lang w:bidi="fa-IR"/>
        </w:rPr>
        <w:t>.</w:t>
      </w:r>
      <w:r>
        <w:rPr>
          <w:rStyle w:val="FootnoteAnchor"/>
          <w:rtl w:val="true"/>
        </w:rPr>
        <w:footnoteReference w:id="330"/>
      </w:r>
    </w:p>
    <w:p>
      <w:pPr>
        <w:pStyle w:val="Heading3"/>
        <w:numPr>
          <w:ilvl w:val="2"/>
          <w:numId w:val="1"/>
        </w:numPr>
        <w:rPr/>
      </w:pPr>
      <w:bookmarkStart w:id="180" w:name="__RefHeading___Toc569446_1395250215"/>
      <w:bookmarkStart w:id="181" w:name="_Toc66"/>
      <w:bookmarkEnd w:id="180"/>
      <w:r>
        <w:rPr/>
        <w:t>7</w:t>
      </w:r>
      <w:r>
        <w:rPr>
          <w:rtl w:val="true"/>
        </w:rPr>
        <w:t xml:space="preserve">- </w:t>
      </w:r>
      <w:r>
        <w:rPr>
          <w:rtl w:val="true"/>
        </w:rPr>
        <w:t>ارائة کرامات علمی</w:t>
      </w:r>
      <w:bookmarkEnd w:id="18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کرامات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زیادی از واقفیان را به مسیر اصلی هدایت کرد که در ادامه به برخی از آن افراد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کرامات و حتّی دیگر مواضع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واقفیانی مؤثر واقع می‌شد که واقعاً از روی ناآگاهی و تحت تأثیر دیگر افراد منحرف، در امام زمان خویش دچار شک و تردید شده بودند، و نه کسانی که آگاهانه و به خاطر اهداف مادی و دنیوی و جاه و مقام به این راه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بیدار کردنِ فرد خواب، بسی آسان‌تر از کسی است که خود را به خواب زده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واقفیانی که با دیدن آثار و کراماتی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از توقف کشیده و به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شدند عبارت بودند از عبدالرحمن بن حجّاج، رفاعة بن موسی، یونس بن یعقوب، جمیل بن دراج، حماد بن عیسی، احمد بن محمد بن أبی‌نصر، حسن بن علی وشاء</w:t>
      </w:r>
      <w:r>
        <w:rPr>
          <w:rFonts w:eastAsia="IRNazanin" w:cs="IRNazanin"/>
          <w:color w:val="111111"/>
          <w:sz w:val="28"/>
          <w:szCs w:val="28"/>
          <w:rtl w:val="true"/>
          <w:lang w:bidi="fa-IR"/>
        </w:rPr>
        <w:t>.</w:t>
      </w:r>
      <w:r>
        <w:rPr>
          <w:rStyle w:val="FootnoteAnchor"/>
          <w:rtl w:val="true"/>
        </w:rPr>
        <w:footnoteReference w:id="331"/>
      </w:r>
      <w:bookmarkStart w:id="182" w:name="pg2633_18123"/>
    </w:p>
    <w:p>
      <w:pPr>
        <w:pStyle w:val="Heading2"/>
        <w:numPr>
          <w:ilvl w:val="1"/>
          <w:numId w:val="1"/>
        </w:numPr>
        <w:rPr/>
      </w:pPr>
      <w:bookmarkStart w:id="183" w:name="__RefHeading___Toc569448_1395250215"/>
      <w:bookmarkStart w:id="184" w:name="_Toc67"/>
      <w:bookmarkEnd w:id="182"/>
      <w:bookmarkEnd w:id="183"/>
      <w:r>
        <w:rPr>
          <w:rtl w:val="true"/>
        </w:rPr>
        <w:t xml:space="preserve">تعامل امام رضا </w:t>
      </w:r>
      <w:r>
        <w:rPr>
          <w:rtl w:val="true"/>
        </w:rPr>
        <w:t>(</w:t>
      </w:r>
      <w:r>
        <w:rPr>
          <w:rtl w:val="true"/>
        </w:rPr>
        <w:t>علیه السلام</w:t>
      </w:r>
      <w:r>
        <w:rPr>
          <w:rtl w:val="true"/>
        </w:rPr>
        <w:t xml:space="preserve">) </w:t>
      </w:r>
      <w:r>
        <w:rPr>
          <w:rtl w:val="true"/>
        </w:rPr>
        <w:t>با غالیان</w:t>
      </w:r>
      <w:bookmarkEnd w:id="18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 w:name="__RefHeading___Toc569450_1395250215"/>
      <w:bookmarkStart w:id="186" w:name="_Toc68"/>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جریان غلو، جریانی انحرافی است که در طول تاریخ بشر، همیشه وجود داشته و در ادیان و مذاهب مختلف، وارد شده و مورد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عده‌ای سود‌جو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مذهب شیعه نیز از این آفت در امان نبوده و همواره با آن درگیر بوده و به مبارزات جدی با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غلو و غالی گری در میان شیعیان، بیشتر در مورد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ائمۀ معصومین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پی آن، رهبران 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در واقع، غالیان به اشاعۀ افکار و گفتاری در مورد آنان می پرداختند که آنان را به درجۀ الوهیت و خدایی و یا نبوت و رسالت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جریان غلو، در طول تاریخ خود افت و خیزهایی داشته و غالیان در دوره های مختلف، عقاید گوناگونی را ابراز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مسئلۀ اصلی همۀ ادیان الهی و از جمله دین مبین اسلام، توحید بوده است و غلات نیز با عقاید باطلشان، در واقع توحید را نشانه رفته و این اصل اساسی و در حقیقت، پایۀ دین را مورد هدف قرارداده بودند، پس طبیعتاً ائمۀ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جانشینان به حقِّ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مبارزه و برخورد با آنها و بیان حق و حقیقت و اثبات آن، هیچ گونه تسامح و کوتاهی از خود نشان نداده و با تمام توان، در صدد نابودی این افکار باطل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در این قسمت سعی داریم، پس از بیان برخی عقاید و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فعالیت‌ها و اقدامات و اهداف غلات در زمان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بیان مواضع و دیدگاه‌های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آنان بپردازیم</w:t>
      </w:r>
      <w:r>
        <w:rPr>
          <w:rFonts w:eastAsia="IRNazanin" w:cs="IRNazanin"/>
          <w:color w:val="111111"/>
          <w:sz w:val="28"/>
          <w:szCs w:val="28"/>
          <w:rtl w:val="true"/>
          <w:lang w:bidi="fa-IR"/>
        </w:rPr>
        <w:t>.</w:t>
      </w:r>
      <w:bookmarkStart w:id="187" w:name="pg2633_18125"/>
    </w:p>
    <w:p>
      <w:pPr>
        <w:pStyle w:val="Heading3"/>
        <w:numPr>
          <w:ilvl w:val="2"/>
          <w:numId w:val="1"/>
        </w:numPr>
        <w:rPr/>
      </w:pPr>
      <w:bookmarkStart w:id="188" w:name="__RefHeading___Toc569452_1395250215"/>
      <w:bookmarkStart w:id="189" w:name="_Toc69"/>
      <w:bookmarkEnd w:id="187"/>
      <w:bookmarkEnd w:id="188"/>
      <w:r>
        <w:rPr>
          <w:rtl w:val="true"/>
        </w:rPr>
        <w:t xml:space="preserve">- </w:t>
      </w:r>
      <w:r>
        <w:rPr>
          <w:rtl w:val="true"/>
        </w:rPr>
        <w:t xml:space="preserve">شناخت جریان غلو در زمان امام رضا </w:t>
      </w:r>
      <w:r>
        <w:rPr>
          <w:rtl w:val="true"/>
        </w:rPr>
        <w:t>(</w:t>
      </w:r>
      <w:r>
        <w:rPr>
          <w:rtl w:val="true"/>
        </w:rPr>
        <w:t>علیه السلام</w:t>
      </w:r>
      <w:r>
        <w:rPr>
          <w:rtl w:val="true"/>
        </w:rPr>
        <w:t>):</w:t>
      </w:r>
      <w:bookmarkEnd w:id="189"/>
    </w:p>
    <w:p>
      <w:pPr>
        <w:pStyle w:val="BookText"/>
        <w:rPr/>
      </w:pPr>
      <w:r>
        <w:rPr>
          <w:rFonts w:ascii="IRNazanin" w:hAnsi="IRNazanin" w:eastAsia="IRNazanin"/>
          <w:color w:val="111111"/>
          <w:sz w:val="28"/>
          <w:sz w:val="28"/>
          <w:szCs w:val="28"/>
          <w:rtl w:val="true"/>
          <w:lang w:bidi="fa-IR"/>
        </w:rPr>
        <w:t xml:space="preserve">فعالیت غالیان در زمان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نام خاص و با عنوان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جداگانه مطرح نشده و در واقع از زمان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حیات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مواردی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که به عنوان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غلات مطرح شده باشند، بلکه در آن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اشخاصی بودند که به عنوان غالی مطرح بودند و البته اکثر این افراد، طرفدار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معروف غلات مانند خطابیه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این دوره را، دورۀ غلات بدون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بدون نام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در زمان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زیادی فعالیت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باتوجه به روایاتی نظیر روایت نقل شده از یونس بن عبدالرحمن که حاکی از سفر وی به عراق و ماجراهای پس از آن</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قسمت مواضع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نیز از آنجا که بیشتر غالیان ذکر شده در منابع رجالی، از اهالی کوفه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ادامه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که محل فعالیت آنها عمدتاً در کوفه و عراق یعنی دور از محل سکونت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غالیانی که در این دوره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زیسته و یا فعالیت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عبارت بودند از</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نقل شده که وقتی دختر ابوالخطاب از دنیا رفت، یونس سر قبر او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بنت</w:t>
      </w:r>
    </w:p>
    <w:p>
      <w:pPr>
        <w:pStyle w:val="BookText"/>
        <w:rPr/>
      </w:pPr>
      <w:r>
        <w:rPr>
          <w:rFonts w:ascii="IRNazanin" w:hAnsi="IRNazanin" w:eastAsia="IRNazanin"/>
          <w:color w:val="111111"/>
          <w:sz w:val="28"/>
          <w:sz w:val="28"/>
          <w:szCs w:val="28"/>
          <w:rtl w:val="true"/>
          <w:lang w:bidi="fa-IR"/>
        </w:rPr>
        <w:t>رسول الله؛</w:t>
      </w:r>
      <w:r>
        <w:rPr>
          <w:rStyle w:val="FootnoteAnchor"/>
          <w:rtl w:val="true"/>
        </w:rPr>
        <w:footnoteReference w:id="334"/>
      </w:r>
      <w:r>
        <w:rPr>
          <w:rFonts w:ascii="IRNazanin" w:hAnsi="IRNazanin" w:eastAsia="IRNazanin"/>
          <w:color w:val="111111"/>
          <w:sz w:val="28"/>
          <w:sz w:val="28"/>
          <w:szCs w:val="28"/>
          <w:rtl w:val="true"/>
          <w:lang w:bidi="fa-IR"/>
        </w:rPr>
        <w:t>درود بر تو، ای دختر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نشان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دهندۀ این است که یونس، ابوالخطاب را پیامبر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و از پیروانش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گفتار شیطانی و باطلی از او روایت شده است، به طوری که وقتی این مطالب، توسط فردی از غالیان به سمع و اطلاع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خشمگین شد و او و یونس و دیگر غالیان را به شدت لعن نمود، و گفته شده که این فرد غالی هنوز ده قدم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نشده بود که غش کرد و قی کرد و مرد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دیگر غالی خطرناک و برجستۀ این زمان است که گفته شده وی نیز مانند یونس بن ظبیان، اهل کوفه بوده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البته برخی، او را از اهالی بغداد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نسبت شرب خمر به وی داده شده است و نقل شده که ادعای نبوت و بابیت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و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بسته است</w:t>
      </w:r>
      <w:r>
        <w:rPr>
          <w:rFonts w:eastAsia="IRNazanin" w:cs="IRNazanin"/>
          <w:color w:val="111111"/>
          <w:sz w:val="28"/>
          <w:szCs w:val="28"/>
          <w:rtl w:val="true"/>
          <w:lang w:bidi="fa-IR"/>
        </w:rPr>
        <w:t>.</w:t>
      </w:r>
      <w:r>
        <w:rPr>
          <w:rStyle w:val="FootnoteAnchor"/>
          <w:rtl w:val="true"/>
        </w:rPr>
        <w:footnoteReference w:id="33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مورد لعن و نفرین قرار داده و حتی او را بدتر از ابوالخطاب شمرده 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خطابی مانند محمد بن فرات، بر ما دروغ نبست</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در مورد عاقبت محمد بن فرات گفته شده که به دست ابراهیم بن مهدی به قتل رسید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اهل کوفه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از غالیان و اصحاب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پس از شهادت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به گفتار و عقاید غالیانه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ادامه داده است</w:t>
      </w:r>
      <w:r>
        <w:rPr>
          <w:rFonts w:eastAsia="IRNazanin" w:cs="IRNazanin"/>
          <w:color w:val="111111"/>
          <w:sz w:val="28"/>
          <w:szCs w:val="28"/>
          <w:rtl w:val="true"/>
          <w:lang w:bidi="fa-IR"/>
        </w:rPr>
        <w:t>. </w:t>
      </w:r>
      <w:bookmarkStart w:id="190" w:name="pg2633_18128"/>
    </w:p>
    <w:p>
      <w:pPr>
        <w:pStyle w:val="Heading3"/>
        <w:numPr>
          <w:ilvl w:val="2"/>
          <w:numId w:val="1"/>
        </w:numPr>
        <w:rPr/>
      </w:pPr>
      <w:bookmarkStart w:id="191" w:name="__RefHeading___Toc569454_1395250215"/>
      <w:bookmarkStart w:id="192" w:name="_Toc70"/>
      <w:bookmarkEnd w:id="190"/>
      <w:bookmarkEnd w:id="191"/>
      <w:r>
        <w:rPr>
          <w:rtl w:val="true"/>
        </w:rPr>
        <w:t xml:space="preserve">- </w:t>
      </w:r>
      <w:r>
        <w:rPr>
          <w:rtl w:val="true"/>
        </w:rPr>
        <w:t xml:space="preserve">عقاید و آموزه های مورد تبلیغ غلات </w:t>
      </w:r>
      <w:r>
        <w:rPr>
          <w:rtl w:val="true"/>
        </w:rPr>
        <w:t>:</w:t>
      </w:r>
      <w:bookmarkEnd w:id="19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به الوهیت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عقیده به نبوت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افراد دیگر، عقیده به حلول و تناسخ و جبر و تشبیه و تفویض، اباحی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 و عقیده به مهدویت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عقاید و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مورد تبلیغ و ترویج غالیان زمان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هر کدام توضیح و تفصیل خاصی دارد؛ به عنوان نمونه عقیده به تناسخ که به گفتة شهرستانی، یکی از عقاید مشترک میان همة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غالی بود،</w:t>
      </w:r>
      <w:r>
        <w:rPr>
          <w:rStyle w:val="FootnoteAnchor"/>
          <w:rtl w:val="true"/>
        </w:rPr>
        <w:footnoteReference w:id="339"/>
      </w:r>
      <w:r>
        <w:rPr>
          <w:rFonts w:ascii="IRNazanin" w:hAnsi="IRNazanin" w:eastAsia="IRNazanin"/>
          <w:color w:val="111111"/>
          <w:sz w:val="28"/>
          <w:sz w:val="28"/>
          <w:szCs w:val="28"/>
          <w:rtl w:val="true"/>
          <w:lang w:bidi="fa-IR"/>
        </w:rPr>
        <w:t>به معنای انتقال روح از بدنی به بدن دیگر بوده است</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چنانکه پیروان محمد بن بشیر که قائل به تناسخ بودند ،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که روح امامان فقط یکی بوده که از بدنی به بدن دیگر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341"/>
      </w:r>
      <w:bookmarkStart w:id="193" w:name="pg2633_18129"/>
    </w:p>
    <w:p>
      <w:pPr>
        <w:pStyle w:val="Heading3"/>
        <w:numPr>
          <w:ilvl w:val="2"/>
          <w:numId w:val="1"/>
        </w:numPr>
        <w:rPr/>
      </w:pPr>
      <w:bookmarkStart w:id="194" w:name="__RefHeading___Toc569456_1395250215"/>
      <w:bookmarkStart w:id="195" w:name="_Toc71"/>
      <w:bookmarkEnd w:id="193"/>
      <w:bookmarkEnd w:id="194"/>
      <w:r>
        <w:rPr>
          <w:rtl w:val="true"/>
        </w:rPr>
        <w:t xml:space="preserve">- </w:t>
      </w:r>
      <w:r>
        <w:rPr>
          <w:rtl w:val="true"/>
        </w:rPr>
        <w:t>اقدامات و فعالیت‌های غالیان</w:t>
      </w:r>
      <w:r>
        <w:rPr>
          <w:rtl w:val="true"/>
        </w:rPr>
        <w:t>:</w:t>
      </w:r>
      <w:bookmarkEnd w:id="195"/>
    </w:p>
    <w:p>
      <w:pPr>
        <w:pStyle w:val="Heading4"/>
        <w:numPr>
          <w:ilvl w:val="3"/>
          <w:numId w:val="1"/>
        </w:numPr>
        <w:rPr/>
      </w:pPr>
      <w:bookmarkStart w:id="196" w:name="__RefHeading___Toc569458_1395250215"/>
      <w:bookmarkStart w:id="197" w:name="_Toc72"/>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 xml:space="preserve">غالیان زمان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ترویج عقاید و اندیشه ها و آموزه های خود، اقداماتی انجام می دادند که مهم ترین آنها عبارت بود از</w:t>
      </w:r>
      <w:r>
        <w:rPr>
          <w:rFonts w:eastAsia="IRNazanin" w:cs="IRNazanin"/>
          <w:color w:val="111111"/>
          <w:sz w:val="28"/>
          <w:szCs w:val="28"/>
          <w:rtl w:val="true"/>
          <w:lang w:bidi="fa-IR"/>
        </w:rPr>
        <w:t>:</w:t>
      </w:r>
    </w:p>
    <w:p>
      <w:pPr>
        <w:pStyle w:val="Heading4"/>
        <w:numPr>
          <w:ilvl w:val="3"/>
          <w:numId w:val="1"/>
        </w:numPr>
        <w:rPr/>
      </w:pPr>
      <w:bookmarkStart w:id="198" w:name="__RefHeading___Toc569460_1395250215"/>
      <w:bookmarkStart w:id="199" w:name="_Toc73"/>
      <w:bookmarkEnd w:id="198"/>
      <w:r>
        <w:rPr/>
        <w:t>1</w:t>
      </w:r>
      <w:r>
        <w:rPr>
          <w:rtl w:val="true"/>
        </w:rPr>
        <w:t>.</w:t>
      </w:r>
      <w:r>
        <w:rPr>
          <w:rtl w:val="true"/>
        </w:rPr>
        <w:t>جعل حدیث</w:t>
      </w:r>
      <w:bookmarkEnd w:id="199"/>
    </w:p>
    <w:p>
      <w:pPr>
        <w:pStyle w:val="BookText"/>
        <w:rPr/>
      </w:pPr>
      <w:r>
        <w:rPr>
          <w:rFonts w:ascii="IRNazanin" w:hAnsi="IRNazanin" w:eastAsia="IRNazanin"/>
          <w:color w:val="111111"/>
          <w:sz w:val="28"/>
          <w:sz w:val="28"/>
          <w:szCs w:val="28"/>
          <w:rtl w:val="true"/>
          <w:lang w:bidi="fa-IR"/>
        </w:rPr>
        <w:t>یکی از خطرناکترین اقدامات و فعالیت‌های غالیان، حدیث سازی و جعل حدیث توسط آنان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زمینه، از یونس بن عبدالرحمن روایت شده که وی کتب و احادیثی را 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کرده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احادیث را رد نموده و آنها را ساخته و پرداختۀ ابوالخطاب و یارانش دانسته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روایات فراوان نقل شده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دروغ بستن افراد غالی بر ائمه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قسمت مواضع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شاهد دیگری بر جعل حدیث توسط غالیان است</w:t>
      </w:r>
      <w:r>
        <w:rPr>
          <w:rFonts w:eastAsia="IRNazanin" w:cs="IRNazanin"/>
          <w:color w:val="111111"/>
          <w:sz w:val="28"/>
          <w:szCs w:val="28"/>
          <w:rtl w:val="true"/>
          <w:lang w:bidi="fa-IR"/>
        </w:rPr>
        <w:t>.</w:t>
      </w:r>
      <w:r>
        <w:rPr>
          <w:rStyle w:val="FootnoteAnchor"/>
          <w:rtl w:val="true"/>
        </w:rPr>
        <w:footnoteReference w:id="343"/>
      </w:r>
    </w:p>
    <w:p>
      <w:pPr>
        <w:pStyle w:val="Heading4"/>
        <w:numPr>
          <w:ilvl w:val="3"/>
          <w:numId w:val="1"/>
        </w:numPr>
        <w:rPr/>
      </w:pPr>
      <w:bookmarkStart w:id="200" w:name="__RefHeading___Toc569462_1395250215"/>
      <w:bookmarkStart w:id="201" w:name="_Toc74"/>
      <w:bookmarkEnd w:id="200"/>
      <w:r>
        <w:rPr/>
        <w:t>2</w:t>
      </w:r>
      <w:r>
        <w:rPr>
          <w:rtl w:val="true"/>
        </w:rPr>
        <w:t>.</w:t>
      </w:r>
      <w:r>
        <w:rPr>
          <w:rtl w:val="true"/>
        </w:rPr>
        <w:t>شعبده بازی</w:t>
      </w:r>
      <w:bookmarkEnd w:id="20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غلات برای اثبات عقاید و گفته های خود و جذب طرفداران و پیروان بیشتر، حتی اقدام به اموری همچون شعبده بازی نموده و انجام این گونه کارها را دلیلی بر پیامبری خود دانسته و این چنین توانستند افراد بسیاری را گمراه نمایند</w:t>
      </w:r>
      <w:r>
        <w:rPr>
          <w:rFonts w:eastAsia="IRNazanin" w:cs="IRNazanin"/>
          <w:color w:val="111111"/>
          <w:sz w:val="28"/>
          <w:szCs w:val="28"/>
          <w:rtl w:val="true"/>
          <w:lang w:bidi="fa-IR"/>
        </w:rPr>
        <w:t>.</w:t>
      </w:r>
      <w:r>
        <w:rPr>
          <w:rStyle w:val="FootnoteAnchor"/>
          <w:rtl w:val="true"/>
        </w:rPr>
        <w:footnoteReference w:id="344"/>
      </w:r>
      <w:bookmarkStart w:id="202" w:name="pg2633_18130"/>
    </w:p>
    <w:p>
      <w:pPr>
        <w:pStyle w:val="Heading4"/>
        <w:numPr>
          <w:ilvl w:val="3"/>
          <w:numId w:val="1"/>
        </w:numPr>
        <w:rPr/>
      </w:pPr>
      <w:bookmarkStart w:id="203" w:name="__RefHeading___Toc569464_1395250215"/>
      <w:bookmarkStart w:id="204" w:name="_Toc75"/>
      <w:bookmarkEnd w:id="202"/>
      <w:bookmarkEnd w:id="203"/>
      <w:r>
        <w:rPr/>
        <w:t>3</w:t>
      </w:r>
      <w:r>
        <w:rPr>
          <w:rtl w:val="true"/>
        </w:rPr>
        <w:t xml:space="preserve">. </w:t>
      </w:r>
      <w:r>
        <w:rPr>
          <w:rtl w:val="true"/>
        </w:rPr>
        <w:t>اباحی گری</w:t>
      </w:r>
      <w:bookmarkEnd w:id="20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غالیان از راه ترویج اباحی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توانستند بسیاری از مردم کم ظرفیت و بی بند و بار را اطراف خود جمع کرده و از آنها در پیشبرد اهداف و مقاصد خود استفاده کنند</w:t>
      </w:r>
      <w:r>
        <w:rPr>
          <w:rFonts w:eastAsia="IRNazanin" w:cs="IRNazanin"/>
          <w:color w:val="111111"/>
          <w:sz w:val="28"/>
          <w:szCs w:val="28"/>
          <w:rtl w:val="true"/>
          <w:lang w:bidi="fa-IR"/>
        </w:rPr>
        <w:t>.</w:t>
      </w:r>
      <w:r>
        <w:rPr>
          <w:rStyle w:val="FootnoteAnchor"/>
          <w:rtl w:val="true"/>
        </w:rPr>
        <w:footnoteReference w:id="345"/>
      </w:r>
      <w:bookmarkStart w:id="205" w:name="pg2633_18131"/>
    </w:p>
    <w:p>
      <w:pPr>
        <w:pStyle w:val="Heading3"/>
        <w:numPr>
          <w:ilvl w:val="2"/>
          <w:numId w:val="1"/>
        </w:numPr>
        <w:rPr/>
      </w:pPr>
      <w:bookmarkStart w:id="206" w:name="__RefHeading___Toc569466_1395250215"/>
      <w:bookmarkStart w:id="207" w:name="_Toc76"/>
      <w:bookmarkEnd w:id="205"/>
      <w:bookmarkEnd w:id="206"/>
      <w:r>
        <w:rPr>
          <w:rtl w:val="true"/>
        </w:rPr>
        <w:t xml:space="preserve">- </w:t>
      </w:r>
      <w:r>
        <w:rPr>
          <w:rtl w:val="true"/>
        </w:rPr>
        <w:t>اهداف رهبران غلات</w:t>
      </w:r>
      <w:r>
        <w:rPr>
          <w:rtl w:val="true"/>
        </w:rPr>
        <w:t>:</w:t>
      </w:r>
      <w:bookmarkEnd w:id="207"/>
    </w:p>
    <w:p>
      <w:pPr>
        <w:pStyle w:val="BookText"/>
        <w:rPr/>
      </w:pPr>
      <w:r>
        <w:rPr>
          <w:rFonts w:ascii="IRNazanin" w:hAnsi="IRNazanin" w:eastAsia="IRNazanin"/>
          <w:color w:val="111111"/>
          <w:sz w:val="28"/>
          <w:sz w:val="28"/>
          <w:szCs w:val="28"/>
          <w:rtl w:val="true"/>
          <w:lang w:bidi="fa-IR"/>
        </w:rPr>
        <w:t>از مهم ترین اهداف و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برای رؤسای غلات، مخصوصاً در زمان مورد بحث، برشمرد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یافتن به جاه و مقام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دستیابی به پول و ثروت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اباحی‌گری و رهایی از قیود دینی</w:t>
      </w:r>
    </w:p>
    <w:p>
      <w:pPr>
        <w:pStyle w:val="BookText"/>
        <w:rPr/>
      </w:pPr>
      <w:r>
        <w:rPr>
          <w:rFonts w:ascii="IRNazanin" w:hAnsi="IRNazanin" w:eastAsia="IRNazanin"/>
          <w:color w:val="111111"/>
          <w:sz w:val="28"/>
          <w:sz w:val="28"/>
          <w:szCs w:val="28"/>
          <w:rtl w:val="true"/>
          <w:lang w:bidi="fa-IR"/>
        </w:rPr>
        <w:t>که این هر سه مورد، درفرقۀ بشیریه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چرا که آنان پس از شهادت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شدند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مهدی موعود است که در هنگام غیبتش، محمد بن بشیر را جانشین خود قرار داده و محمد بن بشیر پس از او امام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همچنین رؤسای غلات، برای اینکه بتوانند خود را پیامبر معرفی نمایند، از جایگاه والای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مردم استفاده کرده وآنان را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تا بتوانند خود را پیامبر این خدا معرفی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بشیر یکی از کسانی است که این ادعا را برای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او را خدا خواند و درپی آن، با استفاده از شعبده بازی و فریب مردم، خود را پیامبر معرفی کرده و دلیل خود را نیز کارهای خارق العاده و شعبده بازی هایش ذکر کرد</w:t>
      </w:r>
      <w:r>
        <w:rPr>
          <w:rFonts w:eastAsia="IRNazanin" w:cs="IRNazanin"/>
          <w:color w:val="111111"/>
          <w:sz w:val="28"/>
          <w:szCs w:val="28"/>
          <w:rtl w:val="true"/>
          <w:lang w:bidi="fa-IR"/>
        </w:rPr>
        <w:t>.</w:t>
      </w:r>
      <w:r>
        <w:rPr>
          <w:rStyle w:val="FootnoteAnchor"/>
          <w:rtl w:val="true"/>
        </w:rPr>
        <w:footnoteReference w:id="34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واجب الاطاعه بودن سران غلات، در نتیجۀ نبوت و امامت آنها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نوبت سرازیر شدن پول و ثروت به سمت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پیروان محمد بن بشیر موظف بودند</w:t>
      </w:r>
    </w:p>
    <w:p>
      <w:pPr>
        <w:pStyle w:val="BookText"/>
        <w:rPr/>
      </w:pPr>
      <w:r>
        <w:rPr>
          <w:rFonts w:ascii="IRNazanin" w:hAnsi="IRNazanin" w:eastAsia="IRNazanin"/>
          <w:color w:val="111111"/>
          <w:sz w:val="28"/>
          <w:sz w:val="28"/>
          <w:szCs w:val="28"/>
          <w:rtl w:val="true"/>
          <w:lang w:bidi="fa-IR"/>
        </w:rPr>
        <w:t xml:space="preserve">که پس ازمرگ او، حقوقی که به او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پرداختند و از اموال خود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جهت تقرب به خداوند به جانشینان او پرداخت نمایند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همچنین بشیریه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که هرکس در راه خدا به چیزی وصیت کند و اموالی را به ارث بگذارد، متعلق به سمیع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محمد بن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اباحی‌گری و رهایی از قیود دینی و مذهبی، نیز از دیگر مواردی بود که رهبران غلات را به سمت این عقاید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زیرا آنان بدین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و با این عقاید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بسیاری ازفرایض و بلکه همۀ آنها را نادیده بگیرند و با حلال شمردن محرمات،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نفسانی خود برسند و همچنین از این طریق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افراد فاسد و جاهل را به دورخود جمع کرده وبر پیروانشان بیافزایند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غالیان، حتی برای رسیدن به خواسته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گفتار ناشایستی را در حقّ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داشته</w:t>
      </w:r>
      <w:r>
        <w:rPr>
          <w:rStyle w:val="FootnoteAnchor"/>
          <w:rtl w:val="true"/>
        </w:rPr>
        <w:footnoteReference w:id="350"/>
      </w:r>
      <w:r>
        <w:rPr>
          <w:rFonts w:ascii="IRNazanin" w:hAnsi="IRNazanin" w:eastAsia="IRNazanin"/>
          <w:color w:val="111111"/>
          <w:sz w:val="28"/>
          <w:sz w:val="28"/>
          <w:szCs w:val="28"/>
          <w:rtl w:val="true"/>
          <w:lang w:bidi="fa-IR"/>
        </w:rPr>
        <w:t xml:space="preserve">و حتی گفته شده پیروان محمد بن بشیر بر ضد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افراد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کردند</w:t>
      </w:r>
      <w:r>
        <w:rPr>
          <w:rFonts w:eastAsia="IRNazanin" w:cs="IRNazanin"/>
          <w:color w:val="111111"/>
          <w:sz w:val="28"/>
          <w:szCs w:val="28"/>
          <w:rtl w:val="true"/>
          <w:lang w:bidi="fa-IR"/>
        </w:rPr>
        <w:t>.</w:t>
      </w:r>
      <w:r>
        <w:rPr>
          <w:rStyle w:val="FootnoteAnchor"/>
          <w:rtl w:val="true"/>
        </w:rPr>
        <w:footnoteReference w:id="351"/>
      </w:r>
      <w:bookmarkStart w:id="208" w:name="pg2633_18133"/>
    </w:p>
    <w:p>
      <w:pPr>
        <w:pStyle w:val="Heading2"/>
        <w:numPr>
          <w:ilvl w:val="1"/>
          <w:numId w:val="1"/>
        </w:numPr>
        <w:rPr/>
      </w:pPr>
      <w:bookmarkStart w:id="209" w:name="__RefHeading___Toc569468_1395250215"/>
      <w:bookmarkStart w:id="210" w:name="_Toc77"/>
      <w:bookmarkEnd w:id="208"/>
      <w:bookmarkEnd w:id="209"/>
      <w:r>
        <w:rPr>
          <w:rtl w:val="true"/>
        </w:rPr>
        <w:t xml:space="preserve">مواضع امام رضا </w:t>
      </w:r>
      <w:r>
        <w:rPr>
          <w:rtl w:val="true"/>
        </w:rPr>
        <w:t>(</w:t>
      </w:r>
      <w:r>
        <w:rPr>
          <w:rtl w:val="true"/>
        </w:rPr>
        <w:t>علیه السلام</w:t>
      </w:r>
      <w:r>
        <w:rPr>
          <w:rtl w:val="true"/>
        </w:rPr>
        <w:t xml:space="preserve">) </w:t>
      </w:r>
      <w:r>
        <w:rPr>
          <w:rtl w:val="true"/>
        </w:rPr>
        <w:t>در برابر غلات</w:t>
      </w:r>
      <w:r>
        <w:rPr>
          <w:rtl w:val="true"/>
        </w:rPr>
        <w:t>:</w:t>
      </w:r>
      <w:bookmarkEnd w:id="210"/>
    </w:p>
    <w:p>
      <w:pPr>
        <w:pStyle w:val="Heading3"/>
        <w:numPr>
          <w:ilvl w:val="2"/>
          <w:numId w:val="1"/>
        </w:numPr>
        <w:rPr/>
      </w:pPr>
      <w:bookmarkStart w:id="211" w:name="__RefHeading___Toc569470_1395250215"/>
      <w:bookmarkStart w:id="212" w:name="_Toc78"/>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با توجه به خطراتی که از ناحیۀ غالیان، متوجه اصل و کیان شیعه و تشیع بود و از همه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رواج افکار مخرّب و منحرف توسط آنان درخصوص مسألۀ توحید، امامان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شدیدترین برخورد را در مبارزه با آنان در پیش گرفتند و در این راستا،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پدران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جریان غلو و غالی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به شدت برخورد نموده و با تمام تلاش، سعی در حذف کامل آن عقاید پلید از اذهان و تاریخ نمودند و در این راه،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را متحمل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وقتی در مدینه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به پاسخگویی و مبارزه با غالیان و افکار غلو آمیز پرداخت ، بلکه زمانی هم که در مرو بود، به این امر خطیر توجه داشته و در آنجا نیز به پاسخگویی و رد عقاید غالیان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گفتگوی مأمون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مورد ایشان غلو کرده بودند</w:t>
      </w:r>
      <w:r>
        <w:rPr>
          <w:rStyle w:val="FootnoteAnchor"/>
          <w:rtl w:val="true"/>
        </w:rPr>
        <w:footnoteReference w:id="352"/>
      </w:r>
      <w:r>
        <w:rPr>
          <w:rFonts w:ascii="IRNazanin" w:hAnsi="IRNazanin" w:eastAsia="IRNazanin"/>
          <w:color w:val="111111"/>
          <w:sz w:val="28"/>
          <w:sz w:val="28"/>
          <w:szCs w:val="28"/>
          <w:rtl w:val="true"/>
          <w:lang w:bidi="fa-IR"/>
        </w:rPr>
        <w:t xml:space="preserve">و نیز گزارش شخصی به نام یزید بن عمیر بن معاویه که به نزد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رفته ومعنای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أمر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w:t>
      </w:r>
      <w:r>
        <w:rPr>
          <w:rStyle w:val="FootnoteAnchor"/>
          <w:rtl w:val="true"/>
        </w:rPr>
        <w:footnoteReference w:id="353"/>
      </w:r>
      <w:r>
        <w:rPr>
          <w:rFonts w:ascii="IRNazanin" w:hAnsi="IRNazanin" w:eastAsia="IRNazanin"/>
          <w:color w:val="111111"/>
          <w:sz w:val="28"/>
          <w:sz w:val="28"/>
          <w:szCs w:val="28"/>
          <w:rtl w:val="true"/>
          <w:lang w:bidi="fa-IR"/>
        </w:rPr>
        <w:t xml:space="preserve">که شرح بیشتر هر دو مورد یاد شده در قسمت مواضع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مسأله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سعی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تا از میان احادیث و روایات وارده،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تلاش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این فرقۀ</w:t>
      </w:r>
      <w:bookmarkStart w:id="213" w:name="pg2633_18134"/>
    </w:p>
    <w:p>
      <w:pPr>
        <w:pStyle w:val="BookText"/>
        <w:rPr/>
      </w:pPr>
      <w:bookmarkEnd w:id="213"/>
      <w:r>
        <w:rPr>
          <w:rFonts w:ascii="IRNazanin" w:hAnsi="IRNazanin" w:eastAsia="IRNazanin"/>
          <w:color w:val="111111"/>
          <w:sz w:val="28"/>
          <w:sz w:val="28"/>
          <w:szCs w:val="28"/>
          <w:rtl w:val="true"/>
          <w:lang w:bidi="fa-IR"/>
        </w:rPr>
        <w:t xml:space="preserve">منحرف و منتسب به شیعه را به تصویر بکشیم و در این راه، برای تفهیم بهتر و بیشتر، برخوردها و سخنان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مراحل مختلف تقسیم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Heading3"/>
        <w:numPr>
          <w:ilvl w:val="2"/>
          <w:numId w:val="1"/>
        </w:numPr>
        <w:rPr/>
      </w:pPr>
      <w:bookmarkStart w:id="214" w:name="__RefHeading___Toc569472_1395250215"/>
      <w:bookmarkStart w:id="215" w:name="_Toc79"/>
      <w:bookmarkEnd w:id="214"/>
      <w:r>
        <w:rPr/>
        <w:t>1</w:t>
      </w:r>
      <w:r>
        <w:rPr>
          <w:rtl w:val="true"/>
        </w:rPr>
        <w:t xml:space="preserve">. </w:t>
      </w:r>
      <w:r>
        <w:rPr>
          <w:rtl w:val="true"/>
        </w:rPr>
        <w:t>بیان ضرورت پرداختن به مسألۀ غالیان</w:t>
      </w:r>
      <w:bookmarkEnd w:id="215"/>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ارزشمند خود به این مسألۀ مهم یعنی ضرورت پرداختن به غالیان توجه نموده و آن را بیان فرموده است، که در ادامه به آن موارد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که در آن قائلان به تشبیه و جبر را کافر و مشرک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در قسمتی از آن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الغلاۀ الذین صغروا عظمۀ الله تعالی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که اصلی ترین انگیزه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برای مطرح کردن عقیدة تشبیه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کردن خداوند به موجودات محسوس همچون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کوچک نشان دادن عظمت خالق و خداوند در میان مردمان باشد تا آنها بتوانند به راحتی خدایی را به رهبران خود نیز نسبت دهند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از طرف دیگر با توجه به اینکه اصل و هدف تمام ادیان الهی، همانا مسألۀ توحید بوده است، پس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علت پرداختن به مسأله غالیان، این است که آنها عظمت خدای متعال را به دلایل مختلف و با رواج افکار پلید خود، کوچک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واقع اصلی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اساسی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پایة دین که همانا مسألۀ توحید است را با افکار پوچ و واهی خود، مورد هدف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گمراه شدن و انحراف شیعیان و به خصوص جوانان؛ از آنجا که جوانان آمادگی بیشتری برای پذیرفتن هر مطلبی را دارند و قلب و روحشان، زود تحت تأثیر افکار و افعال اعم از مثبت و منفی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پس خطرغالیان برای از راه به در کردن و گمراه کردن این قشر، بیشتر است و با توجه به اینکه جوان، سرمایة هر ملّت و مملکت و سازندة فردای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باید توجه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به آنان مبذول داشت تا در دام شیاطین گرفتار نشوند و با این کار، آیندة آن ملت و مملکت و آن دین و مذهب را بیمه نمود؛ از این رو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غُلات، نسبت به جوانان خود برحذر باشید که مبادا آنان را فاسد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روایات متعددی مبنی بر منع معاشرت با غلات نقل شده، و از آن جمله در جایی ضمن بیان سرانجام و عاقبت محمد بن فرات و کسانی که بر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بستند، علت ذکر این سخنان را فقط دوری و زنهار دادن اصحابش از محمد بن فرات و امر آنها به لعن و بیزاری جستن از او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قلت ذلک لتحذر عنه أصحابی و تأمرهم بلعنه و البراءۀ منه فإن الله بریء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فقط از آن جهت به تو گفتم که اصحابم 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دهی و آنها را به لعن او امر کنی و به بیزاری از او واداری، چرا که خداوند از او بیزار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جلوگیری از بدنام شدن و تکفیر شیعیان نزد مردم؛ غالیان با</w:t>
      </w:r>
      <w:bookmarkStart w:id="216" w:name="pg2633_18136"/>
    </w:p>
    <w:p>
      <w:pPr>
        <w:pStyle w:val="BookText"/>
        <w:rPr/>
      </w:pPr>
      <w:bookmarkEnd w:id="216"/>
      <w:r>
        <w:rPr>
          <w:rFonts w:ascii="IRNazanin" w:hAnsi="IRNazanin" w:eastAsia="IRNazanin"/>
          <w:color w:val="111111"/>
          <w:sz w:val="28"/>
          <w:sz w:val="28"/>
          <w:szCs w:val="28"/>
          <w:rtl w:val="true"/>
          <w:lang w:bidi="fa-IR"/>
        </w:rPr>
        <w:t>نامیدن و جا زدن خود به نام شیعه و بیان عقاید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پایه و اساس و غیر منطقی خود نزد سایر مردم و به خصوص مخالفان و دشمنان شیعه،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مردم نسبت به شیعیان بدبین شده و آنها را تکفیر کرده و از خود برانند و به ویژه این مسأله موجب سوء استفادۀ مخالفان و معاندان شیعه و نیز گروه‌های سودجوی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در این مورد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و دشمنان ما سه دسته اخبار و روایات در فضایل ما جعل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تقصیرو کوتاهی در امر ما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آشکار از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مردم غلوّ را دربارة ما بشنوند، شیعیان ما را تکفیر کرده، آنان را معتقد به ربوبیت ما خواهند خواند </w:t>
      </w:r>
      <w:r>
        <w:rPr>
          <w:rFonts w:eastAsia="IRNazanin" w:cs="IRNazanin"/>
          <w:color w:val="111111"/>
          <w:sz w:val="28"/>
          <w:szCs w:val="28"/>
          <w:rtl w:val="true"/>
          <w:lang w:bidi="fa-IR"/>
        </w:rPr>
        <w:t xml:space="preserve">...». </w:t>
      </w:r>
      <w:r>
        <w:rPr>
          <w:rStyle w:val="FootnoteAnchor"/>
          <w:rtl w:val="true"/>
        </w:rPr>
        <w:footnoteReference w:id="356"/>
      </w:r>
    </w:p>
    <w:p>
      <w:pPr>
        <w:pStyle w:val="Heading3"/>
        <w:numPr>
          <w:ilvl w:val="2"/>
          <w:numId w:val="1"/>
        </w:numPr>
        <w:rPr/>
      </w:pPr>
      <w:bookmarkStart w:id="217" w:name="__RefHeading___Toc569474_1395250215"/>
      <w:bookmarkStart w:id="218" w:name="_Toc80"/>
      <w:bookmarkEnd w:id="217"/>
      <w:r>
        <w:rPr/>
        <w:t>2</w:t>
      </w:r>
      <w:r>
        <w:rPr>
          <w:rtl w:val="true"/>
        </w:rPr>
        <w:t xml:space="preserve">. </w:t>
      </w:r>
      <w:r>
        <w:rPr>
          <w:rtl w:val="true"/>
        </w:rPr>
        <w:t>معرفی ماهیت غالیان و بیان عقاید آنها</w:t>
      </w:r>
      <w:bookmarkEnd w:id="218"/>
    </w:p>
    <w:p>
      <w:pPr>
        <w:pStyle w:val="BookText"/>
        <w:rPr/>
      </w:pPr>
      <w:r>
        <w:rPr>
          <w:rFonts w:ascii="IRNazanin" w:hAnsi="IRNazanin" w:eastAsia="IRNazanin"/>
          <w:color w:val="111111"/>
          <w:sz w:val="28"/>
          <w:sz w:val="28"/>
          <w:szCs w:val="28"/>
          <w:rtl w:val="true"/>
          <w:lang w:bidi="fa-IR"/>
        </w:rPr>
        <w:t>پس از اینکه ضرورت پرداختن به مسألۀ غالیان روشن شد، باید چهرة غالی را شناخت و نیز عقاید وی را دانست تا بهتر بتوان با وی مبارزه کرد، ضمن اینکه شناخت چهرة غالی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شیعیان از غالیان بازشناخته شده و مردم و مخالفان منصف، بین این دو تمایز قایل شده و غالیان را از شیعه و فرَق شیعی ندانند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معرفی مشخصات و عقاید غالی، در مواردی حتی رهبران اصلی جریان غلو در زمان خویش و حتی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 را نیز با اسم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که این معرفی واضح و آشکار، کمک شایان توجهی به شیعیان آن زمان و زمان‌های بعدی، برای شناخت غالیان و نیز گرفتار نشدن آنان در دام‌های</w:t>
      </w:r>
    </w:p>
    <w:p>
      <w:pPr>
        <w:pStyle w:val="BookText"/>
        <w:rPr/>
      </w:pPr>
      <w:r>
        <w:rPr>
          <w:rFonts w:ascii="IRNazanin" w:hAnsi="IRNazanin" w:eastAsia="IRNazanin"/>
          <w:color w:val="111111"/>
          <w:sz w:val="28"/>
          <w:sz w:val="28"/>
          <w:szCs w:val="28"/>
          <w:rtl w:val="true"/>
          <w:lang w:bidi="fa-IR"/>
        </w:rPr>
        <w:t>شیاطین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و نیزباعث عدم تخلیط شیعه از غیر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ذکر چند روایت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تشبیه و جبر معتقد باشد، کافر و مشرک است و ما در دنیا و آخرت از او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جبر و تشبیه را غلات که عظمت خدا را کوچک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قول ما جعل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قائل به تناسخ شود،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غلات را لعنت کند، بدانید که آنها یهودی بودند، مجوس بودند، </w:t>
      </w:r>
      <w:r>
        <w:rPr>
          <w:rStyle w:val="FootnoteAnchor"/>
          <w:rtl w:val="true"/>
        </w:rPr>
        <w:footnoteReference w:id="358"/>
      </w:r>
      <w:r>
        <w:rPr>
          <w:rFonts w:ascii="IRNazanin" w:hAnsi="IRNazanin" w:eastAsia="IRNazanin"/>
          <w:color w:val="111111"/>
          <w:sz w:val="28"/>
          <w:sz w:val="28"/>
          <w:szCs w:val="28"/>
          <w:rtl w:val="true"/>
          <w:lang w:bidi="fa-IR"/>
        </w:rPr>
        <w:t xml:space="preserve">نصاری بودند، قدریه بودند، مرجئه بودند، حروریه بودند </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غلات، کافرند و مفوضه مشرکند، </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فرات، مرا آزار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آزار دهد و داغی آهن را به او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لعنت کند، مرا طوری اذیت کرد که مانند آن، ابوالخطاب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خطابی مانند محمد بن فرات بر ما دروغ نبست </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شیطان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 </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بنان بر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بست، پس خدا داغی آهن را به او چشاند، و مغیرۀ بن سعید بر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بست، پس خدا داغی آهن را به او چشاند، و محمد بن بشیر بر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 پس خدا داغی آهن را به او چشاند، و ابوالخطاب بر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 پس خدا داغی آهن را به او چشاند، وکسی که بر من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محمد بن فرات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حد عبودیت تجاوز دهد، از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خشم و غضب قرارگرفتگان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خواهد بود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شنید،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افراد اوصاف خداوند متعال را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او را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بدنش لرزید و عرق از سر و رویش جریان پیدا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 از آنچه ظالمان و کافران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قائلند، برتری بزرگ </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قسمتی از دعای 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گمان دارد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بیزاریم و هرکس گمان دارد که آفرینش و روزی به ما واگذار شده است، پس ما از او به سوی تو چنان تبری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جوئیم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نصاری تبری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دعوت نکردیم که اعتقادی چنین داشته باشند، پس ما را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مؤاخذه</w:t>
      </w:r>
      <w:bookmarkStart w:id="219" w:name="pg2633_18139"/>
    </w:p>
    <w:p>
      <w:pPr>
        <w:pStyle w:val="BookText"/>
        <w:rPr/>
      </w:pPr>
      <w:bookmarkEnd w:id="21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مفرما، و بیامرز برای ما آنچه را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چنانکه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روایات مطرح شده از سوی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عقاید غلات از جمله عقیده به جبر و تشبیه و تفویض، ادعای الوهیت و ربوبیت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تناسخ بیان شده و غلات افرادی دروغگو، جعل کنندة احادیث، کافر، ظالم،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خشم و غضب خدا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بدتر از مجوس، یهود، نصاری، قدریه، مرجئه و حروریه معرفی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مفوضه، مشرک خوانده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ماهیت پلید غلات و رهبران اصلی آنهارا معرفی نمود بلکه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عقاید آنها را مطرح کرده و سپس ـ چنانچه خواهد آمد ـ با بیزاری جستن شدید از این عقاید، عقاید صحیح و مقابل آنها را بیان نموده و در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موارد هم هشدار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حاضران، غایبان را مطلع سازند</w:t>
      </w:r>
      <w:r>
        <w:rPr>
          <w:rFonts w:eastAsia="IRNazanin" w:cs="IRNazanin"/>
          <w:color w:val="111111"/>
          <w:sz w:val="28"/>
          <w:szCs w:val="28"/>
          <w:rtl w:val="true"/>
          <w:lang w:bidi="fa-IR"/>
        </w:rPr>
        <w:t>.</w:t>
      </w:r>
    </w:p>
    <w:p>
      <w:pPr>
        <w:pStyle w:val="Heading3"/>
        <w:numPr>
          <w:ilvl w:val="2"/>
          <w:numId w:val="1"/>
        </w:numPr>
        <w:rPr/>
      </w:pPr>
      <w:bookmarkStart w:id="220" w:name="__RefHeading___Toc569476_1395250215"/>
      <w:bookmarkStart w:id="221" w:name="_Toc81"/>
      <w:bookmarkEnd w:id="220"/>
      <w:r>
        <w:rPr/>
        <w:t>3</w:t>
      </w:r>
      <w:r>
        <w:rPr>
          <w:rtl w:val="true"/>
        </w:rPr>
        <w:t xml:space="preserve">. </w:t>
      </w:r>
      <w:r>
        <w:rPr>
          <w:rtl w:val="true"/>
        </w:rPr>
        <w:t>ردّ عقاید غالیان و بیان عقاید صحیح</w:t>
      </w:r>
      <w:bookmarkEnd w:id="221"/>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اینکه مردم را با عقاید پوچ و فاسد غالیان آشنا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سپس آن عقاید را با دلایل محکم رد کرده و عقاید صحیح را بیان و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وقتی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تفویض سؤال شد،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خدای تبارک و تعالی امر دین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آنچه را پیامبر برای شما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امرکرده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کنید و آنچه از آن نهی کرده، از آن</w:t>
      </w:r>
      <w:bookmarkStart w:id="222" w:name="pg2633_18140"/>
    </w:p>
    <w:p>
      <w:pPr>
        <w:pStyle w:val="BookText"/>
        <w:rPr/>
      </w:pPr>
      <w:bookmarkEnd w:id="222"/>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اما خلقت و رزق و روزی،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توضیح این مطلب و تنزیه خداوند متعال از شرک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به طوریکه مشاهده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شود، در اینجا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مسألۀ تفویض و معنای صحیح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دعایی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به رد عقاید غلط غالیان، و انزجار و بیزاری از آن عقاید و نیز به بیان عقاید 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دعای خود با کمال تواضع و خشوع در مقابل خداوند، اظهار و ابراز بندگی نموده و خود و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مخلوق پروردگار یکتا دانسته وطرح هرگونه الوهیت و ربوبیت برای غیر خدا را به شدت رد کرده و امر آفرینش و رزق و روزی و هرگونه حول و قوه و قدرتی را فقط مخصوص خداوند متعال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369"/>
      </w:r>
    </w:p>
    <w:p>
      <w:pPr>
        <w:pStyle w:val="Heading3"/>
        <w:numPr>
          <w:ilvl w:val="2"/>
          <w:numId w:val="1"/>
        </w:numPr>
        <w:rPr/>
      </w:pPr>
      <w:bookmarkStart w:id="223" w:name="__RefHeading___Toc569478_1395250215"/>
      <w:bookmarkStart w:id="224" w:name="_Toc82"/>
      <w:bookmarkEnd w:id="223"/>
      <w:r>
        <w:rPr/>
        <w:t>4</w:t>
      </w:r>
      <w:r>
        <w:rPr>
          <w:rtl w:val="true"/>
        </w:rPr>
        <w:t xml:space="preserve">. </w:t>
      </w:r>
      <w:r>
        <w:rPr>
          <w:rtl w:val="true"/>
        </w:rPr>
        <w:t>بیان علل غلو و عاقبت غالی</w:t>
      </w:r>
      <w:bookmarkEnd w:id="224"/>
    </w:p>
    <w:p>
      <w:pPr>
        <w:pStyle w:val="BookText"/>
        <w:rPr/>
      </w:pPr>
      <w:r>
        <w:rPr>
          <w:rFonts w:ascii="IRNazanin" w:hAnsi="IRNazanin" w:eastAsia="IRNazanin"/>
          <w:color w:val="111111"/>
          <w:sz w:val="28"/>
          <w:sz w:val="28"/>
          <w:szCs w:val="28"/>
          <w:rtl w:val="true"/>
          <w:lang w:bidi="fa-IR"/>
        </w:rPr>
        <w:t>شاید بتوان مهم ترین علت غلو را جهل و نادانی و کم ظرفیتی غلات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وقتی شخصی علت خدادانستن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توسط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معجزات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w:t>
      </w:r>
      <w:r>
        <w:rPr>
          <w:rStyle w:val="FootnoteAnchor"/>
          <w:rtl w:val="true"/>
        </w:rPr>
        <w:footnoteReference w:id="370"/>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در قسمتی از بیاناتش به این مطلب اشاره نموده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گمراهان کافر چیزی جز از ناحیة جهل خود، به اندازة نفوس</w:t>
      </w:r>
      <w:bookmarkStart w:id="225" w:name="pg2633_18141"/>
    </w:p>
    <w:p>
      <w:pPr>
        <w:pStyle w:val="BookText"/>
        <w:rPr/>
      </w:pPr>
      <w:bookmarkEnd w:id="225"/>
      <w:r>
        <w:rPr>
          <w:rFonts w:ascii="IRNazanin" w:hAnsi="IRNazanin" w:eastAsia="IRNazanin"/>
          <w:color w:val="111111"/>
          <w:sz w:val="28"/>
          <w:sz w:val="28"/>
          <w:szCs w:val="28"/>
          <w:rtl w:val="true"/>
          <w:lang w:bidi="fa-IR"/>
        </w:rPr>
        <w:t xml:space="preserve">خود نیاوردند تا اینکه تعجبشان از آن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معجزات به شدت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تعظیمشان به خاطر آن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اموری که از آنها پدید آمد،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بزرگ شمردند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چنانچه در این حدیث شریف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عقل و درک غلات، تحمل دیدن معجزات را نداشته و این جهل و نادانی و کم ظرفیتی، آنان را به غلو گرفتار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عاقبت کارغالی؛ مورد لعن و نفرین شدید خدا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w:t>
      </w:r>
      <w:r>
        <w:rPr>
          <w:rStyle w:val="FootnoteAnchor"/>
          <w:rtl w:val="true"/>
        </w:rPr>
        <w:footnoteReference w:id="372"/>
      </w:r>
      <w:r>
        <w:rPr>
          <w:rFonts w:ascii="IRNazanin" w:hAnsi="IRNazanin" w:eastAsia="IRNazanin"/>
          <w:color w:val="111111"/>
          <w:sz w:val="28"/>
          <w:sz w:val="28"/>
          <w:szCs w:val="28"/>
          <w:rtl w:val="true"/>
          <w:lang w:bidi="fa-IR"/>
        </w:rPr>
        <w:t xml:space="preserve">چشیدنِ داغی آهن، </w:t>
      </w:r>
      <w:r>
        <w:rPr>
          <w:rStyle w:val="FootnoteAnchor"/>
          <w:rtl w:val="true"/>
        </w:rPr>
        <w:footnoteReference w:id="373"/>
      </w:r>
      <w:r>
        <w:rPr>
          <w:rFonts w:ascii="IRNazanin" w:hAnsi="IRNazanin" w:eastAsia="IRNazanin"/>
          <w:color w:val="111111"/>
          <w:sz w:val="28"/>
          <w:sz w:val="28"/>
          <w:szCs w:val="28"/>
          <w:rtl w:val="true"/>
          <w:lang w:bidi="fa-IR"/>
        </w:rPr>
        <w:t xml:space="preserve">گر فتار شدن در هاویه، </w:t>
      </w:r>
      <w:r>
        <w:rPr>
          <w:rStyle w:val="FootnoteAnchor"/>
          <w:rtl w:val="true"/>
        </w:rPr>
        <w:footnoteReference w:id="374"/>
      </w:r>
      <w:r>
        <w:rPr>
          <w:rFonts w:ascii="IRNazanin" w:hAnsi="IRNazanin" w:eastAsia="IRNazanin"/>
          <w:color w:val="111111"/>
          <w:sz w:val="28"/>
          <w:sz w:val="28"/>
          <w:szCs w:val="28"/>
          <w:rtl w:val="true"/>
          <w:lang w:bidi="fa-IR"/>
        </w:rPr>
        <w:t>و همنشینی غلات با فرعون و آل فرعون در شدیدترین و بدترین عذابها</w:t>
      </w:r>
      <w:r>
        <w:rPr>
          <w:rStyle w:val="FootnoteAnchor"/>
          <w:rtl w:val="true"/>
        </w:rPr>
        <w:footnoteReference w:id="375"/>
      </w:r>
      <w:r>
        <w:rPr>
          <w:rFonts w:ascii="IRNazanin" w:hAnsi="IRNazanin" w:eastAsia="IRNazanin"/>
          <w:color w:val="111111"/>
          <w:sz w:val="28"/>
          <w:sz w:val="28"/>
          <w:szCs w:val="28"/>
          <w:rtl w:val="true"/>
          <w:lang w:bidi="fa-IR"/>
        </w:rPr>
        <w:t>از جمله عواقب و نتایج اعمال غالیان برشمرده شده است</w:t>
      </w:r>
      <w:r>
        <w:rPr>
          <w:rFonts w:eastAsia="IRNazanin" w:cs="IRNazanin"/>
          <w:color w:val="111111"/>
          <w:sz w:val="28"/>
          <w:szCs w:val="28"/>
          <w:rtl w:val="true"/>
          <w:lang w:bidi="fa-IR"/>
        </w:rPr>
        <w:t>.</w:t>
      </w:r>
    </w:p>
    <w:p>
      <w:pPr>
        <w:pStyle w:val="Heading3"/>
        <w:numPr>
          <w:ilvl w:val="2"/>
          <w:numId w:val="1"/>
        </w:numPr>
        <w:rPr/>
      </w:pPr>
      <w:bookmarkStart w:id="226" w:name="__RefHeading___Toc569480_1395250215"/>
      <w:bookmarkStart w:id="227" w:name="_Toc83"/>
      <w:bookmarkEnd w:id="226"/>
      <w:r>
        <w:rPr/>
        <w:t>5</w:t>
      </w:r>
      <w:r>
        <w:rPr>
          <w:rtl w:val="true"/>
        </w:rPr>
        <w:t xml:space="preserve">. </w:t>
      </w:r>
      <w:r>
        <w:rPr>
          <w:rtl w:val="true"/>
        </w:rPr>
        <w:t>ردّ برخی از احادیث و بیان چگونگی تشخیص احادیث صحیح از سقیم</w:t>
      </w:r>
      <w:bookmarkEnd w:id="22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غلات در راه رسیدن به اهداف پلید خود و نیز برای مشروع جلوه دادن افکار و عقاید پوچ و باطل خود از هیچ کاری رویگردان نبودند و در این مسیر، حتی از جعل احادیث چه در سلسله سند و چه در محتوا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خود به این مطلب اشاره کرده و توطئه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غلات را آشکار نموده، به طوری که برای نمونه از یونس بن عبدالرحمن نقل شده که وی به عراق سفر کرده بوده و در آنجا با تعداد زیادی از اصحاب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کرده و از آنان حدیث شنیده و کتاب‌هایشان را گرفته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زمانی که آن کتب را 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کرده،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بسیاری از آن احادیث از احادیث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 انکار و رد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ابوالخطاب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ابوالخطاب و یارانش را لعنت کند که این احادیث را تا امروز در کتب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مخفیانه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سپس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قدرت شناخت حق از باطل و چگونگی تشخیص و تمییز احادیث صحیح از سقیم و ساختگی، قواعدی را بیان فرمود که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مخالف قرآن است و به ما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قبول نکنید، زیرا اگر ما سخن و حدیثی بگوییم، موافق با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قول خدا و رسولش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و هیچ 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و فلان، تا موجب تناقض در کلام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سخنان آخرین ما، مانند سخنان اولین ماست و کلام اولین ما تصدیق کنندة کلام آخرین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حدیثی را نزد شما آوردند که با این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مخالف بود، آن را به آورنده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رد کنید و</w:t>
      </w:r>
      <w:bookmarkStart w:id="228" w:name="pg2633_18143"/>
    </w:p>
    <w:p>
      <w:pPr>
        <w:pStyle w:val="BookText"/>
        <w:rPr/>
      </w:pPr>
      <w:bookmarkEnd w:id="228"/>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چرا که با هر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ما حقیقتی است و بر آن نوری، پس هر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حقیقتی با آن نیست و نوری ندارد از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 است</w:t>
      </w:r>
      <w:r>
        <w:rPr>
          <w:rFonts w:eastAsia="IRNazanin" w:cs="IRNazanin"/>
          <w:color w:val="111111"/>
          <w:sz w:val="28"/>
          <w:szCs w:val="28"/>
          <w:rtl w:val="true"/>
          <w:lang w:bidi="fa-IR"/>
        </w:rPr>
        <w:t>.</w:t>
      </w:r>
      <w:r>
        <w:rPr>
          <w:rStyle w:val="FootnoteAnchor"/>
          <w:rtl w:val="true"/>
        </w:rPr>
        <w:footnoteReference w:id="377"/>
      </w:r>
    </w:p>
    <w:p>
      <w:pPr>
        <w:pStyle w:val="Heading3"/>
        <w:numPr>
          <w:ilvl w:val="2"/>
          <w:numId w:val="1"/>
        </w:numPr>
        <w:rPr/>
      </w:pPr>
      <w:bookmarkStart w:id="229" w:name="__RefHeading___Toc569482_1395250215"/>
      <w:bookmarkStart w:id="230" w:name="_Toc84"/>
      <w:bookmarkEnd w:id="229"/>
      <w:r>
        <w:rPr/>
        <w:t>6</w:t>
      </w:r>
      <w:r>
        <w:rPr>
          <w:rtl w:val="true"/>
        </w:rPr>
        <w:t xml:space="preserve">. </w:t>
      </w:r>
      <w:r>
        <w:rPr>
          <w:rtl w:val="true"/>
        </w:rPr>
        <w:t>اظهار تنفر و بیزاری از غلات و لعن آنها</w:t>
      </w:r>
      <w:bookmarkEnd w:id="230"/>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از جمله در دعاهای خود، در هنگام حضور یارانش و در پاسخ به سؤالات آنها و نیز در برخورد و گفتگو با غالیان و دیگر افراد، همواره از غالیان بیزاری جسته و آنها را لعن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که از آنجا که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روایات را قبلاً ذیل موارد دیگر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به ذکر دو نمونه در اینجا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یکی از غالیانی که گفتار باطل و منحرف یونس بن ظبیان را در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بسیار غضبناک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نزد من بیرون برو که خدا تو را و کسی که این حدیث را برای تو گفت و نیز یونس بن ظبیان را هزار مرتبه لعنت کند که در پی هر لعنتی، هزار لعنت باشد و هر لعنتی از این لعنت‌ها تو را به قعر جهنم فرو برد </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که مأمون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قومی در مورد شما غلو و از حد تجاوز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آیات و روایات از این افراد بیزاری جسته و در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پیامبران، ادعای خدایی کند یا برای ائمه،</w:t>
      </w:r>
      <w:bookmarkStart w:id="231" w:name="pg2633_18144"/>
    </w:p>
    <w:p>
      <w:pPr>
        <w:pStyle w:val="BookText"/>
        <w:rPr/>
      </w:pPr>
      <w:bookmarkEnd w:id="23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ادعای خدایی یا نبوت یا برای غیر ائمه ادعای امامت کند، پس ما در دنیا و آخرت از او بیزاریم</w:t>
      </w:r>
      <w:r>
        <w:rPr>
          <w:rFonts w:eastAsia="IRNazanin" w:cs="IRNazanin"/>
          <w:color w:val="111111"/>
          <w:sz w:val="28"/>
          <w:szCs w:val="28"/>
          <w:rtl w:val="true"/>
          <w:lang w:bidi="fa-IR"/>
        </w:rPr>
        <w:t>».</w:t>
      </w:r>
      <w:r>
        <w:rPr>
          <w:rStyle w:val="FootnoteAnchor"/>
          <w:rtl w:val="true"/>
        </w:rPr>
        <w:footnoteReference w:id="379"/>
      </w:r>
    </w:p>
    <w:p>
      <w:pPr>
        <w:pStyle w:val="Heading3"/>
        <w:numPr>
          <w:ilvl w:val="2"/>
          <w:numId w:val="1"/>
        </w:numPr>
        <w:rPr/>
      </w:pPr>
      <w:bookmarkStart w:id="232" w:name="__RefHeading___Toc569484_1395250215"/>
      <w:bookmarkStart w:id="233" w:name="_Toc85"/>
      <w:bookmarkEnd w:id="232"/>
      <w:r>
        <w:rPr/>
        <w:t>7</w:t>
      </w:r>
      <w:r>
        <w:rPr>
          <w:rtl w:val="true"/>
        </w:rPr>
        <w:t xml:space="preserve">. </w:t>
      </w:r>
      <w:r>
        <w:rPr>
          <w:rtl w:val="true"/>
        </w:rPr>
        <w:t>فرمان قطع رابطة همه جانبه با غلات</w:t>
      </w:r>
      <w:bookmarkEnd w:id="233"/>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ارتباطی با غلات را به شدت نهی و رد کرده و چنانکه دیدیم اصحابش را به لعن و بیزاری از آنها واداشته، </w:t>
      </w:r>
      <w:r>
        <w:rPr>
          <w:rStyle w:val="FootnoteAnchor"/>
          <w:rtl w:val="true"/>
        </w:rPr>
        <w:footnoteReference w:id="380"/>
      </w:r>
      <w:r>
        <w:rPr>
          <w:rFonts w:ascii="IRNazanin" w:hAnsi="IRNazanin" w:eastAsia="IRNazanin"/>
          <w:color w:val="111111"/>
          <w:sz w:val="28"/>
          <w:sz w:val="28"/>
          <w:szCs w:val="28"/>
          <w:rtl w:val="true"/>
          <w:lang w:bidi="fa-IR"/>
        </w:rPr>
        <w:t>تا جایی که هرگونه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غلات چه مثبت و چه منفی را در جهت یاری یا مخالفت با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و یاری دادن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حتی با کوچکترین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موجب خروج از ولایت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تحریم شدید، بیانگر میزان خطر غالیان برای شیعه و تشیع بوده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روایاتی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ننشینید و تصدیق قول ایشان نکنید و از ایشان بیزاری جویید که خداوند از ایشان بیزار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که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و 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یا با آنها مخلوط شود، یا با آنها بخورد، یا با آنها بیاشامد، یا با آنها وصلت کند، یا به آنان همسر دهد، یا از آنان همسر برگزیند، یا امین آنان شود، یا آنان را بر امانتی، امین گرداند، یا گفتارشان را تصدیق کند، یا به کوچکترین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آنها را یاری کند، از ولایت خداوند ـ عزوجل ـ و ولایت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ما اهل بیت خارج</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چنانکه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موارد باجزئیات آن اشاره فرموده، مثلاً پس از تحریم وصلت کردن با آنها، دوباره به اینکه به آنان همسر ندهند یا از آنان همسر اختیار نکنند، پرداخته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این نشانگر تأکید و شدت اهمیت مسأله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غلات را در جهت مخالف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آنان را دوست بدارد، ما را دشمن داشته وهرکس آنان را دشمن بدارد، ما را دوست داشته است، و هرکه با آنان دوستی نماید با ما دشمنی کرده، و هرکه با آنان دشمنی کند باما دوستی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ایشان رابطه برقرار کند با ما قطع رابطه کرده و هرکه با آنان قطع رابطه کند، با ما مرتبط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ایشان بدی کند به ما نیکی کرده و هرکس به آنان نیکی کند به ما بدی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ایشان را گرامی بدارد، به ما اهانت کرده و هرکس به ایشان اهانت کند، ما را احترام نموده، هرکس ایشان را قبول کند ما را رد کرده و هرکس ایشان را رد کند ما را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به آنان احسان کند به ما بدی کرده و هرکس به آنان بدی کند به ما احسان نموده، هرکس آنان را تصدیق کند ما را تکذیب کرده و هرکس که آنان را تکذیب کند ما را تصدیق نموده است و هرکس که به آنان عطا کند ما را محروم کرده و هرکس آنان را محروم کند، به ما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شیعة ماست، نباید از میان آنان برای خود دوست و یاوری بگیرد</w:t>
      </w:r>
      <w:r>
        <w:rPr>
          <w:rFonts w:eastAsia="IRNazanin" w:cs="IRNazanin"/>
          <w:color w:val="111111"/>
          <w:sz w:val="28"/>
          <w:szCs w:val="28"/>
          <w:rtl w:val="true"/>
          <w:lang w:bidi="fa-IR"/>
        </w:rPr>
        <w:t>».</w:t>
      </w:r>
      <w:r>
        <w:rPr>
          <w:rStyle w:val="FootnoteAnchor"/>
          <w:rtl w:val="true"/>
        </w:rPr>
        <w:footnoteReference w:id="383"/>
      </w:r>
      <w:bookmarkStart w:id="234" w:name="pg2633_1814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5" w:name="__RefHeading___Toc569486_1395250215"/>
      <w:bookmarkStart w:id="236" w:name="_Toc86"/>
      <w:bookmarkEnd w:id="234"/>
      <w:bookmarkEnd w:id="235"/>
      <w:r>
        <w:rPr>
          <w:rtl w:val="true"/>
        </w:rPr>
        <w:t>جمع بندی ونتیجه گیری</w:t>
      </w:r>
      <w:bookmarkEnd w:id="236"/>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فرق مختلف شیعی برخوردهای مختلف و گوناگونی داشت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غلات و واقفیه سخت ترین برخورد و مبارزۀ جدی داشته ولی در مقابل زیدیه، این شدت برخورد را مشاهده نمی کنیم و در واقع در برخورد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زیدیه، نوعی بی اعتنایی همراه با نهی از قیام به چشم می خورد و البته چنانکه دیدیم در برخورد با زیدالنار، به شدت اقدامات و اعمال او را محکوم کرده و مخالف احکام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فرقۀ اسماعیلیه نیز به دلیل مستور بودن امامان این فرقه و نیز مخفی بودن فعالیت‌هایشان، برخوردی مشهود نیست و در مورد فرقۀ فطحیه به نظر می رسد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آنان، موضعی مدارا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و حتی در مواردی دوستانه درپیش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علت سختی برخورد و مبارزۀ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گفت، اهمیت مسأله بوده یعنی از آنجا که اصل اساسی دین و نیز اصلی ترین فلسفۀ آمدن پیامبران و نیز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مسألۀ توحید بوده است و ازآن طرف، غلات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با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نادرست خود، در واقع با اصل توحید مبارزه و پیکار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مسلّماً امامی که مبنای دعوت و هدفش در خطر نابودی قرار گرفته، با این آفت ویرانگر به شدت مبارزه کرده و درصدد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کردن هر چه تمامتر 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واقفیه نیز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آنچه برخورد تند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باعث شده بود، شدت خطر این فرقه و نیز شدت برخورد آنان، مخصوصاً سران اولیه و اصلی آن که عمدتاً از علما و فقها بودند و معمولاً آگاهانه به این مخالفت و انکار امامت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زده بودند، و به طور گسترده و وسیع نیز به دنبال تبلیغ و اشاعۀ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نادرست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برخی از غلات،</w:t>
      </w:r>
    </w:p>
    <w:p>
      <w:pPr>
        <w:pStyle w:val="BookText"/>
        <w:rPr/>
      </w:pPr>
      <w:r>
        <w:rPr>
          <w:rFonts w:ascii="IRNazanin" w:hAnsi="IRNazanin" w:eastAsia="IRNazanin"/>
          <w:color w:val="111111"/>
          <w:sz w:val="28"/>
          <w:sz w:val="28"/>
          <w:szCs w:val="28"/>
          <w:rtl w:val="true"/>
          <w:lang w:bidi="fa-IR"/>
        </w:rPr>
        <w:t xml:space="preserve">از این فضای متشنج به نفع خویش استفاده کرده و خود را واقفی خوانده و با تخلیط عقاید خود با واقفیان، مشکلاتی دیگر را پدید آورده و پیروانشان را برای مبارزه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فرقۀ زیدیه،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رسدکه آنچه باعث عدم شدت برخورد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فرقه شده باشد، این بود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که خصوصیت اصلی این فرقه، مبارزات و قیام های آشکار آن بود که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اصل تقیه با این مبارزات، موافق نبوده و هر چند که این مبارزات، تعدادی از شیعیان را به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کشاند ونیز اوضاع را برای سایرین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ولی نشان دهندۀ میزان ظلم و جور حکام و نیز غصبی بودن حکومتشان بوده و باعث بیداری دیگر افراد جامعه و حساسیت آنها نسبت به این حقّ غصب شده،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زیدیه خود به خطا رفته و بر خلاف تقیه و دستور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به ورود به طیف و دستۀ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که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نفس زکیه، خلاف آن را شاهدیم و در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بینیم که چه برخورد زشت وناپسندی را با امام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و یا تأیید قیامشان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والبته حضور مخالفان جدی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خطرناک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مثل واقفیه و غلات، از دیگر دلایل این عدم شدت برخورد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فرقۀ فطحیه، توضیحی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داد این است</w:t>
      </w:r>
    </w:p>
    <w:p>
      <w:pPr>
        <w:pStyle w:val="BookText"/>
        <w:rPr/>
      </w:pPr>
      <w:r>
        <w:rPr>
          <w:rFonts w:ascii="IRNazanin" w:hAnsi="IRNazanin" w:eastAsia="IRNazanin"/>
          <w:color w:val="111111"/>
          <w:sz w:val="28"/>
          <w:sz w:val="28"/>
          <w:szCs w:val="28"/>
          <w:rtl w:val="true"/>
          <w:lang w:bidi="fa-IR"/>
        </w:rPr>
        <w:t>که اکثر آنها از فقهای بزرگ بودند که امامت امام رضا علیه السلام را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و در نتیجه درصدد مبارزه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نیامدند و آنچه از قراین تاریخی و روایی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تعمدی نبودن این انحراف است که چنان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ملاحظه شد، پس از روشن شدن جریان و راه اصلی، اکثر فطحیان به امامت امامان دوازده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کردند و اگر چه تعدادی از آنان، امامت عبدالله افطح را بر این زنجیره افزودند و عدد امامان را به سیزده رساندند، اما مدت کوتاه امامت عبدالله و نیز عدم مبارزه و فعالیت‌های خاص فطحیان در مقایسه با سایر فرق به خصوص واقفه؛ و یا حتی عدم فعالیت‌های مخفی و زیرزمینی مثل اسماعیلیه، میزان خطر آنان را به شدت کاسته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جوّ متشنج و نابسامان جامعه که خلفایش، ظاهراً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دوستانه و حتی مطیعانه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در واقع قصد عوام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فریبی داشتند و از آن طرف، فرق مختلف موجود در جامعه و آن سیاست درهای باز مأمون و نهضت ترجمه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راه انداخته بود و انواع جلسات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فرصتی بیش از این در اختیار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چنانچه دیدیم،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آشفته و مه آلود، تمام تلاش خود را در نشان دادن راه راست و درست و کشاندن افراد به این سمت نموده و با مواضع روشن و آشکار خویش، و معرفی سران فتنه هر چه بیشتر به مه زدایی و صاف و هموار نمودن این مسیر پرداختند و با توصیه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فرمایشات گهربار خود، دیگر شیعیان را از آلوده شدن و افتادن در دام انحراف، بیمه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از پیروان و رهروان واقعی آن امام رئوف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bookmarkStart w:id="237" w:name="pg2633_1815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8" w:name="__RefHeading___Toc569488_1395250215"/>
      <w:bookmarkStart w:id="239" w:name="_Toc87"/>
      <w:bookmarkEnd w:id="237"/>
      <w:bookmarkEnd w:id="238"/>
      <w:r>
        <w:rPr>
          <w:rtl w:val="true"/>
        </w:rPr>
        <w:t>فهرست منابع ومآخذ</w:t>
      </w:r>
      <w:bookmarkEnd w:id="2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آقانوری، علی، خاستگاه تشیع و پیدایش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شیعی در عصر امامان، چاپ اول، پژوهشگاه علوم و فرهنگ اسلامی،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عزالدین ابوالحسن علی بن ابی الکرم، الکامل فی التاریخ، دارصادر – دار بیروت،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العبری، تاریخ مختصر الدول، تحقیق انطون صالحانی الیسوعی، الطبعة الثالثة، دارالشرق، بیروت،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الندیم، الفهرست، مطبعة الاستقامة، القاهره،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الامامة والتبصرة من الحیرة، تحقیق ونشرمدرسة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محمد بن علی، مناقب آل ابی طالب، تحقیق لجنة من أساتذه النجف الاشرف، مطبعة الحیدریة، نجف،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محمد بن علی، مناقب آل ابی طالب، تصحیح و تعلیق سید هاشم رسولی محلاتی، مؤسسة انتشارات علامه،  قم، بی تا،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اللهوف علی قتلی الطفوف، ترجمه و تحقیق عبدالرحیم عقیقی بخشایشی، چاپ هجدهم، دفتر نشر نوید اسلام،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طقطقی، محمد بن علی بن طباطبا، الفخری فی الآداب السلطانیة والدول الإسلامیة، تحقیق عبدالقادرمحمد مایو، الطبعة الأولی، دارالقلم العربی، بیروت، </w:t>
      </w:r>
      <w:r>
        <w:rPr>
          <w:rFonts w:eastAsia="IRNazanin" w:cs="IRNazanin"/>
          <w:color w:val="111111"/>
          <w:sz w:val="28"/>
          <w:szCs w:val="28"/>
          <w:lang w:bidi="fa-IR"/>
        </w:rPr>
        <w:t>1418/1997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عنبة، احمد بن علی، عمدة الطالب فی انساب آل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 xml:space="preserve">تحقیق سید مهدی رجائی، الطبعة الاولی، مکتبة سماحة آیة الله العظمی المرعشی النجفی، قم،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دمشقی، البدایة و النهایة، دارالفکر، بیروت، </w:t>
      </w:r>
      <w:r>
        <w:rPr>
          <w:rFonts w:eastAsia="IRNazanin" w:cs="IRNazanin"/>
          <w:color w:val="111111"/>
          <w:sz w:val="28"/>
          <w:szCs w:val="28"/>
          <w:lang w:bidi="fa-IR"/>
        </w:rPr>
        <w:t>1407/1986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فی معرفة الائمة، الطبعة الثانیة، دارالاضواء،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غروی حائری، محمد بن علی، جامع الرّواة و ازاحة الاشتباهات عن الطرق و الاسناد، منشورات مکتبة آیة الله العظمی المرعشی النجفی،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قمی، سعد بن عبدالله، کتاب المقالات و الفرق، تصحیح و تعلیق محمد جواد مشکور، مرکز انتشارات علمی و فرهنگی،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ابوالحسن علی بن اسماعیل، مقالات الاسلامیین و اختلاف المصلین، ترجمۀ محسن مؤیدی، چاپ اول، انتشارات امیرکبیر،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ابوالفرج علی بن حسین، مقاتل الطالبیین، تحقیق سید احمد صقر، دارالمعرفة، بیروت،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آشتیانی، عباس، خاندان نوبختی، چاپ سوم، کتابخانۀ طهوری،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سید جلال، بررسی زمینه ها وعوامل پیدایش اندیشه توقف بر امامان شیعه، موسسه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کارشناسی ارشد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سید محسن، اعیان الشیعة، دارالتعارف للمطبوعات، بیروت،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تا،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ابی نصر، سرّ السلسلة العلویة، تعلیق سید محمدصادق بحرالعلوم، منشورات المطبعة الحیدریة، نجف اشرف،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ابومنصورعبدالقاهر، ترجمۀ الفرق بین الفرق درتاریخ مذاهب اسلام، ترجمۀ محمد جواد مشکور، چاپ چهارم، کتابفروشی اشراقی،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بیوکارا،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دودستگی در شیعیان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پیدایش فرقه واقفه، ترجمة وحید صفری، علوم حدیث، ش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سال</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ترکمنی آذر، پروین، تاریخ سیاسی شیعیان اثنی عشری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مسلمانان به ایران تا تشکیل حکومت صفویه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شیعه شناسی،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جاسم حسین، تاریخ سیاسی غیبت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 محمد تقی آیت اللهی، چاپ دوم، امیرکبیر،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جباری، محمدرضا، سازمان وکالت و نقش آن در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انتشارات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جباری، محمدرضا، مکتب حدیثی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تحلیل مکتب حدیثی قم از آغاز تا قرن پنجم هجری، چاپ اول، انتشارات زائر،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سیدحسین محمد، تشیع در مسیر تاریخ، ترجمة سید محمد تقی آیت اللهی، چاپ دهم، دفتر نشر فرهنگ اسلامی،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تاریخ تشیع در ایران از آغاز تا قرن دهم هجری، چاپ اول، انصاریان،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کارشناسان، میزگرد شیوه برخورد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فرقه های درون شیعی، اندیشه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نامه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آذرماه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آشنایی با فرق تشیع، چاپ اول، مرکز مدیریت حوزه علمیه قم،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جهشیاری، أبی عبدالله محمد بن عبدوس، کتاب الوزراء و الکتاب ، تحقیق إبراهیم صالح، الطبعة الاولی ، ابوظبی للثقافة و التراث، ابوظبی، </w:t>
      </w:r>
      <w:r>
        <w:rPr>
          <w:rFonts w:eastAsia="IRNazanin" w:cs="IRNazanin"/>
          <w:color w:val="111111"/>
          <w:sz w:val="28"/>
          <w:szCs w:val="28"/>
          <w:lang w:bidi="fa-IR"/>
        </w:rPr>
        <w:t>1430/2009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ابوعبدالله، تاریخ نیشابور، ترجمة محمد بن حسین خلیفة نیشابوری، تصحیح و تعلیق محمدرضا شفیعی کدکنی، چاپ اول، آگه،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زاده شانه چی، حسن، اوضاع سیاسی، اجتماعی و فرهنگی شیعه در غیبت صغری، چاپ اول، پژوهشگاه علوم و فرهنگ اسلامی،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زاده شانه چی، حسن، واقفیه، فصلنامه تاریخ اسلام، سال ششم، ش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عاملی، جعفرمرتضی، الحیاة السیاسیة للإمام الرضا علیه السلام، الطبعة الثانیة، جماعة المدرسین فی الحوزة العلمیة ، قم، </w:t>
      </w:r>
      <w:r>
        <w:rPr>
          <w:rFonts w:eastAsia="IRNazanin" w:cs="IRNazanin"/>
          <w:color w:val="111111"/>
          <w:sz w:val="28"/>
          <w:szCs w:val="28"/>
          <w:lang w:bidi="fa-IR"/>
        </w:rPr>
        <w:t>1362/1403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خضری، احمدرضا، تاریخ خلافت عباسی از آغاز تا پایان آل بویه، چاپ چهارم، سمت،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بغدادی، أحمد بن علی، تاریخ بغداد أو مدینة السلام، تحقیق مصطفی عبدالقادر عطا، الطبعة الاولی، دارالکتب العلمیة،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خلیفة بن خیاط ، تاریخ خلیفة بن خیاط، تحقیق فواز، الطبعة</w:t>
      </w:r>
    </w:p>
    <w:p>
      <w:pPr>
        <w:pStyle w:val="BookText"/>
        <w:rPr/>
      </w:pPr>
      <w:r>
        <w:rPr>
          <w:rFonts w:ascii="IRNazanin" w:hAnsi="IRNazanin" w:eastAsia="IRNazanin"/>
          <w:color w:val="111111"/>
          <w:sz w:val="28"/>
          <w:sz w:val="28"/>
          <w:szCs w:val="28"/>
          <w:rtl w:val="true"/>
          <w:lang w:bidi="fa-IR"/>
        </w:rPr>
        <w:t xml:space="preserve">الأولی ، دارالکتب العلمیة،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خواجویان، محمدکاظم، تاریخ تشیع، چاپ چهارم، انتشارات جهاد دانشگاهی، مشهد،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دفتری، فرهاد، تاریخ و عقاید اسماعیلیه، ترجمة فریدون بدره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چاپ دوم، نشر و پژوهش فرزان،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ابوحنیفه احمد بن داود، الأخبارالطوال، تحقیق عبدالمنعم عامر، منشورات الرضی، قم،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گلپایگانی، علی، فرق ومذاهب کلامی، چاپ چهارم، مرکز جهانی علوم اسلامی ،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رفاعی ، احمد فرید، عصر المأمون، الطبعة الرابعة، دارالکتب المصریة، القاهرة، </w:t>
      </w:r>
      <w:r>
        <w:rPr>
          <w:rFonts w:eastAsia="IRNazanin" w:cs="IRNazanin"/>
          <w:color w:val="111111"/>
          <w:sz w:val="28"/>
          <w:szCs w:val="28"/>
          <w:lang w:bidi="fa-IR"/>
        </w:rPr>
        <w:t>1346/1928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 عبدالرحمن بن ابی بکر، تاریخ الخلفا، نورمحمد، کراچی، </w:t>
      </w:r>
      <w:r>
        <w:rPr>
          <w:rFonts w:eastAsia="IRNazanin" w:cs="IRNazanin"/>
          <w:color w:val="111111"/>
          <w:sz w:val="28"/>
          <w:szCs w:val="28"/>
          <w:lang w:bidi="fa-IR"/>
        </w:rPr>
        <w:t>1378/1959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ابوالفتح محمد بن عبدالکریم، الملل و النحل ، الطعبة الثالثة ، منشورات الرضی،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ابی جعفر محمد بن علی بن حسین، الإعتقادات، تحقیق عصام عبدالسید، مندرج درسلسله مؤلفات الشیخ المفید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االطبعة الثانیة، دارالمفید،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ابی جعفر محمد بن علی بن حسین، التوحید، تحقیق سیدهاشم حسینی طهرانی، جماعة المدرسین،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ابی جعفر محمد بن علی بن حسین، علل الشرایع، المکتبة الحیدریة، نجف،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ابی جعفر محمد بن علی بن حسین، عیون أخبارالرضا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شیخ حسین اعلمی، الطبعة الاولی، منشورات مؤسسة</w:t>
      </w:r>
    </w:p>
    <w:p>
      <w:pPr>
        <w:pStyle w:val="BookText"/>
        <w:rPr/>
      </w:pPr>
      <w:r>
        <w:rPr>
          <w:rFonts w:ascii="IRNazanin" w:hAnsi="IRNazanin" w:eastAsia="IRNazanin"/>
          <w:color w:val="111111"/>
          <w:sz w:val="28"/>
          <w:sz w:val="28"/>
          <w:szCs w:val="28"/>
          <w:rtl w:val="true"/>
          <w:lang w:bidi="fa-IR"/>
        </w:rPr>
        <w:t xml:space="preserve">الاعلمی للمطبوعات، بیروت، </w:t>
      </w:r>
      <w:r>
        <w:rPr>
          <w:rFonts w:eastAsia="IRNazanin" w:cs="IRNazanin"/>
          <w:color w:val="111111"/>
          <w:sz w:val="28"/>
          <w:szCs w:val="28"/>
          <w:lang w:bidi="fa-IR"/>
        </w:rPr>
        <w:t>1404/1984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ابی جعفر محمد بن علی بن حسین، کمال الدین و تمام النعمة ، تصحیح و تعلیق علی اکبر غفاری، موسسه النشر الاسلامی،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ابی جعفر محمد بن علی بن حسین، معانی الاخبار، تحقیق علی اکبرغفاری، انتشارات اسلامی، بی جا،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صفری فروشانی، نعمت الله،  تحلیلی بر قیام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علویان در دوران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آن با ولایت عهدی، شیعه شناسی، سال هفتم، ش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صفری فروشانی، نعمت الله،  فرقه های درون شیعی دوران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تکیه بر فطحیه و واقفیه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طلوع، سال هشتم، ش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صفری فروشانی، نعمت الله،  نقش تقیه در استنباط، چاپ اول، مؤسسه بوستان کتاب قم،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صفری فروشانی، نعمت الله، خورشید شب، چاپ اول، انتشارات قدس رضوی، مشهد،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صفری فروشانی، نعمت الله، غالیان؛ کاوشی در جریانها و برآیندها تا پایان سدة سوم، چاپ اول، آستان قدس رضوی، مشهد،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شیعه دراسلام، بی نا، بی جا،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الاحتجاج علی اهل اللجاج، تحقیق سیدمحمدباقرخرسان، دارالنعمان، نجف اشرف،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فضل بن حسن، إعلام الوری بأعلام الهدی، تحقیق</w:t>
      </w:r>
    </w:p>
    <w:p>
      <w:pPr>
        <w:pStyle w:val="BookText"/>
        <w:rPr/>
      </w:pP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الطبعة الأولی، 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 محمد بن جریر، تاریخ الأمم والملوک، تحقیق محمد ابوالفضل ابراهیم، الطبعة الثانیة، دارالتراث، 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 محمد بن جریر، تاریخ الطبری، تحقیق گروهی از علما، مؤسسة الاعلمی للمطبوعات،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طقوش، محمد سهیل، دولت عباسیان، ترجمة حجت الله جودکی، چاپ اول، پژوهشکدة حوزه و دانشگاه،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ابی جعفر محمدبن حسن،  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میرداماد، محمدباقرحسینی، سید مهدی رجائی ، مؤسسۀ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ابی جعفر محمدبن حسن،  الغیبة، تحقیق عبادالله طهرانی و علی احمد ناصح، الطبعة المحققة الاولی، مؤسسة المعارف الاسلامیة، قم،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ابی جعفر محمدبن حسن،  کتاب الغیبة، مکتبة نینوی الحدیثه،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ابی جعفر محمدبن حسن، اختیارمعرفة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قیومی اصفهانی، الطبعة الاولی، مؤسسة النشر الإسلامی، قم،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مرتضی، عبدالله بن سبا واساطیراخری، دارالغدیر، تهران،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عطاردی خبوشانی، عزیزالله، مسندالامام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المؤتمر العالمی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فرمانیان، مهدی و سید علی موسوی نژاد، درسنامة تاریخ و عقاید زیدیه، چاپ دوم، نشر ادیان،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محمد جواد، الامام الرضا تاریخ و دراسة، الطبعة الاولی، دارالزهرا، بیروت،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 شرف الدین، علی بن عبدالکریم، الزیدیه نظریة و تطبیق، الطبعة الثانیة، العصر الحدیث،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الشامی، تاریخ زیدیه در قرن دوم و سوم هجری، ترجمة سید محمد ثقفی و علی اکبر مهدی پور، چاپ اول، انتشارات دانشگاه شیراز،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فیاض، عبدالله، تاریخ الامامیه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پیدایش و گسترش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سیدجواد خاتمی، چاپ اول، ابن یمین، سبزوار،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باقر شریف، حیاة الامام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منشورات سعید بن جبیر،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 سفینة البحار و مدینة الحکم و الآثار، المطبعة العلمیة، نجف اشرف، بی تا،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الاصول من الکافی، تحقیق علی اکبر غفاری، الطبعة الثالثة، دارالکتب الاسلامیة،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الفروع من الکافی، مجمع البحوث الاسلامیة، مشهد،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مولفان، پیشوایان هدایت، ثامن الائمه،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سید حسین اسلامی اردکانی، چاپ اول،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اکبری، محمد،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اسلام، سال دوم، ش</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مجهول، تاریخ سیستان، تحقیق ملک الشعرای بهار، چاپ دوم، کلاله خاور،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مامقانی، عبدالله، تنقیح المقال فی علم الرجال، مطبعة المرتضویة، نجف الاشرف،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الجامعة لدرر أخبار الائمة الاطهار، الطبعة الثالثة المصححة، دار إحیاء التراث العربی،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الطبعة الثانیة المصححة، موسسة الوفاء،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دومین 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چاپ و انتشارات آستان قدس رضوی،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سومین 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چاپ و انتشارات آستان قدس رضوی،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مختاراللیثی، سمیرة، جهاد الشیعه فی العصرالعباسی الاول، الطبعة الاولی، مؤسسة دارالکتاب الاسلامی، 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طباطبایی، سید حسین، مکتب در فرآیند تکامل، ترجمة هاشم ایزدپناه، چاپ اول، کویر،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مرتضوی، سید محمد، نهضت کلامی در عصر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آستان قدس رضوی، مشهد،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ابوالحسن علی ، مروج الذهب و معادن الجوهر، تحقیق اسعد داغر، الطبعة الثانیة، دارالهجرة،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ابوالحسن علی، التنبیه و الاشراف، تصحیح عبدالله اسماعیل الصاوی، دارالصاوی، القاهره،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بن نعمان، الارشاد فی معرفة حجج الله علی العباد، تحقیق 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 التراث ، دارالمفید، قم، بی تا،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الفصول المختارة، تحقیق سید میرعلی شریفی ، الطبعة الثانیة، دارالمفید، بیروت،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اوائل المقالات فی المذاهب والمختارات، تحقیق مهدی محقق، چاپ اول، انتشارات مؤسسه مطالعات اسلامی،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بجنوردی، کاظم، دایرة المعارف بزرگ اسلامی، چاپ اول، مرکز دایرة المعارف بزرگ اسلامی،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خوئی، سید ابوالقاسم، معجم الرجال الحدیث و تفصیل طبقات الرواة، تحقیق لجنه التحقیق، الطبعة الخامسة،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نژاد، سیدعلی، آشنایی با زیدیه، نشریه هفت آسمان، پاییز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مونتگمری وات، نکاتی از فهرست شیخ طوسی مربوط به دوران اولیة امامت، ترجمة سید جلال حسینی بدخشانی، یادنامة شیخ طوسی، دانشگاه فردوسی، مشهد،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ناشی اکبر، عبدالله بن محمد، مسائل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های اسلامی ومسأله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علی رضا ایمانی، چاپ اول، مرکزمطالعات و تحقیقات ادیان و مذاهب،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 بن علی، رجال النجاشی، تحقیق سید موسی شبیری زنجانی، الطبعة الخامسة، مؤسسة النشر الاسلامی،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نوبختی، ابومحمدحسن بن موسی، فرق الشیعة، تصحیح و تعلیق</w:t>
      </w:r>
    </w:p>
    <w:p>
      <w:pPr>
        <w:pStyle w:val="BookText"/>
        <w:rPr/>
      </w:pPr>
      <w:r>
        <w:rPr>
          <w:rFonts w:ascii="IRNazanin" w:hAnsi="IRNazanin" w:eastAsia="IRNazanin"/>
          <w:color w:val="111111"/>
          <w:sz w:val="28"/>
          <w:sz w:val="28"/>
          <w:szCs w:val="28"/>
          <w:rtl w:val="true"/>
          <w:lang w:bidi="fa-IR"/>
        </w:rPr>
        <w:t xml:space="preserve">سید محمد صادق آل بحرالعلوم، المکتبة المرتضویة، نجف،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وداد القاضی، الکیسانیة فی التاریخ و الأدب، دارالثقافة، بیروت، </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الویری، محسن، زندگی فرهنگی و اندیشه سیاسی شیعیان از سقوط بغداد تا ظهورصفویه، چاپ اول،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هالم، هاینس، تشیع، ترجمة محمد تقی اکبری، چاپ اول، نشرادیان،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 احمد بن ابی یعقوب، تاریخ الیعقوبی، دار صادر، بیروت، بی تا،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مطالب و منابع این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مطالب و منابعِ بحث غالیان در کتاب آشنایی با فرق تشیع، نوشته‌ی دکتر نعمت الله صفری، صفحات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الطبری، تحقیق گروهی از علماء، مؤسسة الاعلمی للمطبوعات،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الطبری، تحقیق گروهی از علماء، مؤسسة الاعلمی للمطبوعات،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 کتب ملل و نحل ذیل فرقة سبائیه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کتبی مثل فرق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نوبختی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عسکری، عبدالله بن سبا و اساطیر اخری، دارالغدیر، تهران،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صفحات مختلف از جمله؛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این ماجرا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آشنایی با فرق تشیع، چاپ اول، مرکز مدیریت حوزه علمیه قم،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الفروع من الکافی، مجمع البحوث الاسلامیة، مشهد،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این احادیث،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پیشین،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پیشین،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 میرداماد، محمدباقر حسینی، سید مهدی رجائی،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تاریخچۀ غلات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صفری فروشانی، غالیان؛ کاوشی در جریان‌ها و برآیندها تا پایان سدة سوم، چاپ اول، آستان قدس رضوی، مشهد،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شیعه در اسلام، بی‌نا، بی‌جا،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فضیلت الشامی، تاریخ زیدیه در قرن دوم و سوم هجری، ترجمة سید محمد ثقفی و علی اکبر مهدی‌پور، چاپ اول، انتشارات دانشگاه شیراز،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محسن الویری، زندگی فرهنگی و اندیشه سیاسی شیعیان از سقوط بغداد تا ظهور صفویه، چاپ اول، دانشگاه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سید حسین محمد جعفری، تشیع در مسیر تاریخ، ترجمة سید محمدتقی آیت اللهی، چاپ دهم، دفتر نشر فرهنگ اسلامی،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فرق و مذاهب کلامی، چاپ چهارم، مرکز جهانی علوم اسلامی، 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عبدالله فیاض، تاریخ الامامیه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پیدایش و گسترش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سید جواد خاتمی، چاپ اول، ابن یمین، سبزوار،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اقوال مختلف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حسن بن موسی نوبختی، فرق الشیعة، تصحیح و تعلیق سید محمدصادق آل بحرالعلوم، المکتبة المرتضویة، نجف،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سعد بن عبدالله ابی خلف اشعری قمی، کتاب المقالات و الفرق، تصحیح و تعلیق محمدجواد مشکور، مرکز انتشارت علمی و فرهنگی،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ابومنصور عبدالقاهر بغدادی، ترجمة الفرق بین الفرق در تاریخ مذاهب اسلام، ترجمة محمدجواد مشکور، چاپ چهارم، کتابفروشی اشراقی،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ابوالفتح محمد بن عبدالکریم شهرستانی، الملل و النحل، الطبعة الثالثة، منشورات الرضی، قم،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صفری فروشانی، غالیان، پیشین،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کیسان و نقش او در قیام مختار،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وداد القاضی، الکیسانیة فی التاریخ و الأدب، دارالثقافة، بیروت،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پیشین؛ اشعری قمی، پیشین،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پیشین،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فیاض، پیشین،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سمیرة مختار اللیثی، جهاد الشیعه فی العصر العباسی الاول، الطبعة الاولی، مؤسسة دارالکتاب الاسلامی، قم،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ابن طاووس، اللهوف علی قتلی الطفوف، ترجمه و تحقیق عبدالرحیم عقیقی بخشایشی، چاپ هجدهم، دفتر نشر نوید اسلام، قم،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محمدکاظم خواجویان، تاریخ تشیع، چاپ چهارم، انتشارات جهاد دانشگاهی مشهد،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پیشین،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تفصیلی از انشعابات کیسانیه پس از محمد بن حنفیه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وداد القاضی، پیشین،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عبدالقاهر بغدادی، پیشین،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هاینس هالم، تشیع، ترجمة محمدتقی اکبری، چاپ اول، نشر ادیان، 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صفری فروشانی، خورشید شب، چاپ اول، انتشارات قدس رضوی، مشهد،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علی بن حسین اصفهانی، مقاتل الطالبیین، تحقیق سید احمد صقر، دارالمعرفة، بیروت، بی‌تا،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ابی‌جعفر محمد بن یعقوب کلینی، الاصول من الکافی، تحقیق علی اکبر غفاری، الطبعة الثالثة، دارالکتب الاسلامیة، تهران،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ابوالحسن علی بن ابی الکرم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دار صادر – دار بیروت، بیروت،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تفصیلی از قیام‌ها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صفری فروشانی، پیشین،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آقانوری، خاستگاه تشیع و پیدایش فرقه‌های شیعی در عصر امامان، چاپ اول، پژوهشگاه علوم و فرهنگ اسلامی، 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پیشین،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پیشین،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پیشین،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پیشین،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پیشین،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پیشین،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پیشین،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پیشین،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اشعری قمی، پیشن،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ابوالحسن علی بن اسماعیل اشعری، مقالات الاسلامیین و اختلاف المصلین، ترجمة محسن مؤیدی، چاپ اول، انتشارات امیرکبیر،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عبدالله بن محمد ناشی اکبر، مسائل الامامة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فرقه‌های اسلامی و مسأله 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علی‌رضا ایمانی، چاپ اول، مرکز مطالعات و تحقیقات ادیان و مذاهب، قم،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بغدادی، پیشین،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شهرستانی، پیشین،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نام این فرد، و انتساب این فرقه به ناووسیه اختلاف است؛ برخی از این اختلافات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بن فلان الناووس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نوبختی، پیشین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فلان بن الناووس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اشعری قمی، پیشین،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عجلان بن ناوس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ابوالحسن اشعری، پیشین،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منسوب به ناووس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بغدادی، پیشین،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پیشین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مدرّسی طباطبایی، مکتب در فرآیند تکامل، ترجمة هاشم ایزدپناه، چاپ اول، کویر،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مدرّسی طباطبایی، مکتب در فرآیند تکامل، ترجمة هاشم ایزدپناه، چاپ اول، کویر،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مدرّسی طباطبایی، مکتب در فرآیند تکامل، ترجمة هاشم ایزدپناه، چاپ اول، کویر،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قمی، پیشین،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پیشین،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بارة انشعابات و فرق اسماعیلیه و آراء آنها 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پیشین،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پیشین،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پیشین،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آقانوری، پیشین،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طباطبایی، پیشین،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شیعیان که به وفات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جانشینی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ایشان، قطع و یقین یافته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ناشی اکبر، پیشین،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نوبختی، پیشین،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طباطبایی، پیشین،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محمدبن جریر طبری، تاریخ الأمم و الملوک، تحقیق محمد ابوالفضل ابراهیم، الطبعۀ الثانیۀ، دارالتراث، بیروت، </w:t>
      </w:r>
      <w:r>
        <w:rPr>
          <w:rFonts w:eastAsia="IRNazanin" w:cs="IRNazanin"/>
          <w:b w:val="false"/>
          <w:bCs w:val="false"/>
          <w:i w:val="false"/>
          <w:iCs w:val="false"/>
          <w:color w:val="333333"/>
          <w:sz w:val="20"/>
          <w:szCs w:val="20"/>
        </w:rPr>
        <w:t>1387/1967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عبدالله محمد بن عبدوس جهشیاری، کتاب الوزراء و الکُتاب، تحقیق إبراهیم صالح، الطبعۀ الأولی، ابوظبی للثقافة و التراث، ابوظبی، </w:t>
      </w:r>
      <w:r>
        <w:rPr>
          <w:rFonts w:eastAsia="IRNazanin" w:cs="IRNazanin"/>
          <w:b w:val="false"/>
          <w:bCs w:val="false"/>
          <w:i w:val="false"/>
          <w:iCs w:val="false"/>
          <w:color w:val="333333"/>
          <w:sz w:val="20"/>
          <w:szCs w:val="20"/>
        </w:rPr>
        <w:t>1430/2009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در مورد جنگ‌ها و روابط خارجی رشید، 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سهیل طقوش، دولت عباسیان، ترجمه حجت الله جودکی، چاپ اول، پژوهشکده حوزه و دانشگاه، قم،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جزئیات ماجرا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پیشین،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پیشین، صص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رضا خضری، تاریخ خلافت عباسی از آغاز تا پایان آل بویه، چاپ چهارم، سمت، تهران،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اللیثی، پیشین،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قمی، پیشین،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نوبختی، پیشین،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طباطبا معروف به ابن طقطقی، الفخری فی الآداب السلطانیة و الدول الإسلامیة، تحقیق عبدالقادر محمد مایو، الطبعة الأولی، دارالقلم العربی، بیروت، </w:t>
      </w:r>
      <w:r>
        <w:rPr>
          <w:rFonts w:eastAsia="IRNazanin" w:cs="IRNazanin"/>
          <w:b w:val="false"/>
          <w:bCs w:val="false"/>
          <w:i w:val="false"/>
          <w:iCs w:val="false"/>
          <w:color w:val="333333"/>
          <w:sz w:val="20"/>
          <w:szCs w:val="20"/>
        </w:rPr>
        <w:t>1418/1997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بن شهر آشوب، مناقب آل ابی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طالب، تحقیق لجنۀ من أساتذۀ النجف الاشرف، مطبعۀ الحیدریۀ، نجف،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سازمان وکالت در عصر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جاسم حسین، تاریخ سیاسی غیبت امام دوازدهم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سید محمد تقی آیت اللهی، چاپ دوم، امیرکبیر،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محمدرضا جباری، سازمان وکالت و نقش آن در عصر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اول، انتشارات مؤسسه آموزشی و پژوهشی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کسانی است که از روی جهالت و نادانی، و مثلاً صرفاً به دلیل سابقة خوب قبلی برخی از یاران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پیروی از آنها مبادرت ورزیدند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جریان شورش حمزه آذرک،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مجهول، تاریخ سیستان، تحقیق ملک الشعرای بهار، چاپ دوم، کلاله خاور،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پیشین،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ابن العبری، تاریخ مختصر الدول، تحقیق انطون صالحا نی الیسوعی، الطبعۀ الثالثة، دار الشرق، بیروت،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پیشین،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ابن العبری، پیشین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احمد بن داود دینوری، الأخبار الطوال، تحقیق عبدالمنعم عامر، منشورات الرضی، قم،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عبدالرحمن بن ابی بکر سیوطی، تاریخ الخلفا، نور محمد، کراچی، </w:t>
      </w:r>
      <w:r>
        <w:rPr>
          <w:rFonts w:eastAsia="IRNazanin" w:cs="IRNazanin"/>
          <w:b w:val="false"/>
          <w:bCs w:val="false"/>
          <w:i w:val="false"/>
          <w:iCs w:val="false"/>
          <w:color w:val="333333"/>
          <w:sz w:val="20"/>
          <w:szCs w:val="20"/>
        </w:rPr>
        <w:t>1378/1959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ابن اثیر، پیشین،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ابوالحسن علی بن حسین مسعودی، التنبیه والاشراف، تصحیح عبدالله اسماعیل الصاوی، دارالصاوی، القاهره،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العبری، پیشین،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مختاراللیثی، پیشین،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جریان و جزئیات درگیری امین و مأمون،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صص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حسینی عاملی، الحیاۀ السیاسیۀ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الثانیة، جماعۀ المدرسین فی الحوزۀ العلمیۀ، قم، </w:t>
      </w:r>
      <w:r>
        <w:rPr>
          <w:rFonts w:eastAsia="IRNazanin" w:cs="IRNazanin"/>
          <w:b w:val="false"/>
          <w:bCs w:val="false"/>
          <w:i w:val="false"/>
          <w:iCs w:val="false"/>
          <w:color w:val="333333"/>
          <w:sz w:val="20"/>
          <w:szCs w:val="20"/>
        </w:rPr>
        <w:t>1362/1403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ابی یعقوب معروف به یعقوبی، تاریخ الیعقوبی، دار صادر، بیروت،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ابی یعقوب معروف به یعقوبی، تاریخ الیعقوبی، دار صادر، بیروت،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مسعودی، پیشین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پیشین،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الندیم، الفهرست، مطبعۀ الاستقامۀ، القاهره،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پیشین،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سفینة البحار و مدینۀ الحکم و الآثار، المطبعۀ العلمیة، نجف اشرف،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مادۀ غیب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أبوالحسن علی بن حسین مسعودی، مروج الذهب و معادن الجوهر، تحقیق اسعد داغر، الطبعة الثانیة، دارالهجرة، قم،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دینوری، پیشین،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پیشین،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؛ابن العبری، پیشین،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پیشین،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پیشین؛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عاملی، پیشین، صفحات مختلف از جمله،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تفصیلی از چگونگی و چرایی نیرومندتر بودن پایگاه امین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عاملی، پیشین، صفحات مختلف از جمله،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درگیری دو حزب عرب و ایرانی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طقوش، پیشین، صص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جهشیاری، پیشین، صص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التنبیه و الاشراف، پیشین،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در مورد برخی علل نارضایتی و عواقب آن 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پیشین،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شورش نصر بن شبث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پیشین،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ابن اثیر، پیشین،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طقوش، پیشین،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پیشین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أبوعمرو خلیفۀ بن خیاط، تاریخ خلیفۀ بن خیاط، تحقیق فواز، الطبعۀ الأولی، دارالکتب العلمیة، بیروت،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جهشیاری، پیشین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طقوش، پیشین،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برخی از این اهداف،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عاملی، پیشین،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برخی ناراضیان و مخالفان ولایتعهدی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پیشین،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ابن اثیر، پیشین،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مناظرات تاریخی امام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پیروان مذاهب و مکاتب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آثار دومین کنگره جهانی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کنگره جهانی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چاپ و انتشارات آستان قدس رضوی،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طقوش، پیشین،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پیشین،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چگونگی تقسیم بندی حکومت عباسی توسط مورخان به چهار عصر،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طقوش، پیشین،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طقوش، پیشین،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پیشین، صص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طقوش، پیشین،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احمد فرید رفاعی، الطبعة الرابعة، دارالکتب المصریة، القاهرة، </w:t>
      </w:r>
      <w:r>
        <w:rPr>
          <w:rFonts w:eastAsia="IRNazanin" w:cs="IRNazanin"/>
          <w:b w:val="false"/>
          <w:bCs w:val="false"/>
          <w:i w:val="false"/>
          <w:iCs w:val="false"/>
          <w:color w:val="333333"/>
          <w:sz w:val="20"/>
          <w:szCs w:val="20"/>
        </w:rPr>
        <w:t>1346/1928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برای آگاهی بیشتر در مورد بیت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الحکمه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کرامتی، بیت الحکمه، دایرۀ المعارف بزرگ اسلامی، زیر نظر کاظم موسوی بجنوردی، چاپ اول، مرکز دایرة المعارف بزرگ اسلامی، تهران،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طقوش، پیشین،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پیشین،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مرتضوی، نهضت کلامی در عصر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آستان قدس رضوی، مشهد،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پیشین،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صفری، نقش تقیه در استنباط، چاپ اول، مؤسسه بوستان کتاب قم، قم،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حسین زاده شانه چی، اوضاع سیاسی، اجتماعی و فرهنگی شیعه در غیبت صغری، چاپ اول، پژوهشگاه علوم فرهنگ اسلامی، قم،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اقبال آشتیانی، خاندان نوبختی، چاپ سوم، کتابخانة طهوری، تهران،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پیشین،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میزان نفوذ معتزله در دستگاه حکومت عباسی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آشتیانی، پیشین، صص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قضیۀ محنت قرآن 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پیشین،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رفاعی، پیشین، صص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مؤلفان، پیشوایان هدایت، ثامن الأئمۀ، حضرت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سید حسین اسلامی اردکانی، چاپ اول، مجمع جهانی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پیشین،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حسین بن بابویه قمی معروف به شیخ صدوق، 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شیخ حسین اعلمی، الطبعۀ الأولی، منشورات مؤسسۀ الأعلمی للمطبوعات، بیروت، </w:t>
      </w:r>
      <w:r>
        <w:rPr>
          <w:rFonts w:eastAsia="IRNazanin" w:cs="IRNazanin"/>
          <w:b w:val="false"/>
          <w:bCs w:val="false"/>
          <w:i w:val="false"/>
          <w:iCs w:val="false"/>
          <w:color w:val="333333"/>
          <w:sz w:val="20"/>
          <w:szCs w:val="20"/>
        </w:rPr>
        <w:t>1404/1984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حسین بن بابویه قمی معروف به شیخ صدوق، 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شیخ حسین اعلمی، الطبعۀ الأولی، منشورات مؤسسۀ الأعلمی للمطبوعات، بیروت، </w:t>
      </w:r>
      <w:r>
        <w:rPr>
          <w:rFonts w:eastAsia="IRNazanin" w:cs="IRNazanin"/>
          <w:b w:val="false"/>
          <w:bCs w:val="false"/>
          <w:i w:val="false"/>
          <w:iCs w:val="false"/>
          <w:color w:val="333333"/>
          <w:sz w:val="20"/>
          <w:szCs w:val="20"/>
        </w:rPr>
        <w:t>1404/1984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معرفۀ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جواد قیومی اصفهانی، الطبعۀ الاولی، مؤسسة النشر الإسلامی، قم،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شایان ذکر است که زمان و تاریخ این ماجرا، در رجال کشی نیامده ولی با توجه به قرائن و شواهد، از جمله سختگیریهای هارون نسبت به علویان احتمال قریب به یقین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رود که این واقعه در زمان هارون رخ داده باشد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پیشین،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در این ماجرا نیز تاریخ و زمان دقیق آن، مشخص نشده است ولی به احتمال زیاد، در زمان هارون الرشید اتفاق افتاده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پیشین،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پیشین،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حسین، پیشین،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پیشین،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پیشین،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برای آگاهی از قیام‌های علویان که در سراسر مملکت اسلامی آن زمان، انتشار یافته بود، 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پیشین؛ همچنین یعقوبی، پیشین،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ابن کثیر دمشقی، البدایة و النهایۀ، دارالفکر، بیروت،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صفری فروشانی، تحلیلی بر قیام های علویان در دوران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ارتباط آن با ولایتعهدی، شیعه شناسی، سال هفتم،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ولیعهدی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التنبیه والاشراف، پیشین،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ابن کثیر، پیشین،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برای تفصیل و تحلیل ولایتعهدی و حتی خلافت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حسینی عاملی، پیشین،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الله عطاردی خبوشانی، مسندالامام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المؤتمر العالمی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صدوق،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صفری فروشانی، خورشید شب، پیشین،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طبق نقل جهشیاری، در آن زمان لباس سبز مخصوص ایرانیان بوده است و لباس علویان، سفید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جهشیاری، پیشین،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پیشین؛ ابن کثیر، پیشین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ابن کثیر، پیشین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زمان مأمون هم محدودیت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هایی برای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شیعیانش وجود داشته است؛ 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پیشین،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امین، اعیان الشیعه، دارالتعارف للمطبوعات، بیروت،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فضل الله، الامام الرضا تاریخ و دراسة، الطبعة الأولی، دارالزهرا، بیروت،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برای آگاهی از ردّ شیعه بودن مأمون، و اثبات تشیع دروغین وی 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قرشی، حیاۀ الامام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الطبعۀ الثانیۀ، منشورات سعید بن جبیر، قم،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طقطقی، پیشین،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آشتیانی، پیشین،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پروین ترکمنی آذر، تاریخ سیاسی شیعیان اثنی عشری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ورود مسلمانان به ایران تا تشکیل حکومت صفویه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شیعه شناسی، تهران،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پیشین،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برای تحلیل و ردّ تشیع فضل بن سهل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عاملی، پیشین،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عاملی، پیشین،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الکامل ابن اثیر، حوادث سال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صفری فروشانی، تحلیلی بر قیام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علویان در دوران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ارتباط آن با ولایتعهدی، پیشین،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حاکم نیشابوری، تاریخ نیشابور، ترجمه محمد بن حسین خلیفة نیشابوری، تصحیح و تعلیق محمدرضا شفیعی کدکنی، چاپ اول، آگه،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این مطلب، در منابع دیگر یافت نشد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جباری، مکتب حدیثی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و تحلیل مکتب حدیثی قم از آغاز تا قرن پنجم هجری، چاپ اول، انتشارات زائر، قم،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جباری، مکتب حدیثی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و تحلیل مکتب حدیثی قم از آغاز تا قرن پنجم هجری، چاپ اول، انتشارات زائر، قم،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الطبعة الثانیة المصححة، مؤسسة الوفاء،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جباری، پیشین،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از آغاز تا قرن دهم هجری، چاپ اول، انصاریان، قم،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جباری، پیشین،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برای آگاهی در مورد دلایل انتساب و عدم انتساب برخی از این کتب به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فضل الله، پیشین،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همچنین برای آشنایی بیشتر با آثار منسوب به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جباری، پیشین،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صفری فروشانی، تحلیلی بر قیامهای علویان در دوران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ارتباط آن با ولایتعهدی، پیشین،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جباری، پیشین،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پیشین،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برخی آثار و معجزات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پیشین،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پیشین،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پیشین،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ماجرای عظیم استقبال در نیشابور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عاملی، پیشین،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پیشین،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التوحید، تحقیق سید هاشم حسینی طهرانی، جماعۀ المدرسین، قم،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پیشین،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پیشین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صفری فروشانی، پیشین،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فضل الله، پیشین،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برای آگاهی تفصیلی از متن مناظره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 و گفتگوهای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فرق و مذاهب گوناگون در حضور مأمون، 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صفری فروشانی، پیشین،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صفری فروشانی، پیشین،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صفری فروشانی، پیشین،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جباری، پیشین،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معرفۀ الرجال، تحقیق میرداماد، محمد باقر حسینی، سید مهدی رجائی،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معرفۀ الرجال، تحقیق میرداماد، محمد باقر حسینی، سید مهدی رجائی،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معرفۀ الرجال، تحقیق میرداماد، محمد باقر حسینی، سید مهدی رجائی،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معرفۀ الرجال، تحقیق میرداماد، محمد باقر حسینی، سید مهدی رجائی،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پیشین،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جعفر محمد بن حسن طوسی، کتاب الغیبۀ، مکتبۀ نینوی الحدیثه، تهران،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جباری، سازمان وکالت و نقش آن در عصر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معرفۀ الرجال، پیشین، ص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معرفۀ الرجال، پیشین، صص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متن برخی اشعار و قصاید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پیشین،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قرشی،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در این مورد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پیشین،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پیشین،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ابی‌عبدالله محمد بن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فی معرفة حجج الله علی العباد، تحقیق 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لتحقیق التراث، دارالمفید، قم، بی‌تا،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پیشین،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عبدالکریم فضیل شرف الدین، الزیدیه نظریۀ و تطبیق، الطبعة الثانیة، العصر الحدیث، بیروت،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سید علی موسوی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نژاد، آشنایی با زیدیه، نشریه هفت آسمان، پاییز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پیشین،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پیشین،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پیشین،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پیشین،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پیشین،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ابن اثیر، پیشین،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پیشین،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پیشین،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پیشین،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ابن اثیر، پیشین،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پیشین،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پیشین؛ طبری، پیشین،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پیشین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پیشین؛ طبری، پیشین، صص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پیشین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پیشین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پیشین،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اصفهانی، پیشین، صص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پیشین، صص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کارشناسان، میزگرد شیوه برخورد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فرقه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درون شیعی، اندیشه 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ویژه نامه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آذرماه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و معادن الجوهر،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پیشین،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أحمدبن علی خطیب بغدادی، تاریخ بغداد أو مدینة السلام، تحقیق مصطفی عبدالقادر عطا، الطبعة الاولی، دارالکتب العلمیة، بیروت،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مفید،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پیشین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پیشین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پیشین،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پیشین،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برخی دلایل قیام محمد دیباج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ابن اثیر، پیشین،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مسعودی، پیشین،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اصفهانی، پیشین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اشعری، پیشین،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نصر بخاری، سرّ السلسلۀ العلویۀ، تعلیق سید محمد صادق بحرالعلوم، منشورات المطبعۀ الحیدریۀ، نجف اشرف،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پیشین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الغمة فی معرفة الائمة، الطبعة الثانیة، دارالاضواء، بیروت،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صدوق، 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صفری فروشانی، تحلیلی بر قیام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علویان در دوران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ارتباط آن با ولایتعهدی، پیشین،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پیشین، صص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کشف الغمه، این روایت از مسافر نقل شده و در مناقب، از هشام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پیشین،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محمدبن علی بن شهر آشوب، مناقب آل ابی طالب، تصحیح و تعلیق سید هاشم رسولی محلاتی، موسسه انتشارات علامه، قم،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پیشین،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محمدبن علی بن شهر آشوب، مناقب آل ابی طالب، تصحیح و تعلیق سید هاشم رسولی محلاتی، موسسه انتشارات علامه، قم،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پیشین،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پیشین،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پیشین،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اند که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 فرزند به نام ابراهیم داشته است که یکی ابراهیم اکبر و دیگری ابراهیم اصغر نامیده شده است، که ابراهیم اکبر در زمان مأمون در یمن قیام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نصر بخاری، پیشین،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احمدبن علی معروف به ابن عنبه، عمدة الطالب فی انساب آل ابی طالب، تحقیق سیّد مهدی رجائی، الطبعة الاولی، مکتبة سماحة آیة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العظمی المرعشی النجفی، قم،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ابراهیم اصغر، ابراهیم مجاب، جدّ سید مرتضی و سید رضی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عزیزا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اولاد و برادران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آثار سومین کنگره جهانی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چاپ و انتشارات آستان قدس رضوی،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پیشین،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پیشین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پیشین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پیشین،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پیشین،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پیشین،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پیشین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پیشین،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راه خدا چنان که شایستة اوست، جهاد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شما را برگزید</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کامل از سخنان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استنباط، از سخنان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گفتگو با زید النار و در گفتگو با مأمون و نیز در مقایسة زید النار با زیدبن علی به دست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سخنان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ملقب به شیخ مفید، اوائل المقالات فی المذاهب و المختارات، تحقیق مهدی محقّق، چاپ اول، انتشارات مؤسسة مطالعات اسلامی،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سعد بن عبدالله أبی خلف اشعری قمی، پیشین،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 من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الله اکبری، الرضا من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اسلام، سال دوم،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الله اکبری، الرضا من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اسلام، سال دوم،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اربلی، پیشین،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پیشین،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اربلی، پیشین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پیشین،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پیشین،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پیشین،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پیشین؛ ابن شهرآشوب، پیشین،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پیشین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پیشین،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رابطة قیام</w:t>
      </w:r>
      <w:r>
        <w:rPr>
          <w:rFonts w:eastAsia="IRNazanin" w:cs="IRNazanin"/>
          <w:b w:val="false"/>
          <w:bCs w:val="false"/>
          <w:i w:val="false"/>
          <w:iCs w:val="false"/>
          <w:color w:val="333333"/>
          <w:sz w:val="20"/>
          <w:szCs w:val="20"/>
          <w:rtl w:val="true"/>
        </w:rPr>
        <w:softHyphen/>
        <w:softHyphen/>
      </w:r>
      <w:r>
        <w:rPr>
          <w:rFonts w:ascii="IRNazanin" w:hAnsi="IRNazanin" w:eastAsia="IRNazanin"/>
          <w:b w:val="false"/>
          <w:b w:val="false"/>
          <w:bCs w:val="false"/>
          <w:i w:val="false"/>
          <w:i w:val="false"/>
          <w:iCs w:val="false"/>
          <w:color w:val="333333"/>
          <w:sz w:val="20"/>
          <w:sz w:val="20"/>
          <w:szCs w:val="20"/>
          <w:rtl w:val="true"/>
        </w:rPr>
        <w:t xml:space="preserve">های علویان و ولایتعهدی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صفری فروشانی، تحلیلی بر قیام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علویان در دوران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ارتباط آن با ولایتعهدی، پیشین،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صص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پیشین،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اشعری قمی، پیشین،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پیشین،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اشعری قمی، پیشین،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فرمانیان، سید علی موسوی نژاد، درسنامه تاریخ و عقاید زیدیه، چاپ دوم، نشر ادیان، قم،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جمعی از کارشناسان، میزگرد شیوه برخورد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فرقه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درون شیعی، پیشین،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پیشین،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دفتری، تاریخ و عقاید اسماعیلیه، ترجمۀ فریدون بدره‌ای ، چاپ دوم، نشر و پژوهش فرزان،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دفتری، تاریخ و عقاید اسماعیلیه، ترجمۀ فریدون بدره‌ای ، چاپ دوم، نشر و پژوهش فرزان،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پیشین،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اشعری قمی، پیشین،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اربلی،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محمد بن علی اردبیلی غروی حائری، جامع الرّواة و ازاحة الاشتباهات عن الطرق و الاسناد، منشورات مکتبه آیة الله العظمی المرعشی النجفی، قم،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پیشین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العباس احمد بن علی نجاشی، رجال النجاشی، تحقیق سید موسی شبیری زنجانی، الطبعة الخامسة، مؤسسة النشر الاسلامی، 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العباس احمد بن علی نجاشی، رجال النجاشی، تحقیق سید موسی شبیری زنجانی، الطبعة الخامسة، مؤسسة النشر الاسلامی، 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العباس احمد بن علی نجاشی، رجال النجاشی، تحقیق سید موسی شبیری زنجانی، الطبعة الخامسة، مؤسسة النشر الاسلامی، 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تفصیلی در مورد علل عدم درگیری و برخورد تند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فطحیه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صفری فروشانی، فرقه‌های درون شیعی دوران امامت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تکیه بر فطحیه و واقفیه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طلوع، سال هشتم،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صفری فروشانی، فرقه‌های درون شیعی دوران امامت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تکیه بر فطحیه و واقفیه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طلوع، سال هشتم،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پیشین،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پیشین،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معانی الاخبار، تحقیق علی اکبر غفاری، انتشارات اسلامی، بی‌جا،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تفصیلی از جایگاه آنان در موارد فوق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جلال امام، بررسی زمینه‌ها و عوامل پیدایش اندیشه توقف بر امامان شیعه، موسسه آموزشی و پژوهشی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کارشناسی ارشد،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صفری فروشانی، فرقه‌های درون شیعی دوران امامت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تکیه بر فطحیه و واقفیه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پیشین،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تفصیلی از ویژگی‌های لازم برای وکلا،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جباری، سازمان وکالت و نقش آن در عصر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صفری فروشانی، پیشین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تفصیلی از وظایف سازمان وکالت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جباری، پیشین،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الغیبة، تحقیق عبادالله طهرانی و شیخ علی احمد ناصح، الطبعۀ المحققۀ الاولی، مؤسسۀ المعارف الاسلامیۀ، قم،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صدوق،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المکتبة الحیدریة، نجف،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طوسی، اختیار معرفة الرجال، تحقیق میرداماد، محمدباقر حسینی، سید مهدی رجائی،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علی بن حسین بن بابویه، الامامة و التبصرة من الحیرة، تحقیق و نشر مدرسة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قم،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الفصول المختارة، تحقیق سید میرعلی شریفی، الطبعة الثانیة، دارالمفید، بیروت،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طوسی، الغیبة، پیشین،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اقتباس از صفری فروشانی، فرقه‌های درون شیعی دوران امامت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تفصیلی در مورد قلمرو فعالیت سازمان وکالت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رقم‌های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قمی، پیشین،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قمی، پیشین،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پیشین، صص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رقم‌های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پیشین،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پیشین، صص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حسین‌زاده شانه‌چی، واقفیه، فصلنامه تاریخ اسلام، سال ششم،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نکاتی از فهرست شیخ طوسی مربوط به دوران اولیة امامت، ترجمة سید جلال حسینی بدخشانی، یادنامه شیخ طوسی، دانشگاه فردوسی، مشهد،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الفهرست، پیشین،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پیشین،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الفهرست، پیشین،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پیشین،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پیشین،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پیشین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پیشین،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بیوکارا، دودستگی در شیعیان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پیدایش فرقه واقفه، ترجمة وحید صفری، علوم حدیث،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پیشین،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همچنین بیوکارا، پیشین،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بیوکارا، پیشین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پیشین،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پیشین،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بیوکارا، پیشین،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پیشین،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پیشین، 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پیشین،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پیشین،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پیشین،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پیشین،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پیشین،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حسین‌زاده شانه‌چی، پیشین،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پیشین، ص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طوسی، الغیبة، پیشین،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پیشین، ص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طوسی، الغیبة، پیشین،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پیشین،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پیشین،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إعلام الوری بأعلام الهدی، تحقیق 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لإحیاء التراث، الطبعة الأولی، 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لإحیاء التراث، قم،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ابی‌طالب، تصحیح و تعلیق سید هاشم رسولی محلاتی،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طوسی، الغیبة، پیشین،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اعتبار شدن در نزد اصحاب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کم اعتبار شدن در بین کسانی که ناآگاهانه و از روی اعتماد به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خاطر سابقة قبلی‌شان – به آنان گرویده بودند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پیشین؛ طبرسی، پیشین؛ طوسی، اختیار معرفة الرجال،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رقم‌های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ابی‌جعفر محمد بن علی بن حسین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تصحیح و تعلیق علی اکبر غفاری، مؤسسة النشر الاسلامی، 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ابی‌جعفر محمد بن علی بن حسین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تصحیح و تعلیق علی اکبر غفاری، مؤسسة النشر الاسلامی، 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پیشین،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نَزَّلَ عَلَیْکُمْ فِی الْکِتابِ أَنْ إِذا سَمِعْتُمْ آیاتِ اللَّهِ یُکْفَرُ بِها وَ یُسْتَهْزَأُ بِها فَلا تَقْعُدُوا مَعَهُمْ حَتَّی یَخُوضُوا فِی حَدِیثٍ غَیْرِهِ إِنَّکُمْ إِذاً مِثْلُهُمْ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پیشین، صص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پیشین، ص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پیشین، 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طبرسی، پیشین،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پیشین،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پیشین، ص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پیشین،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پیشین،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پیشین،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صفری فروشانی، غالیان، پیشین،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اختیارمعرفۀ الرجال،  پیشین،ج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پیشین، ص</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بحارالانوار الجامعة لدرر أخبار الائمة الأطهار، الطبعة الثالثة المصححة، دار إحیاء التراث العربی،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پیشین،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مجلسی، پیشین،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پیشین، ص</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رقم های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پیشین، ص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 پیشین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 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 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قمی، پیشین،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پیشین ، صص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 پیشین ، ،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قمی ، پیشین،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صفری فروشانی، پیشین،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 پیشین،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طوسی، پیشین، ص</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قمی، پیشین، صص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قمی، پیشین،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نوبختی، پیشین،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طوسی، پیشین،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قمی، پیشین،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قمی، پیشین،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قمی، پیشین،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طبرسی ، الاحتجاج علی اهل اللجاج ، تحقیق سیدمحمد باقرخرسان، دارالنعمان، نجف اشراف،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آشنایی با فرق تشیع، پیشین،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پیشین، ص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مجلسی، پیشین،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مجلسی، پیشین،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عربی این عبارت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إلا کانوا یهودا، إلا کانوا مجوسا،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در بحارالأنوار در ترجمة عبارت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کانوا مجوسا، أی هم شر من هؤلاء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بدتر از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مجلسی، پیشین،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پیشین،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مجلسی، پیشین،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 مجلسی، پیشین،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پیشین،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پیشین،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پیشین،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پیشین،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الإعتقادات، تحقیق عصام عبدالسید، مندرج در سلسله مؤلفات الشیخ المفید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الطبعۀ الثانیۀ، دارالمفید، بیروت،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مجلسی، پیشین،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الأعتقادات، پیشین،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مجلسی، پیشین،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پیشین،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پیشین،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مجلسی، پیشین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پیشین،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مجلسی، پیشین،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پیشین،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پیشین؛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هاویه همان آتش سوزنده و گدازندة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القارعه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پیشین،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مجلسی، پیشین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شدت توطئة غلات، چنان پیش رفته بود که شخصیت ژرفنگری مثل یونس بن عبدالرحمن، نیز در ابتدا تحت تأثیر این احادیث قرار گرفته و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را جمع</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آوری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درونش نوعی شک و شبهه باقی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ماند که برای از بین بردن آن، به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کرده و آن احادیث را بر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صفری فروشانی، غالیان، پیشین،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پیشین، صص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پیشین،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مجلسی، پیشین،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پیشین، ص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پیشین،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مجلسی، پیشین،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پیشین، مجلسی، پیشین،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پیشین،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35028</Words>
  <Characters>143821</Characters>
  <CharactersWithSpaces>177841</CharactersWithSpaces>
  <Paragraphs>1537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2026-08-17T12:01:26Z</dcterms:created>
  <dc:creator>ghaemiyeh.com</dc:creator>
  <dc:description/>
  <dc:language>en-US</dc:language>
  <cp:lastModifiedBy/>
  <dcterms:modified xsi:type="dcterms:W3CDTF">2026-08-17T15:31:31Z</dcterms:modified>
  <cp:revision>1</cp:revision>
  <dc:subject/>
  <dc:title>رفتارشناسی امام رضا علیه السلام و فرقه های درون شیعی</dc:title>
</cp:coreProperties>
</file>

<file path=docProps/custom.xml><?xml version="1.0" encoding="utf-8"?>
<Properties xmlns="http://schemas.openxmlformats.org/officeDocument/2006/custom-properties" xmlns:vt="http://schemas.openxmlformats.org/officeDocument/2006/docPropsVTypes"/>
</file>