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theme/theme1.xml" ContentType="application/vnd.openxmlformats-officedocument.theme+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Override PartName="/word/footer6.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میزان شناخت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86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588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590_1395250215">
            <w:r>
              <w:rPr>
                <w:webHidden/>
                <w:rStyle w:val="IndexLink"/>
                <w:rtl w:val="true"/>
              </w:rPr>
              <w:t>مکتب مادیون</w:t>
            </w:r>
            <w:r>
              <w:rPr>
                <w:rStyle w:val="IndexLink"/>
                <w:rtl w:val="true"/>
              </w:rPr>
              <w:t>:</w:t>
              <w:tab/>
            </w:r>
            <w:r>
              <w:rPr>
                <w:rStyle w:val="IndexLink"/>
              </w:rPr>
              <w:t>5</w:t>
            </w:r>
          </w:hyperlink>
        </w:p>
        <w:p>
          <w:pPr>
            <w:pStyle w:val="Contents2"/>
            <w:tabs>
              <w:tab w:val="clear" w:pos="8743"/>
              <w:tab w:val="right" w:pos="9026" w:leader="dot"/>
            </w:tabs>
            <w:rPr/>
          </w:pPr>
          <w:hyperlink w:anchor="__RefHeading___Toc7592_1395250215">
            <w:r>
              <w:rPr>
                <w:webHidden/>
                <w:rStyle w:val="IndexLink"/>
                <w:rtl w:val="true"/>
              </w:rPr>
              <w:t>مکتب صوفیان</w:t>
            </w:r>
            <w:r>
              <w:rPr>
                <w:rStyle w:val="IndexLink"/>
                <w:rtl w:val="true"/>
              </w:rPr>
              <w:tab/>
            </w:r>
            <w:r>
              <w:rPr>
                <w:rStyle w:val="IndexLink"/>
              </w:rPr>
              <w:t>5</w:t>
            </w:r>
          </w:hyperlink>
        </w:p>
        <w:p>
          <w:pPr>
            <w:pStyle w:val="Contents2"/>
            <w:tabs>
              <w:tab w:val="clear" w:pos="8743"/>
              <w:tab w:val="right" w:pos="9026" w:leader="dot"/>
            </w:tabs>
            <w:rPr/>
          </w:pPr>
          <w:hyperlink w:anchor="__RefHeading___Toc7594_1395250215">
            <w:r>
              <w:rPr>
                <w:webHidden/>
                <w:rStyle w:val="IndexLink"/>
                <w:rtl w:val="true"/>
              </w:rPr>
              <w:t>مکتب فلاسفه</w:t>
            </w:r>
            <w:r>
              <w:rPr>
                <w:rStyle w:val="IndexLink"/>
                <w:rtl w:val="true"/>
              </w:rPr>
              <w:tab/>
            </w:r>
            <w:r>
              <w:rPr>
                <w:rStyle w:val="IndexLink"/>
              </w:rPr>
              <w:t>6</w:t>
            </w:r>
          </w:hyperlink>
        </w:p>
        <w:p>
          <w:pPr>
            <w:pStyle w:val="Contents2"/>
            <w:tabs>
              <w:tab w:val="clear" w:pos="8743"/>
              <w:tab w:val="right" w:pos="9026" w:leader="dot"/>
            </w:tabs>
            <w:rPr/>
          </w:pPr>
          <w:hyperlink w:anchor="__RefHeading___Toc7596_1395250215">
            <w:r>
              <w:rPr>
                <w:webHidden/>
                <w:rStyle w:val="IndexLink"/>
                <w:rtl w:val="true"/>
              </w:rPr>
              <w:t>مکتب عرفان و اشراق</w:t>
            </w:r>
            <w:r>
              <w:rPr>
                <w:rStyle w:val="IndexLink"/>
                <w:rtl w:val="true"/>
              </w:rPr>
              <w:tab/>
            </w:r>
            <w:r>
              <w:rPr>
                <w:rStyle w:val="IndexLink"/>
              </w:rPr>
              <w:t>11</w:t>
            </w:r>
          </w:hyperlink>
        </w:p>
        <w:p>
          <w:pPr>
            <w:pStyle w:val="Contents2"/>
            <w:tabs>
              <w:tab w:val="clear" w:pos="8743"/>
              <w:tab w:val="right" w:pos="9026" w:leader="dot"/>
            </w:tabs>
            <w:rPr/>
          </w:pPr>
          <w:hyperlink w:anchor="__RefHeading___Toc7598_1395250215">
            <w:r>
              <w:rPr>
                <w:webHidden/>
                <w:rStyle w:val="IndexLink"/>
                <w:rtl w:val="true"/>
              </w:rPr>
              <w:t>مکتب وحی</w:t>
            </w:r>
            <w:r>
              <w:rPr>
                <w:rStyle w:val="IndexLink"/>
                <w:rtl w:val="true"/>
              </w:rPr>
              <w:tab/>
            </w:r>
            <w:r>
              <w:rPr>
                <w:rStyle w:val="IndexLink"/>
              </w:rPr>
              <w:t>11</w:t>
            </w:r>
          </w:hyperlink>
        </w:p>
        <w:p>
          <w:pPr>
            <w:pStyle w:val="Contents2"/>
            <w:tabs>
              <w:tab w:val="clear" w:pos="8743"/>
              <w:tab w:val="right" w:pos="9026" w:leader="dot"/>
            </w:tabs>
            <w:rPr/>
          </w:pPr>
          <w:hyperlink w:anchor="__RefHeading___Toc7600_1395250215">
            <w:r>
              <w:rPr>
                <w:webHidden/>
                <w:rStyle w:val="IndexLink"/>
                <w:rtl w:val="true"/>
              </w:rPr>
              <w:t>معاد جسمانی و روحانی</w:t>
            </w:r>
            <w:r>
              <w:rPr>
                <w:rStyle w:val="IndexLink"/>
                <w:rtl w:val="true"/>
              </w:rPr>
              <w:tab/>
            </w:r>
            <w:r>
              <w:rPr>
                <w:rStyle w:val="IndexLink"/>
              </w:rPr>
              <w:t>14</w:t>
            </w:r>
          </w:hyperlink>
        </w:p>
        <w:p>
          <w:pPr>
            <w:pStyle w:val="Contents2"/>
            <w:tabs>
              <w:tab w:val="clear" w:pos="8743"/>
              <w:tab w:val="right" w:pos="9026" w:leader="dot"/>
            </w:tabs>
            <w:rPr/>
          </w:pPr>
          <w:hyperlink w:anchor="__RefHeading___Toc7602_1395250215">
            <w:r>
              <w:rPr>
                <w:webHidden/>
                <w:rStyle w:val="IndexLink"/>
                <w:rtl w:val="true"/>
              </w:rPr>
              <w:t>آیات کریمة قرآن</w:t>
            </w:r>
            <w:r>
              <w:rPr>
                <w:rStyle w:val="IndexLink"/>
                <w:rtl w:val="true"/>
              </w:rPr>
              <w:tab/>
            </w:r>
            <w:r>
              <w:rPr>
                <w:rStyle w:val="IndexLink"/>
              </w:rPr>
              <w:t>15</w:t>
            </w:r>
          </w:hyperlink>
        </w:p>
        <w:p>
          <w:pPr>
            <w:pStyle w:val="Contents2"/>
            <w:tabs>
              <w:tab w:val="clear" w:pos="8743"/>
              <w:tab w:val="right" w:pos="9026" w:leader="dot"/>
            </w:tabs>
            <w:rPr/>
          </w:pPr>
          <w:hyperlink w:anchor="__RefHeading___Toc7604_1395250215">
            <w:r>
              <w:rPr>
                <w:webHidden/>
                <w:rStyle w:val="IndexLink"/>
                <w:rtl w:val="true"/>
              </w:rPr>
              <w:t>احادیث شریفه</w:t>
            </w:r>
            <w:r>
              <w:rPr>
                <w:rStyle w:val="IndexLink"/>
                <w:rtl w:val="true"/>
              </w:rPr>
              <w:tab/>
            </w:r>
            <w:r>
              <w:rPr>
                <w:rStyle w:val="IndexLink"/>
              </w:rPr>
              <w:t>16</w:t>
            </w:r>
          </w:hyperlink>
        </w:p>
        <w:p>
          <w:pPr>
            <w:pStyle w:val="Contents2"/>
            <w:tabs>
              <w:tab w:val="clear" w:pos="8743"/>
              <w:tab w:val="right" w:pos="9026" w:leader="dot"/>
            </w:tabs>
            <w:rPr/>
          </w:pPr>
          <w:hyperlink w:anchor="__RefHeading___Toc7606_1395250215">
            <w:r>
              <w:rPr>
                <w:webHidden/>
                <w:rStyle w:val="IndexLink"/>
                <w:rtl w:val="true"/>
              </w:rPr>
              <w:t>نظر آخوند ملاصدرا در مسألة معاد جسمانی</w:t>
            </w:r>
            <w:r>
              <w:rPr>
                <w:rStyle w:val="IndexLink"/>
                <w:rtl w:val="true"/>
              </w:rPr>
              <w:tab/>
            </w:r>
            <w:r>
              <w:rPr>
                <w:rStyle w:val="IndexLink"/>
              </w:rPr>
              <w:t>18</w:t>
            </w:r>
          </w:hyperlink>
        </w:p>
        <w:p>
          <w:pPr>
            <w:pStyle w:val="Contents2"/>
            <w:tabs>
              <w:tab w:val="clear" w:pos="8743"/>
              <w:tab w:val="right" w:pos="9026" w:leader="dot"/>
            </w:tabs>
            <w:rPr/>
          </w:pPr>
          <w:hyperlink w:anchor="__RefHeading___Toc7608_1395250215">
            <w:r>
              <w:rPr>
                <w:webHidden/>
                <w:rStyle w:val="IndexLink"/>
                <w:rtl w:val="true"/>
              </w:rPr>
              <w:t>رد نظریه ملاصدرا در گفتار سه شخصیت ارزنده</w:t>
            </w:r>
            <w:r>
              <w:rPr>
                <w:rStyle w:val="IndexLink"/>
                <w:rtl w:val="true"/>
              </w:rPr>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4_36094"/>
      <w:bookmarkStart w:id="1" w:name="pg2564_36094"/>
      <w:bookmarkEnd w:id="1"/>
    </w:p>
    <w:p>
      <w:pPr>
        <w:pStyle w:val="Heading2"/>
        <w:numPr>
          <w:ilvl w:val="1"/>
          <w:numId w:val="1"/>
        </w:numPr>
        <w:rPr/>
      </w:pPr>
      <w:bookmarkStart w:id="2" w:name="pg2564_36094"/>
      <w:bookmarkStart w:id="3" w:name="__RefHeading___Toc7586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سیدان، جعفر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سیدان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۲۶۰۰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۲۸۶۱۸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88_1395250215"/>
      <w:bookmarkStart w:id="6" w:name="_Toc2"/>
      <w:bookmarkEnd w:id="5"/>
      <w:r>
        <w:rPr>
          <w:rtl w:val="true"/>
        </w:rPr>
        <w:t>اشاره</w:t>
      </w:r>
      <w:bookmarkStart w:id="7" w:name="pg2564_36095"/>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با توجه به اهمیت و ارزش بینش و شناخت و این که شناخت صحیح مهمترین امتیاز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به اختصار به میزان شناخت در اهمّ مکتبهای بشری نموده و سپس با ارائه میزان صحیح به مقایسه بعضی از نتایج روشها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ارزش و سندیت ادراک و تعقل فی الجمله مورد قبول مکتبهای مختالف است ، با این حال دانشمندان و تحقیق کنندگان در حقایق هستی و جهان ، به میزان های گوناگون برای شناخت صحیح نظر داده اند </w:t>
      </w:r>
      <w:r>
        <w:rPr>
          <w:rFonts w:eastAsia="IRNazanin" w:cs="IRNazanin"/>
          <w:color w:val="111111"/>
          <w:sz w:val="28"/>
          <w:szCs w:val="28"/>
          <w:rtl w:val="true"/>
          <w:lang w:bidi="fa-IR"/>
        </w:rPr>
        <w:t>.</w:t>
      </w:r>
    </w:p>
    <w:p>
      <w:pPr>
        <w:pStyle w:val="Heading2"/>
        <w:numPr>
          <w:ilvl w:val="1"/>
          <w:numId w:val="1"/>
        </w:numPr>
        <w:rPr/>
      </w:pPr>
      <w:bookmarkStart w:id="8" w:name="__RefHeading___Toc7590_1395250215"/>
      <w:bookmarkStart w:id="9" w:name="_Toc3"/>
      <w:bookmarkEnd w:id="8"/>
      <w:r>
        <w:rPr>
          <w:rtl w:val="true"/>
        </w:rPr>
        <w:t>مکتب مادیون</w:t>
      </w:r>
      <w:r>
        <w:rPr>
          <w:rtl w:val="true"/>
        </w:rPr>
        <w:t>:</w:t>
      </w:r>
      <w:bookmarkEnd w:id="9"/>
    </w:p>
    <w:p>
      <w:pPr>
        <w:pStyle w:val="BookText"/>
        <w:rPr/>
      </w:pPr>
      <w:r>
        <w:rPr>
          <w:rFonts w:ascii="IRNazanin" w:hAnsi="IRNazanin" w:eastAsia="IRNazanin"/>
          <w:color w:val="111111"/>
          <w:sz w:val="28"/>
          <w:sz w:val="28"/>
          <w:szCs w:val="28"/>
          <w:rtl w:val="true"/>
          <w:lang w:bidi="fa-IR"/>
        </w:rPr>
        <w:t>میزان رسیدگی به واقع و حقیقت در نظر مادیون، حس و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 گویند افکار و آرائی که بر اساس تجربه و حس مشخص گردیده است مورد قبول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نظریة فوق با توجه به این که حواس نقش مهمی در رسیدن به بسیاری از حقایق دارد تا آنجا 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فقد حساً فقدْ فقدَ علماً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دلایل متعددی بطلان گفتار مادیون را روشن می سازد که اکنون بعضی از آن ها را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خطای حواس از مسائل بدیهی و قطعی و مورد قبول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 خود نیازمند به میزان و وسیلة سنجش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قواعد و قوانین کلیه ای که در علوم مختلف مانند حساب و هندسه، طبیعیات و سایر علوم مورد قبول همة عقلاست کلی است، در حالی که تمامی افراد آن قوانین، یک به یک حس نشده و به وسیلة حس بررسی نشده است</w:t>
      </w:r>
      <w:r>
        <w:rPr>
          <w:rFonts w:eastAsia="IRNazanin" w:cs="IRNazanin"/>
          <w:color w:val="111111"/>
          <w:sz w:val="28"/>
          <w:szCs w:val="28"/>
          <w:rtl w:val="true"/>
          <w:lang w:bidi="fa-IR"/>
        </w:rPr>
        <w:t>.</w:t>
      </w:r>
    </w:p>
    <w:p>
      <w:pPr>
        <w:pStyle w:val="Heading2"/>
        <w:numPr>
          <w:ilvl w:val="1"/>
          <w:numId w:val="1"/>
        </w:numPr>
        <w:rPr/>
      </w:pPr>
      <w:bookmarkStart w:id="10" w:name="__RefHeading___Toc7592_1395250215"/>
      <w:bookmarkStart w:id="11" w:name="_Toc4"/>
      <w:bookmarkEnd w:id="10"/>
      <w:r>
        <w:rPr>
          <w:rtl w:val="true"/>
        </w:rPr>
        <w:t>مکتب صوفیان</w:t>
      </w:r>
      <w:bookmarkEnd w:id="11"/>
    </w:p>
    <w:p>
      <w:pPr>
        <w:pStyle w:val="BookText"/>
        <w:rPr/>
      </w:pPr>
      <w:r>
        <w:rPr>
          <w:rFonts w:ascii="IRNazanin" w:hAnsi="IRNazanin" w:eastAsia="IRNazanin"/>
          <w:color w:val="111111"/>
          <w:sz w:val="28"/>
          <w:sz w:val="28"/>
          <w:szCs w:val="28"/>
          <w:rtl w:val="true"/>
          <w:lang w:bidi="fa-IR"/>
        </w:rPr>
        <w:t>در نظر متصوفه با توجه به ارزش درک و تعقل در بسیاری از مسائل عادی، میزان شناخت و وسیلة رسیدن به واقعیت های جهان، کشف و مکاشفه است و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 استدلالیان چوبین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معتقدند که بسیاری از حقایق مهم هستی را جز با کشف و شهود نمی توان فهمید و لذا اهل استدلال را در بسیاری از مسائل عاجز و راجل دانسته و می گویند راه رسیدن به آن حقایق 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وراء طور العقل</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نظریة این گروه نیز مخدوش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احیاناً کشف و شهود می تواند حقیقتی را بیابد ولی نمی تواند میزان رسیدن به حقایق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مکاشفه افراد با یکدیگر متفاوت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تمیزِ درست از نادرست به میزانی غیر از مکاشفه نیازمند خواهد بود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آنچه در مکاشفه مشاهده شده است اثر همان ریاضت ها و مقدمات مکاشفات باشد، نه رسیدن به واقع؛ بسیار است مانند آثاری که از استعمال بعضی از ادویه حاصل می شود که اثر ادویه است نه بیانگر واقع</w:t>
      </w:r>
      <w:r>
        <w:rPr>
          <w:rFonts w:eastAsia="IRNazanin" w:cs="IRNazanin"/>
          <w:color w:val="111111"/>
          <w:sz w:val="28"/>
          <w:szCs w:val="28"/>
          <w:rtl w:val="true"/>
          <w:lang w:bidi="fa-IR"/>
        </w:rPr>
        <w:t xml:space="preserve">. </w:t>
      </w:r>
      <w:r>
        <w:rPr>
          <w:rStyle w:val="FootnoteAnchor"/>
          <w:rtl w:val="true"/>
        </w:rPr>
        <w:footnoteReference w:id="4"/>
      </w:r>
      <w:bookmarkStart w:id="12" w:name="pg2564_36096"/>
    </w:p>
    <w:p>
      <w:pPr>
        <w:pStyle w:val="Heading2"/>
        <w:numPr>
          <w:ilvl w:val="1"/>
          <w:numId w:val="1"/>
        </w:numPr>
        <w:rPr/>
      </w:pPr>
      <w:bookmarkStart w:id="13" w:name="__RefHeading___Toc7594_1395250215"/>
      <w:bookmarkStart w:id="14" w:name="_Toc5"/>
      <w:bookmarkEnd w:id="12"/>
      <w:bookmarkEnd w:id="13"/>
      <w:r>
        <w:rPr>
          <w:rtl w:val="true"/>
        </w:rPr>
        <w:t>مکتب فلاسفه</w:t>
      </w:r>
      <w:bookmarkEnd w:id="14"/>
    </w:p>
    <w:p>
      <w:pPr>
        <w:pStyle w:val="BookText"/>
        <w:rPr/>
      </w:pPr>
      <w:r>
        <w:rPr>
          <w:rFonts w:ascii="IRNazanin" w:hAnsi="IRNazanin" w:eastAsia="IRNazanin"/>
          <w:color w:val="111111"/>
          <w:sz w:val="28"/>
          <w:sz w:val="28"/>
          <w:szCs w:val="28"/>
          <w:rtl w:val="true"/>
          <w:lang w:bidi="fa-IR"/>
        </w:rPr>
        <w:t>در روش فلسفی تنها عقل، میزان شناخت حقایق است و در این مکتب آنچه با تعقل و استدلال بدست نیاید از اعتبار ساقط است و نمی توان آن را پذیرفت و در این روش مانند روش های قبلی، شرع و مکتب وحی نفیاً و اثباتاً مطرح نیست؛ یعنی یک فیلسوف بر اساس برهان و استدلال حرکت می کند و موافقت و مخالفت نتیجة روش او با شرع مورد توجه نمی باشد و در خصوص فلاسفة اسلامی به اختصار نکته ای در همین نوشته آمده است که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اشکالاتی که در مورد روش فلسفی به نظر می رسد این است که گفته می شود، عقل هر کجا راه یابد به معنای واقعی کلمه هر چه را درک نموده و حکم نماید بدون تردید مورد قبول 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طرفی با اعتراف بسیاری از عقلاء و به حکم اختلاف اصولی و اساسی در حد تضاد، آن هم در اکثر مسائل مهم که با مراجعه به هر کتاب فلسفی مشخص است، روشن می شود که عقل در همة مسائل راه ندارد و شعاع روشنگر عقل محدود و بسیاری از مسائل مهم از پوشش نور عقل خارج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بسیاری از مسائل که در محدودة عقل می باشد زمینه های وصولی عقل به آن حقایق بسیار دقیق است تا آنجا که به ندرت توفیق رسیدن به آن ها برای بزرگان بشر دست می دهد، از این جهت به این نتیجه می رسیم که کاربرد عقل، کاربرد محدودی است و نمی توان در همة مسائل از آن استفاده کرد و آن را میزان کامل و کافی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تضاد مبانی و نظریات شیخ اشراق و شیخ الفلاسفه ابن سینا و آخوند ملاصدرا و دیگر فلاسفه در اکثر مسائل مهم علم، اراده، حدوث و قدم، فاعلیت حضرت حق، حرکت در جوهر، اتحاد عاقل و معقول، اصالت وجود، تشکیک، وحدت وجود، مسأله روح، کیفیت حشر و معاد و دیگر مسائل فلسفی کاملاً این روشن را مخطور و ناامن می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گذشت نتیجه گرفته می شود که حجیّت عقل به جای خود محفوظ، ولی نکتة قابل توجه این است که کاربرد عقل محدود است و نمی توان با این کاربرد محدود در همة مباحث و مسائل مطمئناً به او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روشن است که راه صحیح در رسیدن به حقایق هستی و جهان در محدودة مستقلات عقلیه که عموماً در آن متفقند، همان اتکای به عقل است و بعد از اعتقاد به خداوند متعال و رسالت خاتم انبیاء و مکتب وحی که با همین عقل فطری ثابت می شود راه اطمینان بخش و صحیح همان تدبّر و تعقّل در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وحی روشن و معتبر، سنداً و دلالتاً به وضوح استفاده شود همان حق و حقیقت است، در غیر اینصورت خطر اشتباهات بزرگ برای انسان بسیار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مطلب مرحوم شیخ انصاری رحمه الله، در بحث قطع کتاب رسائل توجه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پس از منع اکید از اتکاء به براهین عقلیه و اقیسه مختلفه در استنباط احکام فرموده اند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 من ذلک ترک الخوض فی المطالب العقلیه النظریه لإدراک ما یتعلق بأصول الدّین فانّه تعریض للهلاک الدائم و العذاب الخالد و قد اُشیر الی ذلک عند النهی عن الخوض فی مسأله القضاء و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تر از ترک تکیه به استدلالات عقلیه در احکام، ترک فرورفتن در مطالب عقلیة نظریه برای درک آنچه مربوط به اصول دین است می باشد که همانا با این روش، خود را در معرض هلاک دائم و عذاب همیشگی قرار دادن است و به این مطلب اشاره شده است هنگام نهی از فرورفتن در مسأله 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بحث، تذکر سه مطلب لازم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گفته شود اختلاف فلاسفه در مسائل مختلف را نمی توان دلیل بر نادرستی و عدم اطمینان به روش فلسفی دانست همانطور که اختلاف فقهاء را نمی توان دلیل بر نادرستی فقه و فقاهت بشمار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بین روش فلاسفه و فقهاء در جهت مورد نظر، مقایسة صحیحی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مدعی قطع به واقع و رسیدن به حقیقت می باشند؛ ولی با توجه به اختلاف شدیدشان با یکدیگر با توجه به آنچه گفته شد قطع آور نخواهد بود، اما فقها مدعی قطع نبوده و اختلافشان چیزی را بر خلاف مدعای آن ها ثابت نمی کند بلکه می گویند که استنباط ما در بسیاری از موارد برایمان اطمینان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براساس تکلیفی که دارند عمل نموده اند، تکلیفی قطعی و یقینی، و آن مراجعه به کتاب و سنت و فرموده های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دو ثقل عظیم جسته اند و اگر در استنباط آن ها اشتباهی پیش آید معذورند، چه این که راهی جز این ندارند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فلاسفه که مدعی رسیدن به واقع می باشند و چون در ارتباط با عقاید و معارف هستند باید راهشان یقینی باشد و اگر یک در هزار احتمال خلاف واقع دهند، باید از آن اعتقاد صرف نظر نموده و واقع را همانطور که هست به اجمال و ابهام و هر آنچه که هست معتقد گردند بلکه با توجه به پذیرش وحی باید به تدبر در وحی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مرحوم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استدلالات عقلیه در اصول دین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فقهاء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تقلید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را چگونه با یکدیگر جمع نموده و تبیین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 این دو مطلب با یکدیگر منافات ندارد، زیرا اضافه بر این که اجتهاد در بعضی از موارد براساس مدارک نقلی مانند معاد و امامت است منظور از نفی استدلالات عقلیه در اصول دین نفی مستقلات عقلیه نیست بلکه حجت بودن مستقلات عقلیه قطعی و روشن است؛ بنابراین لزوم اجتهاد در اصول دین یکی از این دو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براساس مستقلات عقلیه و عقل فطری باشد مانند مسأله توحید و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براساس مدارک معتبره و مستند باشد مانند مسأله معاد و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اصول دین تقلید و تبعیت از نظر دیگران جایز نیست بلکه خود فهمیدن و رسیدن به مطلب به صورت شکوفایی عقل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تذکر مذکِّر باشد مانند مسائل مربوط به توحید و نبوت و یا به صورت فهمیدن مطالب در سطوح مختلف از کتاب و سنت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گفته شود آنچه در مورد فلاسفه گفته شد که وحی و مدارک شرعی نفیاً و اثباتاً برای آن ها مطرح نیست، نسبت به فلاسفه غیر اسلامی و یا بطور کلی دربارة اساس روش فلسفی به معنای خاص کلمه است، همان طور که فیلسوف شهیر حاج ملا هادی سبزواری در شرح منظومة خود، قسمت فلسفه صفحة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تعلیقه ای که برای عبارت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ضرورة القضیة الفعلیة لوازم الاول و المهیة</w:t>
      </w:r>
    </w:p>
    <w:p>
      <w:pPr>
        <w:pStyle w:val="BookText"/>
        <w:rPr/>
      </w:pPr>
      <w:r>
        <w:rPr>
          <w:rFonts w:ascii="IRNazanin" w:hAnsi="IRNazanin" w:eastAsia="IRNazanin"/>
          <w:color w:val="111111"/>
          <w:sz w:val="28"/>
          <w:sz w:val="28"/>
          <w:szCs w:val="28"/>
          <w:rtl w:val="true"/>
          <w:lang w:bidi="fa-IR"/>
        </w:rPr>
        <w:t>آورده،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المتصدین لمعرفة الحقایق و هم اربع فرق، لانهم اما ان یصلوا الیها بمجرد الفکر او بمجرد تصفیة النفس بالتخلیة و التخلیة او بالجمع بینهما فالجامعون هم الاشراقیون، و المصفون هم الصوفیه، و المقصرون علی الفکر اما یواظبون موافقة اوضاع ملة الادیان و هم المتکلمون، او یبحثون علی الاطلاق و هم المشائون، و الفکر مشی العقل اذ الفکر حرکة من المطالب الی المبادی و من المبادی الی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جستجوی شناسایی حقایق هستند و به چهار گروه تقسیم می شوند، چون آن ها یا با فکر فقط برای وصول به حقایق در تلاشند و یا با تصفیه به پاکیزگی از بدی ها و سپس به زینت دادن نفس به خوبی ها، این معرفت را تحصیل می کنند و یا به جمع بین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جمع بین فکر و تصفیة تنها پرداخته اند صوفیه اند و کسانی که به فکر تنها اکتفا نمودند با رعایت ادیان، متکلمین هستند و آن ها که به فکر تنها اکتفا نموده بدون قید رعایت ادیان و شرایع فلاسفة مشاء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فلاسفة اسلامی، مکرراً تصریح کرده اند، فلسفه ای که بر خلاف شرع و شریعت باشد مطرودند و خود متعبد به موازین شرعی بوده 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جمعی از فلاسفه اسلامی با تسلط و اطلاع کامل نسبت به مبانی فلسفی، تنها در مسائل و مباحثی که در ارتباط با مسائل اسلامی نیست و یا احیاناً توافق دارد، از آن مباحث استفاده کرده اند ولی در مواردی که با موافقت با موازین و مدارک وحی ندارد کاملاً متعبد به وحی و جانب مکتب وحی را گرفته و به آن معتقدند</w:t>
      </w:r>
      <w:r>
        <w:rPr>
          <w:rFonts w:eastAsia="IRNazanin" w:cs="IRNazanin"/>
          <w:color w:val="111111"/>
          <w:sz w:val="28"/>
          <w:szCs w:val="28"/>
          <w:rtl w:val="true"/>
          <w:lang w:bidi="fa-IR"/>
        </w:rPr>
        <w:t>.</w:t>
      </w:r>
      <w:bookmarkStart w:id="15" w:name="pg2564_36101"/>
    </w:p>
    <w:p>
      <w:pPr>
        <w:pStyle w:val="BookText"/>
        <w:rPr/>
      </w:pPr>
      <w:bookmarkEnd w:id="15"/>
      <w:r>
        <w:rPr>
          <w:rFonts w:ascii="IRNazanin" w:hAnsi="IRNazanin" w:eastAsia="IRNazanin"/>
          <w:color w:val="111111"/>
          <w:sz w:val="28"/>
          <w:sz w:val="28"/>
          <w:szCs w:val="28"/>
          <w:rtl w:val="true"/>
          <w:lang w:bidi="fa-IR"/>
        </w:rPr>
        <w:t>البته چنین افرادی در حقیقت همان فقیه در دین و عالم ربانی هستند و جمعی دیگر از فلاسفه اسلامی با این که تقید به اسلام دارند، عملاً در مباحث علمی؛ افکار و آرای نوابغ و بزرگان بشری را محور قرار داده اند و به تفکر خود در مسائل مختلف تکیه می کنند تا آن جا که اگر نتایج حاصله از مکتب وحی با افکار آنان موافق نباشند به تأویل و توجیه مدارک وحی می پردازند که مطلب پایان مقاله یکی از شواهد این گفتار است</w:t>
      </w:r>
      <w:r>
        <w:rPr>
          <w:rFonts w:eastAsia="IRNazanin" w:cs="IRNazanin"/>
          <w:color w:val="111111"/>
          <w:sz w:val="28"/>
          <w:szCs w:val="28"/>
          <w:rtl w:val="true"/>
          <w:lang w:bidi="fa-IR"/>
        </w:rPr>
        <w:t>.</w:t>
      </w:r>
    </w:p>
    <w:p>
      <w:pPr>
        <w:pStyle w:val="Heading2"/>
        <w:numPr>
          <w:ilvl w:val="1"/>
          <w:numId w:val="1"/>
        </w:numPr>
        <w:rPr/>
      </w:pPr>
      <w:bookmarkStart w:id="16" w:name="__RefHeading___Toc7596_1395250215"/>
      <w:bookmarkStart w:id="17" w:name="_Toc6"/>
      <w:bookmarkEnd w:id="16"/>
      <w:r>
        <w:rPr>
          <w:rtl w:val="true"/>
        </w:rPr>
        <w:t>مکتب عرفان و اشراق</w:t>
      </w:r>
      <w:bookmarkEnd w:id="17"/>
    </w:p>
    <w:p>
      <w:pPr>
        <w:pStyle w:val="BookText"/>
        <w:rPr/>
      </w:pPr>
      <w:r>
        <w:rPr>
          <w:rFonts w:ascii="IRNazanin" w:hAnsi="IRNazanin" w:eastAsia="IRNazanin"/>
          <w:color w:val="111111"/>
          <w:sz w:val="28"/>
          <w:sz w:val="28"/>
          <w:szCs w:val="28"/>
          <w:rtl w:val="true"/>
          <w:lang w:bidi="fa-IR"/>
        </w:rPr>
        <w:t>عرفا و اشراقیون با تفاوتی که دارند، در این جهت مشترکند که بین عقل و کشف جمع نموده و به هر دو ـ هر یک را در حدی ـ بها داده اند، نه به این معنی که باید عقل و کشف همراه با هم در همة موارد باشند و برای کشف حقایق، هم عقل و هم کشف مثبت و شاهد باشد بلکه هر یک در هر موردی که راه یابد مورد قبول و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روشن می شود که این روش هم مخدوش و اشکالاتی که در روش دوم و سوم گفته شد در این مورد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بیشتر از فلاسفه به تأویل و توجیه آیات و روایات پرداخته و برای اثبات نظرات خود به متشابهات از آیات و احادیث تمسک می نمایند</w:t>
      </w:r>
      <w:r>
        <w:rPr>
          <w:rFonts w:eastAsia="IRNazanin" w:cs="IRNazanin"/>
          <w:color w:val="111111"/>
          <w:sz w:val="28"/>
          <w:szCs w:val="28"/>
          <w:rtl w:val="true"/>
          <w:lang w:bidi="fa-IR"/>
        </w:rPr>
        <w:t>.</w:t>
      </w:r>
    </w:p>
    <w:p>
      <w:pPr>
        <w:pStyle w:val="Heading2"/>
        <w:numPr>
          <w:ilvl w:val="1"/>
          <w:numId w:val="1"/>
        </w:numPr>
        <w:rPr/>
      </w:pPr>
      <w:bookmarkStart w:id="18" w:name="__RefHeading___Toc7598_1395250215"/>
      <w:bookmarkStart w:id="19" w:name="_Toc7"/>
      <w:bookmarkEnd w:id="18"/>
      <w:r>
        <w:rPr>
          <w:rtl w:val="true"/>
        </w:rPr>
        <w:t>مکتب وحی</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که گذشت، در می یابیم؛ میزان در کشف حقایق عقل فطری است و به اصطلاح در حدود مستقلات عقلیه، عقل؛ حجتی است قطعی و آن گاه که به وسیلة همین عقل فطری به مکتب وحی راه پیدا کرده و به خداوند و رسالت معتقد شدیم، میزان همان مکتب وحی خواهد بود که باید در آن تدبر نموده و از آن بهره مند شد، همانند کسی که در پناه نور شمع در بیابان تاریک پر از سنگ و خار و گوهر هایی ارزنده، به جستجوی گوهرهای نفیس پرداخته آنگاه با منبعی بسیار نورانی مواجه شده باشد؛ بدیهی است که در این صورت باید هر چه بهتر از پرتو آن نور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در بررسی و استفاده از مکتب وحی و گفتار مستند و روشن آن به مطالبی که مخالف عقل فطری باشد برخورد نخواهیم کرد، و اگر در مقابل مطالب مستفاد از قرآن و حدیث استدلالاتی از دانشمندان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با یکدیگر در آن ها اختلاف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گیرد؛ بدیهی است آنچه مستفاد از مکتب وحی است بدون هیچ گونه توجیه و تأویلی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آنچه به نام استدلالات عقلی در مقابل هم قرارگرفته است ، احتمال خطا در هریک؛ بلکه احیاناً در همة آن ها وجود دارد </w:t>
      </w:r>
      <w:r>
        <w:rPr>
          <w:rStyle w:val="FootnoteAnchor"/>
          <w:rtl w:val="true"/>
        </w:rPr>
        <w:footnoteReference w:id="5"/>
      </w:r>
      <w:r>
        <w:rPr>
          <w:rFonts w:ascii="IRNazanin" w:hAnsi="IRNazanin" w:eastAsia="IRNazanin"/>
          <w:color w:val="111111"/>
          <w:sz w:val="28"/>
          <w:sz w:val="28"/>
          <w:szCs w:val="28"/>
          <w:rtl w:val="true"/>
          <w:lang w:bidi="fa-IR"/>
        </w:rPr>
        <w:t>و به همین حقیقت تعقل و تفکر و تمسک به کتاب و عترت ـ مکتب وحی ـ با توجه به توضیحاتی که قبلا گفته شد مکرر در مکرر در قرآن و حدیث ارشاد شده است که به بعضی از آنها اشاره می شود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یَتَفَکَّروا فی أَنْفُسِهِمْ ما خَلَقَ اللهُ السَّمواتِ و الْارضَ و ما بَیْنَهُما إلا بِالْحَقِّ وَ اَجَلً مُسَمّیً و إنَّ کثیراً مِنَ النّاسِ بِلِقاءِ رَبِّهِم لَکافِرونَ</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آیا فکر نمی کنید در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خود فکر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نکرده است خداوند آسمان ها و زمین و آن چه بین آن دو می باشند مگر به حق و مدتی معین و همانا بسیاری از مردم به لقاء پروردگار خود کافرند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آنچه را پیامبر برای شما آورده است بگیرید و آنچه را که نهی نموده است ترک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حجة الله علی العباد النبی، و الحجة فیما بین العباد و بین الله العقل</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خداوند بر مردم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حجت بین بندگان و خداوند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عقل به پیامبر که حجت خدا است معتقد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انبیاءه و رسله إلی عباده إلا لیعقلوا عن الله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هشام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انبیا و رسولان خود را به سوی مردم نفرستاده است مگر آن که بگیرند و بیابند از جانب خداوند، یعنی یک طریق خداوند به سوی خود قرار داده است و آن پیامبران و رسولانند تا آن که مطالب حقة الهیه را خلایق از آن ها بگیرند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اخذ دینه من کتاب الله و سنة نبیه صلوات الله علیه و آله زالت الجبال قبل ان یزول و من اخذ دینه من افواه الرجال ردّته الرجال</w:t>
      </w:r>
      <w:r>
        <w:rPr>
          <w:rFonts w:eastAsia="IRNazanin" w:cs="IRNazanin"/>
          <w:color w:val="111111"/>
          <w:sz w:val="28"/>
          <w:szCs w:val="28"/>
          <w:rtl w:val="true"/>
          <w:lang w:bidi="fa-IR"/>
        </w:rPr>
        <w:t xml:space="preserve">» </w:t>
      </w:r>
      <w:r>
        <w:rPr>
          <w:rStyle w:val="FootnoteAnchor"/>
          <w:rtl w:val="true"/>
        </w:rPr>
        <w:footnoteReference w:id="11"/>
      </w:r>
      <w:bookmarkStart w:id="20" w:name="pg2564_36104"/>
    </w:p>
    <w:p>
      <w:pPr>
        <w:pStyle w:val="BookText"/>
        <w:rPr/>
      </w:pPr>
      <w:bookmarkEnd w:id="20"/>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 مسائل گوناگون سعادت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کوه ها تکان می خورد و آن استوار و پا برجا است و هر کس دین خود را از دهان مردم بگیرد همان مردم او را از آنچه گرفته است دور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ارائه میزان صحیح در رسیدن به حقایق، به مقایسة بعضی از نتایج روش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تدبر در مکتب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نتیجه بعضی از مکتب های بشری می پردازیم</w:t>
      </w:r>
      <w:r>
        <w:rPr>
          <w:rFonts w:eastAsia="IRNazanin" w:cs="IRNazanin"/>
          <w:color w:val="111111"/>
          <w:sz w:val="28"/>
          <w:szCs w:val="28"/>
          <w:rtl w:val="true"/>
          <w:lang w:bidi="fa-IR"/>
        </w:rPr>
        <w:t>.</w:t>
      </w:r>
    </w:p>
    <w:p>
      <w:pPr>
        <w:pStyle w:val="Heading2"/>
        <w:numPr>
          <w:ilvl w:val="1"/>
          <w:numId w:val="1"/>
        </w:numPr>
        <w:rPr/>
      </w:pPr>
      <w:bookmarkStart w:id="21" w:name="__RefHeading___Toc7600_1395250215"/>
      <w:bookmarkStart w:id="22" w:name="_Toc8"/>
      <w:bookmarkEnd w:id="21"/>
      <w:r>
        <w:rPr>
          <w:rtl w:val="true"/>
        </w:rPr>
        <w:t>معاد جسمانی و روحانی</w:t>
      </w:r>
      <w:bookmarkEnd w:id="22"/>
    </w:p>
    <w:p>
      <w:pPr>
        <w:pStyle w:val="BookText"/>
        <w:rPr/>
      </w:pPr>
      <w:r>
        <w:rPr>
          <w:rFonts w:ascii="IRNazanin" w:hAnsi="IRNazanin" w:eastAsia="IRNazanin"/>
          <w:color w:val="111111"/>
          <w:sz w:val="28"/>
          <w:sz w:val="28"/>
          <w:szCs w:val="28"/>
          <w:rtl w:val="true"/>
          <w:lang w:bidi="fa-IR"/>
        </w:rPr>
        <w:t>از مسائلی که به خوبی تضاد بین مستفاد از قرآن و حدیث را با حاصل افکار فلاسفه و عرفا روشن می سازد، مسئله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مسئلة معاد ابتدا به قرآن و حدیث مراجعه نموده به دقت آنچه از قرآن و حدیث معتبر استفاده می شود به دست آورده تا از غیر مکتب وحی مغز و قلب خود را اشباع نکرده باشیم و سپس نظریه فیلسوف شهیر آخوند ملاصدرا را که روش فلسفی و عرفانی ایشان در قرون اخیر محور فلسفه و عرفان است تشریح می کنیم، آنگاه مغایرت آن را با مستفاد از آیات شریفة قرآن و احادیث معتبره در می یابیم و در نهایت بعضی از تأویلات این فیلسوف شهیر را در این بحث ملاحظه می 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و احادیث در خصوص جسمانی بودن معاد همان طور که خواهیم دید به صراحت استفاده می شود که در عالم نشأت قیامت بدن های عنصری خاکی ـ که از اجزای بدن های دنیوی انسان است ـ در ارتباط با ارواح بوده و محشور می شوند نه این که در عالم قیامت فقط ارواح باشند و بس، یا آن که ارواح با صوری جسمانی که فقط دارای مقدار هستند و نفس آن ها را انشأ نموده در ارتباط و از عناصر مادی این عالم هرگز اثری در قیامت نباشد</w:t>
      </w:r>
      <w:r>
        <w:rPr>
          <w:rFonts w:eastAsia="IRNazanin" w:cs="IRNazanin"/>
          <w:color w:val="111111"/>
          <w:sz w:val="28"/>
          <w:szCs w:val="28"/>
          <w:rtl w:val="true"/>
          <w:lang w:bidi="fa-IR"/>
        </w:rPr>
        <w:t>.</w:t>
      </w:r>
      <w:bookmarkStart w:id="23" w:name="pg2564_36105"/>
    </w:p>
    <w:p>
      <w:pPr>
        <w:pStyle w:val="Heading2"/>
        <w:numPr>
          <w:ilvl w:val="1"/>
          <w:numId w:val="1"/>
        </w:numPr>
        <w:rPr/>
      </w:pPr>
      <w:bookmarkStart w:id="24" w:name="__RefHeading___Toc7602_1395250215"/>
      <w:bookmarkStart w:id="25" w:name="_Toc9"/>
      <w:bookmarkEnd w:id="23"/>
      <w:bookmarkEnd w:id="24"/>
      <w:r>
        <w:rPr>
          <w:rtl w:val="true"/>
        </w:rPr>
        <w:t>آیات کریمة قرآن</w:t>
      </w:r>
      <w:bookmarkEnd w:id="25"/>
    </w:p>
    <w:p>
      <w:pPr>
        <w:pStyle w:val="BookText"/>
        <w:rPr/>
      </w:pPr>
      <w:r>
        <w:rPr>
          <w:rFonts w:ascii="IRNazanin" w:hAnsi="IRNazanin" w:eastAsia="IRNazanin"/>
          <w:color w:val="111111"/>
          <w:sz w:val="28"/>
          <w:sz w:val="28"/>
          <w:szCs w:val="28"/>
          <w:rtl w:val="true"/>
          <w:lang w:bidi="fa-IR"/>
        </w:rPr>
        <w:t>آیات قرآن در این مورد بسیار و متعدد است که بعضی از آن ها را متذکر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لَنا مثلاً و نسیَ خَلْقَهُ قالَ مَنْ یُحیِیِ الْعِظامُ و هِیَ رَمیم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مَرَّهٍ و هو بِکُلِّ خَلْقِ عَلیمٌ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برای ما مثلی زد که گفت این استخوان های پوسیده را باز که 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خدایی زنده می کند که اول بار آن ها را حیات بخشید و او به هر خلقت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به صراحت احیاء و زنده ساختن همان استخوان پوسیده و پودر شده را اعلام فرموده است و به قدرت خود که این استخوان ها نبوده و او را موجود ساخته توجه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أَیَحْسَبُ الْإنْسانُ أَنْ نَجْمَعَ عِظامه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آیا آدمی می پندارد که ما دیگر ابداً استخوان های او را باز جمع نمی کنیم؟</w:t>
      </w:r>
    </w:p>
    <w:p>
      <w:pPr>
        <w:pStyle w:val="BookText"/>
        <w:rPr/>
      </w:pPr>
      <w:r>
        <w:rPr>
          <w:rFonts w:ascii="IRNazanin" w:hAnsi="IRNazanin" w:eastAsia="IRNazanin"/>
          <w:color w:val="111111"/>
          <w:sz w:val="28"/>
          <w:sz w:val="28"/>
          <w:szCs w:val="28"/>
          <w:rtl w:val="true"/>
          <w:lang w:bidi="fa-IR"/>
        </w:rPr>
        <w:t>در این آیة شریفه پندار نادرست انسان منکر قیامت، که انکار جمع استخوان های از بین رفته را نموده است نکوهش فرموده و جمع عظام و استخوان های پوسیده را که فرع بر تفرق آن ها است با همین نکوهش ابلاغ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اِلَی الْعِظامِ کَیْفَ نُنْشِزُها ثَمَّ نَکْسوها لَحْماً فَلَمَّا تَبَیَّنَ لَهُ قالَ اَعْلَمُ أَنَّ اللهَ عَلی کُلِّ شَیءٍ قَدیرٌ</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بنگر در استخوان های آن که چگونه درهمش پیوسته و گوشت بر آن پوشانیم چون این کار بر او آشکار و روشن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اکنون به حقیقت و یقین می دانم که خداوند بر هر چیز قادر و تواناست</w:t>
      </w:r>
      <w:r>
        <w:rPr>
          <w:rFonts w:eastAsia="IRNazanin" w:cs="IRNazanin"/>
          <w:color w:val="111111"/>
          <w:sz w:val="28"/>
          <w:szCs w:val="28"/>
          <w:rtl w:val="true"/>
          <w:lang w:bidi="fa-IR"/>
        </w:rPr>
        <w:t>.</w:t>
      </w:r>
      <w:bookmarkStart w:id="26" w:name="pg2564_36106"/>
    </w:p>
    <w:p>
      <w:pPr>
        <w:pStyle w:val="BookText"/>
        <w:rPr/>
      </w:pPr>
      <w:bookmarkEnd w:id="26"/>
      <w:r>
        <w:rPr>
          <w:rFonts w:ascii="IRNazanin" w:hAnsi="IRNazanin" w:eastAsia="IRNazanin"/>
          <w:color w:val="111111"/>
          <w:sz w:val="28"/>
          <w:sz w:val="28"/>
          <w:szCs w:val="28"/>
          <w:rtl w:val="true"/>
          <w:lang w:bidi="fa-IR"/>
        </w:rPr>
        <w:t>این آیه شریفه به خوبی معاد را مجسم نموده و زنده شدن پس از صد سال متلاشی شدن مرکب عزیر را به صورت روئیدن گوشت بر استخوان های نشان داده است و به صراحت ارتباط روح را با همین اجزای دنیوی ابلاغ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یَبْعَثُ مَنْ فِی الْقُبُورِ</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یقیناً خداوند مردگان را از قبر ها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ارواح در قبور نمی باشند و همان بدن های پوسیده شده در قبر هایند که زنده می شوند</w:t>
      </w:r>
      <w:r>
        <w:rPr>
          <w:rFonts w:eastAsia="IRNazanin" w:cs="IRNazanin"/>
          <w:color w:val="111111"/>
          <w:sz w:val="28"/>
          <w:szCs w:val="28"/>
          <w:rtl w:val="true"/>
          <w:lang w:bidi="fa-IR"/>
        </w:rPr>
        <w:t>.</w:t>
      </w:r>
    </w:p>
    <w:p>
      <w:pPr>
        <w:pStyle w:val="Heading2"/>
        <w:numPr>
          <w:ilvl w:val="1"/>
          <w:numId w:val="1"/>
        </w:numPr>
        <w:rPr/>
      </w:pPr>
      <w:bookmarkStart w:id="27" w:name="__RefHeading___Toc7604_1395250215"/>
      <w:bookmarkStart w:id="28" w:name="_Toc10"/>
      <w:bookmarkEnd w:id="27"/>
      <w:r>
        <w:rPr>
          <w:rtl w:val="true"/>
        </w:rPr>
        <w:t>احادیث شریفه</w:t>
      </w:r>
      <w:bookmarkEnd w:id="28"/>
    </w:p>
    <w:p>
      <w:pPr>
        <w:pStyle w:val="BookText"/>
        <w:rPr/>
      </w:pPr>
      <w:r>
        <w:rPr>
          <w:rFonts w:ascii="IRNazanin" w:hAnsi="IRNazanin" w:eastAsia="IRNazanin"/>
          <w:color w:val="111111"/>
          <w:sz w:val="28"/>
          <w:sz w:val="28"/>
          <w:szCs w:val="28"/>
          <w:rtl w:val="true"/>
          <w:lang w:bidi="fa-IR"/>
        </w:rPr>
        <w:t>روایات معتبر در این مورد نیز مانند آیات قرآن بسیار است که برخی از آن ها ذیلاً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الناس یحشرون یوم القیامة عراة؟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یحشرون فی أکفانهم،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لهم بالاکفان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أحیا أبدانهم جدّد أکفانهم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آیا مردم روز قیامت عریان محشور می شوند؟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شوند در کفن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کفنی برای آن ها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زنده می سازد بدن های آن ها را، تجدید می نماید کفن های آنان را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أن یبعث الخلق أمطر السماء أربعین صاحباً فاجتمعت الاوصال و نبتت اللحوم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بخواهد خلق را زنده سازد، چهل روز باران بر زمین می بارد، آن گاه اعضاء جمع شده و استخوان ها می رویند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جبرئیل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 و اخرجه الی البقیع فانتهی به إلی قبر فصوّت بصاحبه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فخرج منه رجل ابیض الرأس و اللحّیه یمسح التراب عن 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الله اکبر،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باذن الله، ثم انتهی به الی قبر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باذن الله فخرج منه رجل مسود الوجه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حسرتاه یا ثبوراه، ثم 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الی ما کنت باذن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هکذا یحشرون یوم القیامه، والمؤمنون یقولون هذا القول، و هولاء یقولون ما تری</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حضرت را به بقیع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قبری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قبر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از قبر، مردی موی سر و صورت سفید شده از قبر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صورت خود دور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سوی قبر دیگری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صورت سیه شده برخاست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یاحسرتاه یا ثبوراه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مانند حالت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محشور می شوند روز قیامت و مؤمنین در هنگام حشر آن کلمات را می گویند و دیگران آنچه دیدی می گویند</w:t>
      </w:r>
      <w:r>
        <w:rPr>
          <w:rFonts w:eastAsia="IRNazanin" w:cs="IRNazanin"/>
          <w:color w:val="111111"/>
          <w:sz w:val="28"/>
          <w:szCs w:val="28"/>
          <w:rtl w:val="true"/>
          <w:lang w:bidi="fa-IR"/>
        </w:rPr>
        <w:t>.</w:t>
      </w:r>
      <w:bookmarkStart w:id="29" w:name="pg2564_36108"/>
    </w:p>
    <w:p>
      <w:pPr>
        <w:pStyle w:val="BookText"/>
        <w:rPr/>
      </w:pPr>
      <w:bookmarkEnd w:id="29"/>
      <w:r>
        <w:rPr>
          <w:rFonts w:ascii="IRNazanin" w:hAnsi="IRNazanin" w:eastAsia="IRNazanin"/>
          <w:color w:val="111111"/>
          <w:sz w:val="28"/>
          <w:sz w:val="28"/>
          <w:szCs w:val="28"/>
          <w:rtl w:val="true"/>
          <w:lang w:bidi="fa-IR"/>
        </w:rPr>
        <w:t xml:space="preserve">از مجموعة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نمونه قسمتی از آیات و روایات را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استفاده شد که در نشأت قیامت، روح انسان ها با بدن عنصری مادی دنیوی محشور می شوند</w:t>
      </w:r>
      <w:r>
        <w:rPr>
          <w:rFonts w:eastAsia="IRNazanin" w:cs="IRNazanin"/>
          <w:color w:val="111111"/>
          <w:sz w:val="28"/>
          <w:szCs w:val="28"/>
          <w:rtl w:val="true"/>
          <w:lang w:bidi="fa-IR"/>
        </w:rPr>
        <w:t>.</w:t>
      </w:r>
    </w:p>
    <w:p>
      <w:pPr>
        <w:pStyle w:val="Heading2"/>
        <w:numPr>
          <w:ilvl w:val="1"/>
          <w:numId w:val="1"/>
        </w:numPr>
        <w:rPr/>
      </w:pPr>
      <w:bookmarkStart w:id="30" w:name="__RefHeading___Toc7606_1395250215"/>
      <w:bookmarkStart w:id="31" w:name="_Toc11"/>
      <w:bookmarkEnd w:id="30"/>
      <w:r>
        <w:rPr>
          <w:rtl w:val="true"/>
        </w:rPr>
        <w:t>نظر آخوند ملاصدرا در مسألة معاد جسمانی</w:t>
      </w:r>
      <w:bookmarkEnd w:id="31"/>
    </w:p>
    <w:p>
      <w:pPr>
        <w:pStyle w:val="BookText"/>
        <w:rPr/>
      </w:pPr>
      <w:r>
        <w:rPr>
          <w:rFonts w:ascii="IRNazanin" w:hAnsi="IRNazanin" w:eastAsia="IRNazanin"/>
          <w:color w:val="111111"/>
          <w:sz w:val="28"/>
          <w:sz w:val="28"/>
          <w:szCs w:val="28"/>
          <w:rtl w:val="true"/>
          <w:lang w:bidi="fa-IR"/>
        </w:rPr>
        <w:t>با توجه به اینکه آخوند ملاصدرا فیلسوف شهیر، در موارد بسیاری تصریح می کند به این که مُعاد در مَعاد آنچه عود می کند در قیامت همین بدن است به عین همین بدن ولی مکرر تصریح کرده است که مقصود از عین این بدن، بدن عنصری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صورت بدون ماده است که قائم به نفس و انشاء شدة نفس از ملکات نفسانی است و این صورت که نشاندهندة انسان دنیوی برای متوسطین از مردم است و انسان های کامل فقط روح آن ها در آن نشئه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قسمتی از عبارت آخوند ملاصدرا را یادآوری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جوهر نفسانی مفارق یلزم شبح مثالی ینشأ منه بحسب ملکاته و اخلاقه و هیأته النفسانیه بلا مدخلیه الاستعدادات و حرکات الموادکما فی هذا العالم شیئاً فشینا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القرآنیه دالّه علی ان البدن الاخروی لکلّ انسان هو بعینه هذا البدن الدنیاوی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من حیث الصوره لامن حیث الماده و تمام کل شیء بصورته لابمادته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جوهر مفارق نفسانی شبحی مثالی لازم دارد که از نفس به حسب ملکاتش انشاء شده است، بدون مدخلیت استعداد است و حرکات مواد آنچنان که در دنیا می باشد، تا آن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دلیل های قطعی قرآنی اثبات می کند که همین بدن دنیاوی در قیامت خواهد بود،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بدن دنیایی است ولکن از حیث صورت نه ماده، زیرا شیئیت شیئی به صورت اوست نه به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من هذا المرتبه من الاعتقاد فی باب المعاد و حشر الاجساد، اعتقاد علماء الکلام کالإمام الرازی و نظرائه بناء علی أن المعاد عندهم عباره عن جمع متفرقات اجزاء مادیه لاعضاء اصلیه باقیه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لایخفی علی ذی بصیره ان النشأه الثانیه طور آخر من الوجود یباین هذا الطور المخلوق من التراب و الماء و الطین، و ان الموت و البعث ابتداء حرکه الوجود الی الله او القرب منه لا العود الی الخلقه المادیه و البدن الترابی الکثیف الظلمانی</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پست تر و پایین تر از این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در باب معاد و محشور شدن جسدها اعتقاد علماء کلام مانند امام فخر رازی و همفکران اوست که معاد نزد آنان همان جمع متفرقات از اجزاء مادیه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اجزاء اصلیه باقیمانده،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هیچ صاحب نظری مخفی نیست که نشأه دوم جریان دیگری است از وجود، مباین این جریان پدید آمده از خاک و آب و گل و این که مرگ و حشر ابتداء حرکت وجود به سوی خداوند متعال است یا قرب به او نه عود و برگشت و بسوی خلقت مادی و بدن خاکی کثیف ظلمانی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شده بخوبی و روشنی تغایر مستفاد از قرآن کریم و احادیث معتبر و گفتار آخوند ملاصدرا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آخوند ملاصدرا اسم جسم و جسمانی همین بدن و امثال آن را بسیار آورده است، اما تصریح نموده که مقصود از این بدن، بدن عنصری ـ مادی نیست</w:t>
      </w:r>
      <w:r>
        <w:rPr>
          <w:rFonts w:eastAsia="IRNazanin" w:cs="IRNazanin"/>
          <w:color w:val="111111"/>
          <w:sz w:val="28"/>
          <w:szCs w:val="28"/>
          <w:rtl w:val="true"/>
          <w:lang w:bidi="fa-IR"/>
        </w:rPr>
        <w:t>.</w:t>
      </w:r>
      <w:bookmarkStart w:id="32" w:name="pg2564_36110"/>
    </w:p>
    <w:p>
      <w:pPr>
        <w:pStyle w:val="Heading2"/>
        <w:numPr>
          <w:ilvl w:val="1"/>
          <w:numId w:val="1"/>
        </w:numPr>
        <w:rPr/>
      </w:pPr>
      <w:bookmarkStart w:id="33" w:name="__RefHeading___Toc7608_1395250215"/>
      <w:bookmarkStart w:id="34" w:name="_Toc12"/>
      <w:bookmarkEnd w:id="32"/>
      <w:bookmarkEnd w:id="33"/>
      <w:r>
        <w:rPr>
          <w:rtl w:val="true"/>
        </w:rPr>
        <w:t>رد نظریه ملاصدرا در گفتار سه شخصیت ارزنده</w:t>
      </w:r>
      <w:bookmarkEnd w:id="34"/>
    </w:p>
    <w:p>
      <w:pPr>
        <w:pStyle w:val="BookText"/>
        <w:rPr/>
      </w:pPr>
      <w:r>
        <w:rPr>
          <w:rFonts w:ascii="IRNazanin" w:hAnsi="IRNazanin" w:eastAsia="IRNazanin"/>
          <w:color w:val="111111"/>
          <w:sz w:val="28"/>
          <w:sz w:val="28"/>
          <w:szCs w:val="28"/>
          <w:rtl w:val="true"/>
          <w:lang w:bidi="fa-IR"/>
        </w:rPr>
        <w:t>در تتمه این بحث گفتار سه شخصیت ارزنده علم و تقوا، مرحوم آیت الله میرزا احمد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حاج شیخ محمدتقی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آیت الله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مطلب را بخوبی تشریح کرده و مخالف نظریة آخوند ملاصدرا را با مستفاد از شرع کتاب و سنت تصریح نموده اند نقل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مرحوم میرزا احمد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اصل معاد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إنه بعد ما ثبت بحکم العقل و النقل لزوم المعاد و یوم الجزاء وقع البحث فی ان ما ینتقل إلیه الارواح فی القیامه الکبری و یوم الحساب، هل هو عین الابدان الدنیویه البالیه العنصریه بشمل شتاتها و جمع جهاتها بامره تبارک و تعالی کما یقتضیه الاعتبار حیث ان النفس خالفت او اطاعت و انقادت لما کانت بتلک الجوارح فحسن المجازات و کمال المکافات بأن یکون المجازی عین من اطاع أو عصی أم لا، تنتقل الی صور مجرده تعلیمیه ذات امتداد نظیر القوالب المثالیته و الصور المرآتیه؟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التصریح به فی القرآن الکریم هوالاول، کما فی جواب سؤال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ارنی کیف تحیی الموتی قال اولم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و قوله تعالی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ایحسب الانسان ان لن نجمع عظامه بلی قادرین علی ان نسوی بنانه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عزّ شأنه فی جواب سؤال من یحیی العظام و هی رمیم قل یحییها الذی انشأها اول مره و هو بکل خلق علیم و غیر ذلک من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جماعه من اهل الحکمه المتعارفه ذهبوا لشبهه عرضت لهم الی الثانی و لابد لنا من حلها و دفعها بعون الله تعالی</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به حکم عقل و نقل لزوم معاد و روز جزا ثابت شد، بحث در این است که آن چیزی که ارواح در قیامت و روز حساب به آن تعلق می گیرد عین بدن های دنیوی مادی است به این که اجزاء پراکندة همان بدن دنیوی جمع شود به امر خداوند تبارک و تعالی چنان که اعتبار عقلائی همین مطلب را اقتضاء می کند، زیرا که مخالفت فرامین الهی و یا موافقت و اطاعت آن چون با جوارح است پس نیکو است که مجازات و عقوبت هم از برای همان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مجازات شونده، همان اطاعت کننده و یا نافرمانی کننده باشد و یا این که چنین نباشد بلکه ارواح به صورت های مجرده تعلیمیه که دارای امتداد هستند مثل قالب های مثالی و صورت های مرآتی منتقل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قرآن کریم به آن تصریح دارد قول اول است کما این که در سئوال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زنده می گردانی مردگان 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که در جواب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گمان می کند انسان که ما استخوان های او را هرگز جمع نمی کنیم بلکه جمع می کنیم آن استخوان ها را و حال آن که ما قادریم سرانگشتانش را به حال اول برگردانیم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خداوند بلند مرتبه در جواب 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استخوان پوسیده ای را آورد نزد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فشرد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کیست که زنده گرداند استخوان های پوسیده را و حال آن که آن ها متلاشی شده 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 گرداند این استخوان های پوسیده را همان کسی که در ابتدا آن ها را خلق کرده و او به هر نوع خلق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اول چیزی نباشد و یا چیزی باشد و پراکنده شود و بخواهد آن را دوباره مثل روز اول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از آیات قرآن کریم که تصریح با بازگشت همین بدن عنصری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آشتیانی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عده ای از اهل حکمت متعارفه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شبهه ای که برای آن ها ایجاد شده قائل به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روح در قیامت به صورت ها قالب های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 و ما ناچاریم که آن شبهه را حل کنیم به یاری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خلاصه ای از مسلک آخوند ملاصدرا را آورده و انتقاد نموده،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فانکار المعاد الجسمانی و عود الارواح الی الاجسام الذی یساعده العقل السلیم یخالف نص القرآن بل جمیع الادیان و انکار لما هو ضروری الاسلام، اعاذنا الله تعالی من زلات الاوهام و تسویلات الشیطان</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انکار معاد جسمانی و عود ارواح به اجسام که عقل هم مساعد اوست مخالف نص قرآن بلکه جمیه ادیان و انکار ضروری اسلام است و خداوند ما را از لغزش های وهم و فکرهای شیطانی نگهدارد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مرحوم آیت الله حاج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معاد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البدن المحشور فی یوم النشور البدن العنصری کما هو صریح الایات و الاخبار، 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المحشور لیس البدن العنصری، بل البدن المثالی المنشأ بإنشاء النفس باذن الله تعالی، والمختلف بالاختلاف الملکات الحاصلة فی الدنیا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بدرستی بدنی که محشور می شود در روز قیامت بدن مادی است، چنان که این مطلب صریح آیات قرآن و روایات است و گاهی گفته شده که محشور در قیامت بدن مادی نیست بلکه بدن مثالی است که بوجود آمده به وسیلة نفس به اذن خداوند متعال و آن بدن مثالی مختلف است به اختلاف ملکات نفسانیه ای که در دنیا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ایشان شروع می کنند در ذکر شبهات و جواب از آن ها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شبهات تدعوا الی القول المذکر</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این بحث شبهاتی وجود دارد که آن شبهات اقتضاء قول دوم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محشور در قیامت بدن مثالی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شبهات را ذکر کرده و جواب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آیات و روایات اثبات کننده معاد به معنایی که گفته شده را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مرحوم آیت الله میرزا محمدتقی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فیلسوف، در تعلیقه شرح منظومه دررالفوائد پس از توضیح و تعلیق بر مختار منصف می فرماید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غایة ما یمکن ان یقال فی هذه الطریقه و لکن الانصاف انه عین انحصار المعاد بالروحانی لکن بعباره اخفی فانه بعد فرض کون شیئیة الشیء بصورته و ان صورة ذات النفس هو نفسه و ان المادة الدنیویة لمکان عدم مدخلیتها فی قوام الشیء لایحشر، و ان المحشور هو النفس، غایه الامر اما مع إنشائها لبدن مثالی قائم بها قیاماً صدوریاً مجرداً عن الماده و لوازمها الا المقدار کما فی نفوس المتوسطین من اصحاب الشمال او اصحاب الیمین و اما بدون ذلک ایضاً کما فی المقربین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غیر مطابق مع ما نطق علیه الشرع المقدس علی صادعه السلام و التحیة و انا اشهد الله و ملائکته و انبیاءه و رسله انی اعتقد فی هذه الساعه و هی ساعه الثلاث من یوم الاحد الرابع عشر من شهر شعبان المعظم سنه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 المعاد الجسمانی بما نطق به القرآن الکریم و اعتقد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الائمه المعصومین صلوات الله علیهم اجمعین و علیه اطبقت الامة الاسلامیة</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نهایت چیزی است که در این طریقه می توان گفت و لکن حقیقت مطلب این است که این مطلب عین انحصار معاد است به روحانی، لکن به گونه ای بسیار مخفی پس بدرستی که بعد از فرض بودن شیئیت شیء به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صورت صاحب نفس همان نفسش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مادة دنیوی به خاطر عدم مدخلیتش در قوام شیء، محشور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محشور شونده در قیامت همان نفس است نهایت امر یا با انشاء نفس بدن مثالی قائم به آن نفس که این قیام به نوع صدوری مجرد از ماده و لوازم آن ماده بجز مقدار چنانچه این مطلب در نفوس متوسطه از اصحاب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اصحاب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بدون انشاء نفس است بدن مثالی را چنان که این مورد برای مقربین است، ولکن قسم به جان خودم که این عقیده مطابق نیست با آنچه که شرع مقدس گفته که بر مبلغ و مبین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تحیت باد و من شاهد می گیرم خداوند و ملائکه اش و انبیاء و رسلش را که من اعتقاد دارم در این ساعت که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یکشنبه چهاردهم ماه شعبان المعظم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امر معاد جسمانی به آنچه که نطق کرده به آن قرآن کریم و اعتقاد داشته به آن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 صلوات الله علیهم اجمعین و بر آن اتفاق دارد امت اسلامی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سخن به شدت نظریة آخوند ملاصدرا رد شده است و همان معاد جسمانی به معنای مورد نظر عموم فقها و محدثین تثبیت گردیده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یکی از حواس خود را از دست دهد علمی را از دست داده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و گونه ای است به غیر حالت و گونه عقل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کشف ها با مسائل یقینی و قطعی ما مخالف است، پس نمی تواند میزان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کشف محیی الدین بن عربی که در فص داودیه از فصوص الحکم می 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لهذا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نصّ بخلافة عنه إلی أحد و لا عینه لعلمه أنّ فی أمته من یاخذ الخلافة عن ربّه فیکون خلیفة عن الله مع الموافقة فی الحکم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 ذلک –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لحجر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ممد الهمم در شرح فصوص الحکم،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پس از شرح عبارت فوق در پاورقی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 نیست که رسول الله برای خود وصی تعیین فرمود و آن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چنانچه شک نیست که رسول الله در حین ارتحال تعیین خلیفه نفرمود، زیرا چون قلم و کاغذ خواست،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خدا ما را کافی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الرجل لیهجر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به مشاجره و نزاع در حضور رسول الله کشید به تفصیلی که در کتب فریقین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حال رسول الله می دانست که در میان امتش کسی هست که خلیفه است و اوست که در حقیقت جانشین آن جناب است و اگر خیلی جمود و سماجت در ظاهر لفظ بشود باید گفت که شیخ صاحب عصمت نبود ، و در اول کتاب تصریح کرد که گفت من رسول و نبی نیستم ولی وارثم و حارس آخرتم و چون صاحب عصمت و رسول و نبی نیست، کشف او را که اخذ از حق تعالی است به حسب معتقد و سوابق انس و الفت اشتباهی روی آورد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 است در مواردی که ظاهر وحی با عقل نظری و مستقلات عقلیه یا آنچه که بر اساس بدیهیات نهاده شده است، مخالف باشد، اگر سندش قطعی باشد توجیه می شود و در چنین مواردی توجیه آن در خود وحی به بهترین صورت آمده است از قبیل آیه شریفه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 رَبِّها 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نَفَخْتُ فیهِ مِنْ روحی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سند صحیح نداشته باشد و توجیه روشنی هم برای او نباشد مردود خواهد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یاد شده بعد از قبول وحی به وسیله عقل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العقل و الجهل،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خطبه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احتجاجات الامام ابی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و من سئوال الزندیق الذی سأل ابا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مسائل کثیره،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طبع انتشارات اسوه،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اثبات الحشر و کیفیته،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کتاب العدل و المعاد، باب اثبات الحشر و کیفیته،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فوق به وضوح نیز بیان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الحقایق، مبحث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الحقایق، مبحث المعاد،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الحقه، اثبات المعاد،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ط الاولی،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الآملی، فی المعاد الجسمانی،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دارالتفسیر للطباعه و النشر، قم، الثلاثه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2.jpeg"/><Relationship Id="rId28" Type="http://schemas.openxmlformats.org/officeDocument/2006/relationships/image" Target="media/image2.jpeg"/><Relationship Id="rId29" Type="http://schemas.openxmlformats.org/officeDocument/2006/relationships/footer" Target="footer22.xml"/><Relationship Id="rId30" Type="http://schemas.openxmlformats.org/officeDocument/2006/relationships/footnotes" Target="footnotes.xml"/><Relationship Id="rId31" Type="http://schemas.openxmlformats.org/officeDocument/2006/relationships/numbering" Target="numbering.xml"/><Relationship Id="rId32" Type="http://schemas.openxmlformats.org/officeDocument/2006/relationships/fontTable" Target="fontTable.xml"/><Relationship Id="rId33" Type="http://schemas.openxmlformats.org/officeDocument/2006/relationships/settings" Target="settings.xml"/><Relationship Id="rId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Pages>
  <Words>6098</Words>
  <Characters>22294</Characters>
  <CharactersWithSpaces>28231</CharactersWithSpaces>
  <Paragraphs>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2026-08-17T10:29:42Z</dcterms:created>
  <dc:creator>ghaemiyeh.com</dc:creator>
  <dc:description/>
  <dc:language>en-US</dc:language>
  <cp:lastModifiedBy/>
  <dcterms:modified xsi:type="dcterms:W3CDTF">2026-08-17T13:59:43Z</dcterms:modified>
  <cp:revision>1</cp:revision>
  <dc:subject/>
  <dc:title>میزان شناخت</dc:title>
</cp:coreProperties>
</file>

<file path=docProps/custom.xml><?xml version="1.0" encoding="utf-8"?>
<Properties xmlns="http://schemas.openxmlformats.org/officeDocument/2006/custom-properties" xmlns:vt="http://schemas.openxmlformats.org/officeDocument/2006/docPropsVTypes"/>
</file>